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22E733B" w14:textId="77777777" w:rsidR="001B225E" w:rsidRPr="0033278C" w:rsidRDefault="001B225E" w:rsidP="001B225E">
      <w:pPr>
        <w:spacing w:after="0" w:line="240" w:lineRule="auto"/>
        <w:rPr>
          <w:rFonts w:ascii="Times New Roman" w:eastAsia="Times New Roman" w:hAnsi="Times New Roman" w:cs="Times New Roman"/>
          <w:kern w:val="0"/>
          <w14:ligatures w14:val="none"/>
        </w:rPr>
      </w:pPr>
    </w:p>
    <w:p w14:paraId="3B075AE7" w14:textId="77777777" w:rsidR="001B225E" w:rsidRPr="00C22815" w:rsidRDefault="001B225E" w:rsidP="001B225E">
      <w:pPr>
        <w:pStyle w:val="NoSpacing"/>
        <w:jc w:val="center"/>
        <w:rPr>
          <w:rFonts w:ascii="Arial" w:hAnsi="Arial" w:cs="Arial"/>
          <w:b/>
          <w:bCs/>
          <w:sz w:val="24"/>
          <w:szCs w:val="24"/>
        </w:rPr>
      </w:pPr>
      <w:r w:rsidRPr="00C22815">
        <w:rPr>
          <w:rFonts w:ascii="Arial" w:hAnsi="Arial" w:cs="Arial"/>
          <w:b/>
          <w:bCs/>
          <w:sz w:val="24"/>
          <w:szCs w:val="24"/>
        </w:rPr>
        <w:t>Predictors of Performance in the Licensure Examination for Teachers</w:t>
      </w:r>
    </w:p>
    <w:p w14:paraId="243730CD" w14:textId="77777777" w:rsidR="001B225E" w:rsidRPr="00C22815" w:rsidRDefault="001B225E" w:rsidP="001B225E">
      <w:pPr>
        <w:pStyle w:val="NoSpacing"/>
        <w:jc w:val="center"/>
        <w:rPr>
          <w:rFonts w:ascii="Arial" w:hAnsi="Arial" w:cs="Arial"/>
          <w:b/>
          <w:bCs/>
          <w:sz w:val="24"/>
          <w:szCs w:val="24"/>
        </w:rPr>
      </w:pPr>
      <w:r w:rsidRPr="00C22815">
        <w:rPr>
          <w:rFonts w:ascii="Arial" w:hAnsi="Arial" w:cs="Arial"/>
          <w:b/>
          <w:bCs/>
          <w:sz w:val="24"/>
          <w:szCs w:val="24"/>
        </w:rPr>
        <w:t/>
      </w:r>
    </w:p>
    <w:p w14:paraId="7457FCFD" w14:textId="77777777" w:rsidR="001B225E" w:rsidRDefault="001B225E" w:rsidP="001B225E">
      <w:pPr>
        <w:pStyle w:val="NoSpacing"/>
        <w:rPr>
          <w:rFonts w:ascii="SimSun" w:eastAsia="SimSun" w:hAnsi="SimSun" w:cs="SimSun"/>
          <w:lang w:bidi="ar"/>
        </w:rPr>
      </w:pPr>
      <w:r>
        <w:rPr>
          <w:rFonts w:ascii="SimSun" w:eastAsia="SimSun" w:hAnsi="SimSun" w:cs="SimSun"/>
          <w:lang w:bidi="ar"/>
        </w:rPr>
        <w:br/>
      </w:r>
      <w:r>
        <w:rPr>
          <w:rFonts w:ascii="SimSun" w:eastAsia="SimSun" w:hAnsi="SimSun" w:cs="SimSun"/>
          <w:lang w:bidi="ar"/>
        </w:rPr>
        <w:br/>
      </w:r>
      <w:r>
        <w:rPr>
          <w:rFonts w:ascii="SimSun" w:eastAsia="SimSun" w:hAnsi="SimSun" w:cs="SimSun"/>
          <w:lang w:bidi="ar"/>
        </w:rPr>
        <w:br/>
      </w:r>
      <w:r>
        <w:rPr>
          <w:rFonts w:ascii="SimSun" w:eastAsia="SimSun" w:hAnsi="SimSun" w:cs="SimSun"/>
          <w:lang w:bidi="ar"/>
        </w:rPr>
        <w:br/>
      </w:r>
      <w:r>
        <w:rPr>
          <w:rFonts w:ascii="SimSun" w:eastAsia="SimSun" w:hAnsi="SimSun" w:cs="SimSun"/>
          <w:lang w:bidi="ar"/>
        </w:rPr>
        <w:br/>
      </w:r>
    </w:p>
    <w:p w14:paraId="6E9171EA" w14:textId="77777777" w:rsidR="001B225E" w:rsidRDefault="001B225E" w:rsidP="001B225E">
      <w:pPr>
        <w:spacing w:after="240"/>
        <w:jc w:val="center"/>
        <w:rPr>
          <w:rFonts w:ascii="SimSun" w:eastAsia="SimSun" w:hAnsi="SimSun" w:cs="SimSun"/>
          <w:kern w:val="0"/>
          <w:lang w:bidi="ar"/>
        </w:rPr>
      </w:pPr>
    </w:p>
    <w:p w14:paraId="5CCC0F86" w14:textId="77777777" w:rsidR="001B225E" w:rsidRDefault="001B225E" w:rsidP="001B225E">
      <w:pPr>
        <w:pStyle w:val="NormalWeb"/>
        <w:spacing w:beforeAutospacing="0" w:afterAutospacing="0" w:line="24" w:lineRule="atLeast"/>
        <w:ind w:left="2738" w:firstLine="142"/>
      </w:pPr>
      <w:r>
        <w:rPr>
          <w:rFonts w:ascii="Arial" w:hAnsi="Arial" w:cs="Arial"/>
          <w:color w:val="000000"/>
        </w:rPr>
        <w:t xml:space="preserve"/>
      </w:r>
    </w:p>
    <w:p w14:paraId="1B7C68B7" w14:textId="77777777" w:rsidR="001B225E" w:rsidRDefault="001B225E" w:rsidP="001B225E">
      <w:pPr>
        <w:pStyle w:val="NormalWeb"/>
        <w:spacing w:beforeAutospacing="0" w:afterAutospacing="0" w:line="24" w:lineRule="atLeast"/>
        <w:ind w:left="-142"/>
        <w:jc w:val="center"/>
      </w:pPr>
      <w:r>
        <w:rPr>
          <w:rFonts w:ascii="Arial" w:hAnsi="Arial" w:cs="Arial"/>
          <w:color w:val="000000"/>
        </w:rPr>
        <w:t/>
      </w:r>
    </w:p>
    <w:p w14:paraId="0EC9F094" w14:textId="77777777" w:rsidR="001B225E" w:rsidRDefault="001B225E" w:rsidP="001B225E">
      <w:pPr>
        <w:pStyle w:val="NormalWeb"/>
        <w:spacing w:beforeAutospacing="0" w:afterAutospacing="0" w:line="24" w:lineRule="atLeast"/>
        <w:ind w:left="-142"/>
        <w:jc w:val="center"/>
      </w:pPr>
      <w:r>
        <w:rPr>
          <w:rFonts w:ascii="Arial" w:hAnsi="Arial" w:cs="Arial"/>
          <w:color w:val="000000"/>
        </w:rPr>
        <w:t/>
      </w:r>
    </w:p>
    <w:p w14:paraId="741F04CD" w14:textId="77777777" w:rsidR="001B225E" w:rsidRDefault="001B225E" w:rsidP="001B225E">
      <w:pPr>
        <w:pStyle w:val="NormalWeb"/>
        <w:spacing w:beforeAutospacing="0" w:afterAutospacing="0" w:line="24" w:lineRule="atLeast"/>
        <w:ind w:left="-142"/>
        <w:jc w:val="center"/>
      </w:pPr>
      <w:r>
        <w:rPr>
          <w:rFonts w:ascii="Arial" w:hAnsi="Arial" w:cs="Arial"/>
          <w:b/>
          <w:bCs/>
          <w:color w:val="000000"/>
        </w:rPr>
        <w:t/>
      </w:r>
    </w:p>
    <w:p w14:paraId="65081EA9" w14:textId="77777777" w:rsidR="001B225E" w:rsidRDefault="001B225E" w:rsidP="001B225E">
      <w:pPr>
        <w:pStyle w:val="NormalWeb"/>
        <w:spacing w:beforeAutospacing="0" w:afterAutospacing="0" w:line="24" w:lineRule="atLeast"/>
        <w:ind w:left="-142"/>
        <w:jc w:val="center"/>
      </w:pPr>
      <w:proofErr w:type="spellStart"/>
      <w:r>
        <w:rPr>
          <w:rFonts w:ascii="Arial" w:hAnsi="Arial" w:cs="Arial"/>
          <w:b/>
          <w:bCs/>
          <w:color w:val="000000"/>
        </w:rPr>
        <w:t/>
      </w:r>
      <w:proofErr w:type="spellEnd"/>
      <w:r>
        <w:rPr>
          <w:rFonts w:ascii="Arial" w:hAnsi="Arial" w:cs="Arial"/>
          <w:b/>
          <w:bCs/>
          <w:color w:val="000000"/>
        </w:rPr>
        <w:t xml:space="preserve"/>
      </w:r>
    </w:p>
    <w:p w14:paraId="038D32B5" w14:textId="77777777" w:rsidR="001B225E" w:rsidRDefault="001B225E" w:rsidP="001B225E">
      <w:pPr>
        <w:spacing w:after="240"/>
      </w:pPr>
      <w:r>
        <w:rPr>
          <w:rFonts w:ascii="SimSun" w:eastAsia="SimSun" w:hAnsi="SimSun" w:cs="SimSun"/>
          <w:kern w:val="0"/>
          <w:lang w:bidi="ar"/>
        </w:rPr>
        <w:br/>
      </w:r>
      <w:r>
        <w:rPr>
          <w:rFonts w:ascii="SimSun" w:eastAsia="SimSun" w:hAnsi="SimSun" w:cs="SimSun"/>
          <w:kern w:val="0"/>
          <w:lang w:bidi="ar"/>
        </w:rPr>
        <w:br/>
      </w:r>
      <w:r>
        <w:rPr>
          <w:rFonts w:ascii="SimSun" w:eastAsia="SimSun" w:hAnsi="SimSun" w:cs="SimSun"/>
          <w:kern w:val="0"/>
          <w:lang w:bidi="ar"/>
        </w:rPr>
        <w:br/>
      </w:r>
      <w:r>
        <w:rPr>
          <w:rFonts w:ascii="SimSun" w:eastAsia="SimSun" w:hAnsi="SimSun" w:cs="SimSun"/>
          <w:kern w:val="0"/>
          <w:lang w:bidi="ar"/>
        </w:rPr>
        <w:br/>
      </w:r>
    </w:p>
    <w:p w14:paraId="5ADF0027" w14:textId="77777777" w:rsidR="001B225E" w:rsidRDefault="001B225E" w:rsidP="001B225E">
      <w:pPr>
        <w:pStyle w:val="NormalWeb"/>
        <w:spacing w:beforeAutospacing="0" w:afterAutospacing="0" w:line="24" w:lineRule="atLeast"/>
        <w:rPr>
          <w:rFonts w:ascii="Arial" w:hAnsi="Arial" w:cs="Arial"/>
          <w:color w:val="000000"/>
        </w:rPr>
      </w:pPr>
    </w:p>
    <w:p w14:paraId="3815AD10" w14:textId="77777777" w:rsidR="001B225E" w:rsidRDefault="001B225E" w:rsidP="001B225E">
      <w:pPr>
        <w:pStyle w:val="NormalWeb"/>
        <w:spacing w:beforeAutospacing="0" w:afterAutospacing="0" w:line="24" w:lineRule="atLeast"/>
        <w:ind w:left="-142"/>
        <w:jc w:val="center"/>
      </w:pPr>
      <w:r>
        <w:rPr>
          <w:rFonts w:ascii="Arial" w:hAnsi="Arial" w:cs="Arial"/>
          <w:color w:val="000000"/>
        </w:rPr>
        <w:t/>
      </w:r>
    </w:p>
    <w:p w14:paraId="329D10EF" w14:textId="77777777" w:rsidR="001B225E" w:rsidRDefault="001B225E" w:rsidP="001B225E">
      <w:pPr>
        <w:pStyle w:val="NormalWeb"/>
        <w:spacing w:beforeAutospacing="0" w:afterAutospacing="0" w:line="24" w:lineRule="atLeast"/>
        <w:ind w:left="-142"/>
        <w:jc w:val="center"/>
      </w:pPr>
      <w:r>
        <w:rPr>
          <w:rFonts w:ascii="Arial" w:hAnsi="Arial" w:cs="Arial"/>
          <w:color w:val="000000"/>
        </w:rPr>
        <w:t/>
      </w:r>
    </w:p>
    <w:p w14:paraId="4E9F7DA9" w14:textId="77777777" w:rsidR="001B225E" w:rsidRDefault="001B225E" w:rsidP="001B225E">
      <w:pPr>
        <w:pStyle w:val="NormalWeb"/>
        <w:spacing w:beforeAutospacing="0" w:afterAutospacing="0" w:line="24" w:lineRule="atLeast"/>
        <w:ind w:left="-142"/>
        <w:jc w:val="center"/>
        <w:rPr>
          <w:rFonts w:ascii="Arial" w:hAnsi="Arial" w:cs="Arial"/>
          <w:b/>
          <w:bCs/>
          <w:color w:val="000000"/>
        </w:rPr>
      </w:pPr>
      <w:r>
        <w:rPr>
          <w:rFonts w:ascii="Arial" w:hAnsi="Arial" w:cs="Arial"/>
          <w:b/>
          <w:bCs/>
          <w:color w:val="000000"/>
        </w:rPr>
        <w:t/>
      </w:r>
    </w:p>
    <w:p w14:paraId="57A49841" w14:textId="77777777" w:rsidR="001B225E" w:rsidRDefault="001B225E" w:rsidP="001B225E">
      <w:pPr>
        <w:pStyle w:val="NormalWeb"/>
        <w:spacing w:beforeAutospacing="0" w:afterAutospacing="0" w:line="24" w:lineRule="atLeast"/>
        <w:ind w:left="-142"/>
        <w:jc w:val="center"/>
      </w:pPr>
      <w:r>
        <w:rPr>
          <w:rFonts w:ascii="Arial" w:hAnsi="Arial" w:cs="Arial"/>
          <w:color w:val="000000"/>
        </w:rPr>
        <w:t/>
      </w:r>
    </w:p>
    <w:p w14:paraId="6071E9FA" w14:textId="77777777" w:rsidR="001B225E" w:rsidRDefault="001B225E" w:rsidP="001B225E">
      <w:pPr>
        <w:spacing w:after="240"/>
      </w:pPr>
      <w:r>
        <w:rPr>
          <w:rFonts w:ascii="SimSun" w:eastAsia="SimSun" w:hAnsi="SimSun" w:cs="SimSun"/>
          <w:kern w:val="0"/>
          <w:lang w:bidi="ar"/>
        </w:rPr>
        <w:br/>
      </w:r>
      <w:r>
        <w:rPr>
          <w:rFonts w:ascii="SimSun" w:eastAsia="SimSun" w:hAnsi="SimSun" w:cs="SimSun"/>
          <w:kern w:val="0"/>
          <w:lang w:bidi="ar"/>
        </w:rPr>
        <w:br/>
      </w:r>
      <w:r>
        <w:rPr>
          <w:rFonts w:ascii="SimSun" w:eastAsia="SimSun" w:hAnsi="SimSun" w:cs="SimSun"/>
          <w:kern w:val="0"/>
          <w:lang w:bidi="ar"/>
        </w:rPr>
        <w:br/>
      </w:r>
      <w:r>
        <w:rPr>
          <w:rFonts w:ascii="SimSun" w:eastAsia="SimSun" w:hAnsi="SimSun" w:cs="SimSun"/>
          <w:kern w:val="0"/>
          <w:lang w:bidi="ar"/>
        </w:rPr>
        <w:br/>
      </w:r>
    </w:p>
    <w:p w14:paraId="0D29F909" w14:textId="77777777" w:rsidR="001B225E" w:rsidRDefault="001B225E" w:rsidP="001B225E">
      <w:pPr>
        <w:spacing w:after="240"/>
      </w:pPr>
    </w:p>
    <w:p w14:paraId="1E438040" w14:textId="77777777" w:rsidR="001B225E" w:rsidRDefault="001B225E" w:rsidP="001B225E">
      <w:pPr>
        <w:pStyle w:val="NormalWeb"/>
        <w:spacing w:beforeAutospacing="0" w:afterAutospacing="0" w:line="24" w:lineRule="atLeast"/>
        <w:ind w:left="-142"/>
        <w:jc w:val="center"/>
      </w:pPr>
      <w:r>
        <w:rPr>
          <w:rFonts w:ascii="Arial" w:hAnsi="Arial" w:cs="Arial"/>
          <w:b/>
          <w:bCs/>
          <w:color w:val="000000"/>
        </w:rPr>
        <w:t/>
      </w:r>
    </w:p>
    <w:p w14:paraId="1E9BD0A6" w14:textId="77777777" w:rsidR="001B225E" w:rsidRPr="0033278C" w:rsidRDefault="001B225E" w:rsidP="001B225E">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59264" behindDoc="1" locked="0" layoutInCell="1" allowOverlap="1" wp14:anchorId="0888126F" wp14:editId="6737D9BB">
                <wp:simplePos x="0" y="0"/>
                <wp:positionH relativeFrom="margin">
                  <wp:posOffset>2668772</wp:posOffset>
                </wp:positionH>
                <wp:positionV relativeFrom="paragraph">
                  <wp:posOffset>169072</wp:posOffset>
                </wp:positionV>
                <wp:extent cx="414670" cy="445829"/>
                <wp:effectExtent l="0" t="0" r="4445" b="0"/>
                <wp:wrapNone/>
                <wp:docPr id="1142188915" name="Rectangle 1"/>
                <wp:cNvGraphicFramePr/>
                <a:graphic xmlns:a="http://schemas.openxmlformats.org/drawingml/2006/main">
                  <a:graphicData uri="http://schemas.microsoft.com/office/word/2010/wordprocessingShape">
                    <wps:wsp>
                      <wps:cNvSpPr/>
                      <wps:spPr>
                        <a:xfrm flipV="1">
                          <a:off x="0" y="0"/>
                          <a:ext cx="414670" cy="44582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492CA" id="Rectangle 1" o:spid="_x0000_s1026" style="position:absolute;margin-left:210.15pt;margin-top:13.3pt;width:32.65pt;height:35.1pt;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" fillcolor="white [3212]" stroked="f" strokeweight="1pt">
                <w10:wrap anchorx="margin"/>
              </v:rect>
            </w:pict>
          </mc:Fallback>
        </mc:AlternateContent>
      </w:r>
    </w:p>
    <w:p w14:paraId="5AA02906" w14:textId="77777777" w:rsidR="001B225E" w:rsidRDefault="001B225E" w:rsidP="001B225E">
      <w:pPr>
        <w:spacing w:after="0" w:line="240" w:lineRule="auto"/>
        <w:jc w:val="center"/>
        <w:rPr>
          <w:rFonts w:ascii="Arial" w:eastAsia="Times New Roman" w:hAnsi="Arial" w:cs="Arial"/>
          <w:b/>
          <w:bCs/>
          <w:color w:val="000000"/>
          <w:kern w:val="0"/>
          <w14:ligatures w14:val="none"/>
        </w:rPr>
      </w:pPr>
    </w:p>
    <w:p w14:paraId="4D52B846" w14:textId="77777777" w:rsidR="001B225E" w:rsidRDefault="001B225E" w:rsidP="001B225E">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noProof/>
          <w:color w:val="000000"/>
          <w:kern w:val="0"/>
        </w:rPr>
        <w:lastRenderedPageBreak/>
        <mc:AlternateContent>
          <mc:Choice Requires="wps">
            <w:drawing>
              <wp:anchor distT="0" distB="0" distL="114300" distR="114300" simplePos="0" relativeHeight="251685888" behindDoc="0" locked="0" layoutInCell="1" allowOverlap="1" wp14:anchorId="64A8B79E" wp14:editId="37991CB0">
                <wp:simplePos x="0" y="0"/>
                <wp:positionH relativeFrom="column">
                  <wp:posOffset>2609850</wp:posOffset>
                </wp:positionH>
                <wp:positionV relativeFrom="paragraph">
                  <wp:posOffset>349250</wp:posOffset>
                </wp:positionV>
                <wp:extent cx="304800" cy="381000"/>
                <wp:effectExtent l="0" t="0" r="19050" b="19050"/>
                <wp:wrapNone/>
                <wp:docPr id="1839534738" name="Rectangle 25"/>
                <wp:cNvGraphicFramePr/>
                <a:graphic xmlns:a="http://schemas.openxmlformats.org/drawingml/2006/main">
                  <a:graphicData uri="http://schemas.microsoft.com/office/word/2010/wordprocessingShape">
                    <wps:wsp>
                      <wps:cNvSpPr/>
                      <wps:spPr>
                        <a:xfrm>
                          <a:off x="0" y="0"/>
                          <a:ext cx="304800" cy="3810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A45481" id="Rectangle 25" o:spid="_x0000_s1026" style="position:absolute;margin-left:205.5pt;margin-top:27.5pt;width:24pt;height:30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" fillcolor="white [3212]" strokecolor="white [3212]" strokeweight="1pt"/>
            </w:pict>
          </mc:Fallback>
        </mc:AlternateContent>
      </w:r>
      <w:r>
        <w:rPr>
          <w:rFonts w:ascii="Arial" w:eastAsia="Times New Roman" w:hAnsi="Arial" w:cs="Arial"/>
          <w:b/>
          <w:bCs/>
          <w:color w:val="000000"/>
          <w:kern w:val="0"/>
          <w14:ligatures w14:val="none"/>
        </w:rPr>
        <w:t/>
      </w:r>
    </w:p>
    <w:p w14:paraId="77E4DC45" w14:textId="77777777" w:rsidR="001B225E" w:rsidRPr="0033278C" w:rsidRDefault="001B225E" w:rsidP="001B225E">
      <w:pPr>
        <w:spacing w:after="200" w:line="480" w:lineRule="auto"/>
        <w:ind w:firstLine="720"/>
        <w:jc w:val="center"/>
        <w:rPr>
          <w:rFonts w:ascii="Times New Roman" w:eastAsia="Times New Roman" w:hAnsi="Times New Roman" w:cs="Times New Roman"/>
          <w:kern w:val="0"/>
          <w14:ligatures w14:val="none"/>
        </w:rPr>
      </w:pPr>
      <w:r w:rsidRPr="0033278C">
        <w:rPr>
          <w:rFonts w:ascii="Arial" w:eastAsia="Times New Roman" w:hAnsi="Arial" w:cs="Arial"/>
          <w:b/>
          <w:bCs/>
          <w:color w:val="000000"/>
          <w:kern w:val="0"/>
          <w14:ligatures w14:val="none"/>
        </w:rPr>
        <w:t>ABSTRACT</w:t>
      </w:r>
    </w:p>
    <w:p w14:paraId="21E33C3A" w14:textId="77777777" w:rsidR="001B225E" w:rsidRDefault="001B225E" w:rsidP="001B225E">
      <w:pPr>
        <w:spacing w:after="200" w:line="240" w:lineRule="auto"/>
        <w:jc w:val="both"/>
        <w:rPr>
          <w:rFonts w:ascii="Arial" w:eastAsia="Times New Roman" w:hAnsi="Arial" w:cs="Arial"/>
          <w:b/>
          <w:bCs/>
          <w:color w:val="000000"/>
          <w:kern w:val="0"/>
          <w14:ligatures w14:val="none"/>
        </w:rPr>
      </w:pPr>
      <w:r>
        <w:rPr>
          <w:rFonts w:ascii="Arial Regular" w:hAnsi="Arial Regular" w:cs="Arial Regular"/>
          <w:b/>
          <w:bCs/>
        </w:rPr>
        <w:t>PREDICTORS OF PERFORMANCE IN THE LICENSURE EXAMINATION FOR TEACHERS IN  A COMMUNITY COLLEGE IN ALBAY</w:t>
      </w:r>
      <w:r w:rsidRPr="0033278C">
        <w:rPr>
          <w:rFonts w:ascii="Arial" w:eastAsia="Times New Roman" w:hAnsi="Arial" w:cs="Arial"/>
          <w:b/>
          <w:bCs/>
          <w:color w:val="000000"/>
          <w:kern w:val="0"/>
          <w14:ligatures w14:val="none"/>
        </w:rPr>
        <w:t xml:space="preserve"> </w:t>
      </w:r>
    </w:p>
    <w:p w14:paraId="258A4BF9" w14:textId="77777777" w:rsidR="001B225E" w:rsidRPr="0033278C" w:rsidRDefault="001B225E" w:rsidP="001B225E">
      <w:pPr>
        <w:spacing w:after="200" w:line="240" w:lineRule="auto"/>
        <w:jc w:val="both"/>
        <w:rPr>
          <w:rFonts w:ascii="Times New Roman" w:eastAsia="Times New Roman" w:hAnsi="Times New Roman" w:cs="Times New Roman"/>
          <w:kern w:val="0"/>
          <w14:ligatures w14:val="none"/>
        </w:rPr>
      </w:pPr>
      <w:r w:rsidRPr="0033278C">
        <w:rPr>
          <w:rFonts w:ascii="Arial" w:eastAsia="Times New Roman" w:hAnsi="Arial" w:cs="Arial"/>
          <w:b/>
          <w:bCs/>
          <w:color w:val="000000"/>
          <w:kern w:val="0"/>
          <w14:ligatures w14:val="none"/>
        </w:rPr>
        <w:t xml:space="preserve">ANNECELLE JOY </w:t>
      </w:r>
      <w:r>
        <w:rPr>
          <w:rFonts w:ascii="Arial" w:eastAsia="Times New Roman" w:hAnsi="Arial" w:cs="Arial"/>
          <w:b/>
          <w:bCs/>
          <w:color w:val="000000"/>
          <w:kern w:val="0"/>
          <w14:ligatures w14:val="none"/>
        </w:rPr>
        <w:t>S</w:t>
      </w:r>
      <w:r w:rsidRPr="0033278C">
        <w:rPr>
          <w:rFonts w:ascii="Arial" w:eastAsia="Times New Roman" w:hAnsi="Arial" w:cs="Arial"/>
          <w:b/>
          <w:bCs/>
          <w:color w:val="000000"/>
          <w:kern w:val="0"/>
          <w14:ligatures w14:val="none"/>
        </w:rPr>
        <w:t xml:space="preserve">. </w:t>
      </w:r>
      <w:r>
        <w:rPr>
          <w:rFonts w:ascii="Arial" w:eastAsia="Times New Roman" w:hAnsi="Arial" w:cs="Arial"/>
          <w:b/>
          <w:bCs/>
          <w:color w:val="000000"/>
          <w:kern w:val="0"/>
          <w14:ligatures w14:val="none"/>
        </w:rPr>
        <w:t>ORIBIANA</w:t>
      </w:r>
    </w:p>
    <w:p w14:paraId="45914D33" w14:textId="77777777" w:rsidR="001B225E" w:rsidRDefault="001B225E" w:rsidP="001B225E">
      <w:pPr>
        <w:spacing w:line="480" w:lineRule="auto"/>
        <w:ind w:firstLine="720"/>
        <w:jc w:val="both"/>
        <w:rPr>
          <w:rFonts w:ascii="Arial" w:hAnsi="Arial" w:cs="Arial"/>
        </w:rPr>
      </w:pPr>
      <w:r w:rsidRPr="00352029">
        <w:rPr>
          <w:rFonts w:ascii="Arial" w:hAnsi="Arial" w:cs="Arial"/>
        </w:rPr>
        <w:t xml:space="preserve">This study determined the predictors of performance in the Licensure Examination for Teachers (LET) among the LET takers of a community college in Albay. Specifically, it examined the profile of the LET takers, their academic performance, study habits, review preparation practices, and institutional support, and identified which among these variables significantly predicted LET performance. The study was anchored on Human Capital Theory, Self-Efficacy Theory, Cognitive Load Theory, and Tinto's Student Integration Theory, which collectively formed the Readiness and Resilience Integration Theory proposed by the researcher, and was structured through Astin's Input-Environment-Outcome (I-E-O) Model. A descriptive-correlational research design was employed. The respondents were the 116 first-time LET takers from the 2025 graduates of the teacher education programs of the community college, drawn from a total population of 165 through power analysis using the </w:t>
      </w:r>
      <w:r>
        <w:rPr>
          <w:rFonts w:ascii="Arial" w:hAnsi="Arial" w:cs="Arial"/>
        </w:rPr>
        <w:t>R</w:t>
      </w:r>
      <w:r w:rsidRPr="00352029">
        <w:rPr>
          <w:rFonts w:ascii="Arial" w:hAnsi="Arial" w:cs="Arial"/>
        </w:rPr>
        <w:t xml:space="preserve">*Power software and selected through stratified random sampling with proportional allocation. Data were gathered using a validated researcher-constructed questionnaire, supplemented by document review of official academic records, and were analyzed using frequency, percentage, weighted mean, and multiple and simple linear regression analysis. The findings revealed that the respondents were predominantly young, female, first-time takers who graduated in 2025, with a </w:t>
      </w:r>
      <w:r w:rsidRPr="00352029">
        <w:rPr>
          <w:rFonts w:ascii="Arial" w:hAnsi="Arial" w:cs="Arial"/>
        </w:rPr>
        <w:lastRenderedPageBreak/>
        <w:t>general weighted average interpreted as Very Satisfactory and a teaching internship grade interpreted as Excellent, while the General Education average was the weakest academic component. The levels of study habits, review preparation practices, and institutional support were all interpreted as Often. The regression analysis, conducted for the overall LET rating and separately for the General Education, Professional Education, and Major or Specialization components, revealed that academic performance was the strongest and most consistent significant predictor of LET performance across all models, supported by review preparation practices, profile variables, and institutional support, with study habits emerging as a significant predictor specifically in the General Education and Professional Education components. The null hypothesis was therefore rejected. Based on the findings, a proposed intervention program was developed to strengthen academic performance, review preparation, institutional support, and study habits in order to enhance the licensure readiness and LET performance of the education graduates of the community college.</w:t>
      </w:r>
    </w:p>
    <w:p w14:paraId="724B6AC7" w14:textId="77777777" w:rsidR="001B225E" w:rsidRPr="00CB4BD3" w:rsidRDefault="001B225E" w:rsidP="001B225E">
      <w:pPr>
        <w:spacing w:after="0" w:line="240" w:lineRule="auto"/>
        <w:jc w:val="both"/>
        <w:rPr>
          <w:rFonts w:ascii="Arial" w:hAnsi="Arial" w:cs="Arial"/>
        </w:rPr>
      </w:pPr>
      <w:r w:rsidRPr="00CB4BD3">
        <w:rPr>
          <w:rFonts w:ascii="Arial" w:hAnsi="Arial" w:cs="Arial"/>
          <w:b/>
          <w:bCs/>
        </w:rPr>
        <w:t>Keywords:</w:t>
      </w:r>
      <w:r w:rsidRPr="00CB4BD3">
        <w:rPr>
          <w:rFonts w:ascii="Arial" w:hAnsi="Arial" w:cs="Arial"/>
          <w:i/>
          <w:iCs/>
        </w:rPr>
        <w:t xml:space="preserve"> </w:t>
      </w:r>
      <w:r>
        <w:rPr>
          <w:rFonts w:ascii="Arial" w:hAnsi="Arial" w:cs="Arial"/>
          <w:i/>
          <w:iCs/>
        </w:rPr>
        <w:t>I</w:t>
      </w:r>
      <w:r w:rsidRPr="00CB4BD3">
        <w:rPr>
          <w:rFonts w:ascii="Arial" w:hAnsi="Arial" w:cs="Arial"/>
          <w:i/>
          <w:iCs/>
        </w:rPr>
        <w:t>nstitutional support, Licensure Examination for Teachers, LET performance predictors, review preparation practices, study habits, teacher education</w:t>
      </w:r>
    </w:p>
    <w:p w14:paraId="524C388C" w14:textId="77777777" w:rsidR="001B225E" w:rsidRPr="00352029" w:rsidRDefault="001B225E" w:rsidP="001B225E">
      <w:pPr>
        <w:spacing w:line="480" w:lineRule="auto"/>
        <w:ind w:firstLine="720"/>
        <w:jc w:val="both"/>
        <w:rPr>
          <w:rFonts w:ascii="Arial" w:hAnsi="Arial" w:cs="Arial"/>
        </w:rPr>
      </w:pPr>
    </w:p>
    <w:p w14:paraId="51222E0C" w14:textId="77777777" w:rsidR="001B225E" w:rsidRDefault="001B225E" w:rsidP="001B225E">
      <w:pPr>
        <w:spacing w:after="240" w:line="240" w:lineRule="auto"/>
        <w:rPr>
          <w:rFonts w:ascii="Times New Roman" w:eastAsia="Times New Roman" w:hAnsi="Times New Roman" w:cs="Times New Roman"/>
          <w:kern w:val="0"/>
          <w14:ligatures w14:val="none"/>
        </w:rPr>
      </w:pPr>
      <w:r w:rsidRPr="0033278C">
        <w:rPr>
          <w:rFonts w:ascii="Times New Roman" w:eastAsia="Times New Roman" w:hAnsi="Times New Roman" w:cs="Times New Roman"/>
          <w:kern w:val="0"/>
          <w14:ligatures w14:val="none"/>
        </w:rPr>
        <w:br/>
      </w:r>
    </w:p>
    <w:p w14:paraId="274D5E60" w14:textId="77777777" w:rsidR="001B225E" w:rsidRDefault="001B225E" w:rsidP="001B225E">
      <w:pPr>
        <w:spacing w:after="240" w:line="240" w:lineRule="auto"/>
        <w:rPr>
          <w:rFonts w:ascii="Times New Roman" w:eastAsia="Times New Roman" w:hAnsi="Times New Roman" w:cs="Times New Roman"/>
          <w:kern w:val="0"/>
          <w14:ligatures w14:val="none"/>
        </w:rPr>
      </w:pPr>
    </w:p>
    <w:p w14:paraId="5E2A3E72" w14:textId="77777777" w:rsidR="001B225E" w:rsidRPr="0033278C" w:rsidRDefault="001B225E" w:rsidP="001B225E">
      <w:pPr>
        <w:spacing w:after="240" w:line="240" w:lineRule="auto"/>
        <w:rPr>
          <w:rFonts w:ascii="Times New Roman" w:eastAsia="Times New Roman" w:hAnsi="Times New Roman" w:cs="Times New Roman"/>
          <w:kern w:val="0"/>
          <w14:ligatures w14:val="none"/>
        </w:rPr>
      </w:pPr>
    </w:p>
    <w:p w14:paraId="15AA96C0" w14:textId="77777777" w:rsidR="001B225E" w:rsidRDefault="001B225E" w:rsidP="001B225E">
      <w:pPr>
        <w:spacing w:after="200" w:line="480" w:lineRule="auto"/>
        <w:rPr>
          <w:rFonts w:ascii="Arial" w:eastAsia="Times New Roman" w:hAnsi="Arial" w:cs="Arial"/>
          <w:b/>
          <w:bCs/>
          <w:color w:val="000000"/>
          <w:kern w:val="0"/>
          <w14:ligatures w14:val="none"/>
        </w:rPr>
      </w:pPr>
    </w:p>
    <w:p w14:paraId="41A2AF99" w14:textId="010C08D1" w:rsidR="001B225E" w:rsidRPr="002B5B5C" w:rsidRDefault="001B225E" w:rsidP="001B225E">
      <w:pPr>
        <w:spacing w:line="240" w:lineRule="auto"/>
        <w:ind w:left="2880" w:firstLine="720"/>
        <w:rPr>
          <w:rFonts w:ascii="Arial" w:eastAsia="Arial" w:hAnsi="Arial" w:cs="Arial"/>
        </w:rPr>
      </w:pPr>
      <w:r w:rsidRPr="002B5B5C">
        <w:rPr>
          <w:rFonts w:ascii="Arial" w:hAnsi="Arial" w:cs="Arial"/>
          <w:noProof/>
        </w:rPr>
        <w:lastRenderedPageBreak/>
        <mc:AlternateContent>
          <mc:Choice Requires="wps">
            <w:drawing>
              <wp:anchor distT="0" distB="0" distL="114300" distR="114300" simplePos="0" relativeHeight="251660288" behindDoc="0" locked="0" layoutInCell="1" hidden="0" allowOverlap="1" wp14:anchorId="07EE622F" wp14:editId="5F395B2C">
                <wp:simplePos x="0" y="0"/>
                <wp:positionH relativeFrom="column">
                  <wp:posOffset>5311042</wp:posOffset>
                </wp:positionH>
                <wp:positionV relativeFrom="paragraph">
                  <wp:posOffset>-369082</wp:posOffset>
                </wp:positionV>
                <wp:extent cx="327025" cy="261257"/>
                <wp:effectExtent l="0" t="0" r="3175" b="5715"/>
                <wp:wrapNone/>
                <wp:docPr id="3" name="Rectangle 3"/>
                <wp:cNvGraphicFramePr/>
                <a:graphic xmlns:a="http://schemas.openxmlformats.org/drawingml/2006/main">
                  <a:graphicData uri="http://schemas.microsoft.com/office/word/2010/wordprocessingShape">
                    <wps:wsp>
                      <wps:cNvSpPr/>
                      <wps:spPr>
                        <a:xfrm flipV="1">
                          <a:off x="0" y="0"/>
                          <a:ext cx="327025" cy="261257"/>
                        </a:xfrm>
                        <a:prstGeom prst="rect">
                          <a:avLst/>
                        </a:prstGeom>
                        <a:solidFill>
                          <a:schemeClr val="lt1"/>
                        </a:solidFill>
                        <a:ln>
                          <a:noFill/>
                        </a:ln>
                      </wps:spPr>
                      <wps:txbx>
                        <w:txbxContent>
                          <w:p w14:paraId="3F468C10" w14:textId="77777777" w:rsidR="001B225E" w:rsidRDefault="001B225E" w:rsidP="001B225E">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7EE622F" id="Rectangle 3" o:spid="_x0000_s1026" style="position:absolute;left:0;text-align:left;margin-left:418.2pt;margin-top:-29.05pt;width:25.75pt;height:20.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" fillcolor="white [3201]" stroked="f">
                <v:textbox inset="2.53958mm,2.53958mm,2.53958mm,2.53958mm">
                  <w:txbxContent>
                    <w:p w14:paraId="3F468C10" w14:textId="77777777" w:rsidR="001B225E" w:rsidRDefault="001B225E" w:rsidP="001B225E">
                      <w:pPr>
                        <w:spacing w:after="0" w:line="240" w:lineRule="auto"/>
                        <w:textDirection w:val="btLr"/>
                      </w:pPr>
                    </w:p>
                  </w:txbxContent>
                </v:textbox>
              </v:rect>
            </w:pict>
          </mc:Fallback>
        </mc:AlternateContent>
      </w:r>
      <w:r>
        <w:rPr>
          <w:rFonts w:ascii="Arial" w:eastAsia="Times New Roman" w:hAnsi="Arial" w:cs="Arial"/>
          <w:b/>
          <w:bCs/>
          <w:color w:val="000000"/>
          <w:kern w:val="0"/>
          <w14:ligatures w14:val="none"/>
        </w:rPr>
        <w:t xml:space="preserve">    </w:t>
      </w:r>
      <w:r w:rsidRPr="002B5B5C">
        <w:rPr>
          <w:rFonts w:ascii="Arial" w:eastAsia="Arial" w:hAnsi="Arial" w:cs="Arial"/>
        </w:rPr>
        <w:t>Chapter 1</w:t>
      </w:r>
    </w:p>
    <w:p w14:paraId="193745D2" w14:textId="77777777" w:rsidR="001B225E" w:rsidRDefault="001B225E" w:rsidP="001B225E">
      <w:pPr>
        <w:spacing w:after="0" w:line="240" w:lineRule="auto"/>
        <w:jc w:val="center"/>
        <w:rPr>
          <w:rFonts w:ascii="Arial" w:eastAsia="Arial" w:hAnsi="Arial" w:cs="Arial"/>
          <w:b/>
          <w:bCs/>
        </w:rPr>
      </w:pPr>
      <w:r w:rsidRPr="006F6972">
        <w:rPr>
          <w:rFonts w:ascii="Arial" w:eastAsia="Arial" w:hAnsi="Arial" w:cs="Arial"/>
          <w:b/>
          <w:bCs/>
        </w:rPr>
        <w:t xml:space="preserve">THE PROBLEM </w:t>
      </w:r>
    </w:p>
    <w:p w14:paraId="787E3678" w14:textId="77777777" w:rsidR="001B225E" w:rsidRPr="006F6972" w:rsidRDefault="001B225E" w:rsidP="001B225E">
      <w:pPr>
        <w:spacing w:after="0" w:line="240" w:lineRule="auto"/>
        <w:jc w:val="center"/>
        <w:rPr>
          <w:rFonts w:ascii="Arial" w:eastAsia="Arial" w:hAnsi="Arial" w:cs="Arial"/>
          <w:b/>
          <w:bCs/>
        </w:rPr>
      </w:pPr>
    </w:p>
    <w:p w14:paraId="1CFC87BE" w14:textId="77777777" w:rsidR="001B225E" w:rsidRPr="006F6972" w:rsidRDefault="001B225E" w:rsidP="001B225E">
      <w:pPr>
        <w:spacing w:after="0" w:line="480" w:lineRule="auto"/>
        <w:rPr>
          <w:rFonts w:ascii="Arial" w:eastAsia="Arial" w:hAnsi="Arial" w:cs="Arial"/>
          <w:b/>
          <w:bCs/>
        </w:rPr>
      </w:pPr>
      <w:r w:rsidRPr="006F6972">
        <w:rPr>
          <w:rFonts w:ascii="Arial" w:eastAsia="Arial" w:hAnsi="Arial" w:cs="Arial"/>
          <w:b/>
          <w:bCs/>
        </w:rPr>
        <w:t>Introduction</w:t>
      </w:r>
    </w:p>
    <w:p w14:paraId="1EF037F3"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 xml:space="preserve">One of the most significant determinants of the direction and outcomes of any educational system is the quality of its teachers. The education and professional competence of </w:t>
      </w:r>
      <w:r>
        <w:rPr>
          <w:rFonts w:ascii="Arial" w:hAnsi="Arial" w:cs="Arial"/>
        </w:rPr>
        <w:t xml:space="preserve">individuals entering the teaching profession have consistently been identified as determinants of the quality of learning students receive across </w:t>
      </w:r>
      <w:r w:rsidRPr="006F6972">
        <w:rPr>
          <w:rFonts w:ascii="Arial" w:hAnsi="Arial" w:cs="Arial"/>
        </w:rPr>
        <w:t xml:space="preserve">countries. As a result of this recognition, countries have put in place formal systems to oversee entry into the profession, with the licensure examination serving as the main gatekeeping device to ensure that teacher candidates possess the appropriate competence to enter the profession. These assessments are not only </w:t>
      </w:r>
      <w:r>
        <w:rPr>
          <w:rFonts w:ascii="Arial" w:hAnsi="Arial" w:cs="Arial"/>
        </w:rPr>
        <w:t>part of the process but also a valuable reflection on how well teacher education programs have prepared</w:t>
      </w:r>
      <w:r w:rsidRPr="006F6972">
        <w:rPr>
          <w:rFonts w:ascii="Arial" w:hAnsi="Arial" w:cs="Arial"/>
        </w:rPr>
        <w:t xml:space="preserve"> their graduates to teach effectively in the classroom, as graduates are expected to have learned the knowledge and skills required to do so (Olvido et al., 2024). Thus, the outcome of the licensure examinations reflects not only the preparation of the candidates but also the quality of the institutions from which they were prepared.</w:t>
      </w:r>
    </w:p>
    <w:p w14:paraId="009F3A66"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 xml:space="preserve">The Licensure Examination for Teachers (LET) is the official and legally mandated qualifying examination for all those who wish to pursue the teaching profession in the Philippines. The administration of the LET is delegated to the Professional Regulation Commission and the Board for Professional Teachers under Republic Act No. 7836, or the Philippine Teachers Professionalization Act of 1994. The law was passed with the clear intent of ensuring and promoting quality </w:t>
      </w:r>
      <w:r w:rsidRPr="006F6972">
        <w:rPr>
          <w:rFonts w:ascii="Arial" w:hAnsi="Arial" w:cs="Arial"/>
        </w:rPr>
        <w:lastRenderedPageBreak/>
        <w:t xml:space="preserve">education </w:t>
      </w:r>
      <w:r>
        <w:rPr>
          <w:rFonts w:ascii="Arial" w:hAnsi="Arial" w:cs="Arial"/>
        </w:rPr>
        <w:t>by professionalizing the teaching profession and regulating</w:t>
      </w:r>
      <w:r w:rsidRPr="006F6972">
        <w:rPr>
          <w:rFonts w:ascii="Arial" w:hAnsi="Arial" w:cs="Arial"/>
        </w:rPr>
        <w:t xml:space="preserve"> teaching standards. The LET is a precondition for any person to enter the educational system at the elementary and secondary levels of learning, as provided under Republic Act No. 7836, 1994, which states that no one shall be allowed to teach in any public elementary or secondary educational institution without first obtaining a valid professional teacher's license.</w:t>
      </w:r>
    </w:p>
    <w:p w14:paraId="77901BB7"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 xml:space="preserve">Beyond the legislative mandate established by Republic Act No. 7836, the Commission on Higher Education has </w:t>
      </w:r>
      <w:r>
        <w:rPr>
          <w:rFonts w:ascii="Arial" w:hAnsi="Arial" w:cs="Arial"/>
        </w:rPr>
        <w:t>also strengthened its regulatory framework for quality assurance in teacher education programs nationwide</w:t>
      </w:r>
      <w:r w:rsidRPr="006F6972">
        <w:rPr>
          <w:rFonts w:ascii="Arial" w:hAnsi="Arial" w:cs="Arial"/>
        </w:rPr>
        <w:t xml:space="preserve">. CHED Memorandum Order No. 10, Series of 2024, establishes the quality assurance mechanisms that govern teacher education institutions by setting standards for evaluating institutional compliance and board performance as interrelated quality indicators. Under this framework, teacher education institutions are assessed based on the board performance of their first-time LET takers and on their degree of compliance with the minimum program standards prescribed by the relevant CMOs governing teacher education programs. Institutions that are consistently found to be underperforming in the licensure examination and non-compliant with CHED standards are subject to institutional interventions, which range from the provision of technical assistance to program phase-out in the most severe cases of sustained non-compliance (Commission on Higher Education, 2024). This regulatory development reinforced the urgency and significance of the present study, as the board performance of graduates is no longer merely an indicator of institutional quality but a determining factor in the continued authorization of </w:t>
      </w:r>
      <w:r w:rsidRPr="006F6972">
        <w:rPr>
          <w:rFonts w:ascii="Arial" w:hAnsi="Arial" w:cs="Arial"/>
        </w:rPr>
        <w:lastRenderedPageBreak/>
        <w:t>teacher education programs. Understanding the predictors of LET performance in a community college in Albay was therefore directly aligned with the institution's obligation to comply with CHED quality assurance standards and to continuously improve its licensure outcomes in successive examination cycles.</w:t>
      </w:r>
    </w:p>
    <w:p w14:paraId="6E843251" w14:textId="77777777" w:rsidR="001B225E" w:rsidRDefault="001B225E" w:rsidP="001B225E">
      <w:pPr>
        <w:spacing w:after="0" w:line="480" w:lineRule="auto"/>
        <w:ind w:firstLine="720"/>
        <w:jc w:val="both"/>
        <w:rPr>
          <w:rFonts w:ascii="Arial" w:hAnsi="Arial" w:cs="Arial"/>
        </w:rPr>
      </w:pPr>
      <w:r w:rsidRPr="006F6972">
        <w:rPr>
          <w:rFonts w:ascii="Arial" w:hAnsi="Arial" w:cs="Arial"/>
        </w:rPr>
        <w:t xml:space="preserve">Although the </w:t>
      </w:r>
      <w:r>
        <w:rPr>
          <w:rFonts w:ascii="Arial" w:hAnsi="Arial" w:cs="Arial"/>
        </w:rPr>
        <w:t>law focuses on teacher professionalization, there has been a long-standing concern about teachers' performance on</w:t>
      </w:r>
      <w:r w:rsidRPr="006F6972">
        <w:rPr>
          <w:rFonts w:ascii="Arial" w:hAnsi="Arial" w:cs="Arial"/>
        </w:rPr>
        <w:t xml:space="preserve"> the LET across various teacher education institutions in the Philippines. Nationally, elementary and secondary education graduates have consistently achieved below-satisfactory passing rates, and significant differences in passing rates have been found by region, institution type, and program classification. </w:t>
      </w:r>
      <w:proofErr w:type="spellStart"/>
      <w:r w:rsidRPr="006F6972">
        <w:rPr>
          <w:rFonts w:ascii="Arial" w:hAnsi="Arial" w:cs="Arial"/>
        </w:rPr>
        <w:t>Generelao</w:t>
      </w:r>
      <w:proofErr w:type="spellEnd"/>
      <w:r w:rsidRPr="006F6972">
        <w:rPr>
          <w:rFonts w:ascii="Arial" w:hAnsi="Arial" w:cs="Arial"/>
        </w:rPr>
        <w:t xml:space="preserve"> (2022) </w:t>
      </w:r>
      <w:r>
        <w:rPr>
          <w:rFonts w:ascii="Arial" w:hAnsi="Arial" w:cs="Arial"/>
        </w:rPr>
        <w:t>noted that small, less-resourced HEIs are overrepresented among low-performing institutions, and that many of these institutions have not been able to establish coherent, effective strategies to improve</w:t>
      </w:r>
      <w:r w:rsidRPr="006F6972">
        <w:rPr>
          <w:rFonts w:ascii="Arial" w:hAnsi="Arial" w:cs="Arial"/>
        </w:rPr>
        <w:t xml:space="preserve"> their licensure outcomes. </w:t>
      </w:r>
    </w:p>
    <w:p w14:paraId="608B35F3" w14:textId="77777777" w:rsidR="001B225E" w:rsidRDefault="001B225E" w:rsidP="001B225E">
      <w:pPr>
        <w:spacing w:after="0" w:line="480" w:lineRule="auto"/>
        <w:ind w:firstLine="720"/>
        <w:jc w:val="both"/>
        <w:rPr>
          <w:rFonts w:ascii="Arial" w:hAnsi="Arial" w:cs="Arial"/>
        </w:rPr>
      </w:pPr>
      <w:r w:rsidRPr="006F6972">
        <w:rPr>
          <w:rFonts w:ascii="Arial" w:hAnsi="Arial" w:cs="Arial"/>
        </w:rPr>
        <w:t>Consistent with Abao et al. (2023), the present study recognized that some teacher education institutions consistently produce students who perform very well on the licensure examination, while a significant number of students from the nation's teacher education institutions continue to fail to meet the minimum required passing score, which raises urgent concerns about the nature and level of pre-service preparation.</w:t>
      </w:r>
    </w:p>
    <w:p w14:paraId="57A1941A"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Community colleges occupy a unique place in the Philippines' teacher</w:t>
      </w:r>
      <w:r>
        <w:rPr>
          <w:rFonts w:ascii="Arial" w:hAnsi="Arial" w:cs="Arial"/>
        </w:rPr>
        <w:t xml:space="preserve"> </w:t>
      </w:r>
      <w:r w:rsidRPr="006F6972">
        <w:rPr>
          <w:rFonts w:ascii="Arial" w:hAnsi="Arial" w:cs="Arial"/>
        </w:rPr>
        <w:t>education system. They were created to offer affordable</w:t>
      </w:r>
      <w:r>
        <w:rPr>
          <w:rFonts w:ascii="Arial" w:hAnsi="Arial" w:cs="Arial"/>
        </w:rPr>
        <w:t>, accessible tertiary education to communities that may not have access to larger,</w:t>
      </w:r>
      <w:r w:rsidRPr="006F6972">
        <w:rPr>
          <w:rFonts w:ascii="Arial" w:hAnsi="Arial" w:cs="Arial"/>
        </w:rPr>
        <w:t xml:space="preserve"> better-resourced universities. Community colleges have now become the place where teachers </w:t>
      </w:r>
      <w:r>
        <w:rPr>
          <w:rFonts w:ascii="Arial" w:hAnsi="Arial" w:cs="Arial"/>
        </w:rPr>
        <w:t xml:space="preserve">are </w:t>
      </w:r>
      <w:r>
        <w:rPr>
          <w:rFonts w:ascii="Arial" w:hAnsi="Arial" w:cs="Arial"/>
        </w:rPr>
        <w:lastRenderedPageBreak/>
        <w:t xml:space="preserve">trained to meet the needs of local learners </w:t>
      </w:r>
      <w:r w:rsidRPr="006F6972">
        <w:rPr>
          <w:rFonts w:ascii="Arial" w:hAnsi="Arial" w:cs="Arial"/>
        </w:rPr>
        <w:t xml:space="preserve">in provinces like Albay. However, community colleges, which are often constrained by structure and resources, also pose a challenge to the quality of teacher preparation they can provide. In a community college in Bukidnon, </w:t>
      </w:r>
      <w:proofErr w:type="spellStart"/>
      <w:r w:rsidRPr="006F6972">
        <w:rPr>
          <w:rFonts w:ascii="Arial" w:hAnsi="Arial" w:cs="Arial"/>
        </w:rPr>
        <w:t>Camañero</w:t>
      </w:r>
      <w:proofErr w:type="spellEnd"/>
      <w:r w:rsidRPr="006F6972">
        <w:rPr>
          <w:rFonts w:ascii="Arial" w:hAnsi="Arial" w:cs="Arial"/>
        </w:rPr>
        <w:t xml:space="preserve"> et al. (2024) reported that the licensure examination performance of education graduates had been inconsistent, with passing rates fluctuating significantly from one examination cycle to the next, </w:t>
      </w:r>
      <w:r>
        <w:rPr>
          <w:rFonts w:ascii="Arial" w:hAnsi="Arial" w:cs="Arial"/>
        </w:rPr>
        <w:t xml:space="preserve">suggesting that not all community colleges adequately prepare students </w:t>
      </w:r>
      <w:r w:rsidRPr="006F6972">
        <w:rPr>
          <w:rFonts w:ascii="Arial" w:hAnsi="Arial" w:cs="Arial"/>
        </w:rPr>
        <w:t xml:space="preserve">for licensure. It is therefore an institutional and policy concern to understand </w:t>
      </w:r>
      <w:r>
        <w:rPr>
          <w:rFonts w:ascii="Arial" w:hAnsi="Arial" w:cs="Arial"/>
        </w:rPr>
        <w:t>the causes of</w:t>
      </w:r>
      <w:r w:rsidRPr="006F6972">
        <w:rPr>
          <w:rFonts w:ascii="Arial" w:hAnsi="Arial" w:cs="Arial"/>
        </w:rPr>
        <w:t xml:space="preserve"> these inconsistencies.</w:t>
      </w:r>
    </w:p>
    <w:p w14:paraId="6CBB87B4" w14:textId="77777777" w:rsidR="001B225E" w:rsidRDefault="001B225E" w:rsidP="001B225E">
      <w:pPr>
        <w:spacing w:after="0" w:line="480" w:lineRule="auto"/>
        <w:ind w:firstLine="720"/>
        <w:jc w:val="both"/>
        <w:rPr>
          <w:rFonts w:ascii="Arial" w:hAnsi="Arial" w:cs="Arial"/>
        </w:rPr>
      </w:pPr>
      <w:r w:rsidRPr="006F6972">
        <w:rPr>
          <w:rFonts w:ascii="Arial" w:hAnsi="Arial" w:cs="Arial"/>
        </w:rPr>
        <w:t xml:space="preserve">Academic achievement is one of the most consistently documented variables in the literature that is significant to LET performance. Research has shown that the grades education students receive during their college program are highly correlated with their performance on the licensure examination. </w:t>
      </w:r>
      <w:proofErr w:type="spellStart"/>
      <w:r w:rsidRPr="006F6972">
        <w:rPr>
          <w:rFonts w:ascii="Arial" w:hAnsi="Arial" w:cs="Arial"/>
        </w:rPr>
        <w:t>Amanonce</w:t>
      </w:r>
      <w:proofErr w:type="spellEnd"/>
      <w:r w:rsidRPr="006F6972">
        <w:rPr>
          <w:rFonts w:ascii="Arial" w:hAnsi="Arial" w:cs="Arial"/>
        </w:rPr>
        <w:t xml:space="preserve"> and Maramag (2020) conducted a study on 102 graduates of the bachelor's degree in elementary and secondary education of a state university in Cagayan Province, which showed a significant and strong correlation between the general weighted average of the graduates and their performance in the LET across the general education, professional education, and specialization components of the examination. This indicates that the quality of academic instruction and academic support throughout the program, not just in the last few months, is an important predictor of readiness for licensure, and that institutions should focus on the quality of their teaching and learning support throughout the entire program.</w:t>
      </w:r>
    </w:p>
    <w:p w14:paraId="7151F18F" w14:textId="77777777" w:rsidR="001B225E" w:rsidRPr="006F6972" w:rsidRDefault="001B225E" w:rsidP="001B225E">
      <w:pPr>
        <w:spacing w:after="0" w:line="480" w:lineRule="auto"/>
        <w:ind w:firstLine="720"/>
        <w:jc w:val="both"/>
        <w:rPr>
          <w:rFonts w:ascii="Arial" w:hAnsi="Arial" w:cs="Arial"/>
        </w:rPr>
      </w:pPr>
      <w:r>
        <w:rPr>
          <w:rFonts w:ascii="Arial" w:hAnsi="Arial" w:cs="Arial"/>
        </w:rPr>
        <w:t xml:space="preserve">In addition to academic achievement, the study approach taken by the </w:t>
      </w:r>
    </w:p>
    <w:p w14:paraId="6FACEDD0" w14:textId="77777777" w:rsidR="001B225E" w:rsidRPr="006F6972" w:rsidRDefault="001B225E" w:rsidP="001B225E">
      <w:pPr>
        <w:spacing w:after="0" w:line="480" w:lineRule="auto"/>
        <w:jc w:val="both"/>
        <w:rPr>
          <w:rFonts w:ascii="Arial" w:hAnsi="Arial" w:cs="Arial"/>
        </w:rPr>
      </w:pPr>
      <w:r w:rsidRPr="006F6972">
        <w:rPr>
          <w:rFonts w:ascii="Arial" w:hAnsi="Arial" w:cs="Arial"/>
        </w:rPr>
        <w:lastRenderedPageBreak/>
        <w:t xml:space="preserve">education graduates in college and for the LET has also been identified as a significant factor. Students' approaches to study time, review materials, practice tests, and monitoring their own progress in learning all affect their ultimate success on a high-stakes standardized examination. A study on concentration-related study habits conducted by Barcenas (2022) in Albay revealed that the study habits </w:t>
      </w:r>
      <w:r>
        <w:rPr>
          <w:rFonts w:ascii="Arial" w:hAnsi="Arial" w:cs="Arial"/>
        </w:rPr>
        <w:t>most strongly influencing</w:t>
      </w:r>
      <w:r w:rsidRPr="006F6972">
        <w:rPr>
          <w:rFonts w:ascii="Arial" w:hAnsi="Arial" w:cs="Arial"/>
        </w:rPr>
        <w:t xml:space="preserve"> students' academic performance were concentrating in class, regularly reviewing lessons, and studying in an orderly manner. Similarly, consistent engagement with LET reviewers, participation in mock examinations, and the use of a self-assessment approach have </w:t>
      </w:r>
      <w:r>
        <w:rPr>
          <w:rFonts w:ascii="Arial" w:hAnsi="Arial" w:cs="Arial"/>
        </w:rPr>
        <w:t>been associated with better LET results, and these activities are best undertaken over</w:t>
      </w:r>
      <w:r w:rsidRPr="006F6972">
        <w:rPr>
          <w:rFonts w:ascii="Arial" w:hAnsi="Arial" w:cs="Arial"/>
        </w:rPr>
        <w:t xml:space="preserve"> a gradual, extended timeframe rather than in a short preparatory period.</w:t>
      </w:r>
    </w:p>
    <w:p w14:paraId="582C2FEF" w14:textId="77777777" w:rsidR="001B225E" w:rsidRDefault="001B225E" w:rsidP="001B225E">
      <w:pPr>
        <w:spacing w:after="0" w:line="480" w:lineRule="auto"/>
        <w:ind w:firstLine="720"/>
        <w:jc w:val="both"/>
        <w:rPr>
          <w:rFonts w:ascii="Arial" w:hAnsi="Arial" w:cs="Arial"/>
        </w:rPr>
      </w:pPr>
      <w:r w:rsidRPr="006F6972">
        <w:rPr>
          <w:rFonts w:ascii="Arial" w:hAnsi="Arial" w:cs="Arial"/>
        </w:rPr>
        <w:t>Another factor identified by research as supporting education graduates' licensure readiness is institutional support from teacher education institutions. Institutional review programs, mentoring, academic advising, access to library and learning resources, and counseling for test anxiety are all components of an ecosystem of support that can enhance a student's readiness for the LET. Fiscal and Roman (2022) found that pre-LET assessments conducted by institutions have predictive validity for LET results, especially when constructed with fidelity to the format and content domains of the actual LET. Their findings indicate that the quality and comprehensiveness of institutionally organized review and preparatory interventions are important, and that students who receive structured institutional support are more likely to succeed than those who do not.</w:t>
      </w:r>
    </w:p>
    <w:p w14:paraId="3237C8E7" w14:textId="77777777" w:rsidR="001B225E" w:rsidRPr="006F6972" w:rsidRDefault="001B225E" w:rsidP="001B225E">
      <w:pPr>
        <w:spacing w:after="0" w:line="480" w:lineRule="auto"/>
        <w:ind w:firstLine="720"/>
        <w:jc w:val="both"/>
        <w:rPr>
          <w:rFonts w:ascii="Arial" w:hAnsi="Arial" w:cs="Arial"/>
        </w:rPr>
      </w:pPr>
      <w:r>
        <w:rPr>
          <w:rFonts w:ascii="Arial" w:hAnsi="Arial" w:cs="Arial"/>
        </w:rPr>
        <w:t>Under this background, the present study was conducted in a community</w:t>
      </w:r>
    </w:p>
    <w:p w14:paraId="21232108" w14:textId="77777777" w:rsidR="001B225E" w:rsidRPr="006F6972" w:rsidRDefault="001B225E" w:rsidP="001B225E">
      <w:pPr>
        <w:spacing w:after="0" w:line="480" w:lineRule="auto"/>
        <w:jc w:val="both"/>
        <w:rPr>
          <w:rFonts w:ascii="Arial" w:hAnsi="Arial" w:cs="Arial"/>
        </w:rPr>
      </w:pPr>
      <w:r w:rsidRPr="006F6972">
        <w:rPr>
          <w:rFonts w:ascii="Arial" w:hAnsi="Arial" w:cs="Arial"/>
        </w:rPr>
        <w:lastRenderedPageBreak/>
        <w:t xml:space="preserve">college in Albay. While licensure performance is known to be a good measure of institutional quality and teacher readiness, there was a lack of comprehensive evidence on what specifically </w:t>
      </w:r>
      <w:r>
        <w:rPr>
          <w:rFonts w:ascii="Arial" w:hAnsi="Arial" w:cs="Arial"/>
        </w:rPr>
        <w:t xml:space="preserve">drives LET outcomes at this </w:t>
      </w:r>
      <w:r w:rsidRPr="006F6972">
        <w:rPr>
          <w:rFonts w:ascii="Arial" w:hAnsi="Arial" w:cs="Arial"/>
        </w:rPr>
        <w:t>institution. The profile of LET takers, their academic performance, study habits, review preparation practices, and levels of institutional support had not been comprehensively examined as combined predictors of LET outcomes within this specific institutional setting. This study</w:t>
      </w:r>
      <w:r>
        <w:rPr>
          <w:rFonts w:ascii="Arial" w:hAnsi="Arial" w:cs="Arial"/>
        </w:rPr>
        <w:t>, therefore, aimed to fill this gap by identifying which of these variables significantly predicted performance on the LET among community college graduates</w:t>
      </w:r>
      <w:r w:rsidRPr="006F6972">
        <w:rPr>
          <w:rFonts w:ascii="Arial" w:hAnsi="Arial" w:cs="Arial"/>
        </w:rPr>
        <w:t>. The findings of the study served as the basis for the development of an intervention program designed to enhance the institution's support for its education graduates and improve its licensure outcomes in future examination cycles.</w:t>
      </w:r>
    </w:p>
    <w:p w14:paraId="5BB704F3" w14:textId="77777777" w:rsidR="001B225E" w:rsidRPr="006F6972" w:rsidRDefault="001B225E" w:rsidP="001B225E">
      <w:pPr>
        <w:spacing w:after="0" w:line="480" w:lineRule="auto"/>
        <w:rPr>
          <w:rFonts w:ascii="Arial" w:hAnsi="Arial" w:cs="Arial"/>
          <w:b/>
          <w:bCs/>
        </w:rPr>
      </w:pPr>
      <w:r w:rsidRPr="006F6972">
        <w:rPr>
          <w:rFonts w:ascii="Arial" w:hAnsi="Arial" w:cs="Arial"/>
          <w:b/>
          <w:bCs/>
        </w:rPr>
        <w:t xml:space="preserve">Theoretical Framework </w:t>
      </w:r>
    </w:p>
    <w:p w14:paraId="1745BE57" w14:textId="77777777" w:rsidR="001B225E" w:rsidRDefault="001B225E" w:rsidP="001B225E">
      <w:pPr>
        <w:spacing w:after="0" w:line="480" w:lineRule="auto"/>
        <w:ind w:firstLine="720"/>
        <w:jc w:val="both"/>
        <w:rPr>
          <w:rFonts w:ascii="Arial" w:hAnsi="Arial" w:cs="Arial"/>
        </w:rPr>
      </w:pPr>
      <w:r>
        <w:rPr>
          <w:rFonts w:ascii="Arial" w:hAnsi="Arial" w:cs="Arial"/>
        </w:rPr>
        <w:t xml:space="preserve">This </w:t>
      </w:r>
      <w:r w:rsidRPr="006F6972">
        <w:rPr>
          <w:rFonts w:ascii="Arial" w:hAnsi="Arial" w:cs="Arial"/>
        </w:rPr>
        <w:t>study was grounded in four established theories that collectively explain the factors influencing performance in the Licensure Examination for Teachers (LET)</w:t>
      </w:r>
      <w:r>
        <w:rPr>
          <w:rFonts w:ascii="Arial" w:hAnsi="Arial" w:cs="Arial"/>
        </w:rPr>
        <w:t xml:space="preserve"> namely: </w:t>
      </w:r>
      <w:r w:rsidRPr="007B4F6D">
        <w:rPr>
          <w:rFonts w:ascii="Arial" w:hAnsi="Arial" w:cs="Arial"/>
          <w:b/>
          <w:bCs/>
        </w:rPr>
        <w:t>Human Capital Theory</w:t>
      </w:r>
      <w:r>
        <w:rPr>
          <w:rFonts w:ascii="Arial" w:hAnsi="Arial" w:cs="Arial"/>
        </w:rPr>
        <w:t xml:space="preserve"> (Becker, 1964), </w:t>
      </w:r>
      <w:r w:rsidRPr="007B4F6D">
        <w:rPr>
          <w:rFonts w:ascii="Arial" w:hAnsi="Arial" w:cs="Arial"/>
          <w:b/>
          <w:bCs/>
        </w:rPr>
        <w:t>Self-Efficacy Theory</w:t>
      </w:r>
      <w:r>
        <w:rPr>
          <w:rFonts w:ascii="Arial" w:hAnsi="Arial" w:cs="Arial"/>
        </w:rPr>
        <w:t xml:space="preserve"> </w:t>
      </w:r>
      <w:r w:rsidRPr="006F6972">
        <w:rPr>
          <w:rFonts w:ascii="Arial" w:hAnsi="Arial" w:cs="Arial"/>
        </w:rPr>
        <w:t>by Bandura (1977)</w:t>
      </w:r>
      <w:r>
        <w:rPr>
          <w:rFonts w:ascii="Arial" w:hAnsi="Arial" w:cs="Arial"/>
        </w:rPr>
        <w:t xml:space="preserve">, </w:t>
      </w:r>
      <w:r w:rsidRPr="007B4F6D">
        <w:rPr>
          <w:rFonts w:ascii="Arial" w:hAnsi="Arial" w:cs="Arial"/>
          <w:b/>
          <w:bCs/>
        </w:rPr>
        <w:t>Cognitive Load Theory</w:t>
      </w:r>
      <w:r>
        <w:rPr>
          <w:rFonts w:ascii="Arial" w:hAnsi="Arial" w:cs="Arial"/>
        </w:rPr>
        <w:t xml:space="preserve"> by </w:t>
      </w:r>
      <w:proofErr w:type="spellStart"/>
      <w:r w:rsidRPr="006F6972">
        <w:rPr>
          <w:rFonts w:ascii="Arial" w:hAnsi="Arial" w:cs="Arial"/>
        </w:rPr>
        <w:t>Sweller</w:t>
      </w:r>
      <w:proofErr w:type="spellEnd"/>
      <w:r w:rsidRPr="006F6972">
        <w:rPr>
          <w:rFonts w:ascii="Arial" w:hAnsi="Arial" w:cs="Arial"/>
        </w:rPr>
        <w:t xml:space="preserve"> (1988)</w:t>
      </w:r>
      <w:r>
        <w:rPr>
          <w:rFonts w:ascii="Arial" w:hAnsi="Arial" w:cs="Arial"/>
        </w:rPr>
        <w:t xml:space="preserve">, and </w:t>
      </w:r>
      <w:r w:rsidRPr="007B4F6D">
        <w:rPr>
          <w:rFonts w:ascii="Arial" w:hAnsi="Arial" w:cs="Arial"/>
          <w:b/>
          <w:bCs/>
        </w:rPr>
        <w:t>Student Integration Theory</w:t>
      </w:r>
      <w:r>
        <w:rPr>
          <w:rFonts w:ascii="Arial" w:hAnsi="Arial" w:cs="Arial"/>
        </w:rPr>
        <w:t xml:space="preserve"> by Tinto (1975).  </w:t>
      </w:r>
    </w:p>
    <w:p w14:paraId="69A3BDD6" w14:textId="77777777" w:rsidR="001B225E" w:rsidRDefault="001B225E" w:rsidP="001B225E">
      <w:pPr>
        <w:spacing w:after="0" w:line="480" w:lineRule="auto"/>
        <w:ind w:firstLine="720"/>
        <w:jc w:val="both"/>
        <w:rPr>
          <w:rFonts w:ascii="Arial" w:hAnsi="Arial" w:cs="Arial"/>
        </w:rPr>
      </w:pPr>
      <w:r>
        <w:rPr>
          <w:rFonts w:ascii="Arial" w:hAnsi="Arial" w:cs="Arial"/>
        </w:rPr>
        <w:t>T</w:t>
      </w:r>
      <w:r w:rsidRPr="006F6972">
        <w:rPr>
          <w:rFonts w:ascii="Arial" w:hAnsi="Arial" w:cs="Arial"/>
        </w:rPr>
        <w:t>ogether, these theories formed the basis for the Readiness and Resilience Integration Theory, a synthesis proposed by the researcher and anchored on the four foundational theories, to provide a more comprehensive explanation of LET performance outcomes.</w:t>
      </w:r>
      <w:r>
        <w:rPr>
          <w:rFonts w:ascii="Arial" w:hAnsi="Arial" w:cs="Arial"/>
        </w:rPr>
        <w:t xml:space="preserve"> </w:t>
      </w:r>
      <w:r w:rsidRPr="006F6972">
        <w:rPr>
          <w:rFonts w:ascii="Arial" w:hAnsi="Arial" w:cs="Arial"/>
        </w:rPr>
        <w:t>Becker (1964) developed Human Capital Theory, whic</w:t>
      </w:r>
      <w:r>
        <w:rPr>
          <w:rFonts w:ascii="Arial" w:hAnsi="Arial" w:cs="Arial"/>
        </w:rPr>
        <w:t xml:space="preserve">h </w:t>
      </w:r>
    </w:p>
    <w:p w14:paraId="49B6975A" w14:textId="77777777" w:rsidR="001B225E" w:rsidRDefault="001B225E" w:rsidP="001B225E">
      <w:pPr>
        <w:spacing w:line="480" w:lineRule="auto"/>
        <w:ind w:firstLine="720"/>
        <w:jc w:val="both"/>
        <w:rPr>
          <w:rFonts w:ascii="Arial" w:hAnsi="Arial" w:cs="Arial"/>
        </w:rPr>
      </w:pPr>
    </w:p>
    <w:p w14:paraId="7CD94503" w14:textId="77777777" w:rsidR="001B225E" w:rsidRDefault="001B225E" w:rsidP="001B225E">
      <w:pPr>
        <w:spacing w:line="480" w:lineRule="auto"/>
        <w:ind w:firstLine="720"/>
        <w:jc w:val="both"/>
        <w:rPr>
          <w:rFonts w:ascii="Arial" w:hAnsi="Arial" w:cs="Arial"/>
        </w:rPr>
      </w:pPr>
      <w:r>
        <w:rPr>
          <w:rFonts w:ascii="Arial" w:hAnsi="Arial" w:cs="Arial"/>
          <w:noProof/>
        </w:rPr>
        <w:lastRenderedPageBreak/>
        <w:drawing>
          <wp:anchor distT="0" distB="0" distL="114300" distR="114300" simplePos="0" relativeHeight="251683840" behindDoc="1" locked="0" layoutInCell="1" allowOverlap="1" wp14:anchorId="366B865E" wp14:editId="560EA6C1">
            <wp:simplePos x="0" y="0"/>
            <wp:positionH relativeFrom="column">
              <wp:posOffset>128872</wp:posOffset>
            </wp:positionH>
            <wp:positionV relativeFrom="paragraph">
              <wp:posOffset>15039</wp:posOffset>
            </wp:positionV>
            <wp:extent cx="5253926" cy="7031218"/>
            <wp:effectExtent l="0" t="0" r="4445" b="5080"/>
            <wp:wrapNone/>
            <wp:docPr id="15020758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075869" name="Picture 1502075869"/>
                    <pic:cNvPicPr/>
                  </pic:nvPicPr>
                  <pic:blipFill>
                    <a:blip r:embed="rId7">
                      <a:extLst>
                        <a:ext uri="{28A0092B-C50C-407E-A947-70E740481C1C}">
                          <a14:useLocalDpi xmlns:a14="http://schemas.microsoft.com/office/drawing/2010/main" val="0"/>
                        </a:ext>
                      </a:extLst>
                    </a:blip>
                    <a:stretch>
                      <a:fillRect/>
                    </a:stretch>
                  </pic:blipFill>
                  <pic:spPr>
                    <a:xfrm>
                      <a:off x="0" y="0"/>
                      <a:ext cx="5253926" cy="7031218"/>
                    </a:xfrm>
                    <a:prstGeom prst="rect">
                      <a:avLst/>
                    </a:prstGeom>
                  </pic:spPr>
                </pic:pic>
              </a:graphicData>
            </a:graphic>
            <wp14:sizeRelH relativeFrom="page">
              <wp14:pctWidth>0</wp14:pctWidth>
            </wp14:sizeRelH>
            <wp14:sizeRelV relativeFrom="page">
              <wp14:pctHeight>0</wp14:pctHeight>
            </wp14:sizeRelV>
          </wp:anchor>
        </w:drawing>
      </w:r>
    </w:p>
    <w:p w14:paraId="363984D1" w14:textId="77777777" w:rsidR="001B225E" w:rsidRDefault="001B225E" w:rsidP="001B225E">
      <w:pPr>
        <w:spacing w:line="480" w:lineRule="auto"/>
        <w:ind w:firstLine="720"/>
        <w:jc w:val="both"/>
        <w:rPr>
          <w:rFonts w:ascii="Arial" w:hAnsi="Arial" w:cs="Arial"/>
        </w:rPr>
      </w:pPr>
    </w:p>
    <w:p w14:paraId="57A92203" w14:textId="77777777" w:rsidR="001B225E" w:rsidRDefault="001B225E" w:rsidP="001B225E">
      <w:pPr>
        <w:spacing w:line="480" w:lineRule="auto"/>
        <w:ind w:firstLine="720"/>
        <w:jc w:val="both"/>
        <w:rPr>
          <w:rFonts w:ascii="Arial" w:hAnsi="Arial" w:cs="Arial"/>
        </w:rPr>
      </w:pPr>
    </w:p>
    <w:p w14:paraId="0E8AB000" w14:textId="77777777" w:rsidR="001B225E" w:rsidRDefault="001B225E" w:rsidP="001B225E">
      <w:pPr>
        <w:spacing w:line="480" w:lineRule="auto"/>
        <w:ind w:firstLine="720"/>
        <w:jc w:val="both"/>
        <w:rPr>
          <w:rFonts w:ascii="Arial" w:hAnsi="Arial" w:cs="Arial"/>
        </w:rPr>
      </w:pPr>
    </w:p>
    <w:p w14:paraId="798E9A7B" w14:textId="77777777" w:rsidR="001B225E" w:rsidRDefault="001B225E" w:rsidP="001B225E">
      <w:pPr>
        <w:spacing w:line="480" w:lineRule="auto"/>
        <w:ind w:firstLine="720"/>
        <w:jc w:val="both"/>
        <w:rPr>
          <w:rFonts w:ascii="Arial" w:hAnsi="Arial" w:cs="Arial"/>
        </w:rPr>
      </w:pPr>
    </w:p>
    <w:p w14:paraId="6EC96082" w14:textId="77777777" w:rsidR="001B225E" w:rsidRDefault="001B225E" w:rsidP="001B225E">
      <w:pPr>
        <w:spacing w:line="480" w:lineRule="auto"/>
        <w:ind w:firstLine="720"/>
        <w:jc w:val="both"/>
        <w:rPr>
          <w:rFonts w:ascii="Arial" w:hAnsi="Arial" w:cs="Arial"/>
        </w:rPr>
      </w:pPr>
    </w:p>
    <w:p w14:paraId="3E8856C9" w14:textId="77777777" w:rsidR="001B225E" w:rsidRDefault="001B225E" w:rsidP="001B225E">
      <w:pPr>
        <w:spacing w:line="480" w:lineRule="auto"/>
        <w:ind w:firstLine="720"/>
        <w:jc w:val="both"/>
        <w:rPr>
          <w:rFonts w:ascii="Arial" w:hAnsi="Arial" w:cs="Arial"/>
        </w:rPr>
      </w:pPr>
    </w:p>
    <w:p w14:paraId="0F7624BB" w14:textId="77777777" w:rsidR="001B225E" w:rsidRDefault="001B225E" w:rsidP="001B225E">
      <w:pPr>
        <w:spacing w:line="480" w:lineRule="auto"/>
        <w:ind w:firstLine="720"/>
        <w:jc w:val="both"/>
        <w:rPr>
          <w:rFonts w:ascii="Arial" w:hAnsi="Arial" w:cs="Arial"/>
        </w:rPr>
      </w:pPr>
    </w:p>
    <w:p w14:paraId="426BC6E4" w14:textId="77777777" w:rsidR="001B225E" w:rsidRDefault="001B225E" w:rsidP="001B225E">
      <w:pPr>
        <w:spacing w:line="480" w:lineRule="auto"/>
        <w:ind w:firstLine="720"/>
        <w:jc w:val="both"/>
        <w:rPr>
          <w:rFonts w:ascii="Arial" w:hAnsi="Arial" w:cs="Arial"/>
        </w:rPr>
      </w:pPr>
    </w:p>
    <w:p w14:paraId="3BB9F211" w14:textId="77777777" w:rsidR="001B225E" w:rsidRDefault="001B225E" w:rsidP="001B225E">
      <w:pPr>
        <w:spacing w:line="480" w:lineRule="auto"/>
        <w:ind w:firstLine="720"/>
        <w:jc w:val="both"/>
        <w:rPr>
          <w:rFonts w:ascii="Arial" w:hAnsi="Arial" w:cs="Arial"/>
        </w:rPr>
      </w:pPr>
    </w:p>
    <w:p w14:paraId="67885CD3" w14:textId="77777777" w:rsidR="001B225E" w:rsidRDefault="001B225E" w:rsidP="001B225E">
      <w:pPr>
        <w:spacing w:line="480" w:lineRule="auto"/>
        <w:ind w:firstLine="720"/>
        <w:jc w:val="both"/>
        <w:rPr>
          <w:rFonts w:ascii="Arial" w:hAnsi="Arial" w:cs="Arial"/>
        </w:rPr>
      </w:pPr>
    </w:p>
    <w:p w14:paraId="755E0502" w14:textId="77777777" w:rsidR="001B225E" w:rsidRDefault="001B225E" w:rsidP="001B225E">
      <w:pPr>
        <w:spacing w:line="480" w:lineRule="auto"/>
        <w:ind w:firstLine="720"/>
        <w:jc w:val="both"/>
        <w:rPr>
          <w:rFonts w:ascii="Arial" w:hAnsi="Arial" w:cs="Arial"/>
        </w:rPr>
      </w:pPr>
    </w:p>
    <w:p w14:paraId="32F30F52" w14:textId="77777777" w:rsidR="001B225E" w:rsidRDefault="001B225E" w:rsidP="001B225E">
      <w:pPr>
        <w:spacing w:line="480" w:lineRule="auto"/>
        <w:ind w:firstLine="720"/>
        <w:jc w:val="both"/>
        <w:rPr>
          <w:rFonts w:ascii="Arial" w:hAnsi="Arial" w:cs="Arial"/>
        </w:rPr>
      </w:pPr>
    </w:p>
    <w:p w14:paraId="319F7E5A" w14:textId="77777777" w:rsidR="001B225E" w:rsidRDefault="001B225E" w:rsidP="001B225E">
      <w:pPr>
        <w:spacing w:line="480" w:lineRule="auto"/>
        <w:ind w:firstLine="720"/>
        <w:jc w:val="both"/>
        <w:rPr>
          <w:rFonts w:ascii="Arial" w:hAnsi="Arial" w:cs="Arial"/>
        </w:rPr>
      </w:pPr>
    </w:p>
    <w:p w14:paraId="4EBF1A10" w14:textId="77777777" w:rsidR="001B225E" w:rsidRDefault="001B225E" w:rsidP="001B225E">
      <w:pPr>
        <w:spacing w:line="480" w:lineRule="auto"/>
        <w:ind w:firstLine="720"/>
        <w:jc w:val="both"/>
        <w:rPr>
          <w:rFonts w:ascii="Arial" w:hAnsi="Arial" w:cs="Arial"/>
        </w:rPr>
      </w:pPr>
    </w:p>
    <w:p w14:paraId="1457A9B6" w14:textId="77777777" w:rsidR="001B225E" w:rsidRDefault="001B225E" w:rsidP="001B225E">
      <w:pPr>
        <w:spacing w:line="480" w:lineRule="auto"/>
        <w:ind w:firstLine="720"/>
        <w:jc w:val="both"/>
        <w:rPr>
          <w:rFonts w:ascii="Arial" w:hAnsi="Arial" w:cs="Arial"/>
        </w:rPr>
      </w:pPr>
    </w:p>
    <w:p w14:paraId="0216730D" w14:textId="77777777" w:rsidR="001B225E" w:rsidRPr="004078D4" w:rsidRDefault="001B225E" w:rsidP="001B225E">
      <w:pPr>
        <w:spacing w:line="240" w:lineRule="auto"/>
        <w:jc w:val="center"/>
        <w:rPr>
          <w:rFonts w:ascii="Arial" w:eastAsia="Arial" w:hAnsi="Arial" w:cs="Arial"/>
        </w:rPr>
      </w:pPr>
      <w:r w:rsidRPr="004078D4">
        <w:rPr>
          <w:rFonts w:ascii="Arial" w:eastAsia="Arial" w:hAnsi="Arial" w:cs="Arial"/>
        </w:rPr>
        <w:t>Figure 1</w:t>
      </w:r>
    </w:p>
    <w:p w14:paraId="32487B96" w14:textId="77777777" w:rsidR="001B225E" w:rsidRPr="00057321" w:rsidRDefault="001B225E" w:rsidP="001B225E">
      <w:pPr>
        <w:spacing w:line="240" w:lineRule="auto"/>
        <w:jc w:val="center"/>
        <w:rPr>
          <w:rFonts w:ascii="Arial" w:eastAsia="Arial" w:hAnsi="Arial" w:cs="Arial"/>
          <w:b/>
          <w:bCs/>
        </w:rPr>
      </w:pPr>
      <w:r w:rsidRPr="006F6972">
        <w:rPr>
          <w:rFonts w:ascii="Arial" w:eastAsia="Arial" w:hAnsi="Arial" w:cs="Arial"/>
          <w:b/>
          <w:bCs/>
        </w:rPr>
        <w:t>THEORETICAL PARADIGM</w:t>
      </w:r>
    </w:p>
    <w:p w14:paraId="21B9F660" w14:textId="77777777" w:rsidR="001B225E" w:rsidRDefault="001B225E" w:rsidP="001B225E">
      <w:pPr>
        <w:spacing w:line="480" w:lineRule="auto"/>
        <w:ind w:firstLine="720"/>
        <w:jc w:val="both"/>
        <w:rPr>
          <w:rFonts w:ascii="Arial" w:hAnsi="Arial" w:cs="Arial"/>
        </w:rPr>
      </w:pPr>
    </w:p>
    <w:p w14:paraId="762D72ED" w14:textId="77777777" w:rsidR="001B225E" w:rsidRPr="006F6972" w:rsidRDefault="001B225E" w:rsidP="001B225E">
      <w:pPr>
        <w:spacing w:after="0" w:line="480" w:lineRule="auto"/>
        <w:jc w:val="both"/>
        <w:rPr>
          <w:rFonts w:ascii="Arial" w:hAnsi="Arial" w:cs="Arial"/>
        </w:rPr>
      </w:pPr>
      <w:r w:rsidRPr="006F6972">
        <w:rPr>
          <w:rFonts w:ascii="Arial" w:hAnsi="Arial" w:cs="Arial"/>
        </w:rPr>
        <w:lastRenderedPageBreak/>
        <w:t xml:space="preserve">provided the </w:t>
      </w:r>
      <w:r>
        <w:rPr>
          <w:rFonts w:ascii="Arial" w:hAnsi="Arial" w:cs="Arial"/>
        </w:rPr>
        <w:t xml:space="preserve">study's basic economic context </w:t>
      </w:r>
      <w:r w:rsidRPr="006F6972">
        <w:rPr>
          <w:rFonts w:ascii="Arial" w:hAnsi="Arial" w:cs="Arial"/>
        </w:rPr>
        <w:t xml:space="preserve">and argued that investments in education and training are cumulative and yield productive benefits for the individual and society. </w:t>
      </w:r>
    </w:p>
    <w:p w14:paraId="489ED4D3" w14:textId="77777777" w:rsidR="001B225E" w:rsidRDefault="001B225E" w:rsidP="001B225E">
      <w:pPr>
        <w:spacing w:after="0" w:line="480" w:lineRule="auto"/>
        <w:ind w:firstLine="720"/>
        <w:jc w:val="both"/>
        <w:rPr>
          <w:rFonts w:ascii="Arial" w:hAnsi="Arial" w:cs="Arial"/>
        </w:rPr>
      </w:pPr>
      <w:r w:rsidRPr="006F6972">
        <w:rPr>
          <w:rFonts w:ascii="Arial" w:hAnsi="Arial" w:cs="Arial"/>
        </w:rPr>
        <w:t xml:space="preserve">The academic achievement of the LET takers in this study, as measured by their general weighted average, general education average, professional education average, major or specialization average, and teaching internship grade, represented the sum of the returns on the educational investment of the student and the institution over the years. A student who demonstrated a consistent level of performance across these areas of the curriculum had, in essence, accumulated a significant amount of professional knowledge and pedagogical competence </w:t>
      </w:r>
      <w:r>
        <w:rPr>
          <w:rFonts w:ascii="Arial" w:hAnsi="Arial" w:cs="Arial"/>
        </w:rPr>
        <w:t>directly related to licensure preparation</w:t>
      </w:r>
      <w:r w:rsidRPr="006F6972">
        <w:rPr>
          <w:rFonts w:ascii="Arial" w:hAnsi="Arial" w:cs="Arial"/>
        </w:rPr>
        <w:t xml:space="preserve">. The theory rests on the assumption that the quality of academic inputs during the college program is not incidental but a basic determinant of a graduate's success in the LET (Becker, 1964). </w:t>
      </w:r>
    </w:p>
    <w:p w14:paraId="10577DB2"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 xml:space="preserve">The continued relevance of Human Capital Theory in the context of teacher licensure has been affirmed by recent empirical studies. </w:t>
      </w:r>
      <w:proofErr w:type="spellStart"/>
      <w:r w:rsidRPr="006F6972">
        <w:rPr>
          <w:rFonts w:ascii="Arial" w:hAnsi="Arial" w:cs="Arial"/>
        </w:rPr>
        <w:t>Repayo</w:t>
      </w:r>
      <w:proofErr w:type="spellEnd"/>
      <w:r w:rsidRPr="006F6972">
        <w:rPr>
          <w:rFonts w:ascii="Arial" w:hAnsi="Arial" w:cs="Arial"/>
        </w:rPr>
        <w:t xml:space="preserve"> et al. (2025) applied this theoretical lens </w:t>
      </w:r>
      <w:r>
        <w:rPr>
          <w:rFonts w:ascii="Arial" w:hAnsi="Arial" w:cs="Arial"/>
        </w:rPr>
        <w:t xml:space="preserve">to examine the academic records of </w:t>
      </w:r>
      <w:proofErr w:type="spellStart"/>
      <w:r>
        <w:rPr>
          <w:rFonts w:ascii="Arial" w:hAnsi="Arial" w:cs="Arial"/>
        </w:rPr>
        <w:t>BSEd</w:t>
      </w:r>
      <w:proofErr w:type="spellEnd"/>
      <w:r>
        <w:rPr>
          <w:rFonts w:ascii="Arial" w:hAnsi="Arial" w:cs="Arial"/>
        </w:rPr>
        <w:t xml:space="preserve"> graduates and confirmed that cumulative academic investments throughout the teacher education program serve as significant predictors of licensure outcomes, demonstrating that returns on academic investment are measurable in terms</w:t>
      </w:r>
      <w:r w:rsidRPr="006F6972">
        <w:rPr>
          <w:rFonts w:ascii="Arial" w:hAnsi="Arial" w:cs="Arial"/>
        </w:rPr>
        <w:t xml:space="preserve"> of board performance. Similarly, </w:t>
      </w:r>
      <w:proofErr w:type="spellStart"/>
      <w:r w:rsidRPr="006F6972">
        <w:rPr>
          <w:rFonts w:ascii="Arial" w:hAnsi="Arial" w:cs="Arial"/>
        </w:rPr>
        <w:t>Camarista</w:t>
      </w:r>
      <w:proofErr w:type="spellEnd"/>
      <w:r w:rsidRPr="006F6972">
        <w:rPr>
          <w:rFonts w:ascii="Arial" w:hAnsi="Arial" w:cs="Arial"/>
        </w:rPr>
        <w:t xml:space="preserve"> et al. (2025) demonstrated that the general weighted average, as a direct measure of sustained academic effort over the entire duration of the teacher education program, is a strong and consistent </w:t>
      </w:r>
      <w:r w:rsidRPr="006F6972">
        <w:rPr>
          <w:rFonts w:ascii="Arial" w:hAnsi="Arial" w:cs="Arial"/>
        </w:rPr>
        <w:lastRenderedPageBreak/>
        <w:t>predictor of board performance in Philippine teacher education institutions, reinforcing the enduring applicability of Human Capital Theory to the study of licensure readiness.</w:t>
      </w:r>
    </w:p>
    <w:p w14:paraId="077DBD61" w14:textId="77777777" w:rsidR="001B225E" w:rsidRDefault="001B225E" w:rsidP="001B225E">
      <w:pPr>
        <w:spacing w:after="0" w:line="480" w:lineRule="auto"/>
        <w:ind w:firstLine="720"/>
        <w:jc w:val="both"/>
        <w:rPr>
          <w:rFonts w:ascii="Arial" w:hAnsi="Arial" w:cs="Arial"/>
        </w:rPr>
      </w:pPr>
      <w:r w:rsidRPr="006F6972">
        <w:rPr>
          <w:rFonts w:ascii="Arial" w:hAnsi="Arial" w:cs="Arial"/>
        </w:rPr>
        <w:t xml:space="preserve">Self-Efficacy Theory, as developed by Bandura (1977), built on the economic base provided by Human Capital Theory by adding the psychological dimension of performance based on the individual's belief in their ability to perform a specific task. In the context of LET preparation, a student with a strong sense of self-efficacy was more likely to be consistent and disciplined with study habits, to review subject areas where confidence was low, and to take the examination with confidence rather than anxiety. The study habits and review preparation behaviors examined in this research, namely the frequency of study schedules, the frequency of using practice examinations, the frequency of engaging with review material, and the frequency of attending institutional review sessions, are behaviors that are activated and maintained by the extent to which LET takers believe they can meet the demands of licensure. </w:t>
      </w:r>
    </w:p>
    <w:p w14:paraId="7DD6F00D"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 xml:space="preserve">Bandura (1977) argued that self-efficacy is not a fixed trait but is shaped by experience, feedback, and the conditions of the learning environment, which means that institutional support provided to LET takers can actively strengthen or weaken their self-efficacy and, by extension, the quality of their preparatory behaviors. The continuing relevance of this theory to licensure preparation has been demonstrated in recent research. </w:t>
      </w:r>
      <w:proofErr w:type="spellStart"/>
      <w:r w:rsidRPr="006F6972">
        <w:rPr>
          <w:rFonts w:ascii="Arial" w:hAnsi="Arial" w:cs="Arial"/>
        </w:rPr>
        <w:t>Guardario</w:t>
      </w:r>
      <w:proofErr w:type="spellEnd"/>
      <w:r w:rsidRPr="006F6972">
        <w:rPr>
          <w:rFonts w:ascii="Arial" w:hAnsi="Arial" w:cs="Arial"/>
        </w:rPr>
        <w:t xml:space="preserve"> et al. (2024) found that the motivational and behavioral dispositions of LET takers, shaped by their perceived capability and expectancy of success, were significantly associated with licensure </w:t>
      </w:r>
      <w:r w:rsidRPr="006F6972">
        <w:rPr>
          <w:rFonts w:ascii="Arial" w:hAnsi="Arial" w:cs="Arial"/>
        </w:rPr>
        <w:lastRenderedPageBreak/>
        <w:t xml:space="preserve">performance outcomes, with examinees who reported higher levels of confidence and social support exhibiting more disciplined review preparation behaviors consistent with Bandura's foundational proposition. </w:t>
      </w:r>
      <w:proofErr w:type="spellStart"/>
      <w:r w:rsidRPr="006F6972">
        <w:rPr>
          <w:rFonts w:ascii="Arial" w:hAnsi="Arial" w:cs="Arial"/>
        </w:rPr>
        <w:t>Dionio</w:t>
      </w:r>
      <w:proofErr w:type="spellEnd"/>
      <w:r w:rsidRPr="006F6972">
        <w:rPr>
          <w:rFonts w:ascii="Arial" w:hAnsi="Arial" w:cs="Arial"/>
        </w:rPr>
        <w:t xml:space="preserve"> et al. (2025) similarly found that performance in practicum and other field-based assessments, domains closely linked to the student's developing sense of professional competence, contributed significantly to LET readiness, further confirming that self-efficacy-driven behavioral engagement remains a relevant and empirically supported construct in understanding licensure preparation.</w:t>
      </w:r>
    </w:p>
    <w:p w14:paraId="39C41D4E" w14:textId="77777777" w:rsidR="001B225E" w:rsidRDefault="001B225E" w:rsidP="001B225E">
      <w:pPr>
        <w:spacing w:after="0" w:line="480" w:lineRule="auto"/>
        <w:ind w:firstLine="720"/>
        <w:jc w:val="both"/>
        <w:rPr>
          <w:rFonts w:ascii="Arial" w:hAnsi="Arial" w:cs="Arial"/>
        </w:rPr>
      </w:pPr>
      <w:r w:rsidRPr="006F6972">
        <w:rPr>
          <w:rFonts w:ascii="Arial" w:hAnsi="Arial" w:cs="Arial"/>
        </w:rPr>
        <w:t xml:space="preserve">Cognitive Load Theory, as introduced by </w:t>
      </w:r>
      <w:proofErr w:type="spellStart"/>
      <w:r w:rsidRPr="006F6972">
        <w:rPr>
          <w:rFonts w:ascii="Arial" w:hAnsi="Arial" w:cs="Arial"/>
        </w:rPr>
        <w:t>Sweller</w:t>
      </w:r>
      <w:proofErr w:type="spellEnd"/>
      <w:r w:rsidRPr="006F6972">
        <w:rPr>
          <w:rFonts w:ascii="Arial" w:hAnsi="Arial" w:cs="Arial"/>
        </w:rPr>
        <w:t xml:space="preserve"> (1988), </w:t>
      </w:r>
      <w:r>
        <w:rPr>
          <w:rFonts w:ascii="Arial" w:hAnsi="Arial" w:cs="Arial"/>
        </w:rPr>
        <w:t>complements the psychological perspective of Self-Efficacy Theory and addresses</w:t>
      </w:r>
      <w:r w:rsidRPr="006F6972">
        <w:rPr>
          <w:rFonts w:ascii="Arial" w:hAnsi="Arial" w:cs="Arial"/>
        </w:rPr>
        <w:t xml:space="preserve"> how the design of instructional and preparatory experiences </w:t>
      </w:r>
      <w:r>
        <w:rPr>
          <w:rFonts w:ascii="Arial" w:hAnsi="Arial" w:cs="Arial"/>
        </w:rPr>
        <w:t>affects the amount of complex information that learners can process, retain, and apply</w:t>
      </w:r>
      <w:r w:rsidRPr="006F6972">
        <w:rPr>
          <w:rFonts w:ascii="Arial" w:hAnsi="Arial" w:cs="Arial"/>
        </w:rPr>
        <w:t>. This theory holds that human working memory has limited capacity</w:t>
      </w:r>
      <w:r>
        <w:rPr>
          <w:rFonts w:ascii="Arial" w:hAnsi="Arial" w:cs="Arial"/>
        </w:rPr>
        <w:t xml:space="preserve"> and that when students are presented with poorly structured or overly complex instructional material, extraneous cognitive load is generated, diverting cognitive resources </w:t>
      </w:r>
      <w:r w:rsidRPr="006F6972">
        <w:rPr>
          <w:rFonts w:ascii="Arial" w:hAnsi="Arial" w:cs="Arial"/>
        </w:rPr>
        <w:t xml:space="preserve">from meaningful learning. </w:t>
      </w:r>
    </w:p>
    <w:p w14:paraId="33A51978" w14:textId="77777777" w:rsidR="001B225E" w:rsidRDefault="001B225E" w:rsidP="001B225E">
      <w:pPr>
        <w:spacing w:after="0" w:line="480" w:lineRule="auto"/>
        <w:ind w:firstLine="720"/>
        <w:jc w:val="both"/>
        <w:rPr>
          <w:rFonts w:ascii="Arial" w:hAnsi="Arial" w:cs="Arial"/>
        </w:rPr>
      </w:pPr>
      <w:r w:rsidRPr="006F6972">
        <w:rPr>
          <w:rFonts w:ascii="Arial" w:hAnsi="Arial" w:cs="Arial"/>
        </w:rPr>
        <w:t xml:space="preserve">This study focused on variables that can either reduce or increase cognitive load during the review preparation process, namely, </w:t>
      </w:r>
      <w:r>
        <w:rPr>
          <w:rFonts w:ascii="Arial" w:hAnsi="Arial" w:cs="Arial"/>
        </w:rPr>
        <w:t xml:space="preserve">LET takers' review preparation practices </w:t>
      </w:r>
      <w:r w:rsidRPr="006F6972">
        <w:rPr>
          <w:rFonts w:ascii="Arial" w:hAnsi="Arial" w:cs="Arial"/>
        </w:rPr>
        <w:t xml:space="preserve">and the institutional support they received from the community college. The use of well-organized review sessions, clearly structured institutional programs, and targeted practice examinations aligned with LET competencies helps eliminate unnecessary mental load and frees up </w:t>
      </w:r>
      <w:r>
        <w:rPr>
          <w:rFonts w:ascii="Arial" w:hAnsi="Arial" w:cs="Arial"/>
        </w:rPr>
        <w:t xml:space="preserve">cognitive resources for the students to focus on mastering the content domains assessed in the licensure </w:t>
      </w:r>
    </w:p>
    <w:p w14:paraId="5FCEEC28" w14:textId="77777777" w:rsidR="001B225E" w:rsidRPr="006F6972" w:rsidRDefault="001B225E" w:rsidP="001B225E">
      <w:pPr>
        <w:spacing w:after="0" w:line="480" w:lineRule="auto"/>
        <w:jc w:val="both"/>
        <w:rPr>
          <w:rFonts w:ascii="Arial" w:hAnsi="Arial" w:cs="Arial"/>
        </w:rPr>
      </w:pPr>
      <w:r w:rsidRPr="006F6972">
        <w:rPr>
          <w:rFonts w:ascii="Arial" w:hAnsi="Arial" w:cs="Arial"/>
        </w:rPr>
        <w:lastRenderedPageBreak/>
        <w:t>examination (</w:t>
      </w:r>
      <w:proofErr w:type="spellStart"/>
      <w:r w:rsidRPr="006F6972">
        <w:rPr>
          <w:rFonts w:ascii="Arial" w:hAnsi="Arial" w:cs="Arial"/>
        </w:rPr>
        <w:t>Sweller</w:t>
      </w:r>
      <w:proofErr w:type="spellEnd"/>
      <w:r w:rsidRPr="006F6972">
        <w:rPr>
          <w:rFonts w:ascii="Arial" w:hAnsi="Arial" w:cs="Arial"/>
        </w:rPr>
        <w:t xml:space="preserve">, 1988). </w:t>
      </w:r>
    </w:p>
    <w:p w14:paraId="20469306" w14:textId="77777777" w:rsidR="001B225E" w:rsidRDefault="001B225E" w:rsidP="001B225E">
      <w:pPr>
        <w:spacing w:after="0" w:line="480" w:lineRule="auto"/>
        <w:ind w:firstLine="720"/>
        <w:jc w:val="both"/>
        <w:rPr>
          <w:rFonts w:ascii="Arial" w:hAnsi="Arial" w:cs="Arial"/>
        </w:rPr>
      </w:pPr>
      <w:r w:rsidRPr="006F6972">
        <w:rPr>
          <w:rFonts w:ascii="Arial" w:hAnsi="Arial" w:cs="Arial"/>
        </w:rPr>
        <w:t xml:space="preserve">Conversely, disorganized or misaligned review strategies may overwhelm students and diminish the effectiveness of their preparation. The ongoing applicability of Cognitive Load Theory to instructional and examination preparation contexts has been reaffirmed in contemporary scholarship. </w:t>
      </w:r>
      <w:proofErr w:type="spellStart"/>
      <w:r w:rsidRPr="006F6972">
        <w:rPr>
          <w:rFonts w:ascii="Arial" w:hAnsi="Arial" w:cs="Arial"/>
        </w:rPr>
        <w:t>Sweller</w:t>
      </w:r>
      <w:proofErr w:type="spellEnd"/>
      <w:r w:rsidRPr="006F6972">
        <w:rPr>
          <w:rFonts w:ascii="Arial" w:hAnsi="Arial" w:cs="Arial"/>
        </w:rPr>
        <w:t xml:space="preserve"> (2023) revisited and reaffirmed the core theoretical distinctions among intrinsic, extraneous, and germane cognitive loads in a discussion published in the British Journal of Educational Psychology, confirming that these principles remain directly applicable to the design of high-stakes examination preparation programs. </w:t>
      </w:r>
    </w:p>
    <w:p w14:paraId="4E831483" w14:textId="77777777" w:rsidR="001B225E" w:rsidRDefault="001B225E" w:rsidP="001B225E">
      <w:pPr>
        <w:spacing w:after="0" w:line="480" w:lineRule="auto"/>
        <w:ind w:firstLine="720"/>
        <w:jc w:val="both"/>
        <w:rPr>
          <w:rFonts w:ascii="Arial" w:hAnsi="Arial" w:cs="Arial"/>
        </w:rPr>
      </w:pPr>
      <w:r w:rsidRPr="006F6972">
        <w:rPr>
          <w:rFonts w:ascii="Arial" w:hAnsi="Arial" w:cs="Arial"/>
        </w:rPr>
        <w:t xml:space="preserve">In the context of LET preparation specifically, the Professional Regulation Commission (2025) and Bustos et al. (2025) both emphasized that review programs must be explicitly aligned with the current competency domains of the licensure examination in order to minimize extraneous cognitive load and enable focused, schema-building preparation, which is a policy recommendation that directly reflects the practical application of Cognitive Load Theory to structured </w:t>
      </w:r>
    </w:p>
    <w:p w14:paraId="15B6BC6F" w14:textId="77777777" w:rsidR="001B225E" w:rsidRPr="006F6972" w:rsidRDefault="001B225E" w:rsidP="001B225E">
      <w:pPr>
        <w:spacing w:after="0" w:line="480" w:lineRule="auto"/>
        <w:jc w:val="both"/>
        <w:rPr>
          <w:rFonts w:ascii="Arial" w:hAnsi="Arial" w:cs="Arial"/>
        </w:rPr>
      </w:pPr>
      <w:r w:rsidRPr="006F6972">
        <w:rPr>
          <w:rFonts w:ascii="Arial" w:hAnsi="Arial" w:cs="Arial"/>
        </w:rPr>
        <w:t>institutional support for licensure readiness.</w:t>
      </w:r>
    </w:p>
    <w:p w14:paraId="1E67B5CF" w14:textId="77777777" w:rsidR="001B225E" w:rsidRDefault="001B225E" w:rsidP="001B225E">
      <w:pPr>
        <w:spacing w:after="0" w:line="480" w:lineRule="auto"/>
        <w:ind w:firstLine="720"/>
        <w:jc w:val="both"/>
        <w:rPr>
          <w:rFonts w:ascii="Arial" w:hAnsi="Arial" w:cs="Arial"/>
        </w:rPr>
      </w:pPr>
      <w:r w:rsidRPr="006F6972">
        <w:rPr>
          <w:rFonts w:ascii="Arial" w:hAnsi="Arial" w:cs="Arial"/>
        </w:rPr>
        <w:t xml:space="preserve">Tinto's (1975) Student Integration Theory provided the fourth anchor of this study by introducing the institutional and relational dimension of student success that the preceding three theories do not fully capture. Tinto argued that a student's persistence and success in higher education depend on the degree to which the student becomes integrated into the </w:t>
      </w:r>
      <w:r>
        <w:rPr>
          <w:rFonts w:ascii="Arial" w:hAnsi="Arial" w:cs="Arial"/>
        </w:rPr>
        <w:t>institution's academic and social systems</w:t>
      </w:r>
      <w:r w:rsidRPr="006F6972">
        <w:rPr>
          <w:rFonts w:ascii="Arial" w:hAnsi="Arial" w:cs="Arial"/>
        </w:rPr>
        <w:t xml:space="preserve">. Academic integration refers to the student's engagement with the formal academic environment, including coursework, faculty interaction, and intellectual </w:t>
      </w:r>
      <w:r w:rsidRPr="006F6972">
        <w:rPr>
          <w:rFonts w:ascii="Arial" w:hAnsi="Arial" w:cs="Arial"/>
        </w:rPr>
        <w:lastRenderedPageBreak/>
        <w:t>development</w:t>
      </w:r>
      <w:r>
        <w:rPr>
          <w:rFonts w:ascii="Arial" w:hAnsi="Arial" w:cs="Arial"/>
        </w:rPr>
        <w:t>. In contrast,</w:t>
      </w:r>
      <w:r w:rsidRPr="006F6972">
        <w:rPr>
          <w:rFonts w:ascii="Arial" w:hAnsi="Arial" w:cs="Arial"/>
        </w:rPr>
        <w:t xml:space="preserve"> social integration refers to the student's sense of belonging, peer relationships, and connection to the institutional community. In the context of this study, Tinto's constructs offered a theoretical basis for the institutional support and study habits variables, since the review programs, mentoring, academic advising, and learning resources provided by the community college represent mechanisms of academic and social integration that shape a graduate's readiness for the licensure examination. </w:t>
      </w:r>
    </w:p>
    <w:p w14:paraId="0BB6849E"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A student who is well integrated academically is more likely to develop disciplined study habits and to take full advantage of institutional review support</w:t>
      </w:r>
      <w:r>
        <w:rPr>
          <w:rFonts w:ascii="Arial" w:hAnsi="Arial" w:cs="Arial"/>
        </w:rPr>
        <w:t>. In contrast, a</w:t>
      </w:r>
      <w:r w:rsidRPr="006F6972">
        <w:rPr>
          <w:rFonts w:ascii="Arial" w:hAnsi="Arial" w:cs="Arial"/>
        </w:rPr>
        <w:t xml:space="preserve"> student who is poorly integrated may disengage from these mechanisms and enter the examination underprepared. The continuing relevance of Tinto's integration constructs to licensure and persistence research has been affirmed in contemporary scholarship, where academic and social integration remain widely applied frameworks for explaining student outcomes and institutional support effects in higher education (Tinto, 1975). </w:t>
      </w:r>
      <w:r>
        <w:rPr>
          <w:rFonts w:ascii="Arial" w:hAnsi="Arial" w:cs="Arial"/>
        </w:rPr>
        <w:t>In this study, Tinto's theory was used to explain how the community college's institutional environment</w:t>
      </w:r>
      <w:r w:rsidRPr="006F6972">
        <w:rPr>
          <w:rFonts w:ascii="Arial" w:hAnsi="Arial" w:cs="Arial"/>
        </w:rPr>
        <w:t xml:space="preserve"> facilitated or constrained the academic and behavioral engagement of its graduates as they prepared for the LET.</w:t>
      </w:r>
    </w:p>
    <w:p w14:paraId="740A60A3" w14:textId="77777777" w:rsidR="001B225E" w:rsidRDefault="001B225E" w:rsidP="001B225E">
      <w:pPr>
        <w:spacing w:after="0" w:line="480" w:lineRule="auto"/>
        <w:ind w:firstLine="720"/>
        <w:jc w:val="both"/>
        <w:rPr>
          <w:rFonts w:ascii="Arial" w:hAnsi="Arial" w:cs="Arial"/>
        </w:rPr>
      </w:pPr>
      <w:r w:rsidRPr="006F6972">
        <w:rPr>
          <w:rFonts w:ascii="Arial" w:hAnsi="Arial" w:cs="Arial"/>
        </w:rPr>
        <w:t xml:space="preserve">The four anchor theories did not </w:t>
      </w:r>
      <w:r>
        <w:rPr>
          <w:rFonts w:ascii="Arial" w:hAnsi="Arial" w:cs="Arial"/>
        </w:rPr>
        <w:t>operate independently but formed a sequential,</w:t>
      </w:r>
      <w:r w:rsidRPr="006F6972">
        <w:rPr>
          <w:rFonts w:ascii="Arial" w:hAnsi="Arial" w:cs="Arial"/>
        </w:rPr>
        <w:t xml:space="preserve"> mutually reinforcing explanatory framework for understanding LET performance outcomes. Human Capital Theory constituted the foundational layer by explaining how the cumulative academic investments of education students throughout the teacher education program build the knowledge base and </w:t>
      </w:r>
      <w:r w:rsidRPr="006F6972">
        <w:rPr>
          <w:rFonts w:ascii="Arial" w:hAnsi="Arial" w:cs="Arial"/>
        </w:rPr>
        <w:lastRenderedPageBreak/>
        <w:t xml:space="preserve">professional competence that graduates bring to the licensure examination. Self-Efficacy Theory extended this foundation by explaining how a graduate's belief in their own capacity to succeed in the LET determined the quality, consistency, and persistence of their study habits and review preparation behaviors, serving as the essential behavioral bridge between the academic knowledge accumulated through investment and the actual readiness demonstrated in the examination setting. </w:t>
      </w:r>
    </w:p>
    <w:p w14:paraId="4D2A32BE"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Cognitive Load Theory addressed the instructional level by explaining how the design and structure of review programs and academic instruction either facilitated or impeded the effective processing and long-term retention of the competencies required for licensure. Tinto's Student Integration Theory completed the framework by situating these processes within the institutional environment</w:t>
      </w:r>
      <w:r>
        <w:rPr>
          <w:rFonts w:ascii="Arial" w:hAnsi="Arial" w:cs="Arial"/>
        </w:rPr>
        <w:t xml:space="preserve"> and explaining how academic and social integration into the community college shaped the degree to which graduates engaged with the academic, behavioral, and instructional mechanisms described by the other three theories</w:t>
      </w:r>
      <w:r w:rsidRPr="006F6972">
        <w:rPr>
          <w:rFonts w:ascii="Arial" w:hAnsi="Arial" w:cs="Arial"/>
        </w:rPr>
        <w:t xml:space="preserve">. Together, the four theories traced a progression from academic knowledge accumulation through educational investment, to motivational and behavioral self-regulation driven by self-efficacy, to the quality of institutional instructional design that determined the efficiency of preparation, and finally to the institutional integration that sustained student engagement throughout. </w:t>
      </w:r>
    </w:p>
    <w:p w14:paraId="66E981A8" w14:textId="77777777" w:rsidR="001B225E" w:rsidRDefault="001B225E" w:rsidP="001B225E">
      <w:pPr>
        <w:spacing w:after="0" w:line="480" w:lineRule="auto"/>
        <w:ind w:firstLine="720"/>
        <w:jc w:val="both"/>
        <w:rPr>
          <w:rFonts w:ascii="Arial" w:hAnsi="Arial" w:cs="Arial"/>
        </w:rPr>
      </w:pPr>
      <w:r w:rsidRPr="006F6972">
        <w:rPr>
          <w:rFonts w:ascii="Arial" w:hAnsi="Arial" w:cs="Arial"/>
        </w:rPr>
        <w:t xml:space="preserve">Based on the four anchor theories, the Readiness and Resilience Integration Theory, as proposed by the researcher, is a synthesis that acknowledges the cognitive, affective, and institutional dimensions of LET </w:t>
      </w:r>
      <w:r w:rsidRPr="006F6972">
        <w:rPr>
          <w:rFonts w:ascii="Arial" w:hAnsi="Arial" w:cs="Arial"/>
        </w:rPr>
        <w:lastRenderedPageBreak/>
        <w:t>performance. The theory holds that academic readiness is a necessary but not sufficient condition to pass the licensure examination; psychological resilience, which is the ability to cope with stress during the examination, to adjust to pressure, and to persevere in the face of failure, is also needed, and is itself sustained by the degree of the student's integration into the supportive systems of the institution.</w:t>
      </w:r>
    </w:p>
    <w:p w14:paraId="271FF3AF"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 xml:space="preserve">Human Capital Theory explains the knowledge and skill base that students bring to the examination, Self-Efficacy Theory explains the motivational and behavioral preparation that students undertake, Cognitive Load Theory explains the quality of the instructional and review experiences that facilitate or hinder learning, and Tinto's Student Integration Theory explains how the academic and social integration of students into the institution determines the extent to which they access and sustain these advantages. </w:t>
      </w:r>
    </w:p>
    <w:p w14:paraId="0FD43866"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 xml:space="preserve">The Readiness and Resilience Integration Theory bring these together by proposing that the best LET performance occurs when all four elements, namely investment in schooling, self-driven preparation, well-designed institutional support, and meaningful academic and social integration, converge to produce a student who </w:t>
      </w:r>
      <w:r>
        <w:rPr>
          <w:rFonts w:ascii="Arial" w:hAnsi="Arial" w:cs="Arial"/>
        </w:rPr>
        <w:t xml:space="preserve">is </w:t>
      </w:r>
      <w:r w:rsidRPr="006F6972">
        <w:rPr>
          <w:rFonts w:ascii="Arial" w:hAnsi="Arial" w:cs="Arial"/>
        </w:rPr>
        <w:t>knowledgeable, psychologically resilient, and institutionally supported when facing the stressful situation of the examination.</w:t>
      </w:r>
    </w:p>
    <w:p w14:paraId="5B8460E4"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 xml:space="preserve">These theoretical perspectives, when combined, offer a holistic and systematic approach to explaining the factors likely to influence </w:t>
      </w:r>
      <w:r>
        <w:rPr>
          <w:rFonts w:ascii="Arial" w:hAnsi="Arial" w:cs="Arial"/>
        </w:rPr>
        <w:t>learners' performance in the LET at</w:t>
      </w:r>
      <w:r w:rsidRPr="006F6972">
        <w:rPr>
          <w:rFonts w:ascii="Arial" w:hAnsi="Arial" w:cs="Arial"/>
        </w:rPr>
        <w:t xml:space="preserve"> a community college in Albay. Each theory adds a distinct and complementary layer of explanation, and the Readiness and Resilience Integration Theory highlights the multidimensionality of licensure </w:t>
      </w:r>
      <w:r w:rsidRPr="006F6972">
        <w:rPr>
          <w:rFonts w:ascii="Arial" w:hAnsi="Arial" w:cs="Arial"/>
        </w:rPr>
        <w:lastRenderedPageBreak/>
        <w:t xml:space="preserve">readiness by demonstrating how Human Capital Theory, Self-Efficacy Theory, Cognitive Load Theory, and Tinto's Student Integration Theory converge rather than operate in isolation. The framework was used to formulate the research questions, </w:t>
      </w:r>
      <w:r>
        <w:rPr>
          <w:rFonts w:ascii="Arial" w:hAnsi="Arial" w:cs="Arial"/>
        </w:rPr>
        <w:t>select the variables, design the research instrument, and interpret the findings, ensuring</w:t>
      </w:r>
      <w:r w:rsidRPr="006F6972">
        <w:rPr>
          <w:rFonts w:ascii="Arial" w:hAnsi="Arial" w:cs="Arial"/>
        </w:rPr>
        <w:t xml:space="preserve"> the research rested on a solid foundation in both theory and context.</w:t>
      </w:r>
    </w:p>
    <w:p w14:paraId="008601BE" w14:textId="77777777" w:rsidR="001B225E" w:rsidRPr="006F6972" w:rsidRDefault="001B225E" w:rsidP="001B225E">
      <w:pPr>
        <w:spacing w:after="0" w:line="480" w:lineRule="auto"/>
        <w:rPr>
          <w:rFonts w:ascii="Arial" w:hAnsi="Arial" w:cs="Arial"/>
          <w:b/>
          <w:bCs/>
        </w:rPr>
      </w:pPr>
      <w:r w:rsidRPr="006F6972">
        <w:rPr>
          <w:rFonts w:ascii="Arial" w:hAnsi="Arial" w:cs="Arial"/>
          <w:b/>
          <w:bCs/>
        </w:rPr>
        <w:t xml:space="preserve">Conceptual Framework </w:t>
      </w:r>
    </w:p>
    <w:p w14:paraId="2FFD939E" w14:textId="77777777" w:rsidR="001B225E" w:rsidRDefault="001B225E" w:rsidP="001B225E">
      <w:pPr>
        <w:spacing w:line="480" w:lineRule="auto"/>
        <w:jc w:val="both"/>
        <w:rPr>
          <w:rFonts w:ascii="Arial" w:hAnsi="Arial" w:cs="Arial"/>
        </w:rPr>
      </w:pPr>
      <w:r w:rsidRPr="006F6972">
        <w:rPr>
          <w:rFonts w:ascii="Arial" w:hAnsi="Arial" w:cs="Arial"/>
          <w:b/>
          <w:bCs/>
        </w:rPr>
        <w:tab/>
      </w:r>
      <w:r w:rsidRPr="006F6972">
        <w:rPr>
          <w:rFonts w:ascii="Arial" w:hAnsi="Arial" w:cs="Arial"/>
        </w:rPr>
        <w:t xml:space="preserve">Figure 2 presents the conceptual paradigm of this study, which was structured using Astin's (1993) Input-Environment-Outcome (I-E-O) Model. The I-E-O Model provides a systematic framework for examining how the characteristics </w:t>
      </w:r>
      <w:r>
        <w:rPr>
          <w:rFonts w:ascii="Arial" w:hAnsi="Arial" w:cs="Arial"/>
        </w:rPr>
        <w:t>students bring with them (Input) and the experiences they encounter within the institution (Environment) jointly shape the outcomes</w:t>
      </w:r>
      <w:r w:rsidRPr="006F6972">
        <w:rPr>
          <w:rFonts w:ascii="Arial" w:hAnsi="Arial" w:cs="Arial"/>
        </w:rPr>
        <w:t xml:space="preserve"> they achieve (Outcome). The framework was organized around the predictive relationship between the independent variables and the dependent variable, corresponding to the research design and the statistical approach employed in the study.</w:t>
      </w:r>
      <w:r>
        <w:rPr>
          <w:rFonts w:ascii="Arial" w:hAnsi="Arial" w:cs="Arial"/>
        </w:rPr>
        <w:t xml:space="preserve"> </w:t>
      </w:r>
    </w:p>
    <w:p w14:paraId="2E14D3B7" w14:textId="77777777" w:rsidR="001B225E" w:rsidRDefault="001B225E" w:rsidP="001B225E">
      <w:pPr>
        <w:spacing w:line="480" w:lineRule="auto"/>
        <w:ind w:firstLine="720"/>
        <w:jc w:val="both"/>
        <w:rPr>
          <w:rFonts w:ascii="Arial" w:hAnsi="Arial" w:cs="Arial"/>
        </w:rPr>
      </w:pPr>
      <w:r w:rsidRPr="006F6972">
        <w:rPr>
          <w:rFonts w:ascii="Arial" w:hAnsi="Arial" w:cs="Arial"/>
        </w:rPr>
        <w:t xml:space="preserve">The </w:t>
      </w:r>
      <w:r w:rsidRPr="007521EE">
        <w:rPr>
          <w:rFonts w:ascii="Arial" w:hAnsi="Arial" w:cs="Arial"/>
          <w:b/>
          <w:bCs/>
        </w:rPr>
        <w:t>Input</w:t>
      </w:r>
      <w:r w:rsidRPr="006F6972">
        <w:rPr>
          <w:rFonts w:ascii="Arial" w:hAnsi="Arial" w:cs="Arial"/>
        </w:rPr>
        <w:t xml:space="preserve"> block consists of the characteristics and prior attainments that the LET</w:t>
      </w:r>
      <w:r>
        <w:rPr>
          <w:rFonts w:ascii="Arial" w:hAnsi="Arial" w:cs="Arial"/>
        </w:rPr>
        <w:t xml:space="preserve"> </w:t>
      </w:r>
      <w:r w:rsidRPr="006F6972">
        <w:rPr>
          <w:rFonts w:ascii="Arial" w:hAnsi="Arial" w:cs="Arial"/>
        </w:rPr>
        <w:t>takers possessed upon entering the licensure preparation process. This block includes the profile of the LET takers in the community college, namely age, sex, degree,</w:t>
      </w:r>
      <w:r>
        <w:rPr>
          <w:rFonts w:ascii="Arial" w:hAnsi="Arial" w:cs="Arial"/>
        </w:rPr>
        <w:t xml:space="preserve"> and</w:t>
      </w:r>
      <w:r w:rsidRPr="006F6972">
        <w:rPr>
          <w:rFonts w:ascii="Arial" w:hAnsi="Arial" w:cs="Arial"/>
        </w:rPr>
        <w:t xml:space="preserve"> major or specialization, as well as their academic performance, measured in terms of general weighted average, general education average, professional education average, major or </w:t>
      </w:r>
      <w:r>
        <w:rPr>
          <w:rFonts w:ascii="Arial" w:hAnsi="Arial" w:cs="Arial"/>
        </w:rPr>
        <w:t xml:space="preserve">specialization average, and teaching </w:t>
      </w:r>
      <w:r w:rsidRPr="006F6972">
        <w:rPr>
          <w:rFonts w:ascii="Arial" w:hAnsi="Arial" w:cs="Arial"/>
        </w:rPr>
        <w:t>internship grade. These input variables represent the background and cumulative</w:t>
      </w:r>
      <w:r>
        <w:rPr>
          <w:rFonts w:ascii="Arial" w:hAnsi="Arial" w:cs="Arial"/>
        </w:rPr>
        <w:t xml:space="preserve"> </w:t>
      </w:r>
    </w:p>
    <w:p w14:paraId="700AE51D" w14:textId="77777777" w:rsidR="001B225E" w:rsidRDefault="001B225E" w:rsidP="001B225E">
      <w:pPr>
        <w:spacing w:line="480" w:lineRule="auto"/>
        <w:jc w:val="both"/>
        <w:rPr>
          <w:rFonts w:ascii="Arial" w:hAnsi="Arial" w:cs="Arial"/>
        </w:rPr>
      </w:pPr>
    </w:p>
    <w:p w14:paraId="6D04729F" w14:textId="77777777" w:rsidR="001B225E" w:rsidRDefault="001B225E" w:rsidP="001B225E">
      <w:pPr>
        <w:spacing w:line="480" w:lineRule="auto"/>
        <w:jc w:val="both"/>
        <w:rPr>
          <w:rFonts w:ascii="Arial" w:hAnsi="Arial" w:cs="Arial"/>
        </w:rPr>
      </w:pPr>
      <w:r>
        <w:rPr>
          <w:noProof/>
        </w:rPr>
        <w:drawing>
          <wp:anchor distT="0" distB="0" distL="114300" distR="114300" simplePos="0" relativeHeight="251684864" behindDoc="1" locked="0" layoutInCell="1" allowOverlap="1" wp14:anchorId="0B201574" wp14:editId="68E3C6B9">
            <wp:simplePos x="0" y="0"/>
            <wp:positionH relativeFrom="column">
              <wp:posOffset>0</wp:posOffset>
            </wp:positionH>
            <wp:positionV relativeFrom="paragraph">
              <wp:posOffset>259449</wp:posOffset>
            </wp:positionV>
            <wp:extent cx="5485765" cy="5920105"/>
            <wp:effectExtent l="0" t="0" r="635" b="0"/>
            <wp:wrapNone/>
            <wp:docPr id="211873142" name="Picture 5" descr="Enhanced conceptual paradigm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hanced conceptual paradigm layout"/>
                    <pic:cNvPicPr>
                      <a:picLocks noChangeAspect="1" noChangeArrowheads="1"/>
                    </pic:cNvPicPr>
                  </pic:nvPicPr>
                  <pic:blipFill rotWithShape="1">
                    <a:blip r:embed="rId8">
                      <a:extLst>
                        <a:ext uri="{28A0092B-C50C-407E-A947-70E740481C1C}">
                          <a14:useLocalDpi xmlns:a14="http://schemas.microsoft.com/office/drawing/2010/main" val="0"/>
                        </a:ext>
                      </a:extLst>
                    </a:blip>
                    <a:srcRect t="11778"/>
                    <a:stretch>
                      <a:fillRect/>
                    </a:stretch>
                  </pic:blipFill>
                  <pic:spPr bwMode="auto">
                    <a:xfrm>
                      <a:off x="0" y="0"/>
                      <a:ext cx="5485765" cy="5920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AE2131" w14:textId="77777777" w:rsidR="001B225E" w:rsidRDefault="001B225E" w:rsidP="001B225E">
      <w:pPr>
        <w:spacing w:line="480" w:lineRule="auto"/>
        <w:jc w:val="both"/>
        <w:rPr>
          <w:rFonts w:ascii="Arial" w:hAnsi="Arial" w:cs="Arial"/>
        </w:rPr>
      </w:pPr>
    </w:p>
    <w:p w14:paraId="593C3023" w14:textId="77777777" w:rsidR="001B225E" w:rsidRDefault="001B225E" w:rsidP="001B225E">
      <w:pPr>
        <w:spacing w:line="480" w:lineRule="auto"/>
        <w:jc w:val="both"/>
        <w:rPr>
          <w:rFonts w:ascii="Arial" w:hAnsi="Arial" w:cs="Arial"/>
        </w:rPr>
      </w:pPr>
    </w:p>
    <w:p w14:paraId="750F98A9" w14:textId="77777777" w:rsidR="001B225E" w:rsidRDefault="001B225E" w:rsidP="001B225E">
      <w:pPr>
        <w:spacing w:line="480" w:lineRule="auto"/>
        <w:jc w:val="both"/>
        <w:rPr>
          <w:rFonts w:ascii="Arial" w:hAnsi="Arial" w:cs="Arial"/>
        </w:rPr>
      </w:pPr>
    </w:p>
    <w:p w14:paraId="72608573" w14:textId="77777777" w:rsidR="001B225E" w:rsidRDefault="001B225E" w:rsidP="001B225E">
      <w:pPr>
        <w:spacing w:line="480" w:lineRule="auto"/>
        <w:jc w:val="both"/>
        <w:rPr>
          <w:rFonts w:ascii="Arial" w:hAnsi="Arial" w:cs="Arial"/>
        </w:rPr>
      </w:pPr>
    </w:p>
    <w:p w14:paraId="7BEC88EE" w14:textId="77777777" w:rsidR="001B225E" w:rsidRDefault="001B225E" w:rsidP="001B225E">
      <w:pPr>
        <w:spacing w:line="480" w:lineRule="auto"/>
        <w:jc w:val="both"/>
        <w:rPr>
          <w:rFonts w:ascii="Arial" w:hAnsi="Arial" w:cs="Arial"/>
        </w:rPr>
      </w:pPr>
    </w:p>
    <w:p w14:paraId="3C4E11EA" w14:textId="77777777" w:rsidR="001B225E" w:rsidRDefault="001B225E" w:rsidP="001B225E">
      <w:pPr>
        <w:spacing w:line="480" w:lineRule="auto"/>
        <w:jc w:val="both"/>
        <w:rPr>
          <w:rFonts w:ascii="Arial" w:hAnsi="Arial" w:cs="Arial"/>
        </w:rPr>
      </w:pPr>
    </w:p>
    <w:p w14:paraId="1A1216CD" w14:textId="77777777" w:rsidR="001B225E" w:rsidRDefault="001B225E" w:rsidP="001B225E">
      <w:pPr>
        <w:spacing w:line="480" w:lineRule="auto"/>
        <w:jc w:val="both"/>
        <w:rPr>
          <w:rFonts w:ascii="Arial" w:hAnsi="Arial" w:cs="Arial"/>
        </w:rPr>
      </w:pPr>
    </w:p>
    <w:p w14:paraId="43017351" w14:textId="77777777" w:rsidR="001B225E" w:rsidRDefault="001B225E" w:rsidP="001B225E">
      <w:pPr>
        <w:spacing w:line="480" w:lineRule="auto"/>
        <w:jc w:val="both"/>
        <w:rPr>
          <w:rFonts w:ascii="Arial" w:hAnsi="Arial" w:cs="Arial"/>
        </w:rPr>
      </w:pPr>
    </w:p>
    <w:p w14:paraId="29B1B0C9" w14:textId="77777777" w:rsidR="001B225E" w:rsidRDefault="001B225E" w:rsidP="001B225E">
      <w:pPr>
        <w:spacing w:line="480" w:lineRule="auto"/>
        <w:jc w:val="both"/>
        <w:rPr>
          <w:rFonts w:ascii="Arial" w:hAnsi="Arial" w:cs="Arial"/>
        </w:rPr>
      </w:pPr>
    </w:p>
    <w:p w14:paraId="20D7D800" w14:textId="77777777" w:rsidR="001B225E" w:rsidRDefault="001B225E" w:rsidP="001B225E">
      <w:pPr>
        <w:spacing w:line="480" w:lineRule="auto"/>
        <w:jc w:val="both"/>
        <w:rPr>
          <w:rFonts w:ascii="Arial" w:hAnsi="Arial" w:cs="Arial"/>
        </w:rPr>
      </w:pPr>
    </w:p>
    <w:p w14:paraId="13864EB2" w14:textId="77777777" w:rsidR="001B225E" w:rsidRDefault="001B225E" w:rsidP="001B225E">
      <w:pPr>
        <w:spacing w:line="480" w:lineRule="auto"/>
        <w:jc w:val="both"/>
        <w:rPr>
          <w:rFonts w:ascii="Arial" w:hAnsi="Arial" w:cs="Arial"/>
        </w:rPr>
      </w:pPr>
    </w:p>
    <w:p w14:paraId="2285BC36" w14:textId="77777777" w:rsidR="001B225E" w:rsidRDefault="001B225E" w:rsidP="001B225E">
      <w:pPr>
        <w:spacing w:line="480" w:lineRule="auto"/>
        <w:jc w:val="both"/>
        <w:rPr>
          <w:rFonts w:ascii="Arial" w:hAnsi="Arial" w:cs="Arial"/>
        </w:rPr>
      </w:pPr>
    </w:p>
    <w:p w14:paraId="7F922A45" w14:textId="77777777" w:rsidR="001B225E" w:rsidRDefault="001B225E" w:rsidP="001B225E">
      <w:pPr>
        <w:spacing w:line="480" w:lineRule="auto"/>
        <w:jc w:val="both"/>
        <w:rPr>
          <w:rFonts w:ascii="Arial" w:hAnsi="Arial" w:cs="Arial"/>
        </w:rPr>
      </w:pPr>
    </w:p>
    <w:p w14:paraId="256CA449" w14:textId="77777777" w:rsidR="001B225E" w:rsidRDefault="001B225E" w:rsidP="001B225E">
      <w:pPr>
        <w:spacing w:line="480" w:lineRule="auto"/>
        <w:jc w:val="both"/>
        <w:rPr>
          <w:rFonts w:ascii="Arial" w:hAnsi="Arial" w:cs="Arial"/>
        </w:rPr>
      </w:pPr>
    </w:p>
    <w:p w14:paraId="53E74ABA" w14:textId="77777777" w:rsidR="001B225E" w:rsidRPr="004078D4" w:rsidRDefault="001B225E" w:rsidP="001B225E">
      <w:pPr>
        <w:spacing w:line="240" w:lineRule="auto"/>
        <w:jc w:val="both"/>
        <w:rPr>
          <w:rFonts w:ascii="Arial" w:hAnsi="Arial" w:cs="Arial"/>
        </w:rPr>
      </w:pPr>
    </w:p>
    <w:p w14:paraId="6B2AA2FA" w14:textId="77777777" w:rsidR="001B225E" w:rsidRPr="004078D4" w:rsidRDefault="001B225E" w:rsidP="001B225E">
      <w:pPr>
        <w:spacing w:line="240" w:lineRule="auto"/>
        <w:jc w:val="center"/>
        <w:rPr>
          <w:rFonts w:ascii="Arial" w:hAnsi="Arial" w:cs="Arial"/>
        </w:rPr>
      </w:pPr>
      <w:r w:rsidRPr="004078D4">
        <w:rPr>
          <w:rFonts w:ascii="Arial" w:hAnsi="Arial" w:cs="Arial"/>
        </w:rPr>
        <w:t>Figure 2</w:t>
      </w:r>
    </w:p>
    <w:p w14:paraId="5DBB2FC1" w14:textId="77777777" w:rsidR="001B225E" w:rsidRPr="00773D27" w:rsidRDefault="001B225E" w:rsidP="001B225E">
      <w:pPr>
        <w:spacing w:line="240" w:lineRule="auto"/>
        <w:jc w:val="center"/>
        <w:rPr>
          <w:rFonts w:ascii="Arial" w:hAnsi="Arial" w:cs="Arial"/>
          <w:b/>
          <w:bCs/>
        </w:rPr>
      </w:pPr>
      <w:r w:rsidRPr="006F6972">
        <w:rPr>
          <w:rFonts w:ascii="Arial" w:hAnsi="Arial" w:cs="Arial"/>
          <w:b/>
          <w:bCs/>
        </w:rPr>
        <w:t>CONCEPTUAL PARADIGM</w:t>
      </w:r>
    </w:p>
    <w:p w14:paraId="7123DE58" w14:textId="77777777" w:rsidR="001B225E" w:rsidRDefault="001B225E" w:rsidP="001B225E">
      <w:pPr>
        <w:spacing w:after="0" w:line="480" w:lineRule="auto"/>
        <w:jc w:val="both"/>
        <w:rPr>
          <w:rFonts w:ascii="Arial" w:hAnsi="Arial" w:cs="Arial"/>
        </w:rPr>
      </w:pPr>
      <w:r w:rsidRPr="006F6972">
        <w:rPr>
          <w:rFonts w:ascii="Arial" w:hAnsi="Arial" w:cs="Arial"/>
        </w:rPr>
        <w:lastRenderedPageBreak/>
        <w:t>academic investments that the graduates brought into the examination process.</w:t>
      </w:r>
    </w:p>
    <w:p w14:paraId="0815D101"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 xml:space="preserve">The </w:t>
      </w:r>
      <w:r w:rsidRPr="007521EE">
        <w:rPr>
          <w:rFonts w:ascii="Arial" w:hAnsi="Arial" w:cs="Arial"/>
          <w:b/>
          <w:bCs/>
        </w:rPr>
        <w:t xml:space="preserve">Environment block </w:t>
      </w:r>
      <w:r w:rsidRPr="006F6972">
        <w:rPr>
          <w:rFonts w:ascii="Arial" w:hAnsi="Arial" w:cs="Arial"/>
        </w:rPr>
        <w:t xml:space="preserve">consists of the experiences, behaviors, and institutional conditions that the LET takers encountered during their preparation for the licensure examination. This block </w:t>
      </w:r>
      <w:r>
        <w:fldChar w:fldCharType="begin"/>
      </w:r>
      <w:r>
        <w:instrText xml:space="preserve"> INCLUDEPICTURE "https://copilot.microsoft.com/th/id/BCO.486b187a-7dea-4f0a-857e-302d9754eb66.png?h=384" \* MERGEFORMATINET </w:instrText>
      </w:r>
      <w:r>
        <w:fldChar w:fldCharType="separate"/>
      </w:r>
      <w:r>
        <w:fldChar w:fldCharType="end"/>
      </w:r>
      <w:r w:rsidRPr="006F6972">
        <w:rPr>
          <w:rFonts w:ascii="Arial" w:hAnsi="Arial" w:cs="Arial"/>
        </w:rPr>
        <w:t>includes the extent of study habits of the LET</w:t>
      </w:r>
      <w:r>
        <w:rPr>
          <w:rFonts w:ascii="Arial" w:hAnsi="Arial" w:cs="Arial"/>
        </w:rPr>
        <w:t xml:space="preserve"> </w:t>
      </w:r>
      <w:r w:rsidRPr="006F6972">
        <w:rPr>
          <w:rFonts w:ascii="Arial" w:hAnsi="Arial" w:cs="Arial"/>
        </w:rPr>
        <w:t>takers in preparation for the LET, the extent of their review preparation</w:t>
      </w:r>
      <w:r>
        <w:rPr>
          <w:rFonts w:ascii="Arial" w:hAnsi="Arial" w:cs="Arial"/>
        </w:rPr>
        <w:t xml:space="preserve"> practices, </w:t>
      </w:r>
      <w:r w:rsidRPr="006F6972">
        <w:rPr>
          <w:rFonts w:ascii="Arial" w:hAnsi="Arial" w:cs="Arial"/>
        </w:rPr>
        <w:t>and the extent of institutional support received from the community college. These environmental variables represent the modifiable conditions and behavioral engagements that occurred within the preparation period and that the institution can directly influence.</w:t>
      </w:r>
    </w:p>
    <w:p w14:paraId="47FFD094" w14:textId="77777777" w:rsidR="001B225E" w:rsidRDefault="001B225E" w:rsidP="001B225E">
      <w:pPr>
        <w:spacing w:after="0" w:line="480" w:lineRule="auto"/>
        <w:ind w:firstLine="720"/>
        <w:jc w:val="both"/>
        <w:rPr>
          <w:rFonts w:ascii="Arial" w:hAnsi="Arial" w:cs="Arial"/>
        </w:rPr>
      </w:pPr>
      <w:r w:rsidRPr="006F6972">
        <w:rPr>
          <w:rFonts w:ascii="Arial" w:hAnsi="Arial" w:cs="Arial"/>
        </w:rPr>
        <w:t xml:space="preserve">The </w:t>
      </w:r>
      <w:r w:rsidRPr="007521EE">
        <w:rPr>
          <w:rFonts w:ascii="Arial" w:hAnsi="Arial" w:cs="Arial"/>
          <w:b/>
          <w:bCs/>
        </w:rPr>
        <w:t>Outcome</w:t>
      </w:r>
      <w:r w:rsidRPr="006F6972">
        <w:rPr>
          <w:rFonts w:ascii="Arial" w:hAnsi="Arial" w:cs="Arial"/>
        </w:rPr>
        <w:t xml:space="preserve"> block consists of the result of the interaction between the input and environment variables, which is the Board Performance of the LET takers as reflected in their Licensure Examination for Teachers rating. The directional relationship flowing from the Input block through the Environment block to the Outcome block was examined through regression analysis to determine which among the identified predictors significantly influenced Board Performance. The results of this analysis served as the empirical basis for the development of a proposed intervention program, which emerged from the Outcome block and was designed to enhance LET readiness and performance among the education graduates of the community college in Albay.</w:t>
      </w:r>
    </w:p>
    <w:p w14:paraId="3BF1A6F7" w14:textId="77777777" w:rsidR="001B225E" w:rsidRPr="006F6972" w:rsidRDefault="001B225E" w:rsidP="001B225E">
      <w:pPr>
        <w:spacing w:after="0" w:line="480" w:lineRule="auto"/>
        <w:rPr>
          <w:rFonts w:ascii="Arial" w:hAnsi="Arial" w:cs="Arial"/>
          <w:b/>
          <w:bCs/>
        </w:rPr>
      </w:pPr>
      <w:r w:rsidRPr="006F6972">
        <w:rPr>
          <w:rFonts w:ascii="Arial" w:hAnsi="Arial" w:cs="Arial"/>
          <w:b/>
          <w:bCs/>
        </w:rPr>
        <w:t xml:space="preserve">Statement of the Problem </w:t>
      </w:r>
    </w:p>
    <w:p w14:paraId="409F2C78" w14:textId="77777777" w:rsidR="001B225E" w:rsidRPr="006F6972" w:rsidRDefault="001B225E" w:rsidP="001B225E">
      <w:pPr>
        <w:pStyle w:val="font-claude-response-body"/>
        <w:spacing w:before="0" w:beforeAutospacing="0" w:after="0" w:afterAutospacing="0" w:line="480" w:lineRule="auto"/>
        <w:jc w:val="both"/>
        <w:rPr>
          <w:rFonts w:ascii="Arial" w:hAnsi="Arial" w:cs="Arial"/>
        </w:rPr>
      </w:pPr>
      <w:r w:rsidRPr="006F6972">
        <w:rPr>
          <w:rFonts w:ascii="Arial" w:hAnsi="Arial" w:cs="Arial"/>
          <w:b/>
          <w:bCs/>
        </w:rPr>
        <w:tab/>
      </w:r>
      <w:r w:rsidRPr="006F6972">
        <w:rPr>
          <w:rFonts w:ascii="Arial" w:hAnsi="Arial" w:cs="Arial"/>
        </w:rPr>
        <w:t xml:space="preserve">This study aimed to determine the predictors of performance in the Licensure Examination for Teachers (LET) in a community college in Albay. Specifically, it sought </w:t>
      </w:r>
      <w:r>
        <w:rPr>
          <w:rFonts w:ascii="Arial" w:hAnsi="Arial" w:cs="Arial"/>
        </w:rPr>
        <w:t>a</w:t>
      </w:r>
      <w:r w:rsidRPr="006F6972">
        <w:rPr>
          <w:rFonts w:ascii="Arial" w:hAnsi="Arial" w:cs="Arial"/>
        </w:rPr>
        <w:t>nswer</w:t>
      </w:r>
      <w:r>
        <w:rPr>
          <w:rFonts w:ascii="Arial" w:hAnsi="Arial" w:cs="Arial"/>
        </w:rPr>
        <w:t>s to</w:t>
      </w:r>
      <w:r w:rsidRPr="006F6972">
        <w:rPr>
          <w:rFonts w:ascii="Arial" w:hAnsi="Arial" w:cs="Arial"/>
        </w:rPr>
        <w:t xml:space="preserve"> the following</w:t>
      </w:r>
      <w:r>
        <w:rPr>
          <w:rFonts w:ascii="Arial" w:hAnsi="Arial" w:cs="Arial"/>
        </w:rPr>
        <w:t xml:space="preserve">: </w:t>
      </w:r>
    </w:p>
    <w:p w14:paraId="3579D029" w14:textId="77777777" w:rsidR="001B225E" w:rsidRPr="001949A8" w:rsidRDefault="001B225E" w:rsidP="001B225E">
      <w:pPr>
        <w:pStyle w:val="font-claude-response-body"/>
        <w:numPr>
          <w:ilvl w:val="0"/>
          <w:numId w:val="10"/>
        </w:numPr>
        <w:spacing w:before="0" w:beforeAutospacing="0" w:after="0" w:afterAutospacing="0" w:line="480" w:lineRule="auto"/>
        <w:rPr>
          <w:rFonts w:ascii="Arial" w:hAnsi="Arial" w:cs="Arial"/>
        </w:rPr>
      </w:pPr>
      <w:r w:rsidRPr="006F6972">
        <w:rPr>
          <w:rFonts w:ascii="Arial" w:hAnsi="Arial" w:cs="Arial"/>
        </w:rPr>
        <w:lastRenderedPageBreak/>
        <w:t>What is the profile of the LET takers in the community college in terms of:</w:t>
      </w:r>
      <w:r w:rsidRPr="006F6972">
        <w:rPr>
          <w:rFonts w:ascii="Arial" w:hAnsi="Arial" w:cs="Arial"/>
        </w:rPr>
        <w:br/>
        <w:t>1.1 Age;</w:t>
      </w:r>
      <w:r w:rsidRPr="006F6972">
        <w:rPr>
          <w:rFonts w:ascii="Arial" w:hAnsi="Arial" w:cs="Arial"/>
        </w:rPr>
        <w:br/>
        <w:t>1.2 Sex;</w:t>
      </w:r>
      <w:r w:rsidRPr="006F6972">
        <w:rPr>
          <w:rFonts w:ascii="Arial" w:hAnsi="Arial" w:cs="Arial"/>
        </w:rPr>
        <w:br/>
        <w:t>1.3 Degree;</w:t>
      </w:r>
      <w:r w:rsidRPr="006F6972">
        <w:rPr>
          <w:rFonts w:ascii="Arial" w:hAnsi="Arial" w:cs="Arial"/>
        </w:rPr>
        <w:br/>
        <w:t>1.4 Major/Specialization</w:t>
      </w:r>
      <w:r>
        <w:rPr>
          <w:rFonts w:ascii="Arial" w:hAnsi="Arial" w:cs="Arial"/>
        </w:rPr>
        <w:t>?</w:t>
      </w:r>
    </w:p>
    <w:p w14:paraId="1D338332" w14:textId="77777777" w:rsidR="001B225E" w:rsidRDefault="001B225E" w:rsidP="001B225E">
      <w:pPr>
        <w:pStyle w:val="font-claude-response-body"/>
        <w:numPr>
          <w:ilvl w:val="0"/>
          <w:numId w:val="10"/>
        </w:numPr>
        <w:spacing w:after="0" w:afterAutospacing="0" w:line="480" w:lineRule="auto"/>
        <w:rPr>
          <w:rFonts w:ascii="Arial" w:hAnsi="Arial" w:cs="Arial"/>
        </w:rPr>
      </w:pPr>
      <w:r w:rsidRPr="006F6972">
        <w:rPr>
          <w:rFonts w:ascii="Arial" w:hAnsi="Arial" w:cs="Arial"/>
        </w:rPr>
        <w:t>What is the academic performance of the LET takers in terms of:</w:t>
      </w:r>
      <w:r w:rsidRPr="006F6972">
        <w:rPr>
          <w:rFonts w:ascii="Arial" w:hAnsi="Arial" w:cs="Arial"/>
        </w:rPr>
        <w:br/>
        <w:t>2.1 General Weighted Average (GWA);</w:t>
      </w:r>
      <w:r w:rsidRPr="006F6972">
        <w:rPr>
          <w:rFonts w:ascii="Arial" w:hAnsi="Arial" w:cs="Arial"/>
        </w:rPr>
        <w:br/>
        <w:t>2.2 General Education (Gen Ed) Average;</w:t>
      </w:r>
      <w:r w:rsidRPr="006F6972">
        <w:rPr>
          <w:rFonts w:ascii="Arial" w:hAnsi="Arial" w:cs="Arial"/>
        </w:rPr>
        <w:br/>
        <w:t>2.3 Professional Education (Prof Ed) Average;</w:t>
      </w:r>
      <w:r w:rsidRPr="006F6972">
        <w:rPr>
          <w:rFonts w:ascii="Arial" w:hAnsi="Arial" w:cs="Arial"/>
        </w:rPr>
        <w:br/>
        <w:t>2.4 Major/Specialization Average; and</w:t>
      </w:r>
      <w:r w:rsidRPr="006F6972">
        <w:rPr>
          <w:rFonts w:ascii="Arial" w:hAnsi="Arial" w:cs="Arial"/>
        </w:rPr>
        <w:br/>
        <w:t>2.5 Teaching Internship Grade?</w:t>
      </w:r>
    </w:p>
    <w:p w14:paraId="5C3CE7E2" w14:textId="77777777" w:rsidR="001B225E" w:rsidRPr="007521EE" w:rsidRDefault="001B225E" w:rsidP="001B225E">
      <w:pPr>
        <w:pStyle w:val="font-claude-response-body"/>
        <w:numPr>
          <w:ilvl w:val="0"/>
          <w:numId w:val="10"/>
        </w:numPr>
        <w:spacing w:after="0" w:afterAutospacing="0" w:line="480" w:lineRule="auto"/>
        <w:rPr>
          <w:rFonts w:ascii="Arial" w:hAnsi="Arial" w:cs="Arial"/>
        </w:rPr>
      </w:pPr>
      <w:r w:rsidRPr="001949A8">
        <w:rPr>
          <w:rFonts w:ascii="Arial" w:hAnsi="Arial" w:cs="Arial"/>
        </w:rPr>
        <w:t>What is the level of the following factors among the LET takers:</w:t>
      </w:r>
      <w:r w:rsidRPr="001949A8">
        <w:rPr>
          <w:rFonts w:ascii="Arial" w:hAnsi="Arial" w:cs="Arial"/>
        </w:rPr>
        <w:br/>
        <w:t>3.1 Study habits in preparation for the Licensure Examination for</w:t>
      </w:r>
      <w:r>
        <w:rPr>
          <w:rFonts w:ascii="Arial" w:hAnsi="Arial" w:cs="Arial"/>
        </w:rPr>
        <w:t xml:space="preserve">     </w:t>
      </w:r>
      <w:r w:rsidRPr="007521EE">
        <w:rPr>
          <w:rFonts w:ascii="Arial" w:hAnsi="Arial" w:cs="Arial"/>
        </w:rPr>
        <w:t>Teachers;</w:t>
      </w:r>
      <w:r w:rsidRPr="007521EE">
        <w:rPr>
          <w:rFonts w:ascii="Arial" w:hAnsi="Arial" w:cs="Arial"/>
        </w:rPr>
        <w:br/>
        <w:t>3.2 Review preparation practices; and</w:t>
      </w:r>
      <w:r w:rsidRPr="007521EE">
        <w:rPr>
          <w:rFonts w:ascii="Arial" w:hAnsi="Arial" w:cs="Arial"/>
        </w:rPr>
        <w:br/>
        <w:t>3.3 Institutional support received from the community college?</w:t>
      </w:r>
    </w:p>
    <w:p w14:paraId="2798B753" w14:textId="77777777" w:rsidR="001B225E" w:rsidRPr="006F6972" w:rsidRDefault="001B225E" w:rsidP="001B225E">
      <w:pPr>
        <w:pStyle w:val="font-claude-response-body"/>
        <w:numPr>
          <w:ilvl w:val="0"/>
          <w:numId w:val="10"/>
        </w:numPr>
        <w:tabs>
          <w:tab w:val="clear" w:pos="720"/>
          <w:tab w:val="num" w:pos="426"/>
        </w:tabs>
        <w:spacing w:before="0" w:beforeAutospacing="0" w:after="0" w:afterAutospacing="0" w:line="480" w:lineRule="auto"/>
        <w:ind w:left="0" w:firstLine="426"/>
        <w:jc w:val="both"/>
        <w:rPr>
          <w:rFonts w:ascii="Arial" w:hAnsi="Arial" w:cs="Arial"/>
        </w:rPr>
      </w:pPr>
      <w:r w:rsidRPr="006F6972">
        <w:rPr>
          <w:rFonts w:ascii="Arial" w:hAnsi="Arial" w:cs="Arial"/>
        </w:rPr>
        <w:t>Which among the profile variables, academic performance, study habits, review preparation practices, and institutional support</w:t>
      </w:r>
      <w:r>
        <w:rPr>
          <w:rFonts w:ascii="Arial" w:hAnsi="Arial" w:cs="Arial"/>
        </w:rPr>
        <w:t>,</w:t>
      </w:r>
      <w:r w:rsidRPr="006F6972">
        <w:rPr>
          <w:rFonts w:ascii="Arial" w:hAnsi="Arial" w:cs="Arial"/>
        </w:rPr>
        <w:t xml:space="preserve"> significantly predict performance in the Licensure Examination for Teachers?</w:t>
      </w:r>
    </w:p>
    <w:p w14:paraId="28BDA60C" w14:textId="77777777" w:rsidR="001B225E" w:rsidRPr="001949A8" w:rsidRDefault="001B225E" w:rsidP="001B225E">
      <w:pPr>
        <w:pStyle w:val="font-claude-response-body"/>
        <w:numPr>
          <w:ilvl w:val="0"/>
          <w:numId w:val="10"/>
        </w:numPr>
        <w:tabs>
          <w:tab w:val="clear" w:pos="720"/>
          <w:tab w:val="num" w:pos="426"/>
        </w:tabs>
        <w:spacing w:before="0" w:beforeAutospacing="0" w:after="0" w:afterAutospacing="0" w:line="480" w:lineRule="auto"/>
        <w:ind w:left="0" w:firstLine="426"/>
        <w:jc w:val="both"/>
        <w:rPr>
          <w:rFonts w:ascii="Arial" w:hAnsi="Arial" w:cs="Arial"/>
        </w:rPr>
      </w:pPr>
      <w:r w:rsidRPr="006F6972">
        <w:rPr>
          <w:rFonts w:ascii="Arial" w:hAnsi="Arial" w:cs="Arial"/>
        </w:rPr>
        <w:t>What intervention program can be proposed based on the findings of the study?</w:t>
      </w:r>
    </w:p>
    <w:p w14:paraId="0E97EB5C" w14:textId="77777777" w:rsidR="001B225E" w:rsidRPr="006F6972" w:rsidRDefault="001B225E" w:rsidP="001B225E">
      <w:pPr>
        <w:spacing w:after="0" w:line="480" w:lineRule="auto"/>
        <w:rPr>
          <w:rFonts w:ascii="Arial" w:hAnsi="Arial" w:cs="Arial"/>
        </w:rPr>
      </w:pPr>
      <w:r w:rsidRPr="006F6972">
        <w:rPr>
          <w:rFonts w:ascii="Arial" w:hAnsi="Arial" w:cs="Arial"/>
          <w:b/>
          <w:bCs/>
        </w:rPr>
        <w:t>Assumptions of the Study</w:t>
      </w:r>
    </w:p>
    <w:p w14:paraId="752CE975" w14:textId="77777777" w:rsidR="001B225E" w:rsidRPr="006F6972" w:rsidRDefault="001B225E" w:rsidP="001B225E">
      <w:pPr>
        <w:spacing w:after="0" w:line="480" w:lineRule="auto"/>
        <w:rPr>
          <w:rFonts w:ascii="Arial" w:hAnsi="Arial" w:cs="Arial"/>
        </w:rPr>
      </w:pPr>
      <w:r w:rsidRPr="006F6972">
        <w:rPr>
          <w:rFonts w:ascii="Arial" w:hAnsi="Arial" w:cs="Arial"/>
        </w:rPr>
        <w:t>The following assumptions underlay the conduct of this study:</w:t>
      </w:r>
    </w:p>
    <w:p w14:paraId="570520D1" w14:textId="77777777" w:rsidR="001B225E" w:rsidRDefault="001B225E" w:rsidP="001B225E">
      <w:pPr>
        <w:spacing w:after="0" w:line="480" w:lineRule="auto"/>
        <w:ind w:firstLine="426"/>
        <w:jc w:val="both"/>
        <w:rPr>
          <w:rFonts w:ascii="Arial" w:eastAsia="Arial" w:hAnsi="Arial" w:cs="Arial"/>
        </w:rPr>
      </w:pPr>
      <w:r>
        <w:rPr>
          <w:rFonts w:ascii="Arial" w:eastAsia="Arial" w:hAnsi="Arial" w:cs="Arial"/>
        </w:rPr>
        <w:lastRenderedPageBreak/>
        <w:t xml:space="preserve">1. The profile of the LET takers in a Community College in terms of age, sex, degree, major/specialization, and LET rating. </w:t>
      </w:r>
    </w:p>
    <w:p w14:paraId="7AC8E0BE" w14:textId="77777777" w:rsidR="001B225E" w:rsidRDefault="001B225E" w:rsidP="001B225E">
      <w:pPr>
        <w:spacing w:after="0" w:line="480" w:lineRule="auto"/>
        <w:ind w:firstLine="426"/>
        <w:jc w:val="both"/>
        <w:rPr>
          <w:rFonts w:ascii="Arial" w:eastAsia="Arial" w:hAnsi="Arial" w:cs="Arial"/>
        </w:rPr>
      </w:pPr>
      <w:r>
        <w:rPr>
          <w:rFonts w:ascii="Arial" w:eastAsia="Arial" w:hAnsi="Arial" w:cs="Arial"/>
        </w:rPr>
        <w:t>2. The academic performance of the LET takers in terms of GWA, Gen Ed average, Prof Ed average, major/specialization average, and teaching internship grade varies.</w:t>
      </w:r>
    </w:p>
    <w:p w14:paraId="0762CBAB" w14:textId="77777777" w:rsidR="001B225E" w:rsidRDefault="001B225E" w:rsidP="001B225E">
      <w:pPr>
        <w:spacing w:after="0" w:line="480" w:lineRule="auto"/>
        <w:ind w:firstLine="426"/>
        <w:jc w:val="both"/>
        <w:rPr>
          <w:rFonts w:ascii="Arial" w:eastAsia="Arial" w:hAnsi="Arial" w:cs="Arial"/>
        </w:rPr>
      </w:pPr>
      <w:r>
        <w:rPr>
          <w:rFonts w:ascii="Arial" w:eastAsia="Arial" w:hAnsi="Arial" w:cs="Arial"/>
        </w:rPr>
        <w:t xml:space="preserve">3. The level of the following study habits, review preparation practices, and institutional support received from the Community College of the LET takers are provided. </w:t>
      </w:r>
    </w:p>
    <w:p w14:paraId="742C0F26" w14:textId="77777777" w:rsidR="001B225E" w:rsidRDefault="001B225E" w:rsidP="001B225E">
      <w:pPr>
        <w:spacing w:after="0" w:line="480" w:lineRule="auto"/>
        <w:ind w:firstLine="426"/>
        <w:jc w:val="both"/>
        <w:rPr>
          <w:rFonts w:ascii="Arial" w:eastAsia="Arial" w:hAnsi="Arial" w:cs="Arial"/>
        </w:rPr>
      </w:pPr>
      <w:r>
        <w:rPr>
          <w:rFonts w:ascii="Arial" w:eastAsia="Arial" w:hAnsi="Arial" w:cs="Arial"/>
        </w:rPr>
        <w:t>4. The profile variables, academic performance, study habits, review preparation practices, and institutional support, may significantly predict performance in the Licensure Examination for Teachers.</w:t>
      </w:r>
    </w:p>
    <w:p w14:paraId="594E0F34" w14:textId="77777777" w:rsidR="001B225E" w:rsidRDefault="001B225E" w:rsidP="001B225E">
      <w:pPr>
        <w:spacing w:after="0" w:line="480" w:lineRule="auto"/>
        <w:ind w:firstLine="426"/>
        <w:jc w:val="both"/>
        <w:rPr>
          <w:rFonts w:ascii="Arial" w:eastAsia="Arial" w:hAnsi="Arial" w:cs="Arial"/>
        </w:rPr>
      </w:pPr>
      <w:r>
        <w:rPr>
          <w:rFonts w:ascii="Arial" w:eastAsia="Arial" w:hAnsi="Arial" w:cs="Arial"/>
        </w:rPr>
        <w:t xml:space="preserve">5. An intervention can be proposed based on the findings of the study. </w:t>
      </w:r>
    </w:p>
    <w:p w14:paraId="22AA1509" w14:textId="77777777" w:rsidR="001B225E" w:rsidRPr="006F6972" w:rsidRDefault="001B225E" w:rsidP="001B225E">
      <w:pPr>
        <w:spacing w:after="0" w:line="480" w:lineRule="auto"/>
        <w:rPr>
          <w:rFonts w:ascii="Arial" w:hAnsi="Arial" w:cs="Arial"/>
          <w:b/>
          <w:bCs/>
        </w:rPr>
      </w:pPr>
      <w:r w:rsidRPr="006F6972">
        <w:rPr>
          <w:rFonts w:ascii="Arial" w:hAnsi="Arial" w:cs="Arial"/>
          <w:b/>
          <w:bCs/>
        </w:rPr>
        <w:t>Significance of the Study</w:t>
      </w:r>
    </w:p>
    <w:p w14:paraId="71F5B742" w14:textId="77777777" w:rsidR="001B225E" w:rsidRPr="006F6972" w:rsidRDefault="001B225E" w:rsidP="001B225E">
      <w:pPr>
        <w:spacing w:after="0" w:line="480" w:lineRule="auto"/>
        <w:jc w:val="both"/>
        <w:rPr>
          <w:rFonts w:ascii="Arial" w:hAnsi="Arial" w:cs="Arial"/>
        </w:rPr>
      </w:pPr>
      <w:r w:rsidRPr="006F6972">
        <w:rPr>
          <w:rFonts w:ascii="Arial" w:hAnsi="Arial" w:cs="Arial"/>
          <w:b/>
          <w:bCs/>
        </w:rPr>
        <w:tab/>
      </w:r>
      <w:r w:rsidRPr="006F6972">
        <w:rPr>
          <w:rFonts w:ascii="Arial" w:hAnsi="Arial" w:cs="Arial"/>
        </w:rPr>
        <w:t>The results of the study will be considered beneficial to the following:</w:t>
      </w:r>
    </w:p>
    <w:p w14:paraId="7A8459A2" w14:textId="77777777" w:rsidR="001B225E" w:rsidRDefault="001B225E" w:rsidP="001B225E">
      <w:pPr>
        <w:spacing w:after="0" w:line="480" w:lineRule="auto"/>
        <w:ind w:firstLine="720"/>
        <w:jc w:val="both"/>
        <w:rPr>
          <w:rFonts w:ascii="Arial" w:hAnsi="Arial" w:cs="Arial"/>
        </w:rPr>
      </w:pPr>
      <w:r w:rsidRPr="006F6972">
        <w:rPr>
          <w:rFonts w:ascii="Arial" w:hAnsi="Arial" w:cs="Arial"/>
          <w:b/>
          <w:bCs/>
        </w:rPr>
        <w:t>Community College.</w:t>
      </w:r>
      <w:r w:rsidRPr="006F6972">
        <w:rPr>
          <w:rFonts w:ascii="Arial" w:hAnsi="Arial" w:cs="Arial"/>
        </w:rPr>
        <w:t xml:space="preserve"> The results of the study help the institution understand the specific factors that </w:t>
      </w:r>
      <w:r>
        <w:rPr>
          <w:rFonts w:ascii="Arial" w:hAnsi="Arial" w:cs="Arial"/>
        </w:rPr>
        <w:t>predict its graduates' performance</w:t>
      </w:r>
      <w:r w:rsidRPr="006F6972">
        <w:rPr>
          <w:rFonts w:ascii="Arial" w:hAnsi="Arial" w:cs="Arial"/>
        </w:rPr>
        <w:t xml:space="preserve"> in the Licensure Examination for Teachers. By addressing the </w:t>
      </w:r>
      <w:r>
        <w:rPr>
          <w:rFonts w:ascii="Arial" w:hAnsi="Arial" w:cs="Arial"/>
        </w:rPr>
        <w:t>lack of institution-specific evidence on the combined predictors of LET performance in a community college setting, the study enables the institution to identify areas for improvement and make evidence-based decisions that will enhance</w:t>
      </w:r>
      <w:r w:rsidRPr="006F6972">
        <w:rPr>
          <w:rFonts w:ascii="Arial" w:hAnsi="Arial" w:cs="Arial"/>
        </w:rPr>
        <w:t xml:space="preserve"> the quality of its teacher education program and, in turn, improve LET outcomes in future examination cycles.</w:t>
      </w:r>
    </w:p>
    <w:p w14:paraId="426F8307"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b/>
          <w:bCs/>
        </w:rPr>
        <w:t>Faculty Members.</w:t>
      </w:r>
      <w:r w:rsidRPr="006F6972">
        <w:rPr>
          <w:rFonts w:ascii="Arial" w:hAnsi="Arial" w:cs="Arial"/>
        </w:rPr>
        <w:t xml:space="preserve"> The study provides faculty members with deeper</w:t>
      </w:r>
      <w:r>
        <w:rPr>
          <w:rFonts w:ascii="Arial" w:hAnsi="Arial" w:cs="Arial"/>
        </w:rPr>
        <w:t xml:space="preserve"> insight</w:t>
      </w:r>
    </w:p>
    <w:p w14:paraId="4B028207" w14:textId="77777777" w:rsidR="001B225E" w:rsidRPr="006F6972" w:rsidRDefault="001B225E" w:rsidP="001B225E">
      <w:pPr>
        <w:spacing w:after="0" w:line="480" w:lineRule="auto"/>
        <w:jc w:val="both"/>
        <w:rPr>
          <w:rFonts w:ascii="Arial" w:hAnsi="Arial" w:cs="Arial"/>
        </w:rPr>
      </w:pPr>
      <w:r w:rsidRPr="006F6972">
        <w:rPr>
          <w:rFonts w:ascii="Arial" w:hAnsi="Arial" w:cs="Arial"/>
        </w:rPr>
        <w:lastRenderedPageBreak/>
        <w:t xml:space="preserve">into the impact of academic performance, study habits, review preparation practices, and institutional support on </w:t>
      </w:r>
      <w:r>
        <w:rPr>
          <w:rFonts w:ascii="Arial" w:hAnsi="Arial" w:cs="Arial"/>
        </w:rPr>
        <w:t>students' LET outcomes</w:t>
      </w:r>
      <w:r w:rsidRPr="006F6972">
        <w:rPr>
          <w:rFonts w:ascii="Arial" w:hAnsi="Arial" w:cs="Arial"/>
        </w:rPr>
        <w:t>. By closing the gap left by prior research that examined these factors only in isolation, the study enables faculty to enhance their teaching methods, reinforce the curriculum, and offer more focused academic support to LET takers.</w:t>
      </w:r>
    </w:p>
    <w:p w14:paraId="3A432242"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b/>
          <w:bCs/>
        </w:rPr>
        <w:t>Education Students and LET Takers.</w:t>
      </w:r>
      <w:r w:rsidRPr="006F6972">
        <w:rPr>
          <w:rFonts w:ascii="Arial" w:hAnsi="Arial" w:cs="Arial"/>
        </w:rPr>
        <w:t xml:space="preserve"> The study directly benefits education students and LET takers in the community college by identifying the specific variables that significantly predict licensure success. In doing so, it addresses the lack of localized guidance available to graduates of resource-constrained institutions, and its findings guide them in improving their study habits, review preparation practices, and overall academic performance in preparation for the LET.</w:t>
      </w:r>
    </w:p>
    <w:p w14:paraId="3C85FE0A"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b/>
          <w:bCs/>
        </w:rPr>
        <w:t>Commission on Higher Education (CHED).</w:t>
      </w:r>
      <w:r w:rsidRPr="006F6972">
        <w:rPr>
          <w:rFonts w:ascii="Arial" w:hAnsi="Arial" w:cs="Arial"/>
        </w:rPr>
        <w:t xml:space="preserve"> The study provides CHED with empirical data on the predictors of LET performance within the context of a community college in Albay</w:t>
      </w:r>
      <w:r>
        <w:rPr>
          <w:rFonts w:ascii="Arial" w:hAnsi="Arial" w:cs="Arial"/>
        </w:rPr>
        <w:t xml:space="preserve">, a setting underrepresented in existing national studies, </w:t>
      </w:r>
      <w:r w:rsidRPr="006F6972">
        <w:rPr>
          <w:rFonts w:ascii="Arial" w:hAnsi="Arial" w:cs="Arial"/>
        </w:rPr>
        <w:t>contributing to the development of evidence-based policies and quality assurance interventions designed to improve teacher education programs and strengthen licensure readiness across similar institutions in the region.</w:t>
      </w:r>
    </w:p>
    <w:p w14:paraId="7B6FAB15"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b/>
          <w:bCs/>
        </w:rPr>
        <w:t>Local Government Units (LGUs).</w:t>
      </w:r>
      <w:r w:rsidRPr="006F6972">
        <w:rPr>
          <w:rFonts w:ascii="Arial" w:hAnsi="Arial" w:cs="Arial"/>
        </w:rPr>
        <w:t xml:space="preserve"> Because community colleges are typically established and supported by local governments, the results inform the local government unit of the host municipality and the province of Albay about the state of teacher education and licensure performance in the community </w:t>
      </w:r>
      <w:proofErr w:type="spellStart"/>
      <w:r w:rsidRPr="006F6972">
        <w:rPr>
          <w:rFonts w:ascii="Arial" w:hAnsi="Arial" w:cs="Arial"/>
        </w:rPr>
        <w:t>college,enabling</w:t>
      </w:r>
      <w:proofErr w:type="spellEnd"/>
      <w:r w:rsidRPr="006F6972">
        <w:rPr>
          <w:rFonts w:ascii="Arial" w:hAnsi="Arial" w:cs="Arial"/>
        </w:rPr>
        <w:t xml:space="preserve"> local authorities to allocate appropriate resources and provide </w:t>
      </w:r>
      <w:r w:rsidRPr="006F6972">
        <w:rPr>
          <w:rFonts w:ascii="Arial" w:hAnsi="Arial" w:cs="Arial"/>
        </w:rPr>
        <w:lastRenderedPageBreak/>
        <w:t>targeted support to improve educational outcomes and teacher quality in the community.</w:t>
      </w:r>
    </w:p>
    <w:p w14:paraId="06034296" w14:textId="77777777" w:rsidR="001B225E" w:rsidRPr="00152A35" w:rsidRDefault="001B225E" w:rsidP="001B225E">
      <w:pPr>
        <w:spacing w:after="0" w:line="480" w:lineRule="auto"/>
        <w:ind w:firstLine="720"/>
        <w:jc w:val="both"/>
        <w:rPr>
          <w:rFonts w:ascii="Arial" w:hAnsi="Arial" w:cs="Arial"/>
        </w:rPr>
      </w:pPr>
      <w:r w:rsidRPr="006F6972">
        <w:rPr>
          <w:rFonts w:ascii="Arial" w:hAnsi="Arial" w:cs="Arial"/>
          <w:b/>
          <w:bCs/>
        </w:rPr>
        <w:t>Future Researchers.</w:t>
      </w:r>
      <w:r w:rsidRPr="006F6972">
        <w:rPr>
          <w:rFonts w:ascii="Arial" w:hAnsi="Arial" w:cs="Arial"/>
        </w:rPr>
        <w:t xml:space="preserve"> The study provides a foundation for further investigation into LET performance, academic predictors of licensure success, and institutional support mechanisms specifically within the community college setting, an area where comprehensive, regression-based evidence remains limited.</w:t>
      </w:r>
    </w:p>
    <w:p w14:paraId="461E3501" w14:textId="77777777" w:rsidR="001B225E" w:rsidRPr="006F6972" w:rsidRDefault="001B225E" w:rsidP="001B225E">
      <w:pPr>
        <w:spacing w:after="0" w:line="480" w:lineRule="auto"/>
        <w:jc w:val="both"/>
        <w:rPr>
          <w:rFonts w:ascii="Arial" w:hAnsi="Arial" w:cs="Arial"/>
          <w:b/>
          <w:bCs/>
        </w:rPr>
      </w:pPr>
      <w:r w:rsidRPr="006F6972">
        <w:rPr>
          <w:rFonts w:ascii="Arial" w:hAnsi="Arial" w:cs="Arial"/>
          <w:b/>
          <w:bCs/>
        </w:rPr>
        <w:t>Scope and Delimitation of the Study</w:t>
      </w:r>
    </w:p>
    <w:p w14:paraId="0FE45044" w14:textId="77777777" w:rsidR="001B225E" w:rsidRDefault="001B225E" w:rsidP="001B225E">
      <w:pPr>
        <w:spacing w:after="0" w:line="480" w:lineRule="auto"/>
        <w:jc w:val="both"/>
        <w:rPr>
          <w:rFonts w:ascii="Arial" w:hAnsi="Arial" w:cs="Arial"/>
        </w:rPr>
      </w:pPr>
      <w:r w:rsidRPr="006F6972">
        <w:rPr>
          <w:rFonts w:ascii="Arial" w:hAnsi="Arial" w:cs="Arial"/>
          <w:b/>
          <w:bCs/>
        </w:rPr>
        <w:tab/>
      </w:r>
      <w:r w:rsidRPr="006F6972">
        <w:rPr>
          <w:rFonts w:ascii="Arial" w:hAnsi="Arial" w:cs="Arial"/>
        </w:rPr>
        <w:t xml:space="preserve">This study focused on </w:t>
      </w:r>
      <w:r>
        <w:rPr>
          <w:rFonts w:ascii="Arial" w:hAnsi="Arial" w:cs="Arial"/>
        </w:rPr>
        <w:t>identifying predictors of performance in the Licensure Examination for Teachers among LET takers at</w:t>
      </w:r>
      <w:r w:rsidRPr="006F6972">
        <w:rPr>
          <w:rFonts w:ascii="Arial" w:hAnsi="Arial" w:cs="Arial"/>
        </w:rPr>
        <w:t xml:space="preserve"> a community college in Albay. Specifically, the study examined the profile variables, academic performance, study habits, review preparation practices, and institutional support of the respondents as potential predictors of LET performance. The respondents were the first-time LET takers from the 2025 graduates of the teacher education program who took the licensure examination during the examination cycles that fell within academic year 2024–2025, specifically the September 2025 and March 2026 LET administrations of the Professional Regulation Commission. From a total population of 165 first-time takers, a sample of 116 respondents was </w:t>
      </w:r>
      <w:r>
        <w:rPr>
          <w:rFonts w:ascii="Arial" w:hAnsi="Arial" w:cs="Arial"/>
        </w:rPr>
        <w:t xml:space="preserve">selected through power analysis in R*Power and </w:t>
      </w:r>
      <w:r w:rsidRPr="006F6972">
        <w:rPr>
          <w:rFonts w:ascii="Arial" w:hAnsi="Arial" w:cs="Arial"/>
        </w:rPr>
        <w:t xml:space="preserve">stratified random sampling with proportional allocation across the teacher education programs. </w:t>
      </w:r>
    </w:p>
    <w:p w14:paraId="44E7FF91" w14:textId="77777777" w:rsidR="001B225E" w:rsidRDefault="001B225E" w:rsidP="001B225E">
      <w:pPr>
        <w:spacing w:after="0" w:line="480" w:lineRule="auto"/>
        <w:ind w:firstLine="720"/>
        <w:jc w:val="both"/>
        <w:rPr>
          <w:rFonts w:ascii="Arial" w:hAnsi="Arial" w:cs="Arial"/>
        </w:rPr>
      </w:pPr>
      <w:r w:rsidRPr="006F6972">
        <w:rPr>
          <w:rFonts w:ascii="Arial" w:hAnsi="Arial" w:cs="Arial"/>
        </w:rPr>
        <w:t xml:space="preserve">The study was conducted within a five-month period, during which the research questionnaire was administered, retrieved, and analyzed. The </w:t>
      </w:r>
      <w:r>
        <w:rPr>
          <w:rFonts w:ascii="Arial" w:hAnsi="Arial" w:cs="Arial"/>
        </w:rPr>
        <w:t>study's results</w:t>
      </w:r>
      <w:r w:rsidRPr="006F6972">
        <w:rPr>
          <w:rFonts w:ascii="Arial" w:hAnsi="Arial" w:cs="Arial"/>
        </w:rPr>
        <w:t xml:space="preserve"> were used to develop a proposed intervention program to improve LET performance and licensure readiness at the institution.</w:t>
      </w:r>
      <w:r>
        <w:rPr>
          <w:rFonts w:ascii="Arial" w:hAnsi="Arial" w:cs="Arial"/>
        </w:rPr>
        <w:t xml:space="preserve"> </w:t>
      </w:r>
    </w:p>
    <w:p w14:paraId="134446BA"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lastRenderedPageBreak/>
        <w:t>The study was limited to the LET takers of</w:t>
      </w:r>
      <w:r>
        <w:rPr>
          <w:rFonts w:ascii="Arial" w:eastAsia="Arial" w:hAnsi="Arial" w:cs="Arial"/>
        </w:rPr>
        <w:t xml:space="preserve"> Community College in </w:t>
      </w:r>
      <w:proofErr w:type="spellStart"/>
      <w:r>
        <w:rPr>
          <w:rFonts w:ascii="Arial" w:eastAsia="Arial" w:hAnsi="Arial" w:cs="Arial"/>
        </w:rPr>
        <w:t>Polangui</w:t>
      </w:r>
      <w:proofErr w:type="spellEnd"/>
      <w:r>
        <w:rPr>
          <w:rFonts w:ascii="Arial" w:eastAsia="Arial" w:hAnsi="Arial" w:cs="Arial"/>
        </w:rPr>
        <w:t xml:space="preserve">, Albay, </w:t>
      </w:r>
      <w:r w:rsidRPr="006F6972">
        <w:rPr>
          <w:rFonts w:ascii="Arial" w:hAnsi="Arial" w:cs="Arial"/>
        </w:rPr>
        <w:t>and did not include graduates or LET takers from other higher education institutions within or outside the province. The study examined the identified variables as predictors of LET performance; other external factors</w:t>
      </w:r>
      <w:r>
        <w:rPr>
          <w:rFonts w:ascii="Arial" w:hAnsi="Arial" w:cs="Arial"/>
        </w:rPr>
        <w:t>,</w:t>
      </w:r>
      <w:r w:rsidRPr="006F6972">
        <w:rPr>
          <w:rFonts w:ascii="Arial" w:hAnsi="Arial" w:cs="Arial"/>
        </w:rPr>
        <w:t xml:space="preserve"> such as </w:t>
      </w:r>
      <w:r>
        <w:rPr>
          <w:rFonts w:ascii="Arial" w:hAnsi="Arial" w:cs="Arial"/>
        </w:rPr>
        <w:t>respondents' socio-economic background, personal circumstances, psychological conditions, and financial constraints</w:t>
      </w:r>
      <w:r w:rsidRPr="006F6972">
        <w:rPr>
          <w:rFonts w:ascii="Arial" w:hAnsi="Arial" w:cs="Arial"/>
        </w:rPr>
        <w:t>, which may also affect LET performance, were not investigated in the present study.</w:t>
      </w:r>
    </w:p>
    <w:p w14:paraId="3D5A1A5F" w14:textId="77777777" w:rsidR="001B225E" w:rsidRPr="006F6972" w:rsidRDefault="001B225E" w:rsidP="001B225E">
      <w:pPr>
        <w:spacing w:after="0" w:line="480" w:lineRule="auto"/>
        <w:rPr>
          <w:rFonts w:ascii="Arial" w:hAnsi="Arial" w:cs="Arial"/>
          <w:b/>
          <w:bCs/>
        </w:rPr>
      </w:pPr>
      <w:r w:rsidRPr="006F6972">
        <w:rPr>
          <w:rFonts w:ascii="Arial" w:hAnsi="Arial" w:cs="Arial"/>
          <w:b/>
          <w:bCs/>
        </w:rPr>
        <w:t xml:space="preserve">Definition of Terms </w:t>
      </w:r>
    </w:p>
    <w:p w14:paraId="44B28F52"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To ensure clarity, the following terms are defined both conceptually and operationally:</w:t>
      </w:r>
    </w:p>
    <w:p w14:paraId="11310A58"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b/>
          <w:bCs/>
        </w:rPr>
        <w:t>Academic Performance.</w:t>
      </w:r>
      <w:r w:rsidRPr="006F6972">
        <w:rPr>
          <w:rFonts w:ascii="Arial" w:hAnsi="Arial" w:cs="Arial"/>
        </w:rPr>
        <w:t xml:space="preserve"> This refers to the actual </w:t>
      </w:r>
      <w:r>
        <w:rPr>
          <w:rFonts w:ascii="Arial" w:hAnsi="Arial" w:cs="Arial"/>
        </w:rPr>
        <w:t xml:space="preserve">learning outcomes of a student, </w:t>
      </w:r>
      <w:r w:rsidRPr="006F6972">
        <w:rPr>
          <w:rFonts w:ascii="Arial" w:hAnsi="Arial" w:cs="Arial"/>
        </w:rPr>
        <w:t>documented in grades and class averages achieved during the college program (</w:t>
      </w:r>
      <w:proofErr w:type="spellStart"/>
      <w:r w:rsidRPr="006F6972">
        <w:rPr>
          <w:rFonts w:ascii="Arial" w:hAnsi="Arial" w:cs="Arial"/>
        </w:rPr>
        <w:t>Amanonce</w:t>
      </w:r>
      <w:proofErr w:type="spellEnd"/>
      <w:r w:rsidRPr="006F6972">
        <w:rPr>
          <w:rFonts w:ascii="Arial" w:hAnsi="Arial" w:cs="Arial"/>
        </w:rPr>
        <w:t xml:space="preserve"> &amp; Maramag, 2020). In this study, academic performance was defined as the GWA, Gen Ed average, Prof Ed average, Major or Specialization average, and Teaching Internship Grade of the LET takers in the community college, and constituted part of the Input block of the conceptual framework.</w:t>
      </w:r>
    </w:p>
    <w:p w14:paraId="2166855F"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b/>
          <w:bCs/>
        </w:rPr>
        <w:t>Cronbach's Alpha.</w:t>
      </w:r>
      <w:r w:rsidRPr="006F6972">
        <w:rPr>
          <w:rFonts w:ascii="Arial" w:hAnsi="Arial" w:cs="Arial"/>
        </w:rPr>
        <w:t xml:space="preserve"> This refers to a coefficient of internal consistency used to estimate the reliability of a psychometric instrument or scale (Cronbach, 1951). In this study, Cronbach's alpha was used to determine the reliability of the Likert-type subscales of the research questionnaire measuring study habits, review preparation practices, and institutional support.</w:t>
      </w:r>
    </w:p>
    <w:p w14:paraId="75175836"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b/>
          <w:bCs/>
        </w:rPr>
        <w:t>Document Review.</w:t>
      </w:r>
      <w:r w:rsidRPr="006F6972">
        <w:rPr>
          <w:rFonts w:ascii="Arial" w:hAnsi="Arial" w:cs="Arial"/>
        </w:rPr>
        <w:t xml:space="preserve"> This refers to a systematic procedure for gathering and examining existing records and documents as a source of research data (Bowen, </w:t>
      </w:r>
      <w:r w:rsidRPr="006F6972">
        <w:rPr>
          <w:rFonts w:ascii="Arial" w:hAnsi="Arial" w:cs="Arial"/>
        </w:rPr>
        <w:lastRenderedPageBreak/>
        <w:t xml:space="preserve">2009). In this study, document review referred to the process of retrieving and verifying the official academic records of the respondents, including their general weighted </w:t>
      </w:r>
      <w:r>
        <w:rPr>
          <w:rFonts w:ascii="Arial" w:hAnsi="Arial" w:cs="Arial"/>
        </w:rPr>
        <w:t>averages and subject-area averages, from the community college's files</w:t>
      </w:r>
      <w:r w:rsidRPr="006F6972">
        <w:rPr>
          <w:rFonts w:ascii="Arial" w:hAnsi="Arial" w:cs="Arial"/>
        </w:rPr>
        <w:t>.</w:t>
      </w:r>
    </w:p>
    <w:p w14:paraId="1BA0137E"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b/>
          <w:bCs/>
        </w:rPr>
        <w:t>General Weighted Average (GWA).</w:t>
      </w:r>
      <w:r w:rsidRPr="006F6972">
        <w:rPr>
          <w:rFonts w:ascii="Arial" w:hAnsi="Arial" w:cs="Arial"/>
        </w:rPr>
        <w:t xml:space="preserve"> This refers to </w:t>
      </w:r>
      <w:r>
        <w:rPr>
          <w:rFonts w:ascii="Arial" w:hAnsi="Arial" w:cs="Arial"/>
        </w:rPr>
        <w:t xml:space="preserve">a student's overall grade </w:t>
      </w:r>
      <w:r w:rsidRPr="006F6972">
        <w:rPr>
          <w:rFonts w:ascii="Arial" w:hAnsi="Arial" w:cs="Arial"/>
        </w:rPr>
        <w:t xml:space="preserve">across all </w:t>
      </w:r>
      <w:r>
        <w:rPr>
          <w:rFonts w:ascii="Arial" w:hAnsi="Arial" w:cs="Arial"/>
        </w:rPr>
        <w:t>completed subjects, where each grade is weighted by</w:t>
      </w:r>
      <w:r w:rsidRPr="006F6972">
        <w:rPr>
          <w:rFonts w:ascii="Arial" w:hAnsi="Arial" w:cs="Arial"/>
        </w:rPr>
        <w:t xml:space="preserve"> the credit units of the corresponding course (</w:t>
      </w:r>
      <w:proofErr w:type="spellStart"/>
      <w:r w:rsidRPr="006F6972">
        <w:rPr>
          <w:rFonts w:ascii="Arial" w:hAnsi="Arial" w:cs="Arial"/>
        </w:rPr>
        <w:t>Camarista</w:t>
      </w:r>
      <w:proofErr w:type="spellEnd"/>
      <w:r w:rsidRPr="006F6972">
        <w:rPr>
          <w:rFonts w:ascii="Arial" w:hAnsi="Arial" w:cs="Arial"/>
        </w:rPr>
        <w:t xml:space="preserve"> et al., 2025). In this study, the GWA referred to the overall academic grade of the LET takers in the community college and served as one of the Input variables in predicting LET performance.</w:t>
      </w:r>
    </w:p>
    <w:p w14:paraId="6718969F"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b/>
          <w:bCs/>
        </w:rPr>
        <w:t>Input-Environment-Outcome (I-E-O) Model.</w:t>
      </w:r>
      <w:r w:rsidRPr="006F6972">
        <w:rPr>
          <w:rFonts w:ascii="Arial" w:hAnsi="Arial" w:cs="Arial"/>
        </w:rPr>
        <w:t xml:space="preserve"> This refers to the conceptual model that explains how student characteristics at entry (Input) and institutional experiences (Environment) jointly shape student results (Outcome) (Astin, 1993). In this study, the I-E-O Model served as the conceptual framework</w:t>
      </w:r>
      <w:r>
        <w:rPr>
          <w:rFonts w:ascii="Arial" w:hAnsi="Arial" w:cs="Arial"/>
        </w:rPr>
        <w:t>, organizing</w:t>
      </w:r>
      <w:r w:rsidRPr="006F6972">
        <w:rPr>
          <w:rFonts w:ascii="Arial" w:hAnsi="Arial" w:cs="Arial"/>
        </w:rPr>
        <w:t xml:space="preserve"> the profile and academic performance variables as Inputs, the study habits, review preparation practices, and institutional support as the Environment, and the LET rating as the Outcome.</w:t>
      </w:r>
    </w:p>
    <w:p w14:paraId="35574766"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b/>
          <w:bCs/>
        </w:rPr>
        <w:t>Institutional Support.</w:t>
      </w:r>
      <w:r w:rsidRPr="006F6972">
        <w:rPr>
          <w:rFonts w:ascii="Arial" w:hAnsi="Arial" w:cs="Arial"/>
        </w:rPr>
        <w:t xml:space="preserve"> This refers to the programs, services, and resources provided by educational institutions to assist students in meeting their academic needs and increasing their chances of success (</w:t>
      </w:r>
      <w:proofErr w:type="spellStart"/>
      <w:r w:rsidRPr="006F6972">
        <w:rPr>
          <w:rFonts w:ascii="Arial" w:hAnsi="Arial" w:cs="Arial"/>
        </w:rPr>
        <w:t>Camañero</w:t>
      </w:r>
      <w:proofErr w:type="spellEnd"/>
      <w:r w:rsidRPr="006F6972">
        <w:rPr>
          <w:rFonts w:ascii="Arial" w:hAnsi="Arial" w:cs="Arial"/>
        </w:rPr>
        <w:t xml:space="preserve"> et al., 2024). In this study, institutional support referred to the review programs, mentoring, academic advising, and learning resources provided by the community college to its LET takers, and formed part of the Environment block of the conceptual framework.</w:t>
      </w:r>
    </w:p>
    <w:p w14:paraId="705AF4A2"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b/>
          <w:bCs/>
        </w:rPr>
        <w:t>Intervention Program.</w:t>
      </w:r>
      <w:r w:rsidRPr="006F6972">
        <w:rPr>
          <w:rFonts w:ascii="Arial" w:hAnsi="Arial" w:cs="Arial"/>
        </w:rPr>
        <w:t xml:space="preserve"> This refers to a structured set of evidence-based strategies designed to address identified gaps and improve specific academic or </w:t>
      </w:r>
      <w:r w:rsidRPr="006F6972">
        <w:rPr>
          <w:rFonts w:ascii="Arial" w:hAnsi="Arial" w:cs="Arial"/>
        </w:rPr>
        <w:lastRenderedPageBreak/>
        <w:t>professional outcomes (</w:t>
      </w:r>
      <w:proofErr w:type="spellStart"/>
      <w:r w:rsidRPr="006F6972">
        <w:rPr>
          <w:rFonts w:ascii="Arial" w:hAnsi="Arial" w:cs="Arial"/>
        </w:rPr>
        <w:t>Camañero</w:t>
      </w:r>
      <w:proofErr w:type="spellEnd"/>
      <w:r w:rsidRPr="006F6972">
        <w:rPr>
          <w:rFonts w:ascii="Arial" w:hAnsi="Arial" w:cs="Arial"/>
        </w:rPr>
        <w:t xml:space="preserve"> et al., 2024). In this study, the intervention program referred to the proposed institutional strategies developed based on the findings of the study to enhance LET performance in the community college, and represented the output derived from the Outcome block.</w:t>
      </w:r>
    </w:p>
    <w:p w14:paraId="6C67F039"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b/>
          <w:bCs/>
        </w:rPr>
        <w:t>LET Takers.</w:t>
      </w:r>
      <w:r w:rsidRPr="006F6972">
        <w:rPr>
          <w:rFonts w:ascii="Arial" w:hAnsi="Arial" w:cs="Arial"/>
        </w:rPr>
        <w:t xml:space="preserve"> This refers to teacher education graduates who have taken or are qualified to take the Licensure Examination for Teachers administered by the Professional Regulation Commission (Republic Act No. 7836, 1994). In this study, LET takers referred to </w:t>
      </w:r>
      <w:r>
        <w:rPr>
          <w:rFonts w:ascii="Arial" w:hAnsi="Arial" w:cs="Arial"/>
        </w:rPr>
        <w:t>first-time takers among the 2025 graduates of the community college who served as respondents</w:t>
      </w:r>
      <w:r w:rsidRPr="006F6972">
        <w:rPr>
          <w:rFonts w:ascii="Arial" w:hAnsi="Arial" w:cs="Arial"/>
        </w:rPr>
        <w:t>.</w:t>
      </w:r>
    </w:p>
    <w:p w14:paraId="6A77A0D5"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b/>
          <w:bCs/>
        </w:rPr>
        <w:t>Licensure Examination for Teachers (LET).</w:t>
      </w:r>
      <w:r w:rsidRPr="006F6972">
        <w:rPr>
          <w:rFonts w:ascii="Arial" w:hAnsi="Arial" w:cs="Arial"/>
        </w:rPr>
        <w:t xml:space="preserve"> This refers to the professional examination conducted by the Professional Regulation Commission to assess the competence and readiness of graduates of teacher education institutions to enter the teaching profession in the Philippines (Republic Act No. 7836, 1994). In this study, LET performance was defined as the actual rating obtained by </w:t>
      </w:r>
      <w:r>
        <w:rPr>
          <w:rFonts w:ascii="Arial" w:hAnsi="Arial" w:cs="Arial"/>
        </w:rPr>
        <w:t>graduates of the community college in the licensure examination and served as</w:t>
      </w:r>
      <w:r w:rsidRPr="006F6972">
        <w:rPr>
          <w:rFonts w:ascii="Arial" w:hAnsi="Arial" w:cs="Arial"/>
        </w:rPr>
        <w:t xml:space="preserve"> the Outcome variable of the conceptual framework.</w:t>
      </w:r>
    </w:p>
    <w:p w14:paraId="0A61FB66" w14:textId="77777777" w:rsidR="001B225E" w:rsidRDefault="001B225E" w:rsidP="001B225E">
      <w:pPr>
        <w:spacing w:after="0" w:line="480" w:lineRule="auto"/>
        <w:ind w:firstLine="720"/>
        <w:jc w:val="both"/>
        <w:rPr>
          <w:rFonts w:ascii="Arial" w:hAnsi="Arial" w:cs="Arial"/>
        </w:rPr>
      </w:pPr>
      <w:r w:rsidRPr="006F6972">
        <w:rPr>
          <w:rFonts w:ascii="Arial" w:hAnsi="Arial" w:cs="Arial"/>
          <w:b/>
          <w:bCs/>
        </w:rPr>
        <w:t>Predictors of Performance.</w:t>
      </w:r>
      <w:r w:rsidRPr="006F6972">
        <w:rPr>
          <w:rFonts w:ascii="Arial" w:hAnsi="Arial" w:cs="Arial"/>
        </w:rPr>
        <w:t xml:space="preserve"> These refer to the variables that affect or </w:t>
      </w:r>
    </w:p>
    <w:p w14:paraId="6BF640BC" w14:textId="77777777" w:rsidR="001B225E" w:rsidRDefault="001B225E" w:rsidP="001B225E">
      <w:pPr>
        <w:spacing w:after="0" w:line="480" w:lineRule="auto"/>
        <w:jc w:val="both"/>
        <w:rPr>
          <w:rFonts w:ascii="Arial" w:hAnsi="Arial" w:cs="Arial"/>
        </w:rPr>
      </w:pPr>
      <w:r w:rsidRPr="006F6972">
        <w:rPr>
          <w:rFonts w:ascii="Arial" w:hAnsi="Arial" w:cs="Arial"/>
        </w:rPr>
        <w:t>determine the result of a particular examination or assessment and that are identified through correlation and regression analysis (</w:t>
      </w:r>
      <w:proofErr w:type="spellStart"/>
      <w:r w:rsidRPr="006F6972">
        <w:rPr>
          <w:rFonts w:ascii="Arial" w:hAnsi="Arial" w:cs="Arial"/>
        </w:rPr>
        <w:t>Amanonce</w:t>
      </w:r>
      <w:proofErr w:type="spellEnd"/>
      <w:r w:rsidRPr="006F6972">
        <w:rPr>
          <w:rFonts w:ascii="Arial" w:hAnsi="Arial" w:cs="Arial"/>
        </w:rPr>
        <w:t xml:space="preserve"> &amp; Maramag, 2020). In this study, the predictors </w:t>
      </w:r>
      <w:r>
        <w:rPr>
          <w:rFonts w:ascii="Arial" w:hAnsi="Arial" w:cs="Arial"/>
        </w:rPr>
        <w:t>included profile variables, academic performance, study habits, review preparation practices, and institutional support for LET takers at</w:t>
      </w:r>
      <w:r w:rsidRPr="006F6972">
        <w:rPr>
          <w:rFonts w:ascii="Arial" w:hAnsi="Arial" w:cs="Arial"/>
        </w:rPr>
        <w:t xml:space="preserve"> the community college.</w:t>
      </w:r>
    </w:p>
    <w:p w14:paraId="611E4D7A"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b/>
          <w:bCs/>
        </w:rPr>
        <w:t>Review Preparation Practices.</w:t>
      </w:r>
      <w:r w:rsidRPr="006F6972">
        <w:rPr>
          <w:rFonts w:ascii="Arial" w:hAnsi="Arial" w:cs="Arial"/>
        </w:rPr>
        <w:t xml:space="preserve"> This refers to the intentional activities</w:t>
      </w:r>
    </w:p>
    <w:p w14:paraId="628F31C9" w14:textId="77777777" w:rsidR="001B225E" w:rsidRPr="006F6972" w:rsidRDefault="001B225E" w:rsidP="001B225E">
      <w:pPr>
        <w:spacing w:after="0" w:line="480" w:lineRule="auto"/>
        <w:jc w:val="both"/>
        <w:rPr>
          <w:rFonts w:ascii="Arial" w:hAnsi="Arial" w:cs="Arial"/>
        </w:rPr>
      </w:pPr>
      <w:r>
        <w:rPr>
          <w:rFonts w:ascii="Arial" w:hAnsi="Arial" w:cs="Arial"/>
        </w:rPr>
        <w:lastRenderedPageBreak/>
        <w:t>examinees undertake</w:t>
      </w:r>
      <w:r w:rsidRPr="006F6972">
        <w:rPr>
          <w:rFonts w:ascii="Arial" w:hAnsi="Arial" w:cs="Arial"/>
        </w:rPr>
        <w:t xml:space="preserve"> to prepare for a licensure examination, such as mock examinations, pre-board examinations, and targeted content review (Fiscal &amp; Roman, 2022). In this study, review preparation practices referred to the preparatory activities of the LET takers in the community college as determined by the research questionnaire, and formed part of the Environment block.</w:t>
      </w:r>
    </w:p>
    <w:p w14:paraId="2A75DE83"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b/>
          <w:bCs/>
        </w:rPr>
        <w:t>Student Integration.</w:t>
      </w:r>
      <w:r w:rsidRPr="006F6972">
        <w:rPr>
          <w:rFonts w:ascii="Arial" w:hAnsi="Arial" w:cs="Arial"/>
        </w:rPr>
        <w:t xml:space="preserve"> This refers to the degree to which a student becomes connected to </w:t>
      </w:r>
      <w:r>
        <w:rPr>
          <w:rFonts w:ascii="Arial" w:hAnsi="Arial" w:cs="Arial"/>
        </w:rPr>
        <w:t>an institution's academic and social systems, encompassing both academic</w:t>
      </w:r>
      <w:r w:rsidRPr="006F6972">
        <w:rPr>
          <w:rFonts w:ascii="Arial" w:hAnsi="Arial" w:cs="Arial"/>
        </w:rPr>
        <w:t xml:space="preserve"> and social integration (Tinto, 1975). In this study, student integration provided the theoretical basis for understanding how the institutional support and study habits variables shaped the </w:t>
      </w:r>
      <w:r>
        <w:rPr>
          <w:rFonts w:ascii="Arial" w:hAnsi="Arial" w:cs="Arial"/>
        </w:rPr>
        <w:t>licensure-readiness of LET takers at</w:t>
      </w:r>
      <w:r w:rsidRPr="006F6972">
        <w:rPr>
          <w:rFonts w:ascii="Arial" w:hAnsi="Arial" w:cs="Arial"/>
        </w:rPr>
        <w:t xml:space="preserve"> the community college.</w:t>
      </w:r>
    </w:p>
    <w:p w14:paraId="06E6100D"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b/>
          <w:bCs/>
        </w:rPr>
        <w:t>Study Habits.</w:t>
      </w:r>
      <w:r w:rsidRPr="006F6972">
        <w:rPr>
          <w:rFonts w:ascii="Arial" w:hAnsi="Arial" w:cs="Arial"/>
        </w:rPr>
        <w:t xml:space="preserve"> This refers to the regular patterns of behavior and approaches that students adopt </w:t>
      </w:r>
      <w:r>
        <w:rPr>
          <w:rFonts w:ascii="Arial" w:hAnsi="Arial" w:cs="Arial"/>
        </w:rPr>
        <w:t>to organize and review</w:t>
      </w:r>
      <w:r w:rsidRPr="006F6972">
        <w:rPr>
          <w:rFonts w:ascii="Arial" w:hAnsi="Arial" w:cs="Arial"/>
        </w:rPr>
        <w:t xml:space="preserve"> academic knowledge for learning or evaluation purposes (Islam, 2021). In this study, study habits referred to the consistent learning activities of the LET takers in preparing for the LET, as indicated in the research questionnaire, and formed part of the Environment block.</w:t>
      </w:r>
    </w:p>
    <w:p w14:paraId="430268A3"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b/>
          <w:bCs/>
        </w:rPr>
        <w:t>Teaching Internship Grade.</w:t>
      </w:r>
      <w:r w:rsidRPr="006F6972">
        <w:rPr>
          <w:rFonts w:ascii="Arial" w:hAnsi="Arial" w:cs="Arial"/>
        </w:rPr>
        <w:t xml:space="preserve"> This refers to the performance rating of a pre-service teacher who has undergone a supervised field teaching experience in the teacher education program (</w:t>
      </w:r>
      <w:proofErr w:type="spellStart"/>
      <w:r w:rsidRPr="006F6972">
        <w:rPr>
          <w:rFonts w:ascii="Arial" w:hAnsi="Arial" w:cs="Arial"/>
        </w:rPr>
        <w:t>Rogayan</w:t>
      </w:r>
      <w:proofErr w:type="spellEnd"/>
      <w:r w:rsidRPr="006F6972">
        <w:rPr>
          <w:rFonts w:ascii="Arial" w:hAnsi="Arial" w:cs="Arial"/>
        </w:rPr>
        <w:t xml:space="preserve"> &amp; </w:t>
      </w:r>
      <w:proofErr w:type="spellStart"/>
      <w:r w:rsidRPr="006F6972">
        <w:rPr>
          <w:rFonts w:ascii="Arial" w:hAnsi="Arial" w:cs="Arial"/>
        </w:rPr>
        <w:t>Reusia</w:t>
      </w:r>
      <w:proofErr w:type="spellEnd"/>
      <w:r w:rsidRPr="006F6972">
        <w:rPr>
          <w:rFonts w:ascii="Arial" w:hAnsi="Arial" w:cs="Arial"/>
        </w:rPr>
        <w:t xml:space="preserve">, 2021). In this study, the teaching internship grade referred to the grade earned by </w:t>
      </w:r>
      <w:r>
        <w:rPr>
          <w:rFonts w:ascii="Arial" w:hAnsi="Arial" w:cs="Arial"/>
        </w:rPr>
        <w:t>LET takers at the community college during the student teaching practicum and was</w:t>
      </w:r>
      <w:r w:rsidRPr="006F6972">
        <w:rPr>
          <w:rFonts w:ascii="Arial" w:hAnsi="Arial" w:cs="Arial"/>
        </w:rPr>
        <w:t xml:space="preserve"> one of the Input variables.</w:t>
      </w:r>
    </w:p>
    <w:p w14:paraId="4E750B9B" w14:textId="77777777" w:rsidR="001B225E" w:rsidRDefault="001B225E" w:rsidP="001B225E">
      <w:pPr>
        <w:spacing w:line="480" w:lineRule="auto"/>
        <w:rPr>
          <w:rFonts w:ascii="Arial" w:hAnsi="Arial" w:cs="Arial"/>
          <w:b/>
          <w:bCs/>
        </w:rPr>
      </w:pPr>
    </w:p>
    <w:p w14:paraId="7B4B23B4" w14:textId="77777777" w:rsidR="001B225E" w:rsidRPr="006F6972" w:rsidRDefault="001B225E" w:rsidP="001B225E">
      <w:pPr>
        <w:spacing w:line="480" w:lineRule="auto"/>
        <w:jc w:val="center"/>
        <w:rPr>
          <w:rFonts w:ascii="Arial" w:hAnsi="Arial" w:cs="Arial"/>
          <w:b/>
          <w:bCs/>
        </w:rPr>
      </w:pPr>
      <w:r w:rsidRPr="006F6972">
        <w:rPr>
          <w:rFonts w:ascii="Arial" w:hAnsi="Arial" w:cs="Arial"/>
          <w:b/>
          <w:bCs/>
        </w:rPr>
        <w:lastRenderedPageBreak/>
        <w:t>Notes</w:t>
      </w:r>
    </w:p>
    <w:p w14:paraId="0CA5ADE6" w14:textId="77777777" w:rsidR="001B225E" w:rsidRDefault="001B225E" w:rsidP="001B225E">
      <w:pPr>
        <w:spacing w:after="0" w:line="240" w:lineRule="auto"/>
        <w:ind w:firstLine="851"/>
        <w:jc w:val="both"/>
        <w:rPr>
          <w:rFonts w:ascii="Arial" w:hAnsi="Arial" w:cs="Arial"/>
        </w:rPr>
      </w:pPr>
      <w:r w:rsidRPr="006F6972">
        <w:rPr>
          <w:rFonts w:ascii="Arial" w:hAnsi="Arial" w:cs="Arial"/>
        </w:rPr>
        <w:t xml:space="preserve">Abao, E. L., </w:t>
      </w:r>
      <w:proofErr w:type="spellStart"/>
      <w:r w:rsidRPr="006F6972">
        <w:rPr>
          <w:rFonts w:ascii="Arial" w:hAnsi="Arial" w:cs="Arial"/>
        </w:rPr>
        <w:t>Petancio</w:t>
      </w:r>
      <w:proofErr w:type="spellEnd"/>
      <w:r w:rsidRPr="006F6972">
        <w:rPr>
          <w:rFonts w:ascii="Arial" w:hAnsi="Arial" w:cs="Arial"/>
        </w:rPr>
        <w:t xml:space="preserve">, J. A. M., Sanchez, J. M. P., &amp; Sumalinog, G. G. (2023). Performance of beginning teachers in the licensure examination for teachers: A national study. </w:t>
      </w:r>
      <w:r w:rsidRPr="006F6972">
        <w:rPr>
          <w:rFonts w:ascii="Arial" w:hAnsi="Arial" w:cs="Arial"/>
          <w:i/>
          <w:iCs/>
        </w:rPr>
        <w:t>Frontiers in Education, 8</w:t>
      </w:r>
      <w:r w:rsidRPr="006F6972">
        <w:rPr>
          <w:rFonts w:ascii="Arial" w:hAnsi="Arial" w:cs="Arial"/>
        </w:rPr>
        <w:t xml:space="preserve">, Article 1240658. </w:t>
      </w:r>
      <w:hyperlink r:id="rId9" w:history="1">
        <w:r w:rsidRPr="006F6972">
          <w:rPr>
            <w:rStyle w:val="Hyperlink"/>
            <w:rFonts w:ascii="Arial" w:hAnsi="Arial" w:cs="Arial"/>
            <w:color w:val="auto"/>
          </w:rPr>
          <w:t>https://doi.org/10.3389/feduc.2023.1240658</w:t>
        </w:r>
      </w:hyperlink>
    </w:p>
    <w:p w14:paraId="4B0D0D9F" w14:textId="77777777" w:rsidR="001B225E" w:rsidRPr="006F6972" w:rsidRDefault="001B225E" w:rsidP="001B225E">
      <w:pPr>
        <w:spacing w:after="0" w:line="240" w:lineRule="auto"/>
        <w:ind w:firstLine="851"/>
        <w:jc w:val="both"/>
        <w:rPr>
          <w:rFonts w:ascii="Arial" w:hAnsi="Arial" w:cs="Arial"/>
        </w:rPr>
      </w:pPr>
    </w:p>
    <w:p w14:paraId="4ED06806" w14:textId="77777777" w:rsidR="001B225E" w:rsidRPr="006F6972" w:rsidRDefault="001B225E" w:rsidP="001B225E">
      <w:pPr>
        <w:spacing w:line="240" w:lineRule="auto"/>
        <w:ind w:firstLine="851"/>
        <w:jc w:val="both"/>
        <w:rPr>
          <w:rFonts w:ascii="Arial" w:hAnsi="Arial" w:cs="Arial"/>
        </w:rPr>
      </w:pPr>
      <w:proofErr w:type="spellStart"/>
      <w:r w:rsidRPr="006F6972">
        <w:rPr>
          <w:rFonts w:ascii="Arial" w:hAnsi="Arial" w:cs="Arial"/>
        </w:rPr>
        <w:t>Amanonce</w:t>
      </w:r>
      <w:proofErr w:type="spellEnd"/>
      <w:r w:rsidRPr="006F6972">
        <w:rPr>
          <w:rFonts w:ascii="Arial" w:hAnsi="Arial" w:cs="Arial"/>
        </w:rPr>
        <w:t xml:space="preserve">, J. C. T., &amp; Maramag, A. M. (2020). Licensure examination performance and academic achievement of teacher education graduates. </w:t>
      </w:r>
      <w:r w:rsidRPr="006F6972">
        <w:rPr>
          <w:rFonts w:ascii="Arial" w:hAnsi="Arial" w:cs="Arial"/>
          <w:i/>
          <w:iCs/>
        </w:rPr>
        <w:t>International Journal of Evaluation and Research in Education, 9</w:t>
      </w:r>
      <w:r w:rsidRPr="006F6972">
        <w:rPr>
          <w:rFonts w:ascii="Arial" w:hAnsi="Arial" w:cs="Arial"/>
        </w:rPr>
        <w:t xml:space="preserve">(3), 510–516. </w:t>
      </w:r>
      <w:hyperlink r:id="rId10" w:history="1">
        <w:r w:rsidRPr="006F6972">
          <w:rPr>
            <w:rStyle w:val="Hyperlink"/>
            <w:rFonts w:ascii="Arial" w:hAnsi="Arial" w:cs="Arial"/>
            <w:color w:val="auto"/>
          </w:rPr>
          <w:t>https://doi.org/10.11591/ijere.v9i3.20614</w:t>
        </w:r>
      </w:hyperlink>
    </w:p>
    <w:p w14:paraId="2C339129"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 xml:space="preserve">Astin, A. W. (1993). </w:t>
      </w:r>
      <w:r w:rsidRPr="006F6972">
        <w:rPr>
          <w:rFonts w:ascii="Arial" w:hAnsi="Arial" w:cs="Arial"/>
          <w:i/>
          <w:iCs/>
        </w:rPr>
        <w:t>What matters in college? Four critical years revisited.</w:t>
      </w:r>
      <w:r w:rsidRPr="006F6972">
        <w:rPr>
          <w:rFonts w:ascii="Arial" w:hAnsi="Arial" w:cs="Arial"/>
        </w:rPr>
        <w:t xml:space="preserve"> Jossey-Bass.</w:t>
      </w:r>
    </w:p>
    <w:p w14:paraId="5154A9B6"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 xml:space="preserve">Bandura, A. (1977). Self-efficacy: Toward a unifying theory of behavioral change. </w:t>
      </w:r>
      <w:r w:rsidRPr="006F6972">
        <w:rPr>
          <w:rFonts w:ascii="Arial" w:hAnsi="Arial" w:cs="Arial"/>
          <w:i/>
          <w:iCs/>
        </w:rPr>
        <w:t>Psychological Review, 84</w:t>
      </w:r>
      <w:r w:rsidRPr="006F6972">
        <w:rPr>
          <w:rFonts w:ascii="Arial" w:hAnsi="Arial" w:cs="Arial"/>
        </w:rPr>
        <w:t xml:space="preserve">(2), 191–215. </w:t>
      </w:r>
      <w:hyperlink r:id="rId11" w:history="1">
        <w:r w:rsidRPr="006F6972">
          <w:rPr>
            <w:rStyle w:val="Hyperlink"/>
            <w:rFonts w:ascii="Arial" w:hAnsi="Arial" w:cs="Arial"/>
            <w:color w:val="auto"/>
          </w:rPr>
          <w:t>https://doi.org/10.1037/0033-295X.84.2.191</w:t>
        </w:r>
      </w:hyperlink>
    </w:p>
    <w:p w14:paraId="37FF8076" w14:textId="77777777" w:rsidR="001B225E" w:rsidRDefault="001B225E" w:rsidP="001B225E">
      <w:pPr>
        <w:spacing w:line="240" w:lineRule="auto"/>
        <w:ind w:firstLine="851"/>
        <w:jc w:val="both"/>
        <w:rPr>
          <w:rFonts w:ascii="Arial" w:hAnsi="Arial" w:cs="Arial"/>
        </w:rPr>
      </w:pPr>
      <w:r w:rsidRPr="006F6972">
        <w:rPr>
          <w:rFonts w:ascii="Arial" w:hAnsi="Arial" w:cs="Arial"/>
        </w:rPr>
        <w:t xml:space="preserve">Barcenas, J. (2022). The influence of study habits on the academic performance of senior high school students. </w:t>
      </w:r>
      <w:r w:rsidRPr="006F6972">
        <w:rPr>
          <w:rFonts w:ascii="Arial" w:hAnsi="Arial" w:cs="Arial"/>
          <w:i/>
          <w:iCs/>
        </w:rPr>
        <w:t>International Journal of Scientific Research and Management Studies.</w:t>
      </w:r>
      <w:r w:rsidRPr="006F6972">
        <w:rPr>
          <w:rFonts w:ascii="Arial" w:hAnsi="Arial" w:cs="Arial"/>
        </w:rPr>
        <w:t xml:space="preserve"> </w:t>
      </w:r>
      <w:hyperlink r:id="rId12" w:history="1">
        <w:r w:rsidRPr="006F6972">
          <w:rPr>
            <w:rStyle w:val="Hyperlink"/>
            <w:rFonts w:ascii="Arial" w:hAnsi="Arial" w:cs="Arial"/>
            <w:color w:val="auto"/>
          </w:rPr>
          <w:t>https://www.isroset.org/pub_paper/IJSRMS/4-ISROSET-IJSRMS-07170.pdf</w:t>
        </w:r>
      </w:hyperlink>
    </w:p>
    <w:p w14:paraId="5FF0046F"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 xml:space="preserve">Becker, G. S. (1964). </w:t>
      </w:r>
      <w:r w:rsidRPr="006F6972">
        <w:rPr>
          <w:rFonts w:ascii="Arial" w:hAnsi="Arial" w:cs="Arial"/>
          <w:i/>
          <w:iCs/>
        </w:rPr>
        <w:t>Human capital: A theoretical and empirical analysis, with special reference to education.</w:t>
      </w:r>
      <w:r w:rsidRPr="006F6972">
        <w:rPr>
          <w:rFonts w:ascii="Arial" w:hAnsi="Arial" w:cs="Arial"/>
        </w:rPr>
        <w:t xml:space="preserve"> Columbia University Press.</w:t>
      </w:r>
    </w:p>
    <w:p w14:paraId="15E700CD"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 xml:space="preserve">Bowen, G. A. (2009). Document analysis as a qualitative research method. </w:t>
      </w:r>
      <w:r w:rsidRPr="006F6972">
        <w:rPr>
          <w:rFonts w:ascii="Arial" w:hAnsi="Arial" w:cs="Arial"/>
          <w:i/>
          <w:iCs/>
        </w:rPr>
        <w:t>Qualitative Research Journal, 9</w:t>
      </w:r>
      <w:r w:rsidRPr="006F6972">
        <w:rPr>
          <w:rFonts w:ascii="Arial" w:hAnsi="Arial" w:cs="Arial"/>
        </w:rPr>
        <w:t xml:space="preserve">(2), 27–40. </w:t>
      </w:r>
      <w:hyperlink r:id="rId13" w:history="1">
        <w:r w:rsidRPr="006F6972">
          <w:rPr>
            <w:rStyle w:val="Hyperlink"/>
            <w:rFonts w:ascii="Arial" w:hAnsi="Arial" w:cs="Arial"/>
            <w:color w:val="auto"/>
          </w:rPr>
          <w:t>https://doi.org/10.3316/QRJ0902027</w:t>
        </w:r>
      </w:hyperlink>
    </w:p>
    <w:p w14:paraId="5A167038"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 xml:space="preserve">Bustos, M. T., </w:t>
      </w:r>
      <w:proofErr w:type="spellStart"/>
      <w:r w:rsidRPr="006F6972">
        <w:rPr>
          <w:rFonts w:ascii="Arial" w:hAnsi="Arial" w:cs="Arial"/>
        </w:rPr>
        <w:t>Cagasan</w:t>
      </w:r>
      <w:proofErr w:type="spellEnd"/>
      <w:r w:rsidRPr="006F6972">
        <w:rPr>
          <w:rFonts w:ascii="Arial" w:hAnsi="Arial" w:cs="Arial"/>
        </w:rPr>
        <w:t xml:space="preserve">, L., Jr., Ferido, N. M., Ocampo-Cristobal, D. J., &amp; </w:t>
      </w:r>
      <w:proofErr w:type="spellStart"/>
      <w:r w:rsidRPr="006F6972">
        <w:rPr>
          <w:rFonts w:ascii="Arial" w:hAnsi="Arial" w:cs="Arial"/>
        </w:rPr>
        <w:t>Ogena</w:t>
      </w:r>
      <w:proofErr w:type="spellEnd"/>
      <w:r w:rsidRPr="006F6972">
        <w:rPr>
          <w:rFonts w:ascii="Arial" w:hAnsi="Arial" w:cs="Arial"/>
        </w:rPr>
        <w:t xml:space="preserve">, E. (2025). </w:t>
      </w:r>
      <w:r w:rsidRPr="006F6972">
        <w:rPr>
          <w:rFonts w:ascii="Arial" w:hAnsi="Arial" w:cs="Arial"/>
          <w:i/>
          <w:iCs/>
        </w:rPr>
        <w:t>Fixing the foundations: Strengthening the teaching workforce through the BLEPT.</w:t>
      </w:r>
      <w:r w:rsidRPr="006F6972">
        <w:rPr>
          <w:rFonts w:ascii="Arial" w:hAnsi="Arial" w:cs="Arial"/>
        </w:rPr>
        <w:t xml:space="preserve"> Second Congressional Commission on Education. </w:t>
      </w:r>
      <w:hyperlink r:id="rId14" w:history="1">
        <w:r w:rsidRPr="006F6972">
          <w:rPr>
            <w:rStyle w:val="Hyperlink"/>
            <w:rFonts w:ascii="Arial" w:hAnsi="Arial" w:cs="Arial"/>
            <w:color w:val="auto"/>
          </w:rPr>
          <w:t>https://edcom2.gov.ph/publications/fixing-the-foundations-strengthening-the-teaching-workforce-through-the-blept/</w:t>
        </w:r>
      </w:hyperlink>
    </w:p>
    <w:p w14:paraId="29DBF394" w14:textId="77777777" w:rsidR="001B225E" w:rsidRPr="006F6972" w:rsidRDefault="001B225E" w:rsidP="001B225E">
      <w:pPr>
        <w:spacing w:line="240" w:lineRule="auto"/>
        <w:ind w:firstLine="851"/>
        <w:jc w:val="both"/>
        <w:rPr>
          <w:rFonts w:ascii="Arial" w:hAnsi="Arial" w:cs="Arial"/>
        </w:rPr>
      </w:pPr>
      <w:proofErr w:type="spellStart"/>
      <w:r w:rsidRPr="006F6972">
        <w:rPr>
          <w:rFonts w:ascii="Arial" w:hAnsi="Arial" w:cs="Arial"/>
          <w:lang w:val="it-IT"/>
        </w:rPr>
        <w:t>Camañero</w:t>
      </w:r>
      <w:proofErr w:type="spellEnd"/>
      <w:r w:rsidRPr="006F6972">
        <w:rPr>
          <w:rFonts w:ascii="Arial" w:hAnsi="Arial" w:cs="Arial"/>
          <w:lang w:val="it-IT"/>
        </w:rPr>
        <w:t xml:space="preserve">, R. T., Berico, A. M., &amp; Tan, D. A. (2024). </w:t>
      </w:r>
      <w:r w:rsidRPr="006F6972">
        <w:rPr>
          <w:rFonts w:ascii="Arial" w:hAnsi="Arial" w:cs="Arial"/>
        </w:rPr>
        <w:t xml:space="preserve">Predictors of licensure examination performance of bachelor's in education graduates of a community college in Bukidnon, Philippines. </w:t>
      </w:r>
      <w:r w:rsidRPr="006F6972">
        <w:rPr>
          <w:rFonts w:ascii="Arial" w:hAnsi="Arial" w:cs="Arial"/>
          <w:i/>
          <w:iCs/>
        </w:rPr>
        <w:t>International Journal of Research and Innovation in Social Science, 8</w:t>
      </w:r>
      <w:r w:rsidRPr="006F6972">
        <w:rPr>
          <w:rFonts w:ascii="Arial" w:hAnsi="Arial" w:cs="Arial"/>
        </w:rPr>
        <w:t xml:space="preserve">(10), 1234–1248. </w:t>
      </w:r>
      <w:hyperlink r:id="rId15" w:history="1">
        <w:r w:rsidRPr="006F6972">
          <w:rPr>
            <w:rStyle w:val="Hyperlink"/>
            <w:rFonts w:ascii="Arial" w:hAnsi="Arial" w:cs="Arial"/>
            <w:color w:val="auto"/>
          </w:rPr>
          <w:t>https://doi.org/10.47772/IJRISS</w:t>
        </w:r>
      </w:hyperlink>
    </w:p>
    <w:p w14:paraId="761C496E" w14:textId="77777777" w:rsidR="001B225E" w:rsidRPr="006F6972" w:rsidRDefault="001B225E" w:rsidP="001B225E">
      <w:pPr>
        <w:spacing w:line="240" w:lineRule="auto"/>
        <w:ind w:firstLine="851"/>
        <w:jc w:val="both"/>
        <w:rPr>
          <w:rFonts w:ascii="Arial" w:hAnsi="Arial" w:cs="Arial"/>
        </w:rPr>
      </w:pPr>
      <w:proofErr w:type="spellStart"/>
      <w:r w:rsidRPr="006F6972">
        <w:rPr>
          <w:rFonts w:ascii="Arial" w:hAnsi="Arial" w:cs="Arial"/>
          <w:lang w:val="it-IT"/>
        </w:rPr>
        <w:t>Camarista</w:t>
      </w:r>
      <w:proofErr w:type="spellEnd"/>
      <w:r w:rsidRPr="006F6972">
        <w:rPr>
          <w:rFonts w:ascii="Arial" w:hAnsi="Arial" w:cs="Arial"/>
          <w:lang w:val="it-IT"/>
        </w:rPr>
        <w:t xml:space="preserve">, G. G., </w:t>
      </w:r>
      <w:proofErr w:type="spellStart"/>
      <w:r w:rsidRPr="006F6972">
        <w:rPr>
          <w:rFonts w:ascii="Arial" w:hAnsi="Arial" w:cs="Arial"/>
          <w:lang w:val="it-IT"/>
        </w:rPr>
        <w:t>Cabatac</w:t>
      </w:r>
      <w:proofErr w:type="spellEnd"/>
      <w:r w:rsidRPr="006F6972">
        <w:rPr>
          <w:rFonts w:ascii="Arial" w:hAnsi="Arial" w:cs="Arial"/>
          <w:lang w:val="it-IT"/>
        </w:rPr>
        <w:t xml:space="preserve">, R. T., &amp; Tan, V. P. (2025). </w:t>
      </w:r>
      <w:r w:rsidRPr="006F6972">
        <w:rPr>
          <w:rFonts w:ascii="Arial" w:hAnsi="Arial" w:cs="Arial"/>
        </w:rPr>
        <w:t xml:space="preserve">College admission test, general weighted average and licensure examination for teachers performance of one state university in the Philippines. </w:t>
      </w:r>
      <w:r w:rsidRPr="006F6972">
        <w:rPr>
          <w:rFonts w:ascii="Arial" w:hAnsi="Arial" w:cs="Arial"/>
          <w:i/>
          <w:iCs/>
        </w:rPr>
        <w:t>International Journal of Research and Scientific Innovation.</w:t>
      </w:r>
      <w:r w:rsidRPr="006F6972">
        <w:rPr>
          <w:rFonts w:ascii="Arial" w:hAnsi="Arial" w:cs="Arial"/>
        </w:rPr>
        <w:t xml:space="preserve"> </w:t>
      </w:r>
      <w:hyperlink r:id="rId16" w:history="1">
        <w:r w:rsidRPr="006F6972">
          <w:rPr>
            <w:rStyle w:val="Hyperlink"/>
            <w:rFonts w:ascii="Arial" w:hAnsi="Arial" w:cs="Arial"/>
            <w:color w:val="auto"/>
          </w:rPr>
          <w:t>https://rsisinternational.org/journals/ijrsi/view/college-admission-test-general-weighted-average-and-licensure-examination-for-teachers-performance-of-one-state-university-in-the-philippines</w:t>
        </w:r>
      </w:hyperlink>
    </w:p>
    <w:p w14:paraId="363A0AE8"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lastRenderedPageBreak/>
        <w:t xml:space="preserve">Commission on Higher Education. (2024). </w:t>
      </w:r>
      <w:r w:rsidRPr="006F6972">
        <w:rPr>
          <w:rFonts w:ascii="Arial" w:hAnsi="Arial" w:cs="Arial"/>
          <w:i/>
          <w:iCs/>
        </w:rPr>
        <w:t>CMO No. 10, series of 2024: Policies, standards, and guidelines for quality assurance in teacher education.</w:t>
      </w:r>
      <w:r w:rsidRPr="006F6972">
        <w:rPr>
          <w:rFonts w:ascii="Arial" w:hAnsi="Arial" w:cs="Arial"/>
        </w:rPr>
        <w:t xml:space="preserve"> </w:t>
      </w:r>
      <w:hyperlink r:id="rId17" w:history="1">
        <w:r w:rsidRPr="006F6972">
          <w:rPr>
            <w:rStyle w:val="Hyperlink"/>
            <w:rFonts w:ascii="Arial" w:hAnsi="Arial" w:cs="Arial"/>
            <w:color w:val="auto"/>
          </w:rPr>
          <w:t>https://legacy.ched.gov.ph/wp-content/uploads/CMO-No.-10-s.-2024.pdf</w:t>
        </w:r>
      </w:hyperlink>
    </w:p>
    <w:p w14:paraId="6BC12931"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 xml:space="preserve">Cronbach, L. J. (1951). Coefficient alpha and the internal structure of tests. </w:t>
      </w:r>
      <w:r w:rsidRPr="006F6972">
        <w:rPr>
          <w:rFonts w:ascii="Arial" w:hAnsi="Arial" w:cs="Arial"/>
          <w:i/>
          <w:iCs/>
        </w:rPr>
        <w:t>Psychometrika, 16</w:t>
      </w:r>
      <w:r w:rsidRPr="006F6972">
        <w:rPr>
          <w:rFonts w:ascii="Arial" w:hAnsi="Arial" w:cs="Arial"/>
        </w:rPr>
        <w:t xml:space="preserve">(3), 297–334. </w:t>
      </w:r>
      <w:hyperlink r:id="rId18" w:history="1">
        <w:r w:rsidRPr="006F6972">
          <w:rPr>
            <w:rStyle w:val="Hyperlink"/>
            <w:rFonts w:ascii="Arial" w:hAnsi="Arial" w:cs="Arial"/>
            <w:color w:val="auto"/>
          </w:rPr>
          <w:t>https://doi.org/10.1007/BF02310555</w:t>
        </w:r>
      </w:hyperlink>
    </w:p>
    <w:p w14:paraId="6C561E81"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 xml:space="preserve">Dionio, B. B., </w:t>
      </w:r>
      <w:proofErr w:type="spellStart"/>
      <w:r w:rsidRPr="006F6972">
        <w:rPr>
          <w:rFonts w:ascii="Arial" w:hAnsi="Arial" w:cs="Arial"/>
        </w:rPr>
        <w:t>Dagpin</w:t>
      </w:r>
      <w:proofErr w:type="spellEnd"/>
      <w:r w:rsidRPr="006F6972">
        <w:rPr>
          <w:rFonts w:ascii="Arial" w:hAnsi="Arial" w:cs="Arial"/>
        </w:rPr>
        <w:t xml:space="preserve">, A. R. R., </w:t>
      </w:r>
      <w:proofErr w:type="spellStart"/>
      <w:r w:rsidRPr="006F6972">
        <w:rPr>
          <w:rFonts w:ascii="Arial" w:hAnsi="Arial" w:cs="Arial"/>
        </w:rPr>
        <w:t>Cabillas</w:t>
      </w:r>
      <w:proofErr w:type="spellEnd"/>
      <w:r w:rsidRPr="006F6972">
        <w:rPr>
          <w:rFonts w:ascii="Arial" w:hAnsi="Arial" w:cs="Arial"/>
        </w:rPr>
        <w:t xml:space="preserve">, A. J. Q. B., </w:t>
      </w:r>
      <w:proofErr w:type="spellStart"/>
      <w:r w:rsidRPr="006F6972">
        <w:rPr>
          <w:rFonts w:ascii="Arial" w:hAnsi="Arial" w:cs="Arial"/>
        </w:rPr>
        <w:t>Edullantes</w:t>
      </w:r>
      <w:proofErr w:type="spellEnd"/>
      <w:r w:rsidRPr="006F6972">
        <w:rPr>
          <w:rFonts w:ascii="Arial" w:hAnsi="Arial" w:cs="Arial"/>
        </w:rPr>
        <w:t xml:space="preserve">, J. R. T., &amp; </w:t>
      </w:r>
      <w:proofErr w:type="spellStart"/>
      <w:r w:rsidRPr="006F6972">
        <w:rPr>
          <w:rFonts w:ascii="Arial" w:hAnsi="Arial" w:cs="Arial"/>
        </w:rPr>
        <w:t>Baluyos</w:t>
      </w:r>
      <w:proofErr w:type="spellEnd"/>
      <w:r w:rsidRPr="006F6972">
        <w:rPr>
          <w:rFonts w:ascii="Arial" w:hAnsi="Arial" w:cs="Arial"/>
        </w:rPr>
        <w:t xml:space="preserve">, G. R. (2025). Predictors of graduates' performance in the licensure examination for teachers. </w:t>
      </w:r>
      <w:proofErr w:type="spellStart"/>
      <w:r w:rsidRPr="006F6972">
        <w:rPr>
          <w:rFonts w:ascii="Arial" w:hAnsi="Arial" w:cs="Arial"/>
          <w:i/>
          <w:iCs/>
        </w:rPr>
        <w:t>EduLine</w:t>
      </w:r>
      <w:proofErr w:type="spellEnd"/>
      <w:r w:rsidRPr="006F6972">
        <w:rPr>
          <w:rFonts w:ascii="Arial" w:hAnsi="Arial" w:cs="Arial"/>
          <w:i/>
          <w:iCs/>
        </w:rPr>
        <w:t>: Journal of Education and Learning Innovation, 5</w:t>
      </w:r>
      <w:r w:rsidRPr="006F6972">
        <w:rPr>
          <w:rFonts w:ascii="Arial" w:hAnsi="Arial" w:cs="Arial"/>
        </w:rPr>
        <w:t xml:space="preserve">(1), 79–103. </w:t>
      </w:r>
      <w:hyperlink r:id="rId19" w:history="1">
        <w:r w:rsidRPr="006F6972">
          <w:rPr>
            <w:rStyle w:val="Hyperlink"/>
            <w:rFonts w:ascii="Arial" w:hAnsi="Arial" w:cs="Arial"/>
            <w:color w:val="auto"/>
          </w:rPr>
          <w:t>https://doi.org/10.35877/454RI.eduline3535</w:t>
        </w:r>
      </w:hyperlink>
    </w:p>
    <w:p w14:paraId="3EDD35AC"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 xml:space="preserve">Fiscal, R. R., &amp; Roman, A. G. (2022). Pre-licensure examination as predictor of licensure examination for teachers result. </w:t>
      </w:r>
      <w:r w:rsidRPr="006F6972">
        <w:rPr>
          <w:rFonts w:ascii="Arial" w:hAnsi="Arial" w:cs="Arial"/>
          <w:i/>
          <w:iCs/>
        </w:rPr>
        <w:t>International Journal of Evaluation and Research in Education, 11</w:t>
      </w:r>
      <w:r w:rsidRPr="006F6972">
        <w:rPr>
          <w:rFonts w:ascii="Arial" w:hAnsi="Arial" w:cs="Arial"/>
        </w:rPr>
        <w:t xml:space="preserve">(1), 136–142. </w:t>
      </w:r>
      <w:hyperlink r:id="rId20" w:history="1">
        <w:r w:rsidRPr="006F6972">
          <w:rPr>
            <w:rStyle w:val="Hyperlink"/>
            <w:rFonts w:ascii="Arial" w:hAnsi="Arial" w:cs="Arial"/>
            <w:color w:val="auto"/>
          </w:rPr>
          <w:t>https://doi.org/10.11591/ijere.v11i1.22133</w:t>
        </w:r>
      </w:hyperlink>
    </w:p>
    <w:p w14:paraId="4760D63C" w14:textId="77777777" w:rsidR="001B225E" w:rsidRPr="006F6972" w:rsidRDefault="001B225E" w:rsidP="001B225E">
      <w:pPr>
        <w:spacing w:line="240" w:lineRule="auto"/>
        <w:ind w:firstLine="851"/>
        <w:jc w:val="both"/>
        <w:rPr>
          <w:rFonts w:ascii="Arial" w:hAnsi="Arial" w:cs="Arial"/>
        </w:rPr>
      </w:pPr>
      <w:proofErr w:type="spellStart"/>
      <w:r w:rsidRPr="006F6972">
        <w:rPr>
          <w:rFonts w:ascii="Arial" w:hAnsi="Arial" w:cs="Arial"/>
        </w:rPr>
        <w:t>Generelao</w:t>
      </w:r>
      <w:proofErr w:type="spellEnd"/>
      <w:r w:rsidRPr="006F6972">
        <w:rPr>
          <w:rFonts w:ascii="Arial" w:hAnsi="Arial" w:cs="Arial"/>
        </w:rPr>
        <w:t xml:space="preserve">, M. (2022). Teacher education in the Philippines: Are we making the grade? </w:t>
      </w:r>
      <w:r w:rsidRPr="006F6972">
        <w:rPr>
          <w:rFonts w:ascii="Arial" w:hAnsi="Arial" w:cs="Arial"/>
          <w:i/>
          <w:iCs/>
        </w:rPr>
        <w:t>Philippine Journal of Public Policy: Interdisciplinary Development Perspectives.</w:t>
      </w:r>
      <w:r w:rsidRPr="006F6972">
        <w:rPr>
          <w:rFonts w:ascii="Arial" w:hAnsi="Arial" w:cs="Arial"/>
        </w:rPr>
        <w:t xml:space="preserve"> </w:t>
      </w:r>
      <w:hyperlink r:id="rId21" w:history="1">
        <w:r w:rsidRPr="006F6972">
          <w:rPr>
            <w:rStyle w:val="Hyperlink"/>
            <w:rFonts w:ascii="Arial" w:hAnsi="Arial" w:cs="Arial"/>
            <w:color w:val="auto"/>
          </w:rPr>
          <w:t>https://cids.up.edu.ph/wp-content/uploads/2022/02/Generelao.-Teacher-education-in-the-PH.-PJPP-2022.pdf</w:t>
        </w:r>
      </w:hyperlink>
    </w:p>
    <w:p w14:paraId="690791F6" w14:textId="77777777" w:rsidR="001B225E" w:rsidRPr="006F6972" w:rsidRDefault="001B225E" w:rsidP="001B225E">
      <w:pPr>
        <w:spacing w:line="240" w:lineRule="auto"/>
        <w:ind w:firstLine="851"/>
        <w:jc w:val="both"/>
        <w:rPr>
          <w:rFonts w:ascii="Arial" w:hAnsi="Arial" w:cs="Arial"/>
        </w:rPr>
      </w:pPr>
      <w:proofErr w:type="spellStart"/>
      <w:r w:rsidRPr="006F6972">
        <w:rPr>
          <w:rFonts w:ascii="Arial" w:hAnsi="Arial" w:cs="Arial"/>
          <w:lang w:val="it-IT"/>
        </w:rPr>
        <w:t>Guardario</w:t>
      </w:r>
      <w:proofErr w:type="spellEnd"/>
      <w:r w:rsidRPr="006F6972">
        <w:rPr>
          <w:rFonts w:ascii="Arial" w:hAnsi="Arial" w:cs="Arial"/>
          <w:lang w:val="it-IT"/>
        </w:rPr>
        <w:t xml:space="preserve">, L. B., Bucio, C. J. M., </w:t>
      </w:r>
      <w:proofErr w:type="spellStart"/>
      <w:r w:rsidRPr="006F6972">
        <w:rPr>
          <w:rFonts w:ascii="Arial" w:hAnsi="Arial" w:cs="Arial"/>
          <w:lang w:val="it-IT"/>
        </w:rPr>
        <w:t>Garocho</w:t>
      </w:r>
      <w:proofErr w:type="spellEnd"/>
      <w:r w:rsidRPr="006F6972">
        <w:rPr>
          <w:rFonts w:ascii="Arial" w:hAnsi="Arial" w:cs="Arial"/>
          <w:lang w:val="it-IT"/>
        </w:rPr>
        <w:t xml:space="preserve">, L. K. B., &amp; Caballo, J. H. S. (2024). </w:t>
      </w:r>
      <w:r w:rsidRPr="006F6972">
        <w:rPr>
          <w:rFonts w:ascii="Arial" w:hAnsi="Arial" w:cs="Arial"/>
        </w:rPr>
        <w:t xml:space="preserve">Social support and expectancy as predictors of licensure examination success among professional teachers. </w:t>
      </w:r>
      <w:r w:rsidRPr="006F6972">
        <w:rPr>
          <w:rFonts w:ascii="Arial" w:hAnsi="Arial" w:cs="Arial"/>
          <w:i/>
          <w:iCs/>
        </w:rPr>
        <w:t>American Journal of Education and Technology, 3</w:t>
      </w:r>
      <w:r w:rsidRPr="006F6972">
        <w:rPr>
          <w:rFonts w:ascii="Arial" w:hAnsi="Arial" w:cs="Arial"/>
        </w:rPr>
        <w:t xml:space="preserve">(4), 24–44. </w:t>
      </w:r>
      <w:hyperlink r:id="rId22" w:history="1">
        <w:r w:rsidRPr="006F6972">
          <w:rPr>
            <w:rStyle w:val="Hyperlink"/>
            <w:rFonts w:ascii="Arial" w:hAnsi="Arial" w:cs="Arial"/>
            <w:color w:val="auto"/>
          </w:rPr>
          <w:t>https://doi.org/10.54536/ajet.v3i4.3416</w:t>
        </w:r>
      </w:hyperlink>
    </w:p>
    <w:p w14:paraId="62778639"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 xml:space="preserve">Islam, M. N. (2021). Study habits, self-esteem, and academic achievement among public and private secondary school students in Bangladesh. </w:t>
      </w:r>
      <w:r w:rsidRPr="006F6972">
        <w:rPr>
          <w:rFonts w:ascii="Arial" w:hAnsi="Arial" w:cs="Arial"/>
          <w:i/>
          <w:iCs/>
        </w:rPr>
        <w:t>International Journal of Psychology and Educational Studies, 8</w:t>
      </w:r>
      <w:r w:rsidRPr="006F6972">
        <w:rPr>
          <w:rFonts w:ascii="Arial" w:hAnsi="Arial" w:cs="Arial"/>
        </w:rPr>
        <w:t xml:space="preserve">(3), 39–50. </w:t>
      </w:r>
      <w:hyperlink r:id="rId23" w:history="1">
        <w:r w:rsidRPr="006F6972">
          <w:rPr>
            <w:rStyle w:val="Hyperlink"/>
            <w:rFonts w:ascii="Arial" w:hAnsi="Arial" w:cs="Arial"/>
            <w:color w:val="auto"/>
          </w:rPr>
          <w:t>https://files.eric.ed.gov/fulltext/EJ1308814.pdf</w:t>
        </w:r>
      </w:hyperlink>
    </w:p>
    <w:p w14:paraId="1E651C37"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lang w:val="it-IT"/>
        </w:rPr>
        <w:t xml:space="preserve">Olvido, M. M. J., </w:t>
      </w:r>
      <w:proofErr w:type="spellStart"/>
      <w:r w:rsidRPr="006F6972">
        <w:rPr>
          <w:rFonts w:ascii="Arial" w:hAnsi="Arial" w:cs="Arial"/>
          <w:lang w:val="it-IT"/>
        </w:rPr>
        <w:t>Dayagbil</w:t>
      </w:r>
      <w:proofErr w:type="spellEnd"/>
      <w:r w:rsidRPr="006F6972">
        <w:rPr>
          <w:rFonts w:ascii="Arial" w:hAnsi="Arial" w:cs="Arial"/>
          <w:lang w:val="it-IT"/>
        </w:rPr>
        <w:t xml:space="preserve">, F. T., Alda, R. C., </w:t>
      </w:r>
      <w:proofErr w:type="spellStart"/>
      <w:r w:rsidRPr="006F6972">
        <w:rPr>
          <w:rFonts w:ascii="Arial" w:hAnsi="Arial" w:cs="Arial"/>
          <w:lang w:val="it-IT"/>
        </w:rPr>
        <w:t>Uytico</w:t>
      </w:r>
      <w:proofErr w:type="spellEnd"/>
      <w:r w:rsidRPr="006F6972">
        <w:rPr>
          <w:rFonts w:ascii="Arial" w:hAnsi="Arial" w:cs="Arial"/>
          <w:lang w:val="it-IT"/>
        </w:rPr>
        <w:t xml:space="preserve">, B. J., &amp; Rodriguez, K. F. R. (2024). </w:t>
      </w:r>
      <w:r w:rsidRPr="006F6972">
        <w:rPr>
          <w:rFonts w:ascii="Arial" w:hAnsi="Arial" w:cs="Arial"/>
        </w:rPr>
        <w:t xml:space="preserve">An exploration of the quality of graduates of Philippine teacher education institutions. </w:t>
      </w:r>
      <w:r w:rsidRPr="006F6972">
        <w:rPr>
          <w:rFonts w:ascii="Arial" w:hAnsi="Arial" w:cs="Arial"/>
          <w:i/>
          <w:iCs/>
        </w:rPr>
        <w:t>Frontiers in Education, 9</w:t>
      </w:r>
      <w:r w:rsidRPr="006F6972">
        <w:rPr>
          <w:rFonts w:ascii="Arial" w:hAnsi="Arial" w:cs="Arial"/>
        </w:rPr>
        <w:t xml:space="preserve">, Article 1235261. </w:t>
      </w:r>
      <w:hyperlink r:id="rId24" w:history="1">
        <w:r w:rsidRPr="006F6972">
          <w:rPr>
            <w:rStyle w:val="Hyperlink"/>
            <w:rFonts w:ascii="Arial" w:hAnsi="Arial" w:cs="Arial"/>
            <w:color w:val="auto"/>
          </w:rPr>
          <w:t>https://doi.org/10.3389/feduc.2024.1235261</w:t>
        </w:r>
      </w:hyperlink>
    </w:p>
    <w:p w14:paraId="27F825DA"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 xml:space="preserve">Professional Regulation Commission. (2025). </w:t>
      </w:r>
      <w:r w:rsidRPr="006F6972">
        <w:rPr>
          <w:rFonts w:ascii="Arial" w:hAnsi="Arial" w:cs="Arial"/>
          <w:i/>
          <w:iCs/>
        </w:rPr>
        <w:t>Program of the licensure examination for teachers and table of specifications.</w:t>
      </w:r>
      <w:r w:rsidRPr="006F6972">
        <w:rPr>
          <w:rFonts w:ascii="Arial" w:hAnsi="Arial" w:cs="Arial"/>
        </w:rPr>
        <w:t xml:space="preserve"> Professional Regulation Commission.</w:t>
      </w:r>
    </w:p>
    <w:p w14:paraId="75D0D4B0" w14:textId="77777777" w:rsidR="001B225E" w:rsidRDefault="001B225E" w:rsidP="001B225E">
      <w:pPr>
        <w:spacing w:line="240" w:lineRule="auto"/>
        <w:ind w:firstLine="851"/>
        <w:jc w:val="both"/>
        <w:rPr>
          <w:rFonts w:ascii="Arial" w:hAnsi="Arial" w:cs="Arial"/>
        </w:rPr>
      </w:pPr>
      <w:proofErr w:type="spellStart"/>
      <w:r w:rsidRPr="006F6972">
        <w:rPr>
          <w:rFonts w:ascii="Arial" w:hAnsi="Arial" w:cs="Arial"/>
        </w:rPr>
        <w:t>Repayo</w:t>
      </w:r>
      <w:proofErr w:type="spellEnd"/>
      <w:r w:rsidRPr="006F6972">
        <w:rPr>
          <w:rFonts w:ascii="Arial" w:hAnsi="Arial" w:cs="Arial"/>
        </w:rPr>
        <w:t xml:space="preserve">, B. D., </w:t>
      </w:r>
      <w:proofErr w:type="spellStart"/>
      <w:r w:rsidRPr="006F6972">
        <w:rPr>
          <w:rFonts w:ascii="Arial" w:hAnsi="Arial" w:cs="Arial"/>
        </w:rPr>
        <w:t>Malonisio</w:t>
      </w:r>
      <w:proofErr w:type="spellEnd"/>
      <w:r w:rsidRPr="006F6972">
        <w:rPr>
          <w:rFonts w:ascii="Arial" w:hAnsi="Arial" w:cs="Arial"/>
        </w:rPr>
        <w:t xml:space="preserve">, M. O., &amp; </w:t>
      </w:r>
      <w:proofErr w:type="spellStart"/>
      <w:r w:rsidRPr="006F6972">
        <w:rPr>
          <w:rFonts w:ascii="Arial" w:hAnsi="Arial" w:cs="Arial"/>
        </w:rPr>
        <w:t>Tambong</w:t>
      </w:r>
      <w:proofErr w:type="spellEnd"/>
      <w:r w:rsidRPr="006F6972">
        <w:rPr>
          <w:rFonts w:ascii="Arial" w:hAnsi="Arial" w:cs="Arial"/>
        </w:rPr>
        <w:t xml:space="preserve">, C. R. (2025). Beyond admission scores: Mapping the strongest predictors of LET performance in </w:t>
      </w:r>
      <w:proofErr w:type="spellStart"/>
      <w:r w:rsidRPr="006F6972">
        <w:rPr>
          <w:rFonts w:ascii="Arial" w:hAnsi="Arial" w:cs="Arial"/>
        </w:rPr>
        <w:t>BSEd</w:t>
      </w:r>
      <w:proofErr w:type="spellEnd"/>
      <w:r w:rsidRPr="006F6972">
        <w:rPr>
          <w:rFonts w:ascii="Arial" w:hAnsi="Arial" w:cs="Arial"/>
        </w:rPr>
        <w:t xml:space="preserve"> graduates. </w:t>
      </w:r>
      <w:proofErr w:type="spellStart"/>
      <w:r w:rsidRPr="006F6972">
        <w:rPr>
          <w:rFonts w:ascii="Arial" w:hAnsi="Arial" w:cs="Arial"/>
          <w:i/>
          <w:iCs/>
        </w:rPr>
        <w:t>Jurnal</w:t>
      </w:r>
      <w:proofErr w:type="spellEnd"/>
      <w:r w:rsidRPr="006F6972">
        <w:rPr>
          <w:rFonts w:ascii="Arial" w:hAnsi="Arial" w:cs="Arial"/>
          <w:i/>
          <w:iCs/>
        </w:rPr>
        <w:t xml:space="preserve"> </w:t>
      </w:r>
      <w:proofErr w:type="spellStart"/>
      <w:r w:rsidRPr="006F6972">
        <w:rPr>
          <w:rFonts w:ascii="Arial" w:hAnsi="Arial" w:cs="Arial"/>
          <w:i/>
          <w:iCs/>
        </w:rPr>
        <w:t>Ilmiah</w:t>
      </w:r>
      <w:proofErr w:type="spellEnd"/>
      <w:r w:rsidRPr="006F6972">
        <w:rPr>
          <w:rFonts w:ascii="Arial" w:hAnsi="Arial" w:cs="Arial"/>
          <w:i/>
          <w:iCs/>
        </w:rPr>
        <w:t xml:space="preserve"> Peuradeun, 13</w:t>
      </w:r>
      <w:r w:rsidRPr="006F6972">
        <w:rPr>
          <w:rFonts w:ascii="Arial" w:hAnsi="Arial" w:cs="Arial"/>
        </w:rPr>
        <w:t xml:space="preserve">(2), 1317–1344. </w:t>
      </w:r>
      <w:hyperlink r:id="rId25" w:history="1">
        <w:r w:rsidRPr="006F6972">
          <w:rPr>
            <w:rStyle w:val="Hyperlink"/>
            <w:rFonts w:ascii="Arial" w:hAnsi="Arial" w:cs="Arial"/>
            <w:color w:val="auto"/>
          </w:rPr>
          <w:t>https://doi.org/10.26811/peuradeun.v13i2.1364</w:t>
        </w:r>
      </w:hyperlink>
    </w:p>
    <w:p w14:paraId="677C627D"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lastRenderedPageBreak/>
        <w:t xml:space="preserve">Republic Act No. 7836. (1994). </w:t>
      </w:r>
      <w:r w:rsidRPr="006F6972">
        <w:rPr>
          <w:rFonts w:ascii="Arial" w:hAnsi="Arial" w:cs="Arial"/>
          <w:i/>
          <w:iCs/>
        </w:rPr>
        <w:t>Philippine Teachers Professionalization Act of 1994.</w:t>
      </w:r>
      <w:r w:rsidRPr="006F6972">
        <w:rPr>
          <w:rFonts w:ascii="Arial" w:hAnsi="Arial" w:cs="Arial"/>
        </w:rPr>
        <w:t xml:space="preserve"> Supreme Court E-Library. </w:t>
      </w:r>
      <w:hyperlink r:id="rId26" w:history="1">
        <w:r w:rsidRPr="006F6972">
          <w:rPr>
            <w:rStyle w:val="Hyperlink"/>
            <w:rFonts w:ascii="Arial" w:hAnsi="Arial" w:cs="Arial"/>
            <w:color w:val="auto"/>
          </w:rPr>
          <w:t>https://elibrary.judiciary.gov.ph/thebookshelf/showdocs/2/2676</w:t>
        </w:r>
      </w:hyperlink>
    </w:p>
    <w:p w14:paraId="29DB4DAC"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 xml:space="preserve">Rogayan, D. V., Jr., &amp; </w:t>
      </w:r>
      <w:proofErr w:type="spellStart"/>
      <w:r w:rsidRPr="006F6972">
        <w:rPr>
          <w:rFonts w:ascii="Arial" w:hAnsi="Arial" w:cs="Arial"/>
        </w:rPr>
        <w:t>Reusia</w:t>
      </w:r>
      <w:proofErr w:type="spellEnd"/>
      <w:r w:rsidRPr="006F6972">
        <w:rPr>
          <w:rFonts w:ascii="Arial" w:hAnsi="Arial" w:cs="Arial"/>
        </w:rPr>
        <w:t xml:space="preserve">, D. H. R. (2021). Teaching internship from the metaphorical lens of Filipino prospective teachers. </w:t>
      </w:r>
      <w:r w:rsidRPr="006F6972">
        <w:rPr>
          <w:rFonts w:ascii="Arial" w:hAnsi="Arial" w:cs="Arial"/>
          <w:i/>
          <w:iCs/>
        </w:rPr>
        <w:t>International Journal of Evaluation and Research in Education, 10</w:t>
      </w:r>
      <w:r w:rsidRPr="006F6972">
        <w:rPr>
          <w:rFonts w:ascii="Arial" w:hAnsi="Arial" w:cs="Arial"/>
        </w:rPr>
        <w:t xml:space="preserve">(3), 798–806. </w:t>
      </w:r>
      <w:hyperlink r:id="rId27" w:history="1">
        <w:r w:rsidRPr="006F6972">
          <w:rPr>
            <w:rStyle w:val="Hyperlink"/>
            <w:rFonts w:ascii="Arial" w:hAnsi="Arial" w:cs="Arial"/>
            <w:color w:val="auto"/>
          </w:rPr>
          <w:t>https://doi.org/10.11591/ijere.v10i3.21242</w:t>
        </w:r>
      </w:hyperlink>
    </w:p>
    <w:p w14:paraId="5D3F876A" w14:textId="77777777" w:rsidR="001B225E" w:rsidRPr="006F6972" w:rsidRDefault="001B225E" w:rsidP="001B225E">
      <w:pPr>
        <w:spacing w:line="240" w:lineRule="auto"/>
        <w:ind w:firstLine="851"/>
        <w:jc w:val="both"/>
        <w:rPr>
          <w:rFonts w:ascii="Arial" w:hAnsi="Arial" w:cs="Arial"/>
        </w:rPr>
      </w:pPr>
      <w:proofErr w:type="spellStart"/>
      <w:r w:rsidRPr="006F6972">
        <w:rPr>
          <w:rFonts w:ascii="Arial" w:hAnsi="Arial" w:cs="Arial"/>
        </w:rPr>
        <w:t>Sweller</w:t>
      </w:r>
      <w:proofErr w:type="spellEnd"/>
      <w:r w:rsidRPr="006F6972">
        <w:rPr>
          <w:rFonts w:ascii="Arial" w:hAnsi="Arial" w:cs="Arial"/>
        </w:rPr>
        <w:t xml:space="preserve">, J. (1988). Cognitive load during problem solving: Effects on learning. </w:t>
      </w:r>
      <w:r w:rsidRPr="006F6972">
        <w:rPr>
          <w:rFonts w:ascii="Arial" w:hAnsi="Arial" w:cs="Arial"/>
          <w:i/>
          <w:iCs/>
        </w:rPr>
        <w:t>Cognitive Science, 12</w:t>
      </w:r>
      <w:r w:rsidRPr="006F6972">
        <w:rPr>
          <w:rFonts w:ascii="Arial" w:hAnsi="Arial" w:cs="Arial"/>
        </w:rPr>
        <w:t xml:space="preserve">(2), 257–285. </w:t>
      </w:r>
      <w:hyperlink r:id="rId28" w:history="1">
        <w:r w:rsidRPr="006F6972">
          <w:rPr>
            <w:rStyle w:val="Hyperlink"/>
            <w:rFonts w:ascii="Arial" w:hAnsi="Arial" w:cs="Arial"/>
            <w:color w:val="auto"/>
          </w:rPr>
          <w:t>https://doi.org/10.1207/s15516709cog1202_4</w:t>
        </w:r>
      </w:hyperlink>
    </w:p>
    <w:p w14:paraId="693AD5BB" w14:textId="77777777" w:rsidR="001B225E" w:rsidRPr="006F6972" w:rsidRDefault="001B225E" w:rsidP="001B225E">
      <w:pPr>
        <w:spacing w:line="240" w:lineRule="auto"/>
        <w:ind w:firstLine="851"/>
        <w:jc w:val="both"/>
        <w:rPr>
          <w:rFonts w:ascii="Arial" w:hAnsi="Arial" w:cs="Arial"/>
        </w:rPr>
      </w:pPr>
      <w:proofErr w:type="spellStart"/>
      <w:r w:rsidRPr="006F6972">
        <w:rPr>
          <w:rFonts w:ascii="Arial" w:hAnsi="Arial" w:cs="Arial"/>
        </w:rPr>
        <w:t>Sweller</w:t>
      </w:r>
      <w:proofErr w:type="spellEnd"/>
      <w:r w:rsidRPr="006F6972">
        <w:rPr>
          <w:rFonts w:ascii="Arial" w:hAnsi="Arial" w:cs="Arial"/>
        </w:rPr>
        <w:t xml:space="preserve">, J. (2023). Discussion of the special issue on cognitive load theory. </w:t>
      </w:r>
      <w:r w:rsidRPr="006F6972">
        <w:rPr>
          <w:rFonts w:ascii="Arial" w:hAnsi="Arial" w:cs="Arial"/>
          <w:i/>
          <w:iCs/>
        </w:rPr>
        <w:t>British Journal of Educational Psychology, 93</w:t>
      </w:r>
      <w:r w:rsidRPr="006F6972">
        <w:rPr>
          <w:rFonts w:ascii="Arial" w:hAnsi="Arial" w:cs="Arial"/>
        </w:rPr>
        <w:t xml:space="preserve">(S1), 5–9. </w:t>
      </w:r>
      <w:hyperlink r:id="rId29" w:history="1">
        <w:r w:rsidRPr="006F6972">
          <w:rPr>
            <w:rStyle w:val="Hyperlink"/>
            <w:rFonts w:ascii="Arial" w:hAnsi="Arial" w:cs="Arial"/>
            <w:color w:val="auto"/>
          </w:rPr>
          <w:t>https://doi.org/10.1111/bjep.12606</w:t>
        </w:r>
      </w:hyperlink>
    </w:p>
    <w:p w14:paraId="11265A2D"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 xml:space="preserve">Tinto, V. (1975). Dropout from higher education: A theoretical synthesis of recent research. </w:t>
      </w:r>
      <w:r w:rsidRPr="006F6972">
        <w:rPr>
          <w:rFonts w:ascii="Arial" w:hAnsi="Arial" w:cs="Arial"/>
          <w:i/>
          <w:iCs/>
        </w:rPr>
        <w:t>Review of Educational Research, 45</w:t>
      </w:r>
      <w:r w:rsidRPr="006F6972">
        <w:rPr>
          <w:rFonts w:ascii="Arial" w:hAnsi="Arial" w:cs="Arial"/>
        </w:rPr>
        <w:t xml:space="preserve">(1), 89–125. </w:t>
      </w:r>
      <w:hyperlink r:id="rId30" w:history="1">
        <w:r w:rsidRPr="006F6972">
          <w:rPr>
            <w:rStyle w:val="Hyperlink"/>
            <w:rFonts w:ascii="Arial" w:hAnsi="Arial" w:cs="Arial"/>
            <w:color w:val="auto"/>
          </w:rPr>
          <w:t>https://doi.org/10.3102/00346543045001089</w:t>
        </w:r>
      </w:hyperlink>
    </w:p>
    <w:p w14:paraId="075E31C4"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 xml:space="preserve">Villafuerte, J. (2017). </w:t>
      </w:r>
      <w:r w:rsidRPr="006F6972">
        <w:rPr>
          <w:rFonts w:ascii="Arial" w:hAnsi="Arial" w:cs="Arial"/>
          <w:i/>
          <w:iCs/>
        </w:rPr>
        <w:t>Practicum experiences and licensure readiness in Bicol colleges.</w:t>
      </w:r>
    </w:p>
    <w:p w14:paraId="43A7CF45" w14:textId="77777777" w:rsidR="001B225E" w:rsidRPr="006F6972" w:rsidRDefault="001B225E" w:rsidP="001B225E">
      <w:pPr>
        <w:spacing w:line="480" w:lineRule="auto"/>
        <w:ind w:left="720" w:hanging="720"/>
        <w:jc w:val="both"/>
        <w:rPr>
          <w:rFonts w:ascii="Arial" w:hAnsi="Arial" w:cs="Arial"/>
        </w:rPr>
      </w:pPr>
    </w:p>
    <w:p w14:paraId="17C76435" w14:textId="77777777" w:rsidR="001B225E" w:rsidRPr="006F6972" w:rsidRDefault="001B225E" w:rsidP="001B225E">
      <w:pPr>
        <w:spacing w:line="480" w:lineRule="auto"/>
        <w:ind w:left="720" w:hanging="720"/>
        <w:jc w:val="both"/>
        <w:rPr>
          <w:rFonts w:ascii="Arial" w:hAnsi="Arial" w:cs="Arial"/>
        </w:rPr>
      </w:pPr>
    </w:p>
    <w:p w14:paraId="575C0C6F" w14:textId="77777777" w:rsidR="001B225E" w:rsidRPr="006F6972" w:rsidRDefault="001B225E" w:rsidP="001B225E">
      <w:pPr>
        <w:spacing w:line="480" w:lineRule="auto"/>
        <w:ind w:left="720" w:hanging="720"/>
        <w:jc w:val="both"/>
        <w:rPr>
          <w:rFonts w:ascii="Arial" w:hAnsi="Arial" w:cs="Arial"/>
        </w:rPr>
      </w:pPr>
    </w:p>
    <w:p w14:paraId="0155ED99" w14:textId="77777777" w:rsidR="001B225E" w:rsidRPr="006F6972" w:rsidRDefault="001B225E" w:rsidP="001B225E">
      <w:pPr>
        <w:spacing w:line="480" w:lineRule="auto"/>
        <w:ind w:left="720" w:hanging="720"/>
        <w:jc w:val="both"/>
        <w:rPr>
          <w:rFonts w:ascii="Arial" w:hAnsi="Arial" w:cs="Arial"/>
        </w:rPr>
      </w:pPr>
    </w:p>
    <w:p w14:paraId="5888AFF1" w14:textId="77777777" w:rsidR="001B225E" w:rsidRPr="006F6972" w:rsidRDefault="001B225E" w:rsidP="001B225E">
      <w:pPr>
        <w:spacing w:line="480" w:lineRule="auto"/>
        <w:ind w:left="720" w:hanging="720"/>
        <w:jc w:val="both"/>
        <w:rPr>
          <w:rFonts w:ascii="Arial" w:hAnsi="Arial" w:cs="Arial"/>
        </w:rPr>
      </w:pPr>
    </w:p>
    <w:p w14:paraId="0ED29496" w14:textId="77777777" w:rsidR="001B225E" w:rsidRPr="006F6972" w:rsidRDefault="001B225E" w:rsidP="001B225E">
      <w:pPr>
        <w:spacing w:line="480" w:lineRule="auto"/>
        <w:ind w:left="720" w:hanging="720"/>
        <w:jc w:val="both"/>
        <w:rPr>
          <w:rFonts w:ascii="Arial" w:hAnsi="Arial" w:cs="Arial"/>
        </w:rPr>
      </w:pPr>
    </w:p>
    <w:p w14:paraId="3F9AE9E0" w14:textId="77777777" w:rsidR="001B225E" w:rsidRPr="006F6972" w:rsidRDefault="001B225E" w:rsidP="001B225E">
      <w:pPr>
        <w:spacing w:line="480" w:lineRule="auto"/>
        <w:ind w:left="720" w:hanging="720"/>
        <w:jc w:val="both"/>
        <w:rPr>
          <w:rFonts w:ascii="Arial" w:hAnsi="Arial" w:cs="Arial"/>
        </w:rPr>
      </w:pPr>
    </w:p>
    <w:p w14:paraId="350B16BC" w14:textId="77777777" w:rsidR="001B225E" w:rsidRPr="006F6972" w:rsidRDefault="001B225E" w:rsidP="001B225E">
      <w:pPr>
        <w:spacing w:line="480" w:lineRule="auto"/>
        <w:ind w:left="720" w:hanging="720"/>
        <w:jc w:val="both"/>
        <w:rPr>
          <w:rFonts w:ascii="Arial" w:hAnsi="Arial" w:cs="Arial"/>
        </w:rPr>
      </w:pPr>
    </w:p>
    <w:p w14:paraId="0573F468" w14:textId="77777777" w:rsidR="001B225E" w:rsidRPr="006F6972" w:rsidRDefault="001B225E" w:rsidP="001B225E">
      <w:pPr>
        <w:spacing w:line="480" w:lineRule="auto"/>
        <w:jc w:val="both"/>
        <w:rPr>
          <w:rFonts w:ascii="Arial" w:hAnsi="Arial" w:cs="Arial"/>
        </w:rPr>
      </w:pPr>
    </w:p>
    <w:p w14:paraId="4C73DF8B" w14:textId="77777777" w:rsidR="001B225E" w:rsidRPr="007374BD" w:rsidRDefault="001B225E" w:rsidP="001B225E">
      <w:pPr>
        <w:spacing w:line="480" w:lineRule="auto"/>
        <w:jc w:val="center"/>
        <w:rPr>
          <w:rFonts w:ascii="Arial" w:hAnsi="Arial" w:cs="Arial"/>
        </w:rPr>
      </w:pPr>
      <w:r w:rsidRPr="007374BD">
        <w:rPr>
          <w:rFonts w:ascii="Arial" w:hAnsi="Arial" w:cs="Arial"/>
          <w:noProof/>
        </w:rPr>
        <w:lastRenderedPageBreak/>
        <mc:AlternateContent>
          <mc:Choice Requires="wps">
            <w:drawing>
              <wp:anchor distT="0" distB="0" distL="114300" distR="114300" simplePos="0" relativeHeight="251661312" behindDoc="0" locked="0" layoutInCell="1" hidden="0" allowOverlap="1" wp14:anchorId="054BA145" wp14:editId="4176836C">
                <wp:simplePos x="0" y="0"/>
                <wp:positionH relativeFrom="column">
                  <wp:posOffset>5168900</wp:posOffset>
                </wp:positionH>
                <wp:positionV relativeFrom="paragraph">
                  <wp:posOffset>-347345</wp:posOffset>
                </wp:positionV>
                <wp:extent cx="327025" cy="261257"/>
                <wp:effectExtent l="0" t="0" r="3175" b="5715"/>
                <wp:wrapNone/>
                <wp:docPr id="1067787062" name="Rectangle 1067787062"/>
                <wp:cNvGraphicFramePr/>
                <a:graphic xmlns:a="http://schemas.openxmlformats.org/drawingml/2006/main">
                  <a:graphicData uri="http://schemas.microsoft.com/office/word/2010/wordprocessingShape">
                    <wps:wsp>
                      <wps:cNvSpPr/>
                      <wps:spPr>
                        <a:xfrm flipV="1">
                          <a:off x="0" y="0"/>
                          <a:ext cx="327025" cy="261257"/>
                        </a:xfrm>
                        <a:prstGeom prst="rect">
                          <a:avLst/>
                        </a:prstGeom>
                        <a:solidFill>
                          <a:schemeClr val="lt1"/>
                        </a:solidFill>
                        <a:ln>
                          <a:noFill/>
                        </a:ln>
                      </wps:spPr>
                      <wps:txbx>
                        <w:txbxContent>
                          <w:p w14:paraId="677F6D3B" w14:textId="77777777" w:rsidR="001B225E" w:rsidRDefault="001B225E" w:rsidP="001B225E">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54BA145" id="Rectangle 1067787062" o:spid="_x0000_s1027" style="position:absolute;left:0;text-align:left;margin-left:407pt;margin-top:-27.35pt;width:25.75pt;height:20.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" fillcolor="white [3201]" stroked="f">
                <v:textbox inset="2.53958mm,2.53958mm,2.53958mm,2.53958mm">
                  <w:txbxContent>
                    <w:p w14:paraId="677F6D3B" w14:textId="77777777" w:rsidR="001B225E" w:rsidRDefault="001B225E" w:rsidP="001B225E">
                      <w:pPr>
                        <w:spacing w:after="0" w:line="240" w:lineRule="auto"/>
                        <w:textDirection w:val="btLr"/>
                      </w:pPr>
                    </w:p>
                  </w:txbxContent>
                </v:textbox>
              </v:rect>
            </w:pict>
          </mc:Fallback>
        </mc:AlternateContent>
      </w:r>
      <w:r w:rsidRPr="007374BD">
        <w:rPr>
          <w:rFonts w:ascii="Arial" w:hAnsi="Arial" w:cs="Arial"/>
        </w:rPr>
        <w:t>Chapter 2</w:t>
      </w:r>
    </w:p>
    <w:p w14:paraId="1453C651" w14:textId="77777777" w:rsidR="001B225E" w:rsidRPr="006F6972" w:rsidRDefault="001B225E" w:rsidP="001B225E">
      <w:pPr>
        <w:spacing w:line="480" w:lineRule="auto"/>
        <w:jc w:val="center"/>
        <w:rPr>
          <w:rFonts w:ascii="Arial" w:hAnsi="Arial" w:cs="Arial"/>
          <w:b/>
          <w:bCs/>
        </w:rPr>
      </w:pPr>
      <w:r w:rsidRPr="006F6972">
        <w:rPr>
          <w:rFonts w:ascii="Arial" w:hAnsi="Arial" w:cs="Arial"/>
          <w:b/>
          <w:bCs/>
        </w:rPr>
        <w:t xml:space="preserve">REVIEW OF RELATED LITERATURE </w:t>
      </w:r>
    </w:p>
    <w:p w14:paraId="6CEBDDB3" w14:textId="77777777" w:rsidR="001B225E" w:rsidRDefault="001B225E" w:rsidP="001B225E">
      <w:pPr>
        <w:spacing w:after="0" w:line="480" w:lineRule="auto"/>
        <w:ind w:firstLine="720"/>
        <w:jc w:val="both"/>
        <w:rPr>
          <w:rFonts w:ascii="Arial" w:hAnsi="Arial" w:cs="Arial"/>
        </w:rPr>
      </w:pPr>
      <w:r w:rsidRPr="006F6972">
        <w:rPr>
          <w:rFonts w:ascii="Arial" w:hAnsi="Arial" w:cs="Arial"/>
        </w:rPr>
        <w:t xml:space="preserve">The alignment of the Licensure Examination for Teachers (LET) </w:t>
      </w:r>
      <w:r>
        <w:rPr>
          <w:rFonts w:ascii="Arial" w:hAnsi="Arial" w:cs="Arial"/>
        </w:rPr>
        <w:t>with the teacher education curriculum is guided by the Professional Regulation Commission's (2025) guidelines</w:t>
      </w:r>
      <w:r w:rsidRPr="006F6972">
        <w:rPr>
          <w:rFonts w:ascii="Arial" w:hAnsi="Arial" w:cs="Arial"/>
        </w:rPr>
        <w:t xml:space="preserve">. This source is important to the current research because it </w:t>
      </w:r>
      <w:r>
        <w:rPr>
          <w:rFonts w:ascii="Arial" w:hAnsi="Arial" w:cs="Arial"/>
        </w:rPr>
        <w:t>shows that preparation for licensure should align</w:t>
      </w:r>
      <w:r w:rsidRPr="006F6972">
        <w:rPr>
          <w:rFonts w:ascii="Arial" w:hAnsi="Arial" w:cs="Arial"/>
        </w:rPr>
        <w:t xml:space="preserve"> with the curriculum and examination coverage. The academic achievement of </w:t>
      </w:r>
      <w:r>
        <w:rPr>
          <w:rFonts w:ascii="Arial" w:hAnsi="Arial" w:cs="Arial"/>
        </w:rPr>
        <w:t>graduates in general education, professional education, specialization, and teaching internship may be a relevant measure of their readiness to take the licensure examination, as</w:t>
      </w:r>
      <w:r w:rsidRPr="006F6972">
        <w:rPr>
          <w:rFonts w:ascii="Arial" w:hAnsi="Arial" w:cs="Arial"/>
        </w:rPr>
        <w:t xml:space="preserve"> the examination is closely linked to the content and competencies taught in teacher education programs. </w:t>
      </w:r>
    </w:p>
    <w:p w14:paraId="2FA518C9"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The changes also applied to the next examination and test schedules in September 2025</w:t>
      </w:r>
      <w:r>
        <w:rPr>
          <w:rFonts w:ascii="Arial" w:hAnsi="Arial" w:cs="Arial"/>
        </w:rPr>
        <w:t xml:space="preserve"> and March 2026</w:t>
      </w:r>
      <w:r w:rsidRPr="006F6972">
        <w:rPr>
          <w:rFonts w:ascii="Arial" w:hAnsi="Arial" w:cs="Arial"/>
        </w:rPr>
        <w:t>, which made the source current and useful for the proposed study, as the respondents were related to the context of the Licensure Examination for Teachers (LET) in 2025</w:t>
      </w:r>
      <w:r>
        <w:rPr>
          <w:rFonts w:ascii="Arial" w:hAnsi="Arial" w:cs="Arial"/>
        </w:rPr>
        <w:t xml:space="preserve"> and 2026</w:t>
      </w:r>
      <w:r w:rsidRPr="006F6972">
        <w:rPr>
          <w:rFonts w:ascii="Arial" w:hAnsi="Arial" w:cs="Arial"/>
        </w:rPr>
        <w:t>. According to the guidelines, preparation for review and institutional support in the community college should be updated to meet the most current licensure requirements, which was the reason the predictors of licensure performance were studied.</w:t>
      </w:r>
    </w:p>
    <w:p w14:paraId="6BB49B21"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 xml:space="preserve">Bustos et al. (2025) discussed the </w:t>
      </w:r>
      <w:r>
        <w:rPr>
          <w:rFonts w:ascii="Arial" w:hAnsi="Arial" w:cs="Arial"/>
        </w:rPr>
        <w:t>importance of making the BLEPT a valid tool for assessing</w:t>
      </w:r>
      <w:r w:rsidRPr="006F6972">
        <w:rPr>
          <w:rFonts w:ascii="Arial" w:hAnsi="Arial" w:cs="Arial"/>
        </w:rPr>
        <w:t xml:space="preserve"> teacher readiness. Their work was relevant because it focused on the premise that the licensure examination should measure the competencies of beginning teachers, which was the same focus of the present study, where the</w:t>
      </w:r>
      <w:r>
        <w:rPr>
          <w:rFonts w:ascii="Arial" w:hAnsi="Arial" w:cs="Arial"/>
        </w:rPr>
        <w:t xml:space="preserve"> </w:t>
      </w:r>
      <w:r w:rsidRPr="006F6972">
        <w:rPr>
          <w:rFonts w:ascii="Arial" w:hAnsi="Arial" w:cs="Arial"/>
        </w:rPr>
        <w:lastRenderedPageBreak/>
        <w:t xml:space="preserve">performance on the Licensure Examination for Teachers was the outcome variable, while academic performance, study habits, review preparation practices, and institutional support were the possible predictors. Bustos et al. (2025) also </w:t>
      </w:r>
      <w:r>
        <w:rPr>
          <w:rFonts w:ascii="Arial" w:hAnsi="Arial" w:cs="Arial"/>
        </w:rPr>
        <w:t>identified problems such as curriculum misalignment</w:t>
      </w:r>
      <w:r w:rsidRPr="006F6972">
        <w:rPr>
          <w:rFonts w:ascii="Arial" w:hAnsi="Arial" w:cs="Arial"/>
        </w:rPr>
        <w:t>, test development concerns, and the need for systematic examination procedures. These points were applicable to the community college</w:t>
      </w:r>
      <w:r>
        <w:rPr>
          <w:rFonts w:ascii="Arial" w:hAnsi="Arial" w:cs="Arial"/>
        </w:rPr>
        <w:t xml:space="preserve">, as they showed a need for action at the student and institutional levels to enhance performance in </w:t>
      </w:r>
      <w:r w:rsidRPr="006F6972">
        <w:rPr>
          <w:rFonts w:ascii="Arial" w:hAnsi="Arial" w:cs="Arial"/>
        </w:rPr>
        <w:t>licensure. Good study habits and consistent preparation were expected of students, and the school was expected to provide aligned instruction, reliable and reviewed programs, and academic support, all of which were explored in this study.</w:t>
      </w:r>
    </w:p>
    <w:p w14:paraId="0AB01F1A"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 xml:space="preserve">Belza et al. (2025) conducted a profiling of teacher education institutions and teacher educators in the Philippines. The study examined institutional type, programs offered, alumni data, quality assurance mechanisms, teacher educator qualifications, and professional development, all of which were related to the institutional support variable in the current research. Institutional support could take the form of review programs, mentoring, academic advising, learning resources, and teacher educator capacity, which could affect the readiness of graduates for the Licensure Examination for Teachers in the case of the community college. Belza et al. (2025) also concluded that the study provided data from teacher education institutions and teacher educators across the country, which could serve as a national context for further local studies. This literature indicated that institutional characteristics in teacher preparation were important and that licensure performance was not solely a product of individual student performance </w:t>
      </w:r>
      <w:r w:rsidRPr="006F6972">
        <w:rPr>
          <w:rFonts w:ascii="Arial" w:hAnsi="Arial" w:cs="Arial"/>
        </w:rPr>
        <w:lastRenderedPageBreak/>
        <w:t>but also a product of the quality of institutional practices that affect the academic development and preparation of graduates.</w:t>
      </w:r>
    </w:p>
    <w:p w14:paraId="21A5E151" w14:textId="77777777" w:rsidR="001B225E" w:rsidRDefault="001B225E" w:rsidP="001B225E">
      <w:pPr>
        <w:spacing w:after="0" w:line="480" w:lineRule="auto"/>
        <w:ind w:firstLine="720"/>
        <w:jc w:val="both"/>
        <w:rPr>
          <w:rFonts w:ascii="Arial" w:hAnsi="Arial" w:cs="Arial"/>
        </w:rPr>
      </w:pPr>
      <w:r w:rsidRPr="006F6972">
        <w:rPr>
          <w:rFonts w:ascii="Arial" w:hAnsi="Arial" w:cs="Arial"/>
        </w:rPr>
        <w:t>Abao et al. (2023) conducted a study on the performance of beginning teachers in the Philippines in the Licensure Examination for Teachers (LET) nationwide. The study examined beginning teachers from various regions and analyzed their performance on the licensure examination by examination year, degree program, specialization, examination component, locale, and type of higher education institution. This was directly related to the present study because the profile variables were degree, major or specialization, Licensure Examination for Teachers attempt status, and licensure rating, and the study revealed that licensure performance could vary based on certain academic and institutional characteristics.</w:t>
      </w:r>
    </w:p>
    <w:p w14:paraId="73C1B518" w14:textId="77777777" w:rsidR="001B225E" w:rsidRDefault="001B225E" w:rsidP="001B225E">
      <w:pPr>
        <w:spacing w:after="0" w:line="480" w:lineRule="auto"/>
        <w:ind w:firstLine="720"/>
        <w:jc w:val="both"/>
        <w:rPr>
          <w:rFonts w:ascii="Arial" w:hAnsi="Arial" w:cs="Arial"/>
        </w:rPr>
      </w:pPr>
      <w:r w:rsidRPr="006F6972">
        <w:rPr>
          <w:rFonts w:ascii="Arial" w:hAnsi="Arial" w:cs="Arial"/>
        </w:rPr>
        <w:t xml:space="preserve"> Furthermore, Abao et al. (2023) also revealed that test taking time, college preparation, and college grade point average were factors that could explain performance in the Licensure Examination for Teachers, which was the reason academic performance and review preparation practices were included in this study as potential factors. The study recommended that students who graduate from the community college with good academic standing, who take the examination on time or at an appropriate time, and who are well prepared by the college may have a greater chance of being successful in the licensure process.</w:t>
      </w:r>
      <w:r>
        <w:rPr>
          <w:rFonts w:ascii="Arial" w:hAnsi="Arial" w:cs="Arial"/>
        </w:rPr>
        <w:t xml:space="preserve">   </w:t>
      </w:r>
    </w:p>
    <w:p w14:paraId="694D3D4C" w14:textId="77777777" w:rsidR="001B225E" w:rsidRDefault="001B225E" w:rsidP="001B225E">
      <w:pPr>
        <w:spacing w:after="0" w:line="480" w:lineRule="auto"/>
        <w:ind w:firstLine="720"/>
        <w:jc w:val="both"/>
        <w:rPr>
          <w:rFonts w:ascii="Arial" w:hAnsi="Arial" w:cs="Arial"/>
        </w:rPr>
      </w:pPr>
      <w:proofErr w:type="spellStart"/>
      <w:r w:rsidRPr="006F6972">
        <w:rPr>
          <w:rFonts w:ascii="Arial" w:hAnsi="Arial" w:cs="Arial"/>
        </w:rPr>
        <w:t>Amanonce</w:t>
      </w:r>
      <w:proofErr w:type="spellEnd"/>
      <w:r w:rsidRPr="006F6972">
        <w:rPr>
          <w:rFonts w:ascii="Arial" w:hAnsi="Arial" w:cs="Arial"/>
        </w:rPr>
        <w:t xml:space="preserve"> and Maramag (2020) tested the relationship between teacher </w:t>
      </w:r>
    </w:p>
    <w:p w14:paraId="533575E2" w14:textId="77777777" w:rsidR="001B225E" w:rsidRPr="006F6972" w:rsidRDefault="001B225E" w:rsidP="001B225E">
      <w:pPr>
        <w:spacing w:after="0" w:line="480" w:lineRule="auto"/>
        <w:jc w:val="both"/>
        <w:rPr>
          <w:rFonts w:ascii="Arial" w:hAnsi="Arial" w:cs="Arial"/>
        </w:rPr>
      </w:pPr>
      <w:r w:rsidRPr="006F6972">
        <w:rPr>
          <w:rFonts w:ascii="Arial" w:hAnsi="Arial" w:cs="Arial"/>
        </w:rPr>
        <w:t xml:space="preserve">education academic achievement and LET performance and concluded that cumulative academic measures, particularly the GPA in professional education </w:t>
      </w:r>
      <w:r w:rsidRPr="006F6972">
        <w:rPr>
          <w:rFonts w:ascii="Arial" w:hAnsi="Arial" w:cs="Arial"/>
        </w:rPr>
        <w:lastRenderedPageBreak/>
        <w:t>courses and the grade in subject matter content, were significant predictors of success on the LET. The study found that regular academic monitoring and early academic support play a key role in an overall LET readiness program. It also noted that curriculum alignment is crucial, in that what is taught in the curriculum is aligned to the instructional strategies and the LET competencies so that students can build the depth of understanding needed to be successful. This was directly connected to the current study because the academic performance indicators examined as predictors of LET performance in the community college included the general weighted average, professional education average, and major or specialization average.</w:t>
      </w:r>
    </w:p>
    <w:p w14:paraId="44F840CF"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 xml:space="preserve">The study by Ferrer (2024) focused on the academic performance and predictors of the performance of the graduates of Bachelor of Elementary Education of </w:t>
      </w:r>
      <w:proofErr w:type="spellStart"/>
      <w:r w:rsidRPr="006F6972">
        <w:rPr>
          <w:rFonts w:ascii="Arial" w:hAnsi="Arial" w:cs="Arial"/>
        </w:rPr>
        <w:t>Ilocos</w:t>
      </w:r>
      <w:proofErr w:type="spellEnd"/>
      <w:r w:rsidRPr="006F6972">
        <w:rPr>
          <w:rFonts w:ascii="Arial" w:hAnsi="Arial" w:cs="Arial"/>
        </w:rPr>
        <w:t xml:space="preserve"> Sur Polytechnic State College. The study had a strong relationship with the present study because it examined the relationship between academic performance in general education courses and professional education courses with the results of licensure, such that in the present study, the indicators of academic performance were the general weighted average, general education average, professional education average, major or specialization average, and teaching internship grade. Based on the results of Ferrer (2024), there were relationships between academic performance in selected general education and professional education subjects and the results of the Licensure Examination for Teachers, and some courses were predictors of licensure performance. This was important to the community college because it suggested that institutional records </w:t>
      </w:r>
      <w:r w:rsidRPr="006F6972">
        <w:rPr>
          <w:rFonts w:ascii="Arial" w:hAnsi="Arial" w:cs="Arial"/>
        </w:rPr>
        <w:lastRenderedPageBreak/>
        <w:t>can be used to determine the areas in which students are not well prepared for licensure, and that good readiness for licensure is not only a function of last minute review but of consistent academic preparation.</w:t>
      </w:r>
    </w:p>
    <w:p w14:paraId="02DB19A6"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Lao (2021) conducted a quantitative study of the performance predictors of education graduates in Central Luzon. The regression analysis found that academic achievement in professional education courses and institutional review program involvement were significant predictors of success on the licensure examination. Lao (2021) noted that students who were able to achieve good results in their coursework were more likely to pass the LET, and that the review programs were institutionalized to give them structured reinforcement of competencies. The study suggested that review modules should be a part of the curriculum at the college, not just an optional activity, and should be done systematically and continually. This result was in line with the present study, which examined both academic performance and review preparation as possible predictors of LET performance.</w:t>
      </w:r>
    </w:p>
    <w:p w14:paraId="2A739D9E"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In a thematic review of academic predictors of LET, Orlanda-</w:t>
      </w:r>
      <w:proofErr w:type="spellStart"/>
      <w:r w:rsidRPr="006F6972">
        <w:rPr>
          <w:rFonts w:ascii="Arial" w:hAnsi="Arial" w:cs="Arial"/>
        </w:rPr>
        <w:t>Ventayen</w:t>
      </w:r>
      <w:proofErr w:type="spellEnd"/>
      <w:r w:rsidRPr="006F6972">
        <w:rPr>
          <w:rFonts w:ascii="Arial" w:hAnsi="Arial" w:cs="Arial"/>
        </w:rPr>
        <w:t xml:space="preserve"> (2019) found that GPA and subject mastery were stable predictors of licensure success. The study emphasized the importance of ongoing academic monitoring and early intervention strategies for students at risk, and found that institutional practices need to incorporate formative assessments and feedback mechanisms to maintain student readiness. This was directly applicable to the present study because the academic performance indicators used in this study were the general weighted average and subject area averages.</w:t>
      </w:r>
    </w:p>
    <w:p w14:paraId="3072859A" w14:textId="77777777" w:rsidR="001B225E" w:rsidRDefault="001B225E" w:rsidP="001B225E">
      <w:pPr>
        <w:spacing w:after="0" w:line="480" w:lineRule="auto"/>
        <w:ind w:firstLine="720"/>
        <w:jc w:val="both"/>
        <w:rPr>
          <w:rFonts w:ascii="Arial" w:hAnsi="Arial" w:cs="Arial"/>
        </w:rPr>
      </w:pPr>
      <w:r w:rsidRPr="006F6972">
        <w:rPr>
          <w:rFonts w:ascii="Arial" w:hAnsi="Arial" w:cs="Arial"/>
        </w:rPr>
        <w:lastRenderedPageBreak/>
        <w:t xml:space="preserve">A descriptive correlational and longitudinal research design was employed in the study of the strongest predictors of the performance of the graduates of the Bachelor of Secondary Education in the Licensure Examination for Teachers by </w:t>
      </w:r>
      <w:proofErr w:type="spellStart"/>
      <w:r w:rsidRPr="006F6972">
        <w:rPr>
          <w:rFonts w:ascii="Arial" w:hAnsi="Arial" w:cs="Arial"/>
        </w:rPr>
        <w:t>Repayo</w:t>
      </w:r>
      <w:proofErr w:type="spellEnd"/>
      <w:r w:rsidRPr="006F6972">
        <w:rPr>
          <w:rFonts w:ascii="Arial" w:hAnsi="Arial" w:cs="Arial"/>
        </w:rPr>
        <w:t xml:space="preserve"> et al. (2025), while path analysis was used to determine the influence of academic and admission related factors on the performance of the participants in the Licensure Examination for Teachers. The present study did not focus primarily on admission criteria, but </w:t>
      </w:r>
      <w:proofErr w:type="spellStart"/>
      <w:r w:rsidRPr="006F6972">
        <w:rPr>
          <w:rFonts w:ascii="Arial" w:hAnsi="Arial" w:cs="Arial"/>
        </w:rPr>
        <w:t>Repayo</w:t>
      </w:r>
      <w:proofErr w:type="spellEnd"/>
      <w:r w:rsidRPr="006F6972">
        <w:rPr>
          <w:rFonts w:ascii="Arial" w:hAnsi="Arial" w:cs="Arial"/>
        </w:rPr>
        <w:t xml:space="preserve"> et al. (2025) offered valuable evidence that earlier academic indicators may have an impact on later licensure outcomes, and that academic readiness is a process that unfolds over time and can be detected in students' academic records. The study recommended that academic monitoring in the community college should start early in the teacher education program and not just during the final review period, and it reiterated the importance of a teacher's academic performance as a basis for successful licensure. </w:t>
      </w:r>
    </w:p>
    <w:p w14:paraId="347C2F33"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 xml:space="preserve">Delos Angeles (2020) examined curriculum and instruction variables in Cagayan State University and discovered that the extent of alignment of the curriculum to the competencies of the LET was a significant predictor of the performance of the candidates during the licensure examination. Examination performance was found to be adversely affected by gaps in the alignment of course objectives and licensure content, and the study suggested that curriculum audits and competency mapping should be done to ensure that teaching and learning are aligned to the needs of licensure. The present study focused on student level predictors, but the findings were relevant as they indicated that the academic performance of LET takers is influenced, in part, by the quality and congruence of </w:t>
      </w:r>
      <w:r w:rsidRPr="006F6972">
        <w:rPr>
          <w:rFonts w:ascii="Arial" w:hAnsi="Arial" w:cs="Arial"/>
        </w:rPr>
        <w:lastRenderedPageBreak/>
        <w:t>the instruction they received, which suggested that academic performance measures are not only a product of individual effort but also of the effectiveness of institutional preparation.</w:t>
      </w:r>
    </w:p>
    <w:p w14:paraId="1B2B9198"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 xml:space="preserve">One of the common challenges found by </w:t>
      </w:r>
      <w:proofErr w:type="spellStart"/>
      <w:r w:rsidRPr="006F6972">
        <w:rPr>
          <w:rFonts w:ascii="Arial" w:hAnsi="Arial" w:cs="Arial"/>
        </w:rPr>
        <w:t>Balinario</w:t>
      </w:r>
      <w:proofErr w:type="spellEnd"/>
      <w:r w:rsidRPr="006F6972">
        <w:rPr>
          <w:rFonts w:ascii="Arial" w:hAnsi="Arial" w:cs="Arial"/>
        </w:rPr>
        <w:t xml:space="preserve"> et al. (2023) in local teacher education programs was curriculum misalignment that caused low LET passing rates. The study identified gaps between what was taught in the coursework and what was assessed on the LET, including the professional education domains and subject specialization areas. It suggested a systematic process for curriculum redesign that involves competency mapping and authentic assessment tasks that model the requirements of licensure. This source reinforced the significance of academic preparation in all content areas as a predictor of LET performance, and this study used subject specific academic averages as potential predictors.</w:t>
      </w:r>
    </w:p>
    <w:p w14:paraId="717D346E" w14:textId="77777777" w:rsidR="001B225E" w:rsidRPr="006F6972" w:rsidRDefault="001B225E" w:rsidP="001B225E">
      <w:pPr>
        <w:spacing w:after="0" w:line="480" w:lineRule="auto"/>
        <w:ind w:firstLine="720"/>
        <w:jc w:val="both"/>
        <w:rPr>
          <w:rFonts w:ascii="Arial" w:hAnsi="Arial" w:cs="Arial"/>
        </w:rPr>
      </w:pPr>
      <w:proofErr w:type="spellStart"/>
      <w:r w:rsidRPr="006F6972">
        <w:rPr>
          <w:rFonts w:ascii="Arial" w:hAnsi="Arial" w:cs="Arial"/>
        </w:rPr>
        <w:t>Cadosales</w:t>
      </w:r>
      <w:proofErr w:type="spellEnd"/>
      <w:r w:rsidRPr="006F6972">
        <w:rPr>
          <w:rFonts w:ascii="Arial" w:hAnsi="Arial" w:cs="Arial"/>
        </w:rPr>
        <w:t xml:space="preserve"> et al. (2023) argued that the results of the Licensure Examination for Teachers (LET) serve not just as a gatekeeping indicator but also as a valuable predictor of the performance of beginning teachers. The study found that students with higher LET scores had better lesson planning, classroom management, and assessment skills in their first few years of teaching. It contended that institutions should use LET data as a diagnostic tool to inform program improvement, and that item level results should be used to inform program curriculum and practicum experiences. Targeted curricular mapping and better alignment of course outcomes and LET competencies were recommended for community colleges to ensure that examination success becomes classroom success.</w:t>
      </w:r>
    </w:p>
    <w:p w14:paraId="6B515359"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lastRenderedPageBreak/>
        <w:t xml:space="preserve">Fiscal and Roman (2022) investigated the possibility of predicting the actual score in the Licensure Examination for Teachers (LET) from the score in the pre licensure examination of the EED graduates of a university in the Philippines. Their study was thematically related to the current research because the pre licensure examinations were considered part of review preparation activities, and these examinations can be used to determine the knowledge and readiness of graduates before taking the actual licensure examination. For the community college, mock examinations, diagnostic tests, and pre board assessments can be significant measures of the readiness of its graduates to take the licensure examination. Fiscal and Roman (2022) were particularly relevant to the intervention component of the present study because if pre licensure performance is correlated to actual licensure results, then institutions can use internal evaluations to determine which students require extra support </w:t>
      </w:r>
      <w:r>
        <w:rPr>
          <w:rFonts w:ascii="Arial" w:hAnsi="Arial" w:cs="Arial"/>
        </w:rPr>
        <w:t>before</w:t>
      </w:r>
      <w:r w:rsidRPr="006F6972">
        <w:rPr>
          <w:rFonts w:ascii="Arial" w:hAnsi="Arial" w:cs="Arial"/>
        </w:rPr>
        <w:t xml:space="preserve"> the board examination. This reinforced the need for structured review programs, academic monitoring, and targeted remediation as part of the proposed intervention program.</w:t>
      </w:r>
    </w:p>
    <w:p w14:paraId="29F7730C" w14:textId="77777777" w:rsidR="001B225E" w:rsidRDefault="001B225E" w:rsidP="001B225E">
      <w:pPr>
        <w:spacing w:after="0" w:line="480" w:lineRule="auto"/>
        <w:ind w:firstLine="720"/>
        <w:jc w:val="both"/>
        <w:rPr>
          <w:rFonts w:ascii="Arial" w:hAnsi="Arial" w:cs="Arial"/>
        </w:rPr>
      </w:pPr>
      <w:r w:rsidRPr="006F6972">
        <w:rPr>
          <w:rFonts w:ascii="Arial" w:hAnsi="Arial" w:cs="Arial"/>
        </w:rPr>
        <w:t xml:space="preserve">Cruz (2017) studied the impact of review centers and institutional review </w:t>
      </w:r>
    </w:p>
    <w:p w14:paraId="150554A0" w14:textId="77777777" w:rsidR="001B225E" w:rsidRPr="006F6972" w:rsidRDefault="001B225E" w:rsidP="001B225E">
      <w:pPr>
        <w:spacing w:after="0" w:line="480" w:lineRule="auto"/>
        <w:jc w:val="both"/>
        <w:rPr>
          <w:rFonts w:ascii="Arial" w:hAnsi="Arial" w:cs="Arial"/>
        </w:rPr>
      </w:pPr>
      <w:r w:rsidRPr="006F6972">
        <w:rPr>
          <w:rFonts w:ascii="Arial" w:hAnsi="Arial" w:cs="Arial"/>
        </w:rPr>
        <w:t>programs on LET passing rates and found that structured, curriculum-based review programs had a greater effect than ad hoc, fee-based review programs. The key practices found were alignment with LET competencies, iterative cycles of feedback, pre testing, and review of content alongside test taking strategies. Review programs that were part of the academic calendar and supported by faculty led to sustained learning gains. This pertained to the present study because review</w:t>
      </w:r>
      <w:r>
        <w:rPr>
          <w:rFonts w:ascii="Arial" w:hAnsi="Arial" w:cs="Arial"/>
        </w:rPr>
        <w:t xml:space="preserve">  </w:t>
      </w:r>
      <w:r w:rsidRPr="006F6972">
        <w:rPr>
          <w:rFonts w:ascii="Arial" w:hAnsi="Arial" w:cs="Arial"/>
        </w:rPr>
        <w:lastRenderedPageBreak/>
        <w:t>preparation practices was one of the predictor variables of LET performance in the</w:t>
      </w:r>
      <w:r>
        <w:rPr>
          <w:rFonts w:ascii="Arial" w:hAnsi="Arial" w:cs="Arial"/>
        </w:rPr>
        <w:t xml:space="preserve"> </w:t>
      </w:r>
      <w:r w:rsidRPr="006F6972">
        <w:rPr>
          <w:rFonts w:ascii="Arial" w:hAnsi="Arial" w:cs="Arial"/>
        </w:rPr>
        <w:t>community college.</w:t>
      </w:r>
    </w:p>
    <w:p w14:paraId="088C399F" w14:textId="77777777" w:rsidR="001B225E" w:rsidRPr="006F6972" w:rsidRDefault="001B225E" w:rsidP="001B225E">
      <w:pPr>
        <w:spacing w:after="0" w:line="480" w:lineRule="auto"/>
        <w:ind w:firstLine="720"/>
        <w:jc w:val="both"/>
        <w:rPr>
          <w:rFonts w:ascii="Arial" w:hAnsi="Arial" w:cs="Arial"/>
        </w:rPr>
      </w:pPr>
      <w:proofErr w:type="spellStart"/>
      <w:r w:rsidRPr="006F6972">
        <w:rPr>
          <w:rFonts w:ascii="Arial" w:hAnsi="Arial" w:cs="Arial"/>
        </w:rPr>
        <w:t>Gardoce</w:t>
      </w:r>
      <w:proofErr w:type="spellEnd"/>
      <w:r w:rsidRPr="006F6972">
        <w:rPr>
          <w:rFonts w:ascii="Arial" w:hAnsi="Arial" w:cs="Arial"/>
        </w:rPr>
        <w:t xml:space="preserve"> and Sangalang (2020) applied structural equation modeling to determine the predictors of LET performance and found that structured review preparation had both direct and indirect effects on the outcomes of the licensure examination. The study suggested that review activities be built into the curriculum and that faculty mentoring be enhanced. The review preparation aspect of their findings can be directly applied to the present study because one of the variables examined as predictors of LET performance was review preparation. Their methodological approach also lent itself to the present study through the use of regression analysis to identify the variables that best predict LET outcomes.</w:t>
      </w:r>
    </w:p>
    <w:p w14:paraId="068B44C8" w14:textId="77777777" w:rsidR="001B225E" w:rsidRDefault="001B225E" w:rsidP="001B225E">
      <w:pPr>
        <w:spacing w:after="0" w:line="480" w:lineRule="auto"/>
        <w:ind w:firstLine="720"/>
        <w:jc w:val="both"/>
        <w:rPr>
          <w:rFonts w:ascii="Arial" w:hAnsi="Arial" w:cs="Arial"/>
        </w:rPr>
      </w:pPr>
      <w:r w:rsidRPr="006F6972">
        <w:rPr>
          <w:rFonts w:ascii="Arial" w:hAnsi="Arial" w:cs="Arial"/>
        </w:rPr>
        <w:t xml:space="preserve">The study by </w:t>
      </w:r>
      <w:proofErr w:type="spellStart"/>
      <w:r w:rsidRPr="006F6972">
        <w:rPr>
          <w:rFonts w:ascii="Arial" w:hAnsi="Arial" w:cs="Arial"/>
        </w:rPr>
        <w:t>Guardario</w:t>
      </w:r>
      <w:proofErr w:type="spellEnd"/>
      <w:r w:rsidRPr="006F6972">
        <w:rPr>
          <w:rFonts w:ascii="Arial" w:hAnsi="Arial" w:cs="Arial"/>
        </w:rPr>
        <w:t xml:space="preserve"> et al. (2024) investigated the relationship between social support and expectancy and their ability to predict success in the Licensure Examination for Teachers among professional teachers. The present study was relevant because it extended the discussion of the role of grades and academic preparation in licensure performance to one that also considered the role of institutional support, which in the present study was defined as mentoring, review assistance, availability of resources, and academic guidance, in the preparation of graduates for the examination and in how well and how confident they were in their preparation. Even though academic factors were found to be the primary factors for success in the Licensure Examination for Teachers, </w:t>
      </w:r>
      <w:proofErr w:type="spellStart"/>
      <w:r w:rsidRPr="006F6972">
        <w:rPr>
          <w:rFonts w:ascii="Arial" w:hAnsi="Arial" w:cs="Arial"/>
        </w:rPr>
        <w:t>Guardario</w:t>
      </w:r>
      <w:proofErr w:type="spellEnd"/>
      <w:r w:rsidRPr="006F6972">
        <w:rPr>
          <w:rFonts w:ascii="Arial" w:hAnsi="Arial" w:cs="Arial"/>
        </w:rPr>
        <w:t xml:space="preserve"> et al. (2024) reported that there was a relationship between social support and the success rating in the LET. Institutional support can be provided in the community college to </w:t>
      </w:r>
      <w:r w:rsidRPr="006F6972">
        <w:rPr>
          <w:rFonts w:ascii="Arial" w:hAnsi="Arial" w:cs="Arial"/>
        </w:rPr>
        <w:lastRenderedPageBreak/>
        <w:t xml:space="preserve">enhance students' motivation, confidence, and persistence during the review period, which can serve as a foundation for proposing mentoring programs, faculty consultations, and peer review activities for future examinees. </w:t>
      </w:r>
    </w:p>
    <w:p w14:paraId="27DA7317"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 xml:space="preserve">De Guzman (2018) studied student support services and their role in the student's readiness for the licensure examination and found that mentoring, academic advising, counseling for test anxiety, and structured review workshops all improved students' readiness for the LET. The findings highlighted the multidimensionality of readiness, emphasizing that readiness training needs to be accompanied by psychosocial supports that include motivational, time management, and stress coping components. The findings of the study showed that there was a correlation between the targeted interventions, such as small group tutoring and counseling sessions for examinees with high anxiety, and measurable improvements in the examinees' licensure outcomes, which justified the inclusion of institutional support as a predictor variable in this study and the development of an intervention program based on the identified </w:t>
      </w:r>
      <w:r>
        <w:rPr>
          <w:rFonts w:ascii="Arial" w:hAnsi="Arial" w:cs="Arial"/>
        </w:rPr>
        <w:t xml:space="preserve">takers. </w:t>
      </w:r>
    </w:p>
    <w:p w14:paraId="027E094F"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 xml:space="preserve">The study by Mendoza (2019) adopted a mixed method design to investigate the effect of student support services on students' LET outcomes in provincial colleges. The results indicated that mentoring, counseling, and a scholarship program had a significant effect on the improvement of students' confidence and the decrease in the number of LET takers who dropped out. In addition to academic preparation, Mendoza (2019) stated that psychosocial support, including counseling for test anxiety and time management workshops, was equally important. The study found that holistic student support services </w:t>
      </w:r>
      <w:r w:rsidRPr="006F6972">
        <w:rPr>
          <w:rFonts w:ascii="Arial" w:hAnsi="Arial" w:cs="Arial"/>
        </w:rPr>
        <w:lastRenderedPageBreak/>
        <w:t>provide equal opportunity for success, especially for students from disadvantaged backgrounds, which was especially important in a community college environment where students may encounter resource related issues in their licensure preparation.</w:t>
      </w:r>
    </w:p>
    <w:p w14:paraId="3837C7E8" w14:textId="77777777" w:rsidR="001B225E" w:rsidRPr="006F6972" w:rsidRDefault="001B225E" w:rsidP="001B225E">
      <w:pPr>
        <w:spacing w:after="0" w:line="480" w:lineRule="auto"/>
        <w:ind w:firstLine="720"/>
        <w:jc w:val="both"/>
        <w:rPr>
          <w:rFonts w:ascii="Arial" w:hAnsi="Arial" w:cs="Arial"/>
        </w:rPr>
      </w:pPr>
      <w:proofErr w:type="spellStart"/>
      <w:r w:rsidRPr="006F6972">
        <w:rPr>
          <w:rFonts w:ascii="Arial" w:hAnsi="Arial" w:cs="Arial"/>
        </w:rPr>
        <w:t>Dionio</w:t>
      </w:r>
      <w:proofErr w:type="spellEnd"/>
      <w:r w:rsidRPr="006F6972">
        <w:rPr>
          <w:rFonts w:ascii="Arial" w:hAnsi="Arial" w:cs="Arial"/>
        </w:rPr>
        <w:t xml:space="preserve"> et al. (2025) investigated the predictors of graduates' performance in the Licensure Examination for Teachers (LET) in terms of profile variables, academic records, on the job training scores, and LET results. The study was closely related to the present research because it involved variables similar to the study design, such as academic performance and teaching internship grade, which is a reflection of the pedagogical knowledge, classroom management, lesson planning, and professional behavior that may lead to a graduate's readiness for professional licensure. The findings of </w:t>
      </w:r>
      <w:proofErr w:type="spellStart"/>
      <w:r w:rsidRPr="006F6972">
        <w:rPr>
          <w:rFonts w:ascii="Arial" w:hAnsi="Arial" w:cs="Arial"/>
        </w:rPr>
        <w:t>Dionio</w:t>
      </w:r>
      <w:proofErr w:type="spellEnd"/>
      <w:r w:rsidRPr="006F6972">
        <w:rPr>
          <w:rFonts w:ascii="Arial" w:hAnsi="Arial" w:cs="Arial"/>
        </w:rPr>
        <w:t xml:space="preserve"> et al. (2025) that there were significant relationships among the school performance indicators and LET performance, namely special demonstration, internship, and general weighted average, also supported the present study in using classroom based academic indicators and field-based teaching performance as possible predictors of LET performance in the community college.</w:t>
      </w:r>
    </w:p>
    <w:p w14:paraId="4EFCEF91"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 xml:space="preserve">Santiago (2019) conducted a study to examine how practicum experiences affect LET performance and concluded that increased confidence, classroom management skills, and pedagogical knowledge were gained from extended, well supervised field placements. Structured mentoring and reflective supervision were identified as markers of the quality of practicum experiences, which was found to be more important than the quantity. The study recommended that, to ensure the </w:t>
      </w:r>
      <w:r w:rsidRPr="006F6972">
        <w:rPr>
          <w:rFonts w:ascii="Arial" w:hAnsi="Arial" w:cs="Arial"/>
        </w:rPr>
        <w:lastRenderedPageBreak/>
        <w:t>practicum is a valuable asset to becoming a licensed teacher, partnerships with host schools be strengthened and mentor teacher training be formalized. This was related to the present study because one of the academic performance indicators studied was teaching internship grade, which was used as a predictor of LET performance.</w:t>
      </w:r>
    </w:p>
    <w:p w14:paraId="587F67D0"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Villafuerte (2017) investigated the practicum experiences in the Bicol colleges and concluded that extended supervised field placements had a significant impact on the preparation of students for licensure. The study highlighted that the quality of the practicum, rather than its length, was more critical for success, and that formal linkages with host schools and mentor teacher training were needed to maximize the contributions of the practicum to the licensure process. The Bicol context of this study was important because the Bicol community where the study was conducted is also the setting of the community college, and the results indicated that the experiences of the teaching interns during their internship might be closely related to the performance of the graduates upon licensure.</w:t>
      </w:r>
    </w:p>
    <w:p w14:paraId="2ABE841C"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 xml:space="preserve">Anderson (2021) found, in a longitudinal study, that extended practicum and mentoring were among the most predictive factors of licensure success. Structured mentoring and competency-based evaluations were found to have a positive impact on the performance of graduates not only on the licensure examination but also in their early classroom experiences. Anderson (2021) noted the importance of the practicum experiences being scaffolded and supervised to ensure that students acquire applied teaching skills in addition to their theoretical knowledge. </w:t>
      </w:r>
      <w:r w:rsidRPr="006F6972">
        <w:rPr>
          <w:rFonts w:ascii="Arial" w:hAnsi="Arial" w:cs="Arial"/>
        </w:rPr>
        <w:lastRenderedPageBreak/>
        <w:t>This validated the current study's use of teaching internship grade as an academic performance indicator that can predict LET performance and served as a basis for recommending improvements to the supervision of the practicum as part of the recommended intervention program.</w:t>
      </w:r>
    </w:p>
    <w:p w14:paraId="69DEEF13" w14:textId="77777777" w:rsidR="001B225E" w:rsidRPr="006F6972" w:rsidRDefault="001B225E" w:rsidP="001B225E">
      <w:pPr>
        <w:spacing w:after="0" w:line="480" w:lineRule="auto"/>
        <w:ind w:firstLine="720"/>
        <w:jc w:val="both"/>
        <w:rPr>
          <w:rFonts w:ascii="Arial" w:hAnsi="Arial" w:cs="Arial"/>
        </w:rPr>
      </w:pPr>
      <w:proofErr w:type="spellStart"/>
      <w:r w:rsidRPr="006F6972">
        <w:rPr>
          <w:rFonts w:ascii="Arial" w:hAnsi="Arial" w:cs="Arial"/>
        </w:rPr>
        <w:t>Tigelaar</w:t>
      </w:r>
      <w:proofErr w:type="spellEnd"/>
      <w:r w:rsidRPr="006F6972">
        <w:rPr>
          <w:rFonts w:ascii="Arial" w:hAnsi="Arial" w:cs="Arial"/>
        </w:rPr>
        <w:t xml:space="preserve"> et al. (2004) conducted a study on competency-based teacher preparation and determined that structured mentoring and formative assessment had a significant impact on licensure readiness. The study focused on competency-based frameworks and how they can be used with authentic assessment tasks to prepare students for licensure examinations as well as for practice in the classroom. This literature was relevant to the present study because it indicated that the academic performance of LET takers in the professional education and specialization areas was a reflection of the level of achievement of the competencies measured in the LET, which supported the need to consider the academic performance indicators as predictors of LET outcomes.</w:t>
      </w:r>
    </w:p>
    <w:p w14:paraId="2886A1FE"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In Mindanao, Alvarez (2018) conducted a study on the resilience of LET takers and concluded that students with high resilience scores performed better in the LET. Resilience enabled students to manage stress and setbacks during examinations and to remain focused and confident. The study suggested that teacher education programs should include stress management workshops, simulation examinations, and activities to build resilience. This was applicable to the present study because study habits in preparation for the LET may involve psychological readiness and coping strategies that can help students maintain</w:t>
      </w:r>
      <w:r>
        <w:rPr>
          <w:rFonts w:ascii="Arial" w:hAnsi="Arial" w:cs="Arial"/>
        </w:rPr>
        <w:t xml:space="preserve"> </w:t>
      </w:r>
      <w:r w:rsidRPr="006F6972">
        <w:rPr>
          <w:rFonts w:ascii="Arial" w:hAnsi="Arial" w:cs="Arial"/>
        </w:rPr>
        <w:lastRenderedPageBreak/>
        <w:t>their study efforts, and thus the study habits variable may include the affective aspects of licensure preparation along with academic routines.</w:t>
      </w:r>
    </w:p>
    <w:p w14:paraId="50014AF0" w14:textId="77777777" w:rsidR="001B225E" w:rsidRDefault="001B225E" w:rsidP="001B225E">
      <w:pPr>
        <w:spacing w:after="0" w:line="480" w:lineRule="auto"/>
        <w:ind w:firstLine="720"/>
        <w:jc w:val="both"/>
        <w:rPr>
          <w:rFonts w:ascii="Arial" w:hAnsi="Arial" w:cs="Arial"/>
        </w:rPr>
      </w:pPr>
      <w:r w:rsidRPr="006F6972">
        <w:rPr>
          <w:rFonts w:ascii="Arial" w:hAnsi="Arial" w:cs="Arial"/>
        </w:rPr>
        <w:t xml:space="preserve">In a study in which Johnson (2016) evaluated the effect of resilience building interventions, such as stress management workshops and coaching, on licensure performance, the interventions were found to be associated with an improvement in performance, supporting the idea that psychological preparedness is a key factor in examination success, especially in high stakes testing settings. The results indicated that content review should not be the only method of review preparation, but that confidence building, anxiety reduction, and test taking skills development should also be considered. This was directly relevant to the present study because study habits and review preparation practices were among the factors studied as predictors of LET performance, and the outcomes can be used </w:t>
      </w:r>
    </w:p>
    <w:p w14:paraId="5CA4C5D5" w14:textId="77777777" w:rsidR="001B225E" w:rsidRPr="006F6972" w:rsidRDefault="001B225E" w:rsidP="001B225E">
      <w:pPr>
        <w:spacing w:after="0" w:line="480" w:lineRule="auto"/>
        <w:jc w:val="both"/>
        <w:rPr>
          <w:rFonts w:ascii="Arial" w:hAnsi="Arial" w:cs="Arial"/>
        </w:rPr>
      </w:pPr>
      <w:r w:rsidRPr="006F6972">
        <w:rPr>
          <w:rFonts w:ascii="Arial" w:hAnsi="Arial" w:cs="Arial"/>
        </w:rPr>
        <w:t>as the basis for designing a more extensive intervention program.</w:t>
      </w:r>
    </w:p>
    <w:p w14:paraId="384664C1" w14:textId="77777777" w:rsidR="001B225E" w:rsidRDefault="001B225E" w:rsidP="001B225E">
      <w:pPr>
        <w:spacing w:after="0" w:line="480" w:lineRule="auto"/>
        <w:ind w:firstLine="720"/>
        <w:jc w:val="both"/>
        <w:rPr>
          <w:rFonts w:ascii="Arial" w:hAnsi="Arial" w:cs="Arial"/>
        </w:rPr>
      </w:pPr>
      <w:r w:rsidRPr="006F6972">
        <w:rPr>
          <w:rFonts w:ascii="Arial" w:hAnsi="Arial" w:cs="Arial"/>
        </w:rPr>
        <w:t>Previous research by Martinez (2019) illustrated that resilience and psychological preparedness were significant moderators of licensure outcomes, and an experimental study found that students who completed resilience workshops and simulation examinations had higher pass rates. The study by Martinez (2019) found that psychosocial interventions need to be incorporated into teacher education programs beyond the classroom. The results of the study corroborated the premise of the present study that study habits and review preparation practices are significant factors that affect the performance of students in the LET in the community college, both academically and psychologically.</w:t>
      </w:r>
      <w:r>
        <w:rPr>
          <w:rFonts w:ascii="Arial" w:hAnsi="Arial" w:cs="Arial"/>
        </w:rPr>
        <w:tab/>
      </w:r>
      <w:r w:rsidRPr="006F6972">
        <w:rPr>
          <w:rFonts w:ascii="Arial" w:hAnsi="Arial" w:cs="Arial"/>
        </w:rPr>
        <w:t xml:space="preserve">Darling-Hammond (2017) suggested that teacher licensure examinations </w:t>
      </w:r>
      <w:r w:rsidRPr="006F6972">
        <w:rPr>
          <w:rFonts w:ascii="Arial" w:hAnsi="Arial" w:cs="Arial"/>
        </w:rPr>
        <w:lastRenderedPageBreak/>
        <w:t xml:space="preserve">serve as means to maintain professional standards and to connect pre service to in service effectiveness. The review of the literature suggested that a licensure program that combines the assessment of content knowledge with performance-based assessment is a more comprehensive assessment of readiness than a single mode program. Darling-Hammond (2017) also stressed the need to align licensure with program accreditation and ongoing professional development in order to establish clear linkages between teacher preparation and licensure, and recommended that countries interested in improving licensure results focus on greater alignment between teacher education programs and licensure competencies. </w:t>
      </w:r>
      <w:r>
        <w:rPr>
          <w:rFonts w:ascii="Arial" w:hAnsi="Arial" w:cs="Arial"/>
        </w:rPr>
        <w:t xml:space="preserve"> </w:t>
      </w:r>
    </w:p>
    <w:p w14:paraId="7F941AEC" w14:textId="77777777" w:rsidR="001B225E" w:rsidRDefault="001B225E" w:rsidP="001B225E">
      <w:pPr>
        <w:spacing w:after="0" w:line="480" w:lineRule="auto"/>
        <w:ind w:firstLine="720"/>
        <w:jc w:val="both"/>
        <w:rPr>
          <w:rFonts w:ascii="Arial" w:hAnsi="Arial" w:cs="Arial"/>
        </w:rPr>
      </w:pPr>
      <w:r w:rsidRPr="006F6972">
        <w:rPr>
          <w:rFonts w:ascii="Arial" w:hAnsi="Arial" w:cs="Arial"/>
        </w:rPr>
        <w:t xml:space="preserve">Ingersoll (2018) conducted a study of teacher preparation programs and </w:t>
      </w:r>
    </w:p>
    <w:p w14:paraId="6FD9D5A1" w14:textId="77777777" w:rsidR="001B225E" w:rsidRPr="006F6972" w:rsidRDefault="001B225E" w:rsidP="001B225E">
      <w:pPr>
        <w:spacing w:after="0" w:line="480" w:lineRule="auto"/>
        <w:jc w:val="both"/>
        <w:rPr>
          <w:rFonts w:ascii="Arial" w:hAnsi="Arial" w:cs="Arial"/>
        </w:rPr>
      </w:pPr>
      <w:r w:rsidRPr="006F6972">
        <w:rPr>
          <w:rFonts w:ascii="Arial" w:hAnsi="Arial" w:cs="Arial"/>
        </w:rPr>
        <w:t>determined that sustained clinical experiences, mentor supported practicum, and coursework that is tightly coupled to classroom practice were strong predictors of licensure success and early career retention. Scaffolding student learning from theory to practice yielded students who were better prepared for licensure and for the realities of classroom teaching. The importance of academic performance and institutional support as predictor variables was reinforced by the institutional supports provided to novice teachers during pre</w:t>
      </w:r>
      <w:r>
        <w:rPr>
          <w:rFonts w:ascii="Arial" w:hAnsi="Arial" w:cs="Arial"/>
        </w:rPr>
        <w:t>-</w:t>
      </w:r>
      <w:r w:rsidRPr="006F6972">
        <w:rPr>
          <w:rFonts w:ascii="Arial" w:hAnsi="Arial" w:cs="Arial"/>
        </w:rPr>
        <w:t>service training, including induction and mentoring, which were shown to help novice teachers achieve long term professional effectiveness.</w:t>
      </w:r>
    </w:p>
    <w:p w14:paraId="12E5721C"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 xml:space="preserve">Coherent preparation programs that combine theory, practice, and performance-based assessments predict licensure success, as stated by Darling-Hammond and Bransford (2005). Institutions need to create teacher education </w:t>
      </w:r>
      <w:r w:rsidRPr="006F6972">
        <w:rPr>
          <w:rFonts w:ascii="Arial" w:hAnsi="Arial" w:cs="Arial"/>
        </w:rPr>
        <w:lastRenderedPageBreak/>
        <w:t>programs that bring together curriculum, practicum, and licensure requirements. This was relevant to the present study because it provided a basis for the study of academic performance, teaching internship grade, and review preparation practices as variables that can serve as a reflection of the quality and coherence of teacher preparation received by LET takers in the community college.</w:t>
      </w:r>
    </w:p>
    <w:p w14:paraId="07574FF3" w14:textId="77777777" w:rsidR="001B225E" w:rsidRDefault="001B225E" w:rsidP="001B225E">
      <w:pPr>
        <w:spacing w:after="0" w:line="480" w:lineRule="auto"/>
        <w:ind w:firstLine="720"/>
        <w:jc w:val="both"/>
        <w:rPr>
          <w:rFonts w:ascii="Arial" w:hAnsi="Arial" w:cs="Arial"/>
        </w:rPr>
      </w:pPr>
      <w:r w:rsidRPr="006F6972">
        <w:rPr>
          <w:rFonts w:ascii="Arial" w:hAnsi="Arial" w:cs="Arial"/>
        </w:rPr>
        <w:t xml:space="preserve">The OECD (2019) highlighted principles of teacher certification as outlined by international standards and emphasized that there is a global trend toward competency-based teacher certification, in which the demonstration of teaching competency is becoming more important than subject knowledge. Countries that adopted competency frameworks and extended practicum models reported higher correlations between licensure outcomes and classroom effectiveness. The report recommended that teacher preparation programs incorporate a process of assessment based on student performance, track student progress over time, and connect the national content standards to the program's content in order to provide a meaningful assessment of teacher readiness. </w:t>
      </w:r>
    </w:p>
    <w:p w14:paraId="3BA2E476"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According to the Singapore Ministry of Education (2018), competency-based licensure is an integral part of the teacher quality agenda, characterized by rigorous pre service teacher training and ongoing professional development and mentoring. The Singapore model emphasizes selection, intensive initial training, and in service support to guarantee high quality teacher performance. The Singapore experience demonstrated the need for systematic coherence in the recruitment, preparation, licensure, and professional development process to</w:t>
      </w:r>
      <w:r>
        <w:rPr>
          <w:rFonts w:ascii="Arial" w:hAnsi="Arial" w:cs="Arial"/>
        </w:rPr>
        <w:t xml:space="preserve"> </w:t>
      </w:r>
      <w:r w:rsidRPr="006F6972">
        <w:rPr>
          <w:rFonts w:ascii="Arial" w:hAnsi="Arial" w:cs="Arial"/>
        </w:rPr>
        <w:lastRenderedPageBreak/>
        <w:t>achieve consistent licensure outcomes, and offered an international context for strengthening the preparation for licensure in the community college.</w:t>
      </w:r>
    </w:p>
    <w:p w14:paraId="73234BC5" w14:textId="77777777" w:rsidR="001B225E" w:rsidRDefault="001B225E" w:rsidP="001B225E">
      <w:pPr>
        <w:spacing w:after="0" w:line="480" w:lineRule="auto"/>
        <w:ind w:firstLine="720"/>
        <w:jc w:val="both"/>
        <w:rPr>
          <w:rFonts w:ascii="Arial" w:hAnsi="Arial" w:cs="Arial"/>
        </w:rPr>
      </w:pPr>
      <w:r w:rsidRPr="006F6972">
        <w:rPr>
          <w:rFonts w:ascii="Arial" w:hAnsi="Arial" w:cs="Arial"/>
        </w:rPr>
        <w:t xml:space="preserve">Wang and Lin (2017) examined the licensure system in Taiwan and concluded that institutional practices, such as curriculum alignment and practicum quality, had a significant impact on the results of the examinations. Teacher education programs that explicitly tied course goals to licensure competencies and provided scaffolded experiences in the practicum led to higher achievement of pedagogical application and higher scores on licensure assessment. This research followed the iterative curriculum enhancements recommended by Wang and Lin (2017), which they suggested can be implemented by institutions using licensure </w:t>
      </w:r>
    </w:p>
    <w:p w14:paraId="2C1EBAA8" w14:textId="77777777" w:rsidR="001B225E" w:rsidRPr="006F6972" w:rsidRDefault="001B225E" w:rsidP="001B225E">
      <w:pPr>
        <w:spacing w:after="0" w:line="480" w:lineRule="auto"/>
        <w:jc w:val="both"/>
        <w:rPr>
          <w:rFonts w:ascii="Arial" w:hAnsi="Arial" w:cs="Arial"/>
        </w:rPr>
      </w:pPr>
      <w:r w:rsidRPr="006F6972">
        <w:rPr>
          <w:rFonts w:ascii="Arial" w:hAnsi="Arial" w:cs="Arial"/>
        </w:rPr>
        <w:t>data to guide curriculum enhancements iteratively.</w:t>
      </w:r>
    </w:p>
    <w:p w14:paraId="31EB7CB3" w14:textId="77777777" w:rsidR="001B225E" w:rsidRDefault="001B225E" w:rsidP="001B225E">
      <w:pPr>
        <w:spacing w:after="0" w:line="480" w:lineRule="auto"/>
        <w:ind w:firstLine="720"/>
        <w:jc w:val="both"/>
        <w:rPr>
          <w:rFonts w:ascii="Arial" w:hAnsi="Arial" w:cs="Arial"/>
        </w:rPr>
      </w:pPr>
      <w:r w:rsidRPr="006F6972">
        <w:rPr>
          <w:rFonts w:ascii="Arial" w:hAnsi="Arial" w:cs="Arial"/>
        </w:rPr>
        <w:t xml:space="preserve">Smith and Brown (2018) studied the Canadian licensure examinations and found that they predicted classroom effectiveness, particularly when the examinations incorporated some performance-based assessment and when professional development occurred on an ongoing basis. Based on their research, they concluded that licensure outcomes can be helpful measures for program evaluation and for identifying institutional improvements. </w:t>
      </w:r>
    </w:p>
    <w:p w14:paraId="321BA550"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 xml:space="preserve">The use of licensure data along with academic performance measures to gain a more comprehensive understanding of teacher readiness directly supported the present study's use of LET performance as the primary outcome variable, along with a variety of academic and preparation related predictors. Curriculum alignment with national competency standards was identified as a crucial factor in examination success, and the need for an audit of curriculum and retraining of </w:t>
      </w:r>
      <w:r w:rsidRPr="006F6972">
        <w:rPr>
          <w:rFonts w:ascii="Arial" w:hAnsi="Arial" w:cs="Arial"/>
        </w:rPr>
        <w:lastRenderedPageBreak/>
        <w:t>faculty to maintain alignment with the requirements for teacher licensure was reported by Li and Chen (2020). They also noted that institutions need to incorporate licensure information in program evaluation in order to recognize gaps and enhance outcomes. The results of the study aligned with the results of Li and Chen (2020), which indicated that institutional support can be a variable used as a bridge between student</w:t>
      </w:r>
      <w:r>
        <w:rPr>
          <w:rFonts w:ascii="Arial" w:hAnsi="Arial" w:cs="Arial"/>
        </w:rPr>
        <w:t xml:space="preserve">  </w:t>
      </w:r>
      <w:r w:rsidRPr="006F6972">
        <w:rPr>
          <w:rFonts w:ascii="Arial" w:hAnsi="Arial" w:cs="Arial"/>
        </w:rPr>
        <w:t>academic preparation and readiness for licensure; however, the present study did not examine institutional curriculum management.</w:t>
      </w:r>
    </w:p>
    <w:p w14:paraId="69A1B012" w14:textId="77777777" w:rsidR="001B225E" w:rsidRPr="00C06E05" w:rsidRDefault="001B225E" w:rsidP="001B225E">
      <w:pPr>
        <w:spacing w:after="0" w:line="480" w:lineRule="auto"/>
        <w:ind w:firstLine="720"/>
        <w:jc w:val="both"/>
        <w:rPr>
          <w:rFonts w:ascii="Arial" w:hAnsi="Arial" w:cs="Arial"/>
        </w:rPr>
      </w:pPr>
      <w:r w:rsidRPr="006F6972">
        <w:rPr>
          <w:rFonts w:ascii="Arial" w:hAnsi="Arial" w:cs="Arial"/>
        </w:rPr>
        <w:t>Kim (2019) studied the South Korean licensure reforms and highlighted curriculum alignment and faculty development as key factors in enhancing licensure performance. Systemic policy changes that integrated national competency standards, program accreditation, and targeted faculty development training resulted in higher teacher pass rates and greater teacher effectiveness in the early years of teaching. This served as a good example of how policy coherence and investment in institutional capacity can have systemic benefits in licensure outcomes, and it was the reason institutional support was included as a variable in the present study that may be predictive of LET performance, especially in the context of a community college with limited resources.</w:t>
      </w:r>
    </w:p>
    <w:p w14:paraId="7AECA3B6" w14:textId="77777777" w:rsidR="001B225E" w:rsidRPr="006F6972" w:rsidRDefault="001B225E" w:rsidP="001B225E">
      <w:pPr>
        <w:spacing w:after="0" w:line="480" w:lineRule="auto"/>
        <w:jc w:val="both"/>
        <w:rPr>
          <w:rFonts w:ascii="Arial" w:hAnsi="Arial" w:cs="Arial"/>
          <w:b/>
          <w:bCs/>
        </w:rPr>
      </w:pPr>
      <w:r w:rsidRPr="006F6972">
        <w:rPr>
          <w:rFonts w:ascii="Arial" w:hAnsi="Arial" w:cs="Arial"/>
          <w:b/>
          <w:bCs/>
        </w:rPr>
        <w:t>Synthesis of the State-of-the-Art</w:t>
      </w:r>
    </w:p>
    <w:p w14:paraId="63518303"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 xml:space="preserve">The existing literature, both local and international, was unanimous in explaining the Licensure Examination for Teachers performance as the result of a multifactorial explanation. One of the major findings in the local studies was that academic performance is a key determinant of licensure outcomes. The results of the studies carried out by </w:t>
      </w:r>
      <w:proofErr w:type="spellStart"/>
      <w:r w:rsidRPr="006F6972">
        <w:rPr>
          <w:rFonts w:ascii="Arial" w:hAnsi="Arial" w:cs="Arial"/>
        </w:rPr>
        <w:t>Amanonce</w:t>
      </w:r>
      <w:proofErr w:type="spellEnd"/>
      <w:r w:rsidRPr="006F6972">
        <w:rPr>
          <w:rFonts w:ascii="Arial" w:hAnsi="Arial" w:cs="Arial"/>
        </w:rPr>
        <w:t xml:space="preserve"> and Maramag (2020), Ferrer (2024), Lao </w:t>
      </w:r>
      <w:r w:rsidRPr="006F6972">
        <w:rPr>
          <w:rFonts w:ascii="Arial" w:hAnsi="Arial" w:cs="Arial"/>
        </w:rPr>
        <w:lastRenderedPageBreak/>
        <w:t>(2021), Orlanda-</w:t>
      </w:r>
      <w:proofErr w:type="spellStart"/>
      <w:r w:rsidRPr="006F6972">
        <w:rPr>
          <w:rFonts w:ascii="Arial" w:hAnsi="Arial" w:cs="Arial"/>
        </w:rPr>
        <w:t>Ventayen</w:t>
      </w:r>
      <w:proofErr w:type="spellEnd"/>
      <w:r w:rsidRPr="006F6972">
        <w:rPr>
          <w:rFonts w:ascii="Arial" w:hAnsi="Arial" w:cs="Arial"/>
        </w:rPr>
        <w:t xml:space="preserve"> (2019), and </w:t>
      </w:r>
      <w:proofErr w:type="spellStart"/>
      <w:r w:rsidRPr="006F6972">
        <w:rPr>
          <w:rFonts w:ascii="Arial" w:hAnsi="Arial" w:cs="Arial"/>
        </w:rPr>
        <w:t>Repayo</w:t>
      </w:r>
      <w:proofErr w:type="spellEnd"/>
      <w:r w:rsidRPr="006F6972">
        <w:rPr>
          <w:rFonts w:ascii="Arial" w:hAnsi="Arial" w:cs="Arial"/>
        </w:rPr>
        <w:t xml:space="preserve"> et al. (2025) all indicated that the cumulative academic indicators, namely GWA, subject area averages, and professional education grades, were among the strongest predictors of LET performance. This was also in line with the study conducted by Abao et al. (2023), which found that college preparation and GPA were significant predictors of licensure outcomes. </w:t>
      </w:r>
      <w:proofErr w:type="spellStart"/>
      <w:r w:rsidRPr="006F6972">
        <w:rPr>
          <w:rFonts w:ascii="Arial" w:hAnsi="Arial" w:cs="Arial"/>
        </w:rPr>
        <w:t>Dionio</w:t>
      </w:r>
      <w:proofErr w:type="spellEnd"/>
      <w:r w:rsidRPr="006F6972">
        <w:rPr>
          <w:rFonts w:ascii="Arial" w:hAnsi="Arial" w:cs="Arial"/>
        </w:rPr>
        <w:t xml:space="preserve"> et al. (2025) built on this evidence by concluding that the teaching internship was also a factor in licensure readiness, which meant that both classroom based and field based academic experiences were important in developing a graduate's competence for professional licensure. Delos Angeles (2020) and </w:t>
      </w:r>
      <w:proofErr w:type="spellStart"/>
      <w:r w:rsidRPr="006F6972">
        <w:rPr>
          <w:rFonts w:ascii="Arial" w:hAnsi="Arial" w:cs="Arial"/>
        </w:rPr>
        <w:t>Balinario</w:t>
      </w:r>
      <w:proofErr w:type="spellEnd"/>
      <w:r w:rsidRPr="006F6972">
        <w:rPr>
          <w:rFonts w:ascii="Arial" w:hAnsi="Arial" w:cs="Arial"/>
        </w:rPr>
        <w:t xml:space="preserve"> et al. (2023) related these findings to curriculum alignment and argued that a lack of alignment between the curriculum and the licensure competencies was related to poor academic outcomes and, therefore, poor licensure outcomes.</w:t>
      </w:r>
    </w:p>
    <w:p w14:paraId="491BFAB5"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 xml:space="preserve">Review preparation practices also appeared to be a consistent significant predictor in the literature. If they are structured and constructed to reflect the actual examination, pre licensure assessments can predict actual LET results, as demonstrated by Fiscal and Roman (2022). This finding was supported by several studies. Cruz (2017) reported that a review program integrated into the curriculum was more effective than a review program conducted at the last minute, and </w:t>
      </w:r>
      <w:proofErr w:type="spellStart"/>
      <w:r w:rsidRPr="006F6972">
        <w:rPr>
          <w:rFonts w:ascii="Arial" w:hAnsi="Arial" w:cs="Arial"/>
        </w:rPr>
        <w:t>Gardoce</w:t>
      </w:r>
      <w:proofErr w:type="spellEnd"/>
      <w:r w:rsidRPr="006F6972">
        <w:rPr>
          <w:rFonts w:ascii="Arial" w:hAnsi="Arial" w:cs="Arial"/>
        </w:rPr>
        <w:t xml:space="preserve"> and Sangalang (2020) used structural equation modeling to determine that structured review preparation had a direct effect on licensure outcomes. This was also supported by the Professional Regulation Commission (2025) and Bustos</w:t>
      </w:r>
      <w:r>
        <w:rPr>
          <w:rFonts w:ascii="Arial" w:hAnsi="Arial" w:cs="Arial"/>
        </w:rPr>
        <w:t xml:space="preserve"> </w:t>
      </w:r>
      <w:r w:rsidRPr="006F6972">
        <w:rPr>
          <w:rFonts w:ascii="Arial" w:hAnsi="Arial" w:cs="Arial"/>
        </w:rPr>
        <w:lastRenderedPageBreak/>
        <w:t>et al. (2025), who stressed that review must be in line with the competency coverage of the licensure examination in the present and the future.</w:t>
      </w:r>
    </w:p>
    <w:p w14:paraId="516DCBD1"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 xml:space="preserve">Another factor consistently found in the literature to be related to the LET was institutional support. Mentoring, academic advising, review assistance, and psychosocial support all played a role in enhancing students' readiness and confidence in the licensure examination, according to De Guzman (2018), Mendoza (2019), and </w:t>
      </w:r>
      <w:proofErr w:type="spellStart"/>
      <w:r w:rsidRPr="006F6972">
        <w:rPr>
          <w:rFonts w:ascii="Arial" w:hAnsi="Arial" w:cs="Arial"/>
        </w:rPr>
        <w:t>Guardario</w:t>
      </w:r>
      <w:proofErr w:type="spellEnd"/>
      <w:r w:rsidRPr="006F6972">
        <w:rPr>
          <w:rFonts w:ascii="Arial" w:hAnsi="Arial" w:cs="Arial"/>
        </w:rPr>
        <w:t xml:space="preserve"> et al. (2024). Belza et al. (2025) and </w:t>
      </w:r>
      <w:proofErr w:type="spellStart"/>
      <w:r w:rsidRPr="006F6972">
        <w:rPr>
          <w:rFonts w:ascii="Arial" w:hAnsi="Arial" w:cs="Arial"/>
        </w:rPr>
        <w:t>Sinsay</w:t>
      </w:r>
      <w:proofErr w:type="spellEnd"/>
      <w:r w:rsidRPr="006F6972">
        <w:rPr>
          <w:rFonts w:ascii="Arial" w:hAnsi="Arial" w:cs="Arial"/>
        </w:rPr>
        <w:t>-Villanueva et al. (2025) tied this to the larger institutional context, indicating that the quality of teacher education institutions (TEIs) is directly related to licensure outcomes, which in turn are shaped by the resources, programs, and support mechanisms provided by these institutions. The results were consistent with the policy recommendations of the International Task Force on Teachers for Education 2030 (2024) and the Second Congressional Commission on Education (2023), which recommended consistent and systemic institutional support as a prerequisite for enhancing teacher quality and licensure performance.</w:t>
      </w:r>
    </w:p>
    <w:p w14:paraId="7C30F780" w14:textId="77777777" w:rsidR="001B225E" w:rsidRDefault="001B225E" w:rsidP="001B225E">
      <w:pPr>
        <w:spacing w:after="0" w:line="480" w:lineRule="auto"/>
        <w:ind w:firstLine="720"/>
        <w:jc w:val="both"/>
        <w:rPr>
          <w:rFonts w:ascii="Arial" w:hAnsi="Arial" w:cs="Arial"/>
        </w:rPr>
      </w:pPr>
      <w:r w:rsidRPr="006F6972">
        <w:rPr>
          <w:rFonts w:ascii="Arial" w:hAnsi="Arial" w:cs="Arial"/>
        </w:rPr>
        <w:t>Other aspects of LET readiness that appeared to be pertinent were study habits and psychological preparation. Alvarez (2018), Johnson (2016), and Martinez (2019) found that resilience, self-efficacy, and structured review practices were important factors that affected licensure results, particularly in high stakes test situations. The findings revealed that preparing for the Licensure Examination for Teachers was not just academic but also involved the building of study habits, attitudes toward taking the test, and confidence in taking the test.</w:t>
      </w:r>
    </w:p>
    <w:p w14:paraId="7D93DCE3" w14:textId="77777777" w:rsidR="001B225E" w:rsidRPr="00C06E05" w:rsidRDefault="001B225E" w:rsidP="001B225E">
      <w:pPr>
        <w:spacing w:after="0" w:line="480" w:lineRule="auto"/>
        <w:ind w:firstLine="720"/>
        <w:jc w:val="both"/>
        <w:rPr>
          <w:rFonts w:ascii="Arial" w:hAnsi="Arial" w:cs="Arial"/>
        </w:rPr>
      </w:pPr>
      <w:r w:rsidRPr="006F6972">
        <w:rPr>
          <w:rFonts w:ascii="Arial" w:hAnsi="Arial" w:cs="Arial"/>
        </w:rPr>
        <w:lastRenderedPageBreak/>
        <w:t>The literature from around the world corroborated the importance of the arrangements of academic preparation, licensure requirements, and institutional support. Darling-Hammond (2017), Ingersoll (2018), and Darling-Hammond and Bransford (2005) all pointed out that the most important factor for success in licensure is rigorous and coherent pre service preparation. Similarly, the OECD (2019), the Singapore Ministry of Education (2018), and Wang and Lin (2017) reported links between competency based frameworks, extended practicum models, and aligned institutional practices and better licensure outcomes in various national contexts. Overall, the state of the art suggested that well designed systems that are sustained and coherent, in which academic performance, review preparation, institutional support, and study habits reinforce each other and are supported by strong leadership, are most effective at improving LET performance.</w:t>
      </w:r>
    </w:p>
    <w:p w14:paraId="2C8DE62E" w14:textId="77777777" w:rsidR="001B225E" w:rsidRPr="006F6972" w:rsidRDefault="001B225E" w:rsidP="001B225E">
      <w:pPr>
        <w:spacing w:after="0" w:line="480" w:lineRule="auto"/>
        <w:jc w:val="both"/>
        <w:rPr>
          <w:rFonts w:ascii="Arial" w:hAnsi="Arial" w:cs="Arial"/>
          <w:b/>
          <w:bCs/>
        </w:rPr>
      </w:pPr>
      <w:r w:rsidRPr="006F6972">
        <w:rPr>
          <w:rFonts w:ascii="Arial" w:hAnsi="Arial" w:cs="Arial"/>
          <w:b/>
          <w:bCs/>
        </w:rPr>
        <w:t>Research Gap</w:t>
      </w:r>
    </w:p>
    <w:p w14:paraId="5AC433F9"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 xml:space="preserve">Although a number of factors have been identified through local and international studies that affect LET performance, several significant gaps remained that hindered the use of the findings from these studies in the community college in Albay. First, previous research often targeted universities and state colleges and lacked contextual evidence for community colleges with varied resources, student populations, and program designs. Second, although there were studies that gave national evidence regarding the academic predictors of LET performance, such as the studies conducted by Abao et al. (2023) and </w:t>
      </w:r>
      <w:proofErr w:type="spellStart"/>
      <w:r w:rsidRPr="006F6972">
        <w:rPr>
          <w:rFonts w:ascii="Arial" w:hAnsi="Arial" w:cs="Arial"/>
        </w:rPr>
        <w:t>Repayo</w:t>
      </w:r>
      <w:proofErr w:type="spellEnd"/>
      <w:r w:rsidRPr="006F6972">
        <w:rPr>
          <w:rFonts w:ascii="Arial" w:hAnsi="Arial" w:cs="Arial"/>
        </w:rPr>
        <w:t xml:space="preserve"> et al. (2025), they did not examine the specific set of profile variables, academic performance indicators, study habits, review preparation practices, and </w:t>
      </w:r>
      <w:r w:rsidRPr="006F6972">
        <w:rPr>
          <w:rFonts w:ascii="Arial" w:hAnsi="Arial" w:cs="Arial"/>
        </w:rPr>
        <w:lastRenderedPageBreak/>
        <w:t>institutional support as simultaneous predictors within a single community college institution. Third, most research in the Philippines focused on academic performance or institutional support alone and did not use regression-based frameworks that can determine the relative contribution of each variable as a set of variables. Fourth, the studies conducted in the Bicol region, including Villafuerte (2017), considered only practicum experiences and did not consider all the student level and institution level predictors examined in the present study. Fifth, little research had been conducted using LET passers as the primary respondents while examining their actual rating in the LET, their academic performance records, and their preparation behaviors in one institution.</w:t>
      </w:r>
    </w:p>
    <w:p w14:paraId="340AB950" w14:textId="77777777" w:rsidR="001B225E" w:rsidRPr="006F6972" w:rsidRDefault="001B225E" w:rsidP="001B225E">
      <w:pPr>
        <w:spacing w:after="0" w:line="480" w:lineRule="auto"/>
        <w:ind w:firstLine="720"/>
        <w:jc w:val="both"/>
        <w:rPr>
          <w:rFonts w:ascii="Arial" w:hAnsi="Arial" w:cs="Arial"/>
        </w:rPr>
      </w:pPr>
      <w:r w:rsidRPr="006F6972">
        <w:rPr>
          <w:rFonts w:ascii="Arial" w:hAnsi="Arial" w:cs="Arial"/>
        </w:rPr>
        <w:t>This study aimed to fill these gaps by focusing specifically on the LET passers of the community college, using a descriptive correlational design and regression analysis to determine the specific variables that best predict LET performance. The results yielded institution specific evidence that can be used to create a targeted intervention program that corresponds to the actual preparation needs of education graduates from the community college.</w:t>
      </w:r>
    </w:p>
    <w:p w14:paraId="1A741472" w14:textId="77777777" w:rsidR="001B225E" w:rsidRPr="006F6972" w:rsidRDefault="001B225E" w:rsidP="001B225E">
      <w:pPr>
        <w:spacing w:line="480" w:lineRule="auto"/>
        <w:ind w:firstLine="720"/>
        <w:jc w:val="both"/>
        <w:rPr>
          <w:rFonts w:ascii="Arial" w:hAnsi="Arial" w:cs="Arial"/>
        </w:rPr>
      </w:pPr>
    </w:p>
    <w:p w14:paraId="72411FD8" w14:textId="77777777" w:rsidR="001B225E" w:rsidRPr="006F6972" w:rsidRDefault="001B225E" w:rsidP="001B225E">
      <w:pPr>
        <w:spacing w:line="480" w:lineRule="auto"/>
        <w:jc w:val="both"/>
        <w:rPr>
          <w:rFonts w:ascii="Arial" w:hAnsi="Arial" w:cs="Arial"/>
        </w:rPr>
      </w:pPr>
    </w:p>
    <w:p w14:paraId="476F97C8" w14:textId="77777777" w:rsidR="001B225E" w:rsidRPr="006F6972" w:rsidRDefault="001B225E" w:rsidP="001B225E">
      <w:pPr>
        <w:spacing w:line="480" w:lineRule="auto"/>
        <w:jc w:val="both"/>
        <w:rPr>
          <w:rFonts w:ascii="Arial" w:hAnsi="Arial" w:cs="Arial"/>
        </w:rPr>
      </w:pPr>
    </w:p>
    <w:p w14:paraId="1F1EA64E" w14:textId="77777777" w:rsidR="001B225E" w:rsidRPr="006F6972" w:rsidRDefault="001B225E" w:rsidP="001B225E">
      <w:pPr>
        <w:spacing w:line="480" w:lineRule="auto"/>
        <w:jc w:val="both"/>
        <w:rPr>
          <w:rFonts w:ascii="Arial" w:hAnsi="Arial" w:cs="Arial"/>
        </w:rPr>
      </w:pPr>
    </w:p>
    <w:p w14:paraId="75DEBF39" w14:textId="77777777" w:rsidR="001B225E" w:rsidRDefault="001B225E" w:rsidP="001B225E">
      <w:pPr>
        <w:spacing w:line="480" w:lineRule="auto"/>
        <w:rPr>
          <w:rFonts w:ascii="Arial" w:hAnsi="Arial" w:cs="Arial"/>
          <w:b/>
          <w:bCs/>
        </w:rPr>
      </w:pPr>
    </w:p>
    <w:p w14:paraId="7D5AD315" w14:textId="77777777" w:rsidR="001B225E" w:rsidRPr="006F6972" w:rsidRDefault="001B225E" w:rsidP="001B225E">
      <w:pPr>
        <w:spacing w:line="480" w:lineRule="auto"/>
        <w:ind w:firstLine="851"/>
        <w:jc w:val="center"/>
        <w:rPr>
          <w:rFonts w:ascii="Arial" w:hAnsi="Arial" w:cs="Arial"/>
          <w:b/>
          <w:bCs/>
        </w:rPr>
      </w:pPr>
      <w:r w:rsidRPr="006F6972">
        <w:rPr>
          <w:rFonts w:ascii="Arial" w:hAnsi="Arial" w:cs="Arial"/>
          <w:b/>
          <w:bCs/>
        </w:rPr>
        <w:lastRenderedPageBreak/>
        <w:t>Notes</w:t>
      </w:r>
    </w:p>
    <w:p w14:paraId="2060C3B1" w14:textId="77777777" w:rsidR="001B225E" w:rsidRDefault="001B225E" w:rsidP="001B225E">
      <w:pPr>
        <w:spacing w:line="240" w:lineRule="auto"/>
        <w:ind w:firstLine="851"/>
        <w:jc w:val="both"/>
        <w:rPr>
          <w:rFonts w:ascii="Arial" w:hAnsi="Arial" w:cs="Arial"/>
        </w:rPr>
      </w:pPr>
      <w:r w:rsidRPr="006F6972">
        <w:rPr>
          <w:rFonts w:ascii="Arial" w:hAnsi="Arial" w:cs="Arial"/>
        </w:rPr>
        <w:t xml:space="preserve">Abao, E. L., </w:t>
      </w:r>
      <w:proofErr w:type="spellStart"/>
      <w:r w:rsidRPr="006F6972">
        <w:rPr>
          <w:rFonts w:ascii="Arial" w:hAnsi="Arial" w:cs="Arial"/>
        </w:rPr>
        <w:t>Petancio</w:t>
      </w:r>
      <w:proofErr w:type="spellEnd"/>
      <w:r w:rsidRPr="006F6972">
        <w:rPr>
          <w:rFonts w:ascii="Arial" w:hAnsi="Arial" w:cs="Arial"/>
        </w:rPr>
        <w:t xml:space="preserve">, J. A. M., Sanchez, J. M. P., &amp; Sumalinog, G. G. (2023). Performance of beginning teachers in the licensure examination for teachers: A national study. </w:t>
      </w:r>
      <w:r w:rsidRPr="006F6972">
        <w:rPr>
          <w:rFonts w:ascii="Arial" w:hAnsi="Arial" w:cs="Arial"/>
          <w:i/>
          <w:iCs/>
        </w:rPr>
        <w:t>Frontiers in Education, 8</w:t>
      </w:r>
      <w:r w:rsidRPr="006F6972">
        <w:rPr>
          <w:rFonts w:ascii="Arial" w:hAnsi="Arial" w:cs="Arial"/>
        </w:rPr>
        <w:t xml:space="preserve">, Article 1240658. </w:t>
      </w:r>
      <w:hyperlink r:id="rId31" w:history="1">
        <w:r w:rsidRPr="006F6972">
          <w:rPr>
            <w:rStyle w:val="Hyperlink"/>
            <w:rFonts w:ascii="Arial" w:hAnsi="Arial" w:cs="Arial"/>
            <w:color w:val="auto"/>
          </w:rPr>
          <w:t>https://doi.org/10.3389/feduc.2023.1240658</w:t>
        </w:r>
      </w:hyperlink>
    </w:p>
    <w:p w14:paraId="3B4028E7"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Alvarez, R. (2018). Resilience among LET takers in Mindanao: Coping strategies and licensure performance.</w:t>
      </w:r>
    </w:p>
    <w:p w14:paraId="276E0A53"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lang w:val="it-IT"/>
        </w:rPr>
        <w:t xml:space="preserve">Amanonce, J. C. T., &amp; Maramag, A. M. (2020). </w:t>
      </w:r>
      <w:r w:rsidRPr="006F6972">
        <w:rPr>
          <w:rFonts w:ascii="Arial" w:hAnsi="Arial" w:cs="Arial"/>
        </w:rPr>
        <w:t xml:space="preserve">Licensure examination performance and academic achievement of teacher education graduates. </w:t>
      </w:r>
      <w:r w:rsidRPr="006F6972">
        <w:rPr>
          <w:rFonts w:ascii="Arial" w:hAnsi="Arial" w:cs="Arial"/>
          <w:i/>
          <w:iCs/>
        </w:rPr>
        <w:t>International Journal of Evaluation and Research in Education, 9</w:t>
      </w:r>
      <w:r w:rsidRPr="006F6972">
        <w:rPr>
          <w:rFonts w:ascii="Arial" w:hAnsi="Arial" w:cs="Arial"/>
        </w:rPr>
        <w:t xml:space="preserve">(3), 510–516. </w:t>
      </w:r>
      <w:hyperlink r:id="rId32" w:history="1">
        <w:r w:rsidRPr="006F6972">
          <w:rPr>
            <w:rStyle w:val="Hyperlink"/>
            <w:rFonts w:ascii="Arial" w:hAnsi="Arial" w:cs="Arial"/>
            <w:color w:val="auto"/>
          </w:rPr>
          <w:t>https://doi.org/10.11591/IJERE.V9I3.20614</w:t>
        </w:r>
      </w:hyperlink>
    </w:p>
    <w:p w14:paraId="438ED4EA"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Anderson, T. (2021). Extended practicum and mentoring as predictors of licensure success: A longitudinal study.</w:t>
      </w:r>
    </w:p>
    <w:p w14:paraId="598AE8C7" w14:textId="77777777" w:rsidR="001B225E" w:rsidRPr="006F6972" w:rsidRDefault="001B225E" w:rsidP="001B225E">
      <w:pPr>
        <w:spacing w:line="240" w:lineRule="auto"/>
        <w:ind w:firstLine="851"/>
        <w:jc w:val="both"/>
        <w:rPr>
          <w:rFonts w:ascii="Arial" w:hAnsi="Arial" w:cs="Arial"/>
        </w:rPr>
      </w:pPr>
      <w:proofErr w:type="spellStart"/>
      <w:r w:rsidRPr="006F6972">
        <w:rPr>
          <w:rFonts w:ascii="Arial" w:hAnsi="Arial" w:cs="Arial"/>
          <w:lang w:val="it-IT"/>
        </w:rPr>
        <w:t>Balinario</w:t>
      </w:r>
      <w:proofErr w:type="spellEnd"/>
      <w:r w:rsidRPr="006F6972">
        <w:rPr>
          <w:rFonts w:ascii="Arial" w:hAnsi="Arial" w:cs="Arial"/>
          <w:lang w:val="it-IT"/>
        </w:rPr>
        <w:t xml:space="preserve">, L., Reyes, M., &amp; Santos, P. (2023). </w:t>
      </w:r>
      <w:r w:rsidRPr="006F6972">
        <w:rPr>
          <w:rFonts w:ascii="Arial" w:hAnsi="Arial" w:cs="Arial"/>
        </w:rPr>
        <w:t>Curriculum alignment and LET passing rates: An evaluation of instructional design in Philippine teacher education programs.</w:t>
      </w:r>
    </w:p>
    <w:p w14:paraId="4110F6FB"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lang w:val="it-IT"/>
        </w:rPr>
        <w:t xml:space="preserve">Belza, D. S. G., </w:t>
      </w:r>
      <w:proofErr w:type="spellStart"/>
      <w:r w:rsidRPr="006F6972">
        <w:rPr>
          <w:rFonts w:ascii="Arial" w:hAnsi="Arial" w:cs="Arial"/>
          <w:lang w:val="it-IT"/>
        </w:rPr>
        <w:t>Alcausin</w:t>
      </w:r>
      <w:proofErr w:type="spellEnd"/>
      <w:r w:rsidRPr="006F6972">
        <w:rPr>
          <w:rFonts w:ascii="Arial" w:hAnsi="Arial" w:cs="Arial"/>
          <w:lang w:val="it-IT"/>
        </w:rPr>
        <w:t xml:space="preserve">, F. B., Jocson, J. V., Rodil, J. M. C., Fulgencio, M. S. B., Tuazon, M. M. M., &amp; </w:t>
      </w:r>
      <w:proofErr w:type="spellStart"/>
      <w:r w:rsidRPr="006F6972">
        <w:rPr>
          <w:rFonts w:ascii="Arial" w:hAnsi="Arial" w:cs="Arial"/>
          <w:lang w:val="it-IT"/>
        </w:rPr>
        <w:t>Valientes</w:t>
      </w:r>
      <w:proofErr w:type="spellEnd"/>
      <w:r w:rsidRPr="006F6972">
        <w:rPr>
          <w:rFonts w:ascii="Arial" w:hAnsi="Arial" w:cs="Arial"/>
          <w:lang w:val="it-IT"/>
        </w:rPr>
        <w:t xml:space="preserve">, V. R. E. (2025). </w:t>
      </w:r>
      <w:r w:rsidRPr="006F6972">
        <w:rPr>
          <w:rFonts w:ascii="Arial" w:hAnsi="Arial" w:cs="Arial"/>
        </w:rPr>
        <w:t xml:space="preserve">Profiling study of teacher education institutions and teacher educators. Second Congressional Commission on Education. </w:t>
      </w:r>
      <w:hyperlink r:id="rId33" w:history="1">
        <w:r w:rsidRPr="006F6972">
          <w:rPr>
            <w:rStyle w:val="Hyperlink"/>
            <w:rFonts w:ascii="Arial" w:hAnsi="Arial" w:cs="Arial"/>
            <w:color w:val="auto"/>
          </w:rPr>
          <w:t>https://edcom2.gov.ph/publications/profiling-study-of-teacher-education-institutions-teis-and-teacher-educators/</w:t>
        </w:r>
      </w:hyperlink>
    </w:p>
    <w:p w14:paraId="42DFC91C"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lang w:val="it-IT"/>
        </w:rPr>
        <w:t xml:space="preserve">Bustos, M. T., </w:t>
      </w:r>
      <w:proofErr w:type="spellStart"/>
      <w:r w:rsidRPr="006F6972">
        <w:rPr>
          <w:rFonts w:ascii="Arial" w:hAnsi="Arial" w:cs="Arial"/>
          <w:lang w:val="it-IT"/>
        </w:rPr>
        <w:t>Cagasan</w:t>
      </w:r>
      <w:proofErr w:type="spellEnd"/>
      <w:r w:rsidRPr="006F6972">
        <w:rPr>
          <w:rFonts w:ascii="Arial" w:hAnsi="Arial" w:cs="Arial"/>
          <w:lang w:val="it-IT"/>
        </w:rPr>
        <w:t xml:space="preserve">, L., Jr., Ferido, N. M., Ocampo-Cristobal, D. J., &amp; </w:t>
      </w:r>
      <w:proofErr w:type="spellStart"/>
      <w:r w:rsidRPr="006F6972">
        <w:rPr>
          <w:rFonts w:ascii="Arial" w:hAnsi="Arial" w:cs="Arial"/>
          <w:lang w:val="it-IT"/>
        </w:rPr>
        <w:t>Ogena</w:t>
      </w:r>
      <w:proofErr w:type="spellEnd"/>
      <w:r w:rsidRPr="006F6972">
        <w:rPr>
          <w:rFonts w:ascii="Arial" w:hAnsi="Arial" w:cs="Arial"/>
          <w:lang w:val="it-IT"/>
        </w:rPr>
        <w:t xml:space="preserve">, E. (2025). </w:t>
      </w:r>
      <w:r w:rsidRPr="006F6972">
        <w:rPr>
          <w:rFonts w:ascii="Arial" w:hAnsi="Arial" w:cs="Arial"/>
        </w:rPr>
        <w:t xml:space="preserve">Fixing the foundations: Strengthening the teaching workforce through the BLEPT. Second Congressional Commission on Education. </w:t>
      </w:r>
      <w:hyperlink r:id="rId34" w:history="1">
        <w:r w:rsidRPr="006F6972">
          <w:rPr>
            <w:rStyle w:val="Hyperlink"/>
            <w:rFonts w:ascii="Arial" w:hAnsi="Arial" w:cs="Arial"/>
            <w:color w:val="auto"/>
          </w:rPr>
          <w:t>https://edcom2.gov.ph/publications/fixing-the-foundations-strengthening-the-teaching-workforce-through-the-blept/</w:t>
        </w:r>
      </w:hyperlink>
    </w:p>
    <w:p w14:paraId="1E330D6B" w14:textId="77777777" w:rsidR="001B225E" w:rsidRPr="006F6972" w:rsidRDefault="001B225E" w:rsidP="001B225E">
      <w:pPr>
        <w:spacing w:line="240" w:lineRule="auto"/>
        <w:ind w:firstLine="851"/>
        <w:jc w:val="both"/>
        <w:rPr>
          <w:rFonts w:ascii="Arial" w:hAnsi="Arial" w:cs="Arial"/>
        </w:rPr>
      </w:pPr>
      <w:proofErr w:type="spellStart"/>
      <w:r w:rsidRPr="006F6972">
        <w:rPr>
          <w:rFonts w:ascii="Arial" w:hAnsi="Arial" w:cs="Arial"/>
        </w:rPr>
        <w:t>Cadosales</w:t>
      </w:r>
      <w:proofErr w:type="spellEnd"/>
      <w:r w:rsidRPr="006F6972">
        <w:rPr>
          <w:rFonts w:ascii="Arial" w:hAnsi="Arial" w:cs="Arial"/>
        </w:rPr>
        <w:t>, A., Delos Reyes, K., &amp; Villanueva, S. (2023). LET results as predictors of beginning teachers' classroom performance.</w:t>
      </w:r>
    </w:p>
    <w:p w14:paraId="279677F9"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Cruz, E. (2017). Effectiveness of review centers and institutional review programs on LET passing rates.</w:t>
      </w:r>
    </w:p>
    <w:p w14:paraId="5285447A"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Darling-Hammond, L. (2017). Teacher preparation and licensure: Linking standards, assessment, and practice.</w:t>
      </w:r>
    </w:p>
    <w:p w14:paraId="5DA0DEED"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 xml:space="preserve">Darling-Hammond, L., &amp; Bransford, J. (2005). </w:t>
      </w:r>
      <w:r w:rsidRPr="006F6972">
        <w:rPr>
          <w:rFonts w:ascii="Arial" w:hAnsi="Arial" w:cs="Arial"/>
          <w:i/>
          <w:iCs/>
        </w:rPr>
        <w:t>Preparing teachers for a changing world: What teachers should learn and be able to do.</w:t>
      </w:r>
      <w:r w:rsidRPr="006F6972">
        <w:rPr>
          <w:rFonts w:ascii="Arial" w:hAnsi="Arial" w:cs="Arial"/>
        </w:rPr>
        <w:t xml:space="preserve"> Jossey-Bass.</w:t>
      </w:r>
    </w:p>
    <w:p w14:paraId="7F95056F" w14:textId="77777777" w:rsidR="001B225E" w:rsidRDefault="001B225E" w:rsidP="001B225E">
      <w:pPr>
        <w:spacing w:line="240" w:lineRule="auto"/>
        <w:ind w:firstLine="851"/>
        <w:jc w:val="both"/>
        <w:rPr>
          <w:rFonts w:ascii="Arial" w:hAnsi="Arial" w:cs="Arial"/>
        </w:rPr>
      </w:pPr>
      <w:r w:rsidRPr="006F6972">
        <w:rPr>
          <w:rFonts w:ascii="Arial" w:hAnsi="Arial" w:cs="Arial"/>
        </w:rPr>
        <w:t>De Guzman, F. (2018). Student support services and licensure readiness: Mentoring, counseling, and academic advising.</w:t>
      </w:r>
    </w:p>
    <w:p w14:paraId="12FE5D47" w14:textId="77777777" w:rsidR="001B225E" w:rsidRPr="006F6972" w:rsidRDefault="001B225E" w:rsidP="001B225E">
      <w:pPr>
        <w:spacing w:line="240" w:lineRule="auto"/>
        <w:ind w:firstLine="851"/>
        <w:jc w:val="both"/>
        <w:rPr>
          <w:rFonts w:ascii="Arial" w:hAnsi="Arial" w:cs="Arial"/>
        </w:rPr>
      </w:pPr>
    </w:p>
    <w:p w14:paraId="434D1A20"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lastRenderedPageBreak/>
        <w:t>Delos Angeles, M. (2020). Curriculum and instruction variables as predictors of LET performance at Cagayan State University.</w:t>
      </w:r>
    </w:p>
    <w:p w14:paraId="7FF01357"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 xml:space="preserve">Dionio, B. B., </w:t>
      </w:r>
      <w:proofErr w:type="spellStart"/>
      <w:r w:rsidRPr="006F6972">
        <w:rPr>
          <w:rFonts w:ascii="Arial" w:hAnsi="Arial" w:cs="Arial"/>
        </w:rPr>
        <w:t>Dagpin</w:t>
      </w:r>
      <w:proofErr w:type="spellEnd"/>
      <w:r w:rsidRPr="006F6972">
        <w:rPr>
          <w:rFonts w:ascii="Arial" w:hAnsi="Arial" w:cs="Arial"/>
        </w:rPr>
        <w:t xml:space="preserve">, A. R. R., </w:t>
      </w:r>
      <w:proofErr w:type="spellStart"/>
      <w:r w:rsidRPr="006F6972">
        <w:rPr>
          <w:rFonts w:ascii="Arial" w:hAnsi="Arial" w:cs="Arial"/>
        </w:rPr>
        <w:t>Cabillas</w:t>
      </w:r>
      <w:proofErr w:type="spellEnd"/>
      <w:r w:rsidRPr="006F6972">
        <w:rPr>
          <w:rFonts w:ascii="Arial" w:hAnsi="Arial" w:cs="Arial"/>
        </w:rPr>
        <w:t xml:space="preserve">, A. J. Q. B., </w:t>
      </w:r>
      <w:proofErr w:type="spellStart"/>
      <w:r w:rsidRPr="006F6972">
        <w:rPr>
          <w:rFonts w:ascii="Arial" w:hAnsi="Arial" w:cs="Arial"/>
        </w:rPr>
        <w:t>Edullantes</w:t>
      </w:r>
      <w:proofErr w:type="spellEnd"/>
      <w:r w:rsidRPr="006F6972">
        <w:rPr>
          <w:rFonts w:ascii="Arial" w:hAnsi="Arial" w:cs="Arial"/>
        </w:rPr>
        <w:t xml:space="preserve">, J. R. T., &amp; </w:t>
      </w:r>
      <w:proofErr w:type="spellStart"/>
      <w:r w:rsidRPr="006F6972">
        <w:rPr>
          <w:rFonts w:ascii="Arial" w:hAnsi="Arial" w:cs="Arial"/>
        </w:rPr>
        <w:t>Baluyos</w:t>
      </w:r>
      <w:proofErr w:type="spellEnd"/>
      <w:r w:rsidRPr="006F6972">
        <w:rPr>
          <w:rFonts w:ascii="Arial" w:hAnsi="Arial" w:cs="Arial"/>
        </w:rPr>
        <w:t xml:space="preserve">, G. R. (2025). Predictors of graduates' performance in the licensure examination for teachers. </w:t>
      </w:r>
      <w:proofErr w:type="spellStart"/>
      <w:r w:rsidRPr="006F6972">
        <w:rPr>
          <w:rFonts w:ascii="Arial" w:hAnsi="Arial" w:cs="Arial"/>
          <w:i/>
          <w:iCs/>
        </w:rPr>
        <w:t>EduLine</w:t>
      </w:r>
      <w:proofErr w:type="spellEnd"/>
      <w:r w:rsidRPr="006F6972">
        <w:rPr>
          <w:rFonts w:ascii="Arial" w:hAnsi="Arial" w:cs="Arial"/>
          <w:i/>
          <w:iCs/>
        </w:rPr>
        <w:t>: Journal of Education and Learning Innovation, 5</w:t>
      </w:r>
      <w:r w:rsidRPr="006F6972">
        <w:rPr>
          <w:rFonts w:ascii="Arial" w:hAnsi="Arial" w:cs="Arial"/>
        </w:rPr>
        <w:t xml:space="preserve">(1), 79–103. </w:t>
      </w:r>
      <w:hyperlink r:id="rId35" w:history="1">
        <w:r w:rsidRPr="006F6972">
          <w:rPr>
            <w:rStyle w:val="Hyperlink"/>
            <w:rFonts w:ascii="Arial" w:hAnsi="Arial" w:cs="Arial"/>
            <w:color w:val="auto"/>
          </w:rPr>
          <w:t>https://doi.org/10.35877/454RI.eduline3535</w:t>
        </w:r>
      </w:hyperlink>
    </w:p>
    <w:p w14:paraId="3822E904"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 xml:space="preserve">Ferrer, J. C. (2024). Academic performance and predictors of licensure examination for teachers of bachelor of elementary education. </w:t>
      </w:r>
      <w:r w:rsidRPr="006F6972">
        <w:rPr>
          <w:rFonts w:ascii="Arial" w:hAnsi="Arial" w:cs="Arial"/>
          <w:i/>
          <w:iCs/>
        </w:rPr>
        <w:t>Malaysian Journal of Social Sciences and Humanities, 9</w:t>
      </w:r>
      <w:r w:rsidRPr="006F6972">
        <w:rPr>
          <w:rFonts w:ascii="Arial" w:hAnsi="Arial" w:cs="Arial"/>
        </w:rPr>
        <w:t xml:space="preserve">(11), Article e003091. </w:t>
      </w:r>
      <w:hyperlink r:id="rId36" w:history="1">
        <w:r w:rsidRPr="006F6972">
          <w:rPr>
            <w:rStyle w:val="Hyperlink"/>
            <w:rFonts w:ascii="Arial" w:hAnsi="Arial" w:cs="Arial"/>
            <w:color w:val="auto"/>
          </w:rPr>
          <w:t>https://doi.org/10.47405/mjssh.v9i11.3091</w:t>
        </w:r>
      </w:hyperlink>
    </w:p>
    <w:p w14:paraId="2E521466"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 xml:space="preserve">Fiscal, R. R., &amp; Roman, A. G. (2022). Pre-licensure examination as predictor of licensure examination for teachers result. </w:t>
      </w:r>
      <w:r w:rsidRPr="006F6972">
        <w:rPr>
          <w:rFonts w:ascii="Arial" w:hAnsi="Arial" w:cs="Arial"/>
          <w:i/>
          <w:iCs/>
        </w:rPr>
        <w:t>International Journal of Evaluation and Research in Education, 11</w:t>
      </w:r>
      <w:r w:rsidRPr="006F6972">
        <w:rPr>
          <w:rFonts w:ascii="Arial" w:hAnsi="Arial" w:cs="Arial"/>
        </w:rPr>
        <w:t xml:space="preserve">(1), 136–142. </w:t>
      </w:r>
      <w:hyperlink r:id="rId37" w:history="1">
        <w:r w:rsidRPr="006F6972">
          <w:rPr>
            <w:rStyle w:val="Hyperlink"/>
            <w:rFonts w:ascii="Arial" w:hAnsi="Arial" w:cs="Arial"/>
            <w:color w:val="auto"/>
          </w:rPr>
          <w:t>https://doi.org/10.11591/ijere.v11i1.22133</w:t>
        </w:r>
      </w:hyperlink>
    </w:p>
    <w:p w14:paraId="1DE54DA5" w14:textId="77777777" w:rsidR="001B225E" w:rsidRPr="006F6972" w:rsidRDefault="001B225E" w:rsidP="001B225E">
      <w:pPr>
        <w:spacing w:line="240" w:lineRule="auto"/>
        <w:ind w:firstLine="851"/>
        <w:jc w:val="both"/>
        <w:rPr>
          <w:rFonts w:ascii="Arial" w:hAnsi="Arial" w:cs="Arial"/>
        </w:rPr>
      </w:pPr>
      <w:proofErr w:type="spellStart"/>
      <w:r w:rsidRPr="006F6972">
        <w:rPr>
          <w:rFonts w:ascii="Arial" w:hAnsi="Arial" w:cs="Arial"/>
        </w:rPr>
        <w:t>Gardoce</w:t>
      </w:r>
      <w:proofErr w:type="spellEnd"/>
      <w:r w:rsidRPr="006F6972">
        <w:rPr>
          <w:rFonts w:ascii="Arial" w:hAnsi="Arial" w:cs="Arial"/>
        </w:rPr>
        <w:t>, R., &amp; Sangalang, J. (2020). Predictors of LET performance: A structural equation modeling approach.</w:t>
      </w:r>
    </w:p>
    <w:p w14:paraId="00E07C73" w14:textId="77777777" w:rsidR="001B225E" w:rsidRPr="006F6972" w:rsidRDefault="001B225E" w:rsidP="001B225E">
      <w:pPr>
        <w:spacing w:line="240" w:lineRule="auto"/>
        <w:ind w:firstLine="851"/>
        <w:jc w:val="both"/>
        <w:rPr>
          <w:rFonts w:ascii="Arial" w:hAnsi="Arial" w:cs="Arial"/>
        </w:rPr>
      </w:pPr>
      <w:proofErr w:type="spellStart"/>
      <w:r w:rsidRPr="006F6972">
        <w:rPr>
          <w:rFonts w:ascii="Arial" w:hAnsi="Arial" w:cs="Arial"/>
          <w:lang w:val="it-IT"/>
        </w:rPr>
        <w:t>Guardario</w:t>
      </w:r>
      <w:proofErr w:type="spellEnd"/>
      <w:r w:rsidRPr="006F6972">
        <w:rPr>
          <w:rFonts w:ascii="Arial" w:hAnsi="Arial" w:cs="Arial"/>
          <w:lang w:val="it-IT"/>
        </w:rPr>
        <w:t xml:space="preserve">, L. B., Bucio, C. J. M., </w:t>
      </w:r>
      <w:proofErr w:type="spellStart"/>
      <w:r w:rsidRPr="006F6972">
        <w:rPr>
          <w:rFonts w:ascii="Arial" w:hAnsi="Arial" w:cs="Arial"/>
          <w:lang w:val="it-IT"/>
        </w:rPr>
        <w:t>Garocho</w:t>
      </w:r>
      <w:proofErr w:type="spellEnd"/>
      <w:r w:rsidRPr="006F6972">
        <w:rPr>
          <w:rFonts w:ascii="Arial" w:hAnsi="Arial" w:cs="Arial"/>
          <w:lang w:val="it-IT"/>
        </w:rPr>
        <w:t xml:space="preserve">, L. K. B., &amp; Caballo, J. H. S. (2024). </w:t>
      </w:r>
      <w:r w:rsidRPr="006F6972">
        <w:rPr>
          <w:rFonts w:ascii="Arial" w:hAnsi="Arial" w:cs="Arial"/>
        </w:rPr>
        <w:t xml:space="preserve">Social support and expectancy as predictors of licensure examination success among professional teachers. </w:t>
      </w:r>
      <w:r w:rsidRPr="006F6972">
        <w:rPr>
          <w:rFonts w:ascii="Arial" w:hAnsi="Arial" w:cs="Arial"/>
          <w:i/>
          <w:iCs/>
        </w:rPr>
        <w:t>American Journal of Education and Technology, 3</w:t>
      </w:r>
      <w:r w:rsidRPr="006F6972">
        <w:rPr>
          <w:rFonts w:ascii="Arial" w:hAnsi="Arial" w:cs="Arial"/>
        </w:rPr>
        <w:t xml:space="preserve">(4), 24–44. </w:t>
      </w:r>
      <w:hyperlink r:id="rId38" w:history="1">
        <w:r w:rsidRPr="006F6972">
          <w:rPr>
            <w:rStyle w:val="Hyperlink"/>
            <w:rFonts w:ascii="Arial" w:hAnsi="Arial" w:cs="Arial"/>
            <w:color w:val="auto"/>
          </w:rPr>
          <w:t>https://doi.org/10.54536/ajet.v3i4.3416</w:t>
        </w:r>
      </w:hyperlink>
    </w:p>
    <w:p w14:paraId="3F130286"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Ingersoll, R. (2018). Teacher preparation, licensure, and early-career retention: Evidence from practice-oriented programs.</w:t>
      </w:r>
    </w:p>
    <w:p w14:paraId="575491BE"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Johnson, A. (2016). Resilience, self-efficacy, and licensure success: Experimental interventions in teacher education.</w:t>
      </w:r>
    </w:p>
    <w:p w14:paraId="6267FAC4"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Kim, H. (2019). Licensure reforms and curriculum alignment in South Korea: Policy impacts on teacher quality.</w:t>
      </w:r>
    </w:p>
    <w:p w14:paraId="4A0C1BC0"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Lao, M. (2021). Academic achievement and review program participation as predictors of LET success in Central Luzon.</w:t>
      </w:r>
    </w:p>
    <w:p w14:paraId="4D9179D4"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Li, Y., &amp; Chen, C. (2020). Curriculum alignment and faculty specialization as predictors of licensure outcomes in China.</w:t>
      </w:r>
    </w:p>
    <w:p w14:paraId="60FB9520"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Martinez, J. (2019). Resilience and psychological preparedness as moderators of licensure outcomes in Spain.</w:t>
      </w:r>
    </w:p>
    <w:p w14:paraId="2E94E809"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Mendoza, C. (2019). Student support services and LET outcomes in provincial colleges: A mixed-methods study.</w:t>
      </w:r>
    </w:p>
    <w:p w14:paraId="21965AF7" w14:textId="77777777" w:rsidR="001B225E" w:rsidRDefault="001B225E" w:rsidP="001B225E">
      <w:pPr>
        <w:spacing w:line="240" w:lineRule="auto"/>
        <w:ind w:firstLine="851"/>
        <w:jc w:val="both"/>
        <w:rPr>
          <w:rFonts w:ascii="Arial" w:hAnsi="Arial" w:cs="Arial"/>
          <w:i/>
          <w:iCs/>
        </w:rPr>
      </w:pPr>
      <w:r w:rsidRPr="006F6972">
        <w:rPr>
          <w:rFonts w:ascii="Arial" w:hAnsi="Arial" w:cs="Arial"/>
        </w:rPr>
        <w:t xml:space="preserve">OECD. (2019). </w:t>
      </w:r>
      <w:r w:rsidRPr="006F6972">
        <w:rPr>
          <w:rFonts w:ascii="Arial" w:hAnsi="Arial" w:cs="Arial"/>
          <w:i/>
          <w:iCs/>
        </w:rPr>
        <w:t xml:space="preserve">Teachers and school leaders as lifelong learners: OECD </w:t>
      </w:r>
    </w:p>
    <w:p w14:paraId="202C8A54" w14:textId="77777777" w:rsidR="001B225E" w:rsidRPr="006F6972" w:rsidRDefault="001B225E" w:rsidP="001B225E">
      <w:pPr>
        <w:spacing w:line="240" w:lineRule="auto"/>
        <w:jc w:val="both"/>
        <w:rPr>
          <w:rFonts w:ascii="Arial" w:hAnsi="Arial" w:cs="Arial"/>
        </w:rPr>
      </w:pPr>
      <w:r w:rsidRPr="006F6972">
        <w:rPr>
          <w:rFonts w:ascii="Arial" w:hAnsi="Arial" w:cs="Arial"/>
          <w:i/>
          <w:iCs/>
        </w:rPr>
        <w:t>indicators and policy recommendations.</w:t>
      </w:r>
      <w:r w:rsidRPr="006F6972">
        <w:rPr>
          <w:rFonts w:ascii="Arial" w:hAnsi="Arial" w:cs="Arial"/>
        </w:rPr>
        <w:t xml:space="preserve"> </w:t>
      </w:r>
      <w:proofErr w:type="spellStart"/>
      <w:r w:rsidRPr="006F6972">
        <w:rPr>
          <w:rFonts w:ascii="Arial" w:hAnsi="Arial" w:cs="Arial"/>
        </w:rPr>
        <w:t>Organisation</w:t>
      </w:r>
      <w:proofErr w:type="spellEnd"/>
      <w:r w:rsidRPr="006F6972">
        <w:rPr>
          <w:rFonts w:ascii="Arial" w:hAnsi="Arial" w:cs="Arial"/>
        </w:rPr>
        <w:t xml:space="preserve"> for Economic Co-operation and Development.</w:t>
      </w:r>
    </w:p>
    <w:p w14:paraId="67C36EC3"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lastRenderedPageBreak/>
        <w:t>Orlanda-</w:t>
      </w:r>
      <w:proofErr w:type="spellStart"/>
      <w:r w:rsidRPr="006F6972">
        <w:rPr>
          <w:rFonts w:ascii="Arial" w:hAnsi="Arial" w:cs="Arial"/>
        </w:rPr>
        <w:t>Ventayen</w:t>
      </w:r>
      <w:proofErr w:type="spellEnd"/>
      <w:r w:rsidRPr="006F6972">
        <w:rPr>
          <w:rFonts w:ascii="Arial" w:hAnsi="Arial" w:cs="Arial"/>
        </w:rPr>
        <w:t>, C. (2019). Academic predictors of LET performance: A thematic review.</w:t>
      </w:r>
    </w:p>
    <w:p w14:paraId="4F7D1C29"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 xml:space="preserve">Professional Regulation Commission. (2025). Guidelines on the implementation of the Professional Regulation Commission and Commission on Higher Education joint memorandum circular on the alignment of the licensure examination for professional teachers with the teacher education curriculum. </w:t>
      </w:r>
      <w:hyperlink r:id="rId39" w:history="1">
        <w:r w:rsidRPr="006F6972">
          <w:rPr>
            <w:rStyle w:val="Hyperlink"/>
            <w:rFonts w:ascii="Arial" w:hAnsi="Arial" w:cs="Arial"/>
            <w:color w:val="auto"/>
          </w:rPr>
          <w:t>https://prc.gov.ph/article/guidelines-implementation-prc-ched-jmc-alignment-lept-teacher-education-curriculum</w:t>
        </w:r>
      </w:hyperlink>
    </w:p>
    <w:p w14:paraId="0DAE2B43" w14:textId="77777777" w:rsidR="001B225E" w:rsidRPr="006F6972" w:rsidRDefault="001B225E" w:rsidP="001B225E">
      <w:pPr>
        <w:spacing w:line="240" w:lineRule="auto"/>
        <w:ind w:firstLine="851"/>
        <w:jc w:val="both"/>
        <w:rPr>
          <w:rFonts w:ascii="Arial" w:hAnsi="Arial" w:cs="Arial"/>
        </w:rPr>
      </w:pPr>
      <w:proofErr w:type="spellStart"/>
      <w:r w:rsidRPr="006F6972">
        <w:rPr>
          <w:rFonts w:ascii="Arial" w:hAnsi="Arial" w:cs="Arial"/>
        </w:rPr>
        <w:t>Repayo</w:t>
      </w:r>
      <w:proofErr w:type="spellEnd"/>
      <w:r w:rsidRPr="006F6972">
        <w:rPr>
          <w:rFonts w:ascii="Arial" w:hAnsi="Arial" w:cs="Arial"/>
        </w:rPr>
        <w:t xml:space="preserve">, B. D., </w:t>
      </w:r>
      <w:proofErr w:type="spellStart"/>
      <w:r w:rsidRPr="006F6972">
        <w:rPr>
          <w:rFonts w:ascii="Arial" w:hAnsi="Arial" w:cs="Arial"/>
        </w:rPr>
        <w:t>Malonisio</w:t>
      </w:r>
      <w:proofErr w:type="spellEnd"/>
      <w:r w:rsidRPr="006F6972">
        <w:rPr>
          <w:rFonts w:ascii="Arial" w:hAnsi="Arial" w:cs="Arial"/>
        </w:rPr>
        <w:t xml:space="preserve">, M. O., &amp; </w:t>
      </w:r>
      <w:proofErr w:type="spellStart"/>
      <w:r w:rsidRPr="006F6972">
        <w:rPr>
          <w:rFonts w:ascii="Arial" w:hAnsi="Arial" w:cs="Arial"/>
        </w:rPr>
        <w:t>Tambong</w:t>
      </w:r>
      <w:proofErr w:type="spellEnd"/>
      <w:r w:rsidRPr="006F6972">
        <w:rPr>
          <w:rFonts w:ascii="Arial" w:hAnsi="Arial" w:cs="Arial"/>
        </w:rPr>
        <w:t xml:space="preserve">, C. R. (2025). Beyond admission scores: Mapping the strongest predictors of licensure examination for teachers performance in bachelor of secondary education graduates. </w:t>
      </w:r>
      <w:proofErr w:type="spellStart"/>
      <w:r w:rsidRPr="006F6972">
        <w:rPr>
          <w:rFonts w:ascii="Arial" w:hAnsi="Arial" w:cs="Arial"/>
          <w:i/>
          <w:iCs/>
        </w:rPr>
        <w:t>Jurnal</w:t>
      </w:r>
      <w:proofErr w:type="spellEnd"/>
      <w:r w:rsidRPr="006F6972">
        <w:rPr>
          <w:rFonts w:ascii="Arial" w:hAnsi="Arial" w:cs="Arial"/>
          <w:i/>
          <w:iCs/>
        </w:rPr>
        <w:t xml:space="preserve"> </w:t>
      </w:r>
      <w:proofErr w:type="spellStart"/>
      <w:r w:rsidRPr="006F6972">
        <w:rPr>
          <w:rFonts w:ascii="Arial" w:hAnsi="Arial" w:cs="Arial"/>
          <w:i/>
          <w:iCs/>
        </w:rPr>
        <w:t>Ilmiah</w:t>
      </w:r>
      <w:proofErr w:type="spellEnd"/>
      <w:r w:rsidRPr="006F6972">
        <w:rPr>
          <w:rFonts w:ascii="Arial" w:hAnsi="Arial" w:cs="Arial"/>
          <w:i/>
          <w:iCs/>
        </w:rPr>
        <w:t xml:space="preserve"> Peuradeun, 13</w:t>
      </w:r>
      <w:r w:rsidRPr="006F6972">
        <w:rPr>
          <w:rFonts w:ascii="Arial" w:hAnsi="Arial" w:cs="Arial"/>
        </w:rPr>
        <w:t xml:space="preserve">(2), 1317–1344. </w:t>
      </w:r>
      <w:hyperlink r:id="rId40" w:history="1">
        <w:r w:rsidRPr="006F6972">
          <w:rPr>
            <w:rStyle w:val="Hyperlink"/>
            <w:rFonts w:ascii="Arial" w:hAnsi="Arial" w:cs="Arial"/>
            <w:color w:val="auto"/>
          </w:rPr>
          <w:t>https://doi.org/10.26811/peuradeun.v13i2.1364</w:t>
        </w:r>
      </w:hyperlink>
    </w:p>
    <w:p w14:paraId="6DBE5F10"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Santiago, V. (2019). Practicum experiences and LET performance: The role of mentor teachers and reflective supervision.</w:t>
      </w:r>
    </w:p>
    <w:p w14:paraId="3B51CBB8"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 xml:space="preserve">Second Congressional Commission on Education. (2023). </w:t>
      </w:r>
      <w:r w:rsidRPr="006F6972">
        <w:rPr>
          <w:rFonts w:ascii="Arial" w:hAnsi="Arial" w:cs="Arial"/>
          <w:i/>
          <w:iCs/>
        </w:rPr>
        <w:t>Teacher education and development priority area number 16: Alignment of Commission on Higher Education, Professional Regulation Commission, and Department of Education, including Teacher Education Council.</w:t>
      </w:r>
      <w:r w:rsidRPr="006F6972">
        <w:rPr>
          <w:rFonts w:ascii="Arial" w:hAnsi="Arial" w:cs="Arial"/>
        </w:rPr>
        <w:t xml:space="preserve"> </w:t>
      </w:r>
      <w:hyperlink r:id="rId41" w:history="1">
        <w:r w:rsidRPr="006F6972">
          <w:rPr>
            <w:rStyle w:val="Hyperlink"/>
            <w:rFonts w:ascii="Arial" w:hAnsi="Arial" w:cs="Arial"/>
            <w:color w:val="auto"/>
          </w:rPr>
          <w:t>https://edcom2.gov.ph/media/2023/10/EDCOM2_Green-Paper_16-Teacher-Ed_Alignment-of-CHED-PRC-DepEd_231005.pdf</w:t>
        </w:r>
      </w:hyperlink>
    </w:p>
    <w:p w14:paraId="4C0122B1"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 xml:space="preserve">Singapore Ministry of Education. (2018). </w:t>
      </w:r>
      <w:r w:rsidRPr="006F6972">
        <w:rPr>
          <w:rFonts w:ascii="Arial" w:hAnsi="Arial" w:cs="Arial"/>
          <w:i/>
          <w:iCs/>
        </w:rPr>
        <w:t>Teacher preparation and competency-based licensure: Singapore's approach.</w:t>
      </w:r>
      <w:r w:rsidRPr="006F6972">
        <w:rPr>
          <w:rFonts w:ascii="Arial" w:hAnsi="Arial" w:cs="Arial"/>
        </w:rPr>
        <w:t xml:space="preserve"> Ministry of Education, Singapore.</w:t>
      </w:r>
    </w:p>
    <w:p w14:paraId="629CB9C3"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 xml:space="preserve">Sinsay-Villanueva, L. M. V., Garcia, G. D. V., Lim, V. L., Tanyag, I. H., </w:t>
      </w:r>
      <w:proofErr w:type="spellStart"/>
      <w:r w:rsidRPr="006F6972">
        <w:rPr>
          <w:rFonts w:ascii="Arial" w:hAnsi="Arial" w:cs="Arial"/>
        </w:rPr>
        <w:t>Berroya</w:t>
      </w:r>
      <w:proofErr w:type="spellEnd"/>
      <w:r w:rsidRPr="006F6972">
        <w:rPr>
          <w:rFonts w:ascii="Arial" w:hAnsi="Arial" w:cs="Arial"/>
        </w:rPr>
        <w:t xml:space="preserve">, J., Orbeta, A. C., Jr., &amp; Rivera, J. P. R. (2025). Quality education starting with teacher education. </w:t>
      </w:r>
      <w:r w:rsidRPr="006F6972">
        <w:rPr>
          <w:rFonts w:ascii="Arial" w:hAnsi="Arial" w:cs="Arial"/>
          <w:i/>
          <w:iCs/>
        </w:rPr>
        <w:t>Philippine Institute for Development Studies.</w:t>
      </w:r>
      <w:r w:rsidRPr="006F6972">
        <w:rPr>
          <w:rFonts w:ascii="Arial" w:hAnsi="Arial" w:cs="Arial"/>
        </w:rPr>
        <w:t xml:space="preserve"> </w:t>
      </w:r>
      <w:hyperlink r:id="rId42" w:history="1">
        <w:r w:rsidRPr="006F6972">
          <w:rPr>
            <w:rStyle w:val="Hyperlink"/>
            <w:rFonts w:ascii="Arial" w:hAnsi="Arial" w:cs="Arial"/>
            <w:color w:val="auto"/>
          </w:rPr>
          <w:t>https://pids.gov.ph/publication/discussion-papers/quality-education-starting-with-teacher-education</w:t>
        </w:r>
      </w:hyperlink>
    </w:p>
    <w:p w14:paraId="318F6966" w14:textId="77777777" w:rsidR="001B225E" w:rsidRDefault="001B225E" w:rsidP="001B225E">
      <w:pPr>
        <w:spacing w:line="240" w:lineRule="auto"/>
        <w:ind w:firstLine="851"/>
        <w:jc w:val="both"/>
        <w:rPr>
          <w:rFonts w:ascii="Arial" w:hAnsi="Arial" w:cs="Arial"/>
        </w:rPr>
      </w:pPr>
      <w:r w:rsidRPr="006F6972">
        <w:rPr>
          <w:rFonts w:ascii="Arial" w:hAnsi="Arial" w:cs="Arial"/>
        </w:rPr>
        <w:t>Smith, J., &amp; Brown, K. (2018). Licensure examinations and classroom effectiveness: Evidence from Canada.</w:t>
      </w:r>
    </w:p>
    <w:p w14:paraId="65CB35AF" w14:textId="77777777" w:rsidR="001B225E" w:rsidRPr="006F6972" w:rsidRDefault="001B225E" w:rsidP="001B225E">
      <w:pPr>
        <w:spacing w:line="240" w:lineRule="auto"/>
        <w:ind w:firstLine="851"/>
        <w:jc w:val="both"/>
        <w:rPr>
          <w:rFonts w:ascii="Arial" w:hAnsi="Arial" w:cs="Arial"/>
        </w:rPr>
      </w:pPr>
      <w:proofErr w:type="spellStart"/>
      <w:r w:rsidRPr="006F6972">
        <w:rPr>
          <w:rFonts w:ascii="Arial" w:hAnsi="Arial" w:cs="Arial"/>
          <w:lang w:val="sv-SE"/>
        </w:rPr>
        <w:t>Tigelaar</w:t>
      </w:r>
      <w:proofErr w:type="spellEnd"/>
      <w:r w:rsidRPr="006F6972">
        <w:rPr>
          <w:rFonts w:ascii="Arial" w:hAnsi="Arial" w:cs="Arial"/>
          <w:lang w:val="sv-SE"/>
        </w:rPr>
        <w:t xml:space="preserve">, D., Dolmans, D., Wolfhagen, I., &amp; Van </w:t>
      </w:r>
      <w:proofErr w:type="spellStart"/>
      <w:r w:rsidRPr="006F6972">
        <w:rPr>
          <w:rFonts w:ascii="Arial" w:hAnsi="Arial" w:cs="Arial"/>
          <w:lang w:val="sv-SE"/>
        </w:rPr>
        <w:t>der</w:t>
      </w:r>
      <w:proofErr w:type="spellEnd"/>
      <w:r w:rsidRPr="006F6972">
        <w:rPr>
          <w:rFonts w:ascii="Arial" w:hAnsi="Arial" w:cs="Arial"/>
          <w:lang w:val="sv-SE"/>
        </w:rPr>
        <w:t xml:space="preserve"> </w:t>
      </w:r>
      <w:proofErr w:type="spellStart"/>
      <w:r w:rsidRPr="006F6972">
        <w:rPr>
          <w:rFonts w:ascii="Arial" w:hAnsi="Arial" w:cs="Arial"/>
          <w:lang w:val="sv-SE"/>
        </w:rPr>
        <w:t>Vleuten</w:t>
      </w:r>
      <w:proofErr w:type="spellEnd"/>
      <w:r w:rsidRPr="006F6972">
        <w:rPr>
          <w:rFonts w:ascii="Arial" w:hAnsi="Arial" w:cs="Arial"/>
          <w:lang w:val="sv-SE"/>
        </w:rPr>
        <w:t xml:space="preserve">, C. (2004). </w:t>
      </w:r>
      <w:r w:rsidRPr="006F6972">
        <w:rPr>
          <w:rFonts w:ascii="Arial" w:hAnsi="Arial" w:cs="Arial"/>
        </w:rPr>
        <w:t>Competency-based teacher education and licensure readiness: Evidence from the Netherlands.</w:t>
      </w:r>
    </w:p>
    <w:p w14:paraId="3FD76D4A"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 xml:space="preserve">UNESCO. (2020). </w:t>
      </w:r>
      <w:r w:rsidRPr="006F6972">
        <w:rPr>
          <w:rFonts w:ascii="Arial" w:hAnsi="Arial" w:cs="Arial"/>
          <w:i/>
          <w:iCs/>
        </w:rPr>
        <w:t>Global education monitoring report 2020: Inclusion and teacher quality.</w:t>
      </w:r>
      <w:r w:rsidRPr="006F6972">
        <w:rPr>
          <w:rFonts w:ascii="Arial" w:hAnsi="Arial" w:cs="Arial"/>
        </w:rPr>
        <w:t xml:space="preserve"> United Nations Educational, Scientific and Cultural Organization.</w:t>
      </w:r>
    </w:p>
    <w:p w14:paraId="46888D3E"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 xml:space="preserve">UNESCO &amp; International Task Force on Teachers for Education 2030. (2024). </w:t>
      </w:r>
      <w:r w:rsidRPr="006F6972">
        <w:rPr>
          <w:rFonts w:ascii="Arial" w:hAnsi="Arial" w:cs="Arial"/>
          <w:i/>
          <w:iCs/>
        </w:rPr>
        <w:t>Global report on teachers: Addressing teacher shortages and transforming the profession.</w:t>
      </w:r>
      <w:r w:rsidRPr="006F6972">
        <w:rPr>
          <w:rFonts w:ascii="Arial" w:hAnsi="Arial" w:cs="Arial"/>
        </w:rPr>
        <w:t xml:space="preserve"> UNESCO. </w:t>
      </w:r>
      <w:hyperlink r:id="rId43" w:history="1">
        <w:r w:rsidRPr="006F6972">
          <w:rPr>
            <w:rStyle w:val="Hyperlink"/>
            <w:rFonts w:ascii="Arial" w:hAnsi="Arial" w:cs="Arial"/>
            <w:color w:val="auto"/>
          </w:rPr>
          <w:t>https://doi.org/10.54675/FIGU8035</w:t>
        </w:r>
      </w:hyperlink>
    </w:p>
    <w:p w14:paraId="7F9F69CC"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lastRenderedPageBreak/>
        <w:t>Villafuerte, J. (2017). Practicum experiences and licensure readiness in Bicol colleges.</w:t>
      </w:r>
    </w:p>
    <w:p w14:paraId="21AAB4FE" w14:textId="77777777" w:rsidR="001B225E" w:rsidRPr="006F6972" w:rsidRDefault="001B225E" w:rsidP="001B225E">
      <w:pPr>
        <w:spacing w:line="240" w:lineRule="auto"/>
        <w:ind w:firstLine="851"/>
        <w:jc w:val="both"/>
        <w:rPr>
          <w:rFonts w:ascii="Arial" w:hAnsi="Arial" w:cs="Arial"/>
        </w:rPr>
      </w:pPr>
      <w:r w:rsidRPr="006F6972">
        <w:rPr>
          <w:rFonts w:ascii="Arial" w:hAnsi="Arial" w:cs="Arial"/>
        </w:rPr>
        <w:t>Wang, Y., &amp; Lin, C. (2017). Institutional practices and licensure outcomes in Taiwan.</w:t>
      </w:r>
    </w:p>
    <w:p w14:paraId="2CEE2DBF" w14:textId="77777777" w:rsidR="001B225E" w:rsidRPr="006F6972" w:rsidRDefault="001B225E" w:rsidP="001B225E">
      <w:pPr>
        <w:spacing w:line="240" w:lineRule="auto"/>
        <w:ind w:firstLine="851"/>
        <w:jc w:val="both"/>
        <w:rPr>
          <w:rFonts w:ascii="Arial" w:hAnsi="Arial" w:cs="Arial"/>
        </w:rPr>
      </w:pPr>
      <w:proofErr w:type="spellStart"/>
      <w:r w:rsidRPr="006F6972">
        <w:rPr>
          <w:rFonts w:ascii="Arial" w:hAnsi="Arial" w:cs="Arial"/>
        </w:rPr>
        <w:t>Sweller</w:t>
      </w:r>
      <w:proofErr w:type="spellEnd"/>
      <w:r w:rsidRPr="006F6972">
        <w:rPr>
          <w:rFonts w:ascii="Arial" w:hAnsi="Arial" w:cs="Arial"/>
        </w:rPr>
        <w:t xml:space="preserve">, J. (2023). Discussion of the special issue on cognitive load theory. </w:t>
      </w:r>
      <w:r w:rsidRPr="006F6972">
        <w:rPr>
          <w:rFonts w:ascii="Arial" w:hAnsi="Arial" w:cs="Arial"/>
          <w:i/>
          <w:iCs/>
        </w:rPr>
        <w:t>British Journal of Educational Psychology, 93</w:t>
      </w:r>
      <w:r w:rsidRPr="006F6972">
        <w:rPr>
          <w:rFonts w:ascii="Arial" w:hAnsi="Arial" w:cs="Arial"/>
        </w:rPr>
        <w:t xml:space="preserve">(S1). </w:t>
      </w:r>
      <w:hyperlink r:id="rId44" w:history="1">
        <w:r w:rsidRPr="006F6972">
          <w:rPr>
            <w:rStyle w:val="Hyperlink"/>
            <w:rFonts w:ascii="Arial" w:hAnsi="Arial" w:cs="Arial"/>
            <w:color w:val="auto"/>
          </w:rPr>
          <w:t>https://doi.org/10.1111/bjep.12606</w:t>
        </w:r>
      </w:hyperlink>
    </w:p>
    <w:p w14:paraId="485DB813" w14:textId="77777777" w:rsidR="001B225E" w:rsidRPr="006F6972" w:rsidRDefault="001B225E" w:rsidP="001B225E">
      <w:pPr>
        <w:spacing w:line="480" w:lineRule="auto"/>
        <w:jc w:val="center"/>
        <w:rPr>
          <w:rFonts w:ascii="Arial" w:hAnsi="Arial" w:cs="Arial"/>
          <w:b/>
          <w:bCs/>
        </w:rPr>
      </w:pPr>
    </w:p>
    <w:p w14:paraId="4E6B99E0" w14:textId="77777777" w:rsidR="001B225E" w:rsidRPr="006F6972" w:rsidRDefault="001B225E" w:rsidP="001B225E">
      <w:pPr>
        <w:spacing w:line="480" w:lineRule="auto"/>
        <w:jc w:val="center"/>
        <w:rPr>
          <w:rFonts w:ascii="Arial" w:hAnsi="Arial" w:cs="Arial"/>
          <w:b/>
          <w:bCs/>
        </w:rPr>
      </w:pPr>
    </w:p>
    <w:p w14:paraId="10FB1293" w14:textId="77777777" w:rsidR="001B225E" w:rsidRPr="006F6972" w:rsidRDefault="001B225E" w:rsidP="001B225E">
      <w:pPr>
        <w:spacing w:line="480" w:lineRule="auto"/>
        <w:jc w:val="center"/>
        <w:rPr>
          <w:rFonts w:ascii="Arial" w:hAnsi="Arial" w:cs="Arial"/>
          <w:b/>
          <w:bCs/>
        </w:rPr>
      </w:pPr>
    </w:p>
    <w:p w14:paraId="0B044FF9" w14:textId="77777777" w:rsidR="001B225E" w:rsidRPr="006F6972" w:rsidRDefault="001B225E" w:rsidP="001B225E">
      <w:pPr>
        <w:spacing w:line="480" w:lineRule="auto"/>
        <w:jc w:val="center"/>
        <w:rPr>
          <w:rFonts w:ascii="Arial" w:hAnsi="Arial" w:cs="Arial"/>
          <w:b/>
          <w:bCs/>
        </w:rPr>
      </w:pPr>
    </w:p>
    <w:p w14:paraId="3F7CAA45" w14:textId="77777777" w:rsidR="001B225E" w:rsidRPr="006F6972" w:rsidRDefault="001B225E" w:rsidP="001B225E">
      <w:pPr>
        <w:spacing w:line="480" w:lineRule="auto"/>
        <w:jc w:val="center"/>
        <w:rPr>
          <w:rFonts w:ascii="Arial" w:hAnsi="Arial" w:cs="Arial"/>
          <w:b/>
          <w:bCs/>
        </w:rPr>
      </w:pPr>
    </w:p>
    <w:p w14:paraId="2C9CF65B" w14:textId="77777777" w:rsidR="001B225E" w:rsidRPr="006F6972" w:rsidRDefault="001B225E" w:rsidP="001B225E">
      <w:pPr>
        <w:spacing w:line="480" w:lineRule="auto"/>
        <w:jc w:val="center"/>
        <w:rPr>
          <w:rFonts w:ascii="Arial" w:hAnsi="Arial" w:cs="Arial"/>
          <w:b/>
          <w:bCs/>
        </w:rPr>
      </w:pPr>
    </w:p>
    <w:p w14:paraId="1CA3BA02" w14:textId="77777777" w:rsidR="001B225E" w:rsidRDefault="001B225E" w:rsidP="001B225E">
      <w:pPr>
        <w:spacing w:line="480" w:lineRule="auto"/>
        <w:rPr>
          <w:rFonts w:ascii="Arial" w:hAnsi="Arial" w:cs="Arial"/>
          <w:b/>
          <w:bCs/>
        </w:rPr>
      </w:pPr>
    </w:p>
    <w:p w14:paraId="50239400" w14:textId="77777777" w:rsidR="001B225E" w:rsidRPr="006F6972" w:rsidRDefault="001B225E" w:rsidP="001B225E">
      <w:pPr>
        <w:spacing w:line="480" w:lineRule="auto"/>
        <w:rPr>
          <w:rFonts w:ascii="Arial" w:hAnsi="Arial" w:cs="Arial"/>
          <w:b/>
          <w:bCs/>
        </w:rPr>
      </w:pPr>
    </w:p>
    <w:p w14:paraId="7FF1A374" w14:textId="77777777" w:rsidR="001B225E" w:rsidRDefault="001B225E" w:rsidP="001B225E">
      <w:pPr>
        <w:spacing w:line="480" w:lineRule="auto"/>
        <w:jc w:val="center"/>
        <w:rPr>
          <w:rFonts w:ascii="Arial" w:hAnsi="Arial" w:cs="Arial"/>
          <w:b/>
          <w:bCs/>
        </w:rPr>
      </w:pPr>
    </w:p>
    <w:p w14:paraId="7418A913" w14:textId="77777777" w:rsidR="001B225E" w:rsidRDefault="001B225E" w:rsidP="001B225E">
      <w:pPr>
        <w:spacing w:line="480" w:lineRule="auto"/>
        <w:jc w:val="center"/>
        <w:rPr>
          <w:rFonts w:ascii="Arial" w:hAnsi="Arial" w:cs="Arial"/>
          <w:b/>
          <w:bCs/>
        </w:rPr>
      </w:pPr>
    </w:p>
    <w:p w14:paraId="711B3B8E" w14:textId="77777777" w:rsidR="001B225E" w:rsidRDefault="001B225E" w:rsidP="001B225E">
      <w:pPr>
        <w:spacing w:line="480" w:lineRule="auto"/>
        <w:jc w:val="center"/>
        <w:rPr>
          <w:rFonts w:ascii="Arial" w:hAnsi="Arial" w:cs="Arial"/>
          <w:b/>
          <w:bCs/>
        </w:rPr>
      </w:pPr>
    </w:p>
    <w:p w14:paraId="3CC8A7F4" w14:textId="77777777" w:rsidR="001B225E" w:rsidRDefault="001B225E" w:rsidP="001B225E">
      <w:pPr>
        <w:spacing w:line="480" w:lineRule="auto"/>
        <w:jc w:val="center"/>
        <w:rPr>
          <w:rFonts w:ascii="Arial" w:hAnsi="Arial" w:cs="Arial"/>
          <w:b/>
          <w:bCs/>
        </w:rPr>
      </w:pPr>
    </w:p>
    <w:p w14:paraId="78E00EBC" w14:textId="77777777" w:rsidR="001B225E" w:rsidRDefault="001B225E" w:rsidP="001B225E">
      <w:pPr>
        <w:spacing w:line="480" w:lineRule="auto"/>
        <w:jc w:val="center"/>
        <w:rPr>
          <w:rFonts w:ascii="Arial" w:hAnsi="Arial" w:cs="Arial"/>
          <w:b/>
          <w:bCs/>
        </w:rPr>
      </w:pPr>
    </w:p>
    <w:p w14:paraId="46A22CFF" w14:textId="77777777" w:rsidR="001B225E" w:rsidRDefault="001B225E" w:rsidP="001B225E">
      <w:pPr>
        <w:spacing w:line="480" w:lineRule="auto"/>
        <w:jc w:val="center"/>
        <w:rPr>
          <w:rFonts w:ascii="Arial" w:hAnsi="Arial" w:cs="Arial"/>
          <w:b/>
          <w:bCs/>
        </w:rPr>
      </w:pPr>
    </w:p>
    <w:p w14:paraId="56A4FF4A" w14:textId="77777777" w:rsidR="001B225E" w:rsidRDefault="001B225E" w:rsidP="001B225E">
      <w:pPr>
        <w:spacing w:line="480" w:lineRule="auto"/>
        <w:jc w:val="center"/>
        <w:rPr>
          <w:rFonts w:ascii="Arial" w:hAnsi="Arial" w:cs="Arial"/>
        </w:rPr>
      </w:pPr>
      <w:r w:rsidRPr="00C22815">
        <w:rPr>
          <w:rFonts w:ascii="Arial" w:hAnsi="Arial" w:cs="Arial"/>
          <w:noProof/>
        </w:rPr>
        <w:lastRenderedPageBreak/>
        <mc:AlternateContent>
          <mc:Choice Requires="wps">
            <w:drawing>
              <wp:anchor distT="0" distB="0" distL="114300" distR="114300" simplePos="0" relativeHeight="251662336" behindDoc="0" locked="0" layoutInCell="1" hidden="0" allowOverlap="1" wp14:anchorId="7A9C9847" wp14:editId="648AD806">
                <wp:simplePos x="0" y="0"/>
                <wp:positionH relativeFrom="column">
                  <wp:posOffset>5269230</wp:posOffset>
                </wp:positionH>
                <wp:positionV relativeFrom="paragraph">
                  <wp:posOffset>-356870</wp:posOffset>
                </wp:positionV>
                <wp:extent cx="327025" cy="261257"/>
                <wp:effectExtent l="0" t="0" r="3175" b="5715"/>
                <wp:wrapNone/>
                <wp:docPr id="493567350" name="Rectangle 493567350"/>
                <wp:cNvGraphicFramePr/>
                <a:graphic xmlns:a="http://schemas.openxmlformats.org/drawingml/2006/main">
                  <a:graphicData uri="http://schemas.microsoft.com/office/word/2010/wordprocessingShape">
                    <wps:wsp>
                      <wps:cNvSpPr/>
                      <wps:spPr>
                        <a:xfrm flipV="1">
                          <a:off x="0" y="0"/>
                          <a:ext cx="327025" cy="261257"/>
                        </a:xfrm>
                        <a:prstGeom prst="rect">
                          <a:avLst/>
                        </a:prstGeom>
                        <a:solidFill>
                          <a:schemeClr val="lt1"/>
                        </a:solidFill>
                        <a:ln>
                          <a:noFill/>
                        </a:ln>
                      </wps:spPr>
                      <wps:txbx>
                        <w:txbxContent>
                          <w:p w14:paraId="566D7273" w14:textId="77777777" w:rsidR="001B225E" w:rsidRDefault="001B225E" w:rsidP="001B225E">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A9C9847" id="Rectangle 493567350" o:spid="_x0000_s1028" style="position:absolute;left:0;text-align:left;margin-left:414.9pt;margin-top:-28.1pt;width:25.75pt;height:20.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" fillcolor="white [3201]" stroked="f">
                <v:textbox inset="2.53958mm,2.53958mm,2.53958mm,2.53958mm">
                  <w:txbxContent>
                    <w:p w14:paraId="566D7273" w14:textId="77777777" w:rsidR="001B225E" w:rsidRDefault="001B225E" w:rsidP="001B225E">
                      <w:pPr>
                        <w:spacing w:after="0" w:line="240" w:lineRule="auto"/>
                        <w:textDirection w:val="btLr"/>
                      </w:pPr>
                    </w:p>
                  </w:txbxContent>
                </v:textbox>
              </v:rect>
            </w:pict>
          </mc:Fallback>
        </mc:AlternateContent>
      </w:r>
      <w:r w:rsidRPr="00C22815">
        <w:rPr>
          <w:rFonts w:ascii="Arial" w:hAnsi="Arial" w:cs="Arial"/>
        </w:rPr>
        <w:t>Chapter 3</w:t>
      </w:r>
    </w:p>
    <w:p w14:paraId="12E28CC2" w14:textId="77777777" w:rsidR="001B225E" w:rsidRPr="001324D9" w:rsidRDefault="001B225E" w:rsidP="001B225E">
      <w:pPr>
        <w:spacing w:line="480" w:lineRule="auto"/>
        <w:jc w:val="center"/>
        <w:rPr>
          <w:rFonts w:ascii="Arial" w:hAnsi="Arial" w:cs="Arial"/>
        </w:rPr>
      </w:pPr>
      <w:r w:rsidRPr="00C06E05">
        <w:rPr>
          <w:rFonts w:ascii="Arial" w:hAnsi="Arial" w:cs="Arial"/>
          <w:b/>
          <w:bCs/>
        </w:rPr>
        <w:t>Methodology</w:t>
      </w:r>
    </w:p>
    <w:p w14:paraId="183E9DE9" w14:textId="77777777" w:rsidR="001B225E" w:rsidRPr="00C06E05" w:rsidRDefault="001B225E" w:rsidP="001B225E">
      <w:pPr>
        <w:spacing w:after="0" w:line="480" w:lineRule="auto"/>
        <w:rPr>
          <w:rFonts w:ascii="Arial" w:hAnsi="Arial" w:cs="Arial"/>
          <w:b/>
          <w:bCs/>
        </w:rPr>
      </w:pPr>
      <w:r w:rsidRPr="00C06E05">
        <w:rPr>
          <w:rFonts w:ascii="Arial" w:hAnsi="Arial" w:cs="Arial"/>
          <w:b/>
          <w:bCs/>
        </w:rPr>
        <w:t>Research Design</w:t>
      </w:r>
    </w:p>
    <w:p w14:paraId="353CA64C" w14:textId="77777777" w:rsidR="001B225E" w:rsidRPr="00C06E05" w:rsidRDefault="001B225E" w:rsidP="001B225E">
      <w:pPr>
        <w:spacing w:after="0" w:line="480" w:lineRule="auto"/>
        <w:jc w:val="both"/>
        <w:rPr>
          <w:rFonts w:ascii="Arial" w:hAnsi="Arial" w:cs="Arial"/>
        </w:rPr>
      </w:pPr>
      <w:r w:rsidRPr="00C06E05">
        <w:rPr>
          <w:rFonts w:ascii="Arial" w:hAnsi="Arial" w:cs="Arial"/>
          <w:b/>
          <w:bCs/>
        </w:rPr>
        <w:tab/>
      </w:r>
      <w:r w:rsidRPr="00C06E05">
        <w:rPr>
          <w:rFonts w:ascii="Arial" w:hAnsi="Arial" w:cs="Arial"/>
        </w:rPr>
        <w:t>The research design describes how the study was conducted in order to address the research problem (McMillan &amp; Schumacher, 2016). It served to provide a blueprint or plan of how the research was carried out by describing the research site, how the subjects were selected, and the data collection procedures, with the purpose of guiding the decisions made to maximize the reliability and credibility of the findings.</w:t>
      </w:r>
    </w:p>
    <w:p w14:paraId="72C4835A"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t xml:space="preserve">In this study, the researcher utilized the descriptive-correlational method to determine the data needed under the present investigation. The descriptive component was used to describe and summarize the profile variables, academic performance, study habits, review preparation practices, and institutional support of LET takers </w:t>
      </w:r>
      <w:r>
        <w:rPr>
          <w:rFonts w:ascii="Arial" w:hAnsi="Arial" w:cs="Arial"/>
        </w:rPr>
        <w:t>in a</w:t>
      </w:r>
      <w:r w:rsidRPr="00C06E05">
        <w:rPr>
          <w:rFonts w:ascii="Arial" w:hAnsi="Arial" w:cs="Arial"/>
        </w:rPr>
        <w:t xml:space="preserve"> community college in Albay. According to Kaur et al. (2019), descriptive methods of research characterize the world or a phenomenon by answering questions about who, what, where, when, and to what extent. Whether the goal is to identify and describe trends and variation in populations or to describe samples in studies aimed at identifying causal effects, description plays a critical role in the scientific process in general and in education research in particular.</w:t>
      </w:r>
    </w:p>
    <w:p w14:paraId="77F01A6A"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t xml:space="preserve">The correlational component, on the other hand, was used to determine the significant relationships among the identified variables and to identify which among the profile variables, academic performance, study habits, review preparation </w:t>
      </w:r>
      <w:r w:rsidRPr="00C06E05">
        <w:rPr>
          <w:rFonts w:ascii="Arial" w:hAnsi="Arial" w:cs="Arial"/>
        </w:rPr>
        <w:lastRenderedPageBreak/>
        <w:t>practices, and institutional support significantly predicted performance in the Licensure Examination for Teachers. This component directly addressed SOP 4 of the study, which required the application of regression analysis to identify the significant predictors of LET performance among the respondents. The combination of descriptive and correlational approaches provided a comprehensive and systematic basis for examining the nature and extent of the variables under investigation and for developing a proposed intervention program grounded in the findings of the study.</w:t>
      </w:r>
    </w:p>
    <w:p w14:paraId="513244F9" w14:textId="77777777" w:rsidR="001B225E" w:rsidRPr="00C06E05" w:rsidRDefault="001B225E" w:rsidP="001B225E">
      <w:pPr>
        <w:spacing w:after="0" w:line="480" w:lineRule="auto"/>
        <w:rPr>
          <w:rFonts w:ascii="Arial" w:hAnsi="Arial" w:cs="Arial"/>
          <w:b/>
          <w:bCs/>
        </w:rPr>
      </w:pPr>
      <w:r w:rsidRPr="00C06E05">
        <w:rPr>
          <w:rFonts w:ascii="Arial" w:hAnsi="Arial" w:cs="Arial"/>
          <w:b/>
          <w:bCs/>
        </w:rPr>
        <w:t xml:space="preserve">Respondents </w:t>
      </w:r>
    </w:p>
    <w:p w14:paraId="108CF707" w14:textId="77777777" w:rsidR="001B225E" w:rsidRDefault="001B225E" w:rsidP="001B225E">
      <w:pPr>
        <w:spacing w:after="0" w:line="480" w:lineRule="auto"/>
        <w:jc w:val="both"/>
        <w:rPr>
          <w:rFonts w:ascii="Arial" w:hAnsi="Arial" w:cs="Arial"/>
        </w:rPr>
      </w:pPr>
      <w:r w:rsidRPr="00C06E05">
        <w:rPr>
          <w:rFonts w:ascii="Arial" w:hAnsi="Arial" w:cs="Arial"/>
          <w:b/>
          <w:bCs/>
        </w:rPr>
        <w:tab/>
      </w:r>
      <w:r w:rsidRPr="00C06E05">
        <w:rPr>
          <w:rFonts w:ascii="Arial" w:hAnsi="Arial" w:cs="Arial"/>
        </w:rPr>
        <w:t>The respondents of the study were the first-time LET takers from the 2025 graduates of the teacher education program of the community college located in Albay. The respondents were the alumni of the college's Bachelor of Physical Education, Bachelor of Secondary Education, Bachelor of Technology and Livelihood Education, and related teacher education programs who took the Licensure Examination for Teachers (LET) of the Professional Regulation Commission (PRC) during the September 2025 and March 2026 examination cycles that fell within academic year 2024–2025. They were deemed to be the most suitable sources of information for this study because they had firsthand experience and relevant information about the variables studied, such as profile, academic performance, study habits, review preparation practices, and institutional support received from the community college in preparation for the LET.</w:t>
      </w:r>
      <w:r>
        <w:rPr>
          <w:rFonts w:ascii="Arial" w:hAnsi="Arial" w:cs="Arial"/>
        </w:rPr>
        <w:t xml:space="preserve"> </w:t>
      </w:r>
    </w:p>
    <w:p w14:paraId="0AED709B"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lastRenderedPageBreak/>
        <w:t xml:space="preserve">Based on the official records of the institution, the total population of first-time LET takers from the 2025 graduates was 165, distributed across five teacher education programs. To determine the appropriate sample size, the researcher employed power analysis using the </w:t>
      </w:r>
      <w:proofErr w:type="spellStart"/>
      <w:r>
        <w:rPr>
          <w:rFonts w:ascii="Arial" w:hAnsi="Arial" w:cs="Arial"/>
        </w:rPr>
        <w:t>R</w:t>
      </w:r>
      <w:r w:rsidRPr="00C06E05">
        <w:rPr>
          <w:rFonts w:ascii="Arial" w:hAnsi="Arial" w:cs="Arial"/>
        </w:rPr>
        <w:t>Power</w:t>
      </w:r>
      <w:proofErr w:type="spellEnd"/>
      <w:r w:rsidRPr="00C06E05">
        <w:rPr>
          <w:rFonts w:ascii="Arial" w:hAnsi="Arial" w:cs="Arial"/>
        </w:rPr>
        <w:t xml:space="preserve"> (Faul et al., 2007), which is a widely used tool for computing the minimum sample size required to detect a statistically significant effect at a specified level of power. Using a linear multiple regression analysis (fixed model, R² deviation from zero) with a medium effect size, an alpha level of 0.05, a power of 0.95, and the number of predictors in the study, the computation yielded a required minimum sample size of 116 respondents. The </w:t>
      </w:r>
      <w:proofErr w:type="spellStart"/>
      <w:r>
        <w:rPr>
          <w:rFonts w:ascii="Arial" w:hAnsi="Arial" w:cs="Arial"/>
        </w:rPr>
        <w:t>R</w:t>
      </w:r>
      <w:r w:rsidRPr="00C06E05">
        <w:rPr>
          <w:rFonts w:ascii="Arial" w:hAnsi="Arial" w:cs="Arial"/>
        </w:rPr>
        <w:t>Power</w:t>
      </w:r>
      <w:proofErr w:type="spellEnd"/>
      <w:r w:rsidRPr="00C06E05">
        <w:rPr>
          <w:rFonts w:ascii="Arial" w:hAnsi="Arial" w:cs="Arial"/>
        </w:rPr>
        <w:t xml:space="preserve"> computation output is presented in the Appendix.</w:t>
      </w:r>
    </w:p>
    <w:p w14:paraId="5205B277"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t xml:space="preserve">The 116 respondents were drawn from the total population of 165 using stratified random sampling with proportional allocation, where the five teacher education programs served as the strata. </w:t>
      </w:r>
      <w:r>
        <w:rPr>
          <w:rFonts w:ascii="Arial" w:hAnsi="Arial" w:cs="Arial"/>
        </w:rPr>
        <w:t>Power analysis</w:t>
      </w:r>
      <w:r w:rsidRPr="00C06E05">
        <w:rPr>
          <w:rFonts w:ascii="Arial" w:hAnsi="Arial" w:cs="Arial"/>
        </w:rPr>
        <w:t xml:space="preserve"> sampling was used because the population was not homogeneous but was composed of distinct program groups of unequal sizes; this technique ensured that each program was proportionally represented in the sample and reduced sampling error relative to simple random sampling (Kaur et al., 2019). The proportional allocation of the sample across the five programs is presented in Table 1.</w:t>
      </w:r>
    </w:p>
    <w:p w14:paraId="3F9C55FF" w14:textId="77777777" w:rsidR="001B225E" w:rsidRDefault="001B225E" w:rsidP="001B225E">
      <w:pPr>
        <w:spacing w:after="0" w:line="480" w:lineRule="auto"/>
        <w:ind w:firstLine="720"/>
        <w:jc w:val="both"/>
        <w:rPr>
          <w:rFonts w:ascii="Arial" w:hAnsi="Arial" w:cs="Arial"/>
        </w:rPr>
      </w:pPr>
      <w:r w:rsidRPr="00C06E05">
        <w:rPr>
          <w:rFonts w:ascii="Arial" w:hAnsi="Arial" w:cs="Arial"/>
        </w:rPr>
        <w:t>The study was carried out in the community college in Albay within a five-month period, with the research questionnaire personally administered to and retrieved from the respondents after securing the necessary approval from the designated authority of the institution.</w:t>
      </w:r>
    </w:p>
    <w:p w14:paraId="6B9BFE83" w14:textId="77777777" w:rsidR="001B225E" w:rsidRPr="00C06E05" w:rsidRDefault="001B225E" w:rsidP="001B225E">
      <w:pPr>
        <w:spacing w:after="0" w:line="480" w:lineRule="auto"/>
        <w:ind w:firstLine="720"/>
        <w:jc w:val="both"/>
        <w:rPr>
          <w:rFonts w:ascii="Arial" w:hAnsi="Arial" w:cs="Arial"/>
        </w:rPr>
      </w:pPr>
    </w:p>
    <w:p w14:paraId="5A7FD07D" w14:textId="77777777" w:rsidR="001B225E" w:rsidRPr="00C06E05" w:rsidRDefault="001B225E" w:rsidP="001B225E">
      <w:pPr>
        <w:spacing w:after="0" w:line="240" w:lineRule="auto"/>
        <w:jc w:val="center"/>
        <w:rPr>
          <w:rFonts w:ascii="Arial" w:hAnsi="Arial" w:cs="Arial"/>
        </w:rPr>
      </w:pPr>
      <w:r w:rsidRPr="00C06E05">
        <w:rPr>
          <w:rFonts w:ascii="Arial" w:hAnsi="Arial" w:cs="Arial"/>
          <w:b/>
          <w:bCs/>
        </w:rPr>
        <w:lastRenderedPageBreak/>
        <w:t>Table 1</w:t>
      </w:r>
    </w:p>
    <w:p w14:paraId="746E30A3" w14:textId="77777777" w:rsidR="001B225E" w:rsidRPr="00C06E05" w:rsidRDefault="001B225E" w:rsidP="001B225E">
      <w:pPr>
        <w:spacing w:after="0" w:line="240" w:lineRule="auto"/>
        <w:jc w:val="both"/>
        <w:rPr>
          <w:rFonts w:ascii="Arial" w:hAnsi="Arial" w:cs="Arial"/>
        </w:rPr>
      </w:pPr>
      <w:r w:rsidRPr="00C06E05">
        <w:rPr>
          <w:rFonts w:ascii="Arial" w:hAnsi="Arial" w:cs="Arial"/>
          <w:i/>
          <w:iCs/>
        </w:rPr>
        <w:t>Population and Proportional Sample Size of First-Time LET Takers by Program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2038"/>
        <w:gridCol w:w="2109"/>
      </w:tblGrid>
      <w:tr w:rsidR="001B225E" w:rsidRPr="00C06E05" w14:paraId="36BD5809" w14:textId="77777777" w:rsidTr="00146DF8">
        <w:trPr>
          <w:jc w:val="center"/>
        </w:trPr>
        <w:tc>
          <w:tcPr>
            <w:tcW w:w="4957" w:type="dxa"/>
            <w:tcBorders>
              <w:top w:val="single" w:sz="4" w:space="0" w:color="auto"/>
              <w:bottom w:val="single" w:sz="4" w:space="0" w:color="auto"/>
            </w:tcBorders>
            <w:vAlign w:val="center"/>
          </w:tcPr>
          <w:p w14:paraId="424CC644" w14:textId="77777777" w:rsidR="001B225E" w:rsidRPr="00C06E05" w:rsidRDefault="001B225E" w:rsidP="00146DF8">
            <w:pPr>
              <w:jc w:val="both"/>
              <w:rPr>
                <w:rFonts w:ascii="Arial" w:hAnsi="Arial" w:cs="Arial"/>
                <w:sz w:val="24"/>
                <w:szCs w:val="24"/>
              </w:rPr>
            </w:pPr>
            <w:r w:rsidRPr="00C06E05">
              <w:rPr>
                <w:rFonts w:ascii="Arial" w:hAnsi="Arial" w:cs="Arial"/>
                <w:b/>
                <w:bCs/>
                <w:sz w:val="24"/>
                <w:szCs w:val="24"/>
              </w:rPr>
              <w:t>Program</w:t>
            </w:r>
          </w:p>
        </w:tc>
        <w:tc>
          <w:tcPr>
            <w:tcW w:w="2126" w:type="dxa"/>
            <w:tcBorders>
              <w:top w:val="single" w:sz="4" w:space="0" w:color="auto"/>
              <w:bottom w:val="single" w:sz="4" w:space="0" w:color="auto"/>
            </w:tcBorders>
            <w:vAlign w:val="center"/>
          </w:tcPr>
          <w:p w14:paraId="165EEB82" w14:textId="77777777" w:rsidR="001B225E" w:rsidRPr="00C06E05" w:rsidRDefault="001B225E" w:rsidP="00146DF8">
            <w:pPr>
              <w:jc w:val="center"/>
              <w:rPr>
                <w:rFonts w:ascii="Arial" w:hAnsi="Arial" w:cs="Arial"/>
                <w:sz w:val="24"/>
                <w:szCs w:val="24"/>
              </w:rPr>
            </w:pPr>
            <w:r w:rsidRPr="00C06E05">
              <w:rPr>
                <w:rFonts w:ascii="Arial" w:hAnsi="Arial" w:cs="Arial"/>
                <w:b/>
                <w:bCs/>
                <w:sz w:val="24"/>
                <w:szCs w:val="24"/>
              </w:rPr>
              <w:t>Population</w:t>
            </w:r>
          </w:p>
        </w:tc>
        <w:tc>
          <w:tcPr>
            <w:tcW w:w="2267" w:type="dxa"/>
            <w:tcBorders>
              <w:top w:val="single" w:sz="4" w:space="0" w:color="auto"/>
              <w:bottom w:val="single" w:sz="4" w:space="0" w:color="auto"/>
            </w:tcBorders>
            <w:vAlign w:val="center"/>
          </w:tcPr>
          <w:p w14:paraId="527D94AB" w14:textId="77777777" w:rsidR="001B225E" w:rsidRPr="00C06E05" w:rsidRDefault="001B225E" w:rsidP="00146DF8">
            <w:pPr>
              <w:jc w:val="center"/>
              <w:rPr>
                <w:rFonts w:ascii="Arial" w:hAnsi="Arial" w:cs="Arial"/>
                <w:sz w:val="24"/>
                <w:szCs w:val="24"/>
              </w:rPr>
            </w:pPr>
            <w:r w:rsidRPr="00C06E05">
              <w:rPr>
                <w:rFonts w:ascii="Arial" w:hAnsi="Arial" w:cs="Arial"/>
                <w:b/>
                <w:bCs/>
                <w:sz w:val="24"/>
                <w:szCs w:val="24"/>
              </w:rPr>
              <w:t>Sample Size (nᵢ)</w:t>
            </w:r>
          </w:p>
        </w:tc>
      </w:tr>
      <w:tr w:rsidR="001B225E" w:rsidRPr="00C06E05" w14:paraId="4126A2F2" w14:textId="77777777" w:rsidTr="00146DF8">
        <w:trPr>
          <w:jc w:val="center"/>
        </w:trPr>
        <w:tc>
          <w:tcPr>
            <w:tcW w:w="4957" w:type="dxa"/>
            <w:tcBorders>
              <w:top w:val="single" w:sz="4" w:space="0" w:color="auto"/>
            </w:tcBorders>
            <w:vAlign w:val="center"/>
          </w:tcPr>
          <w:p w14:paraId="18E72B09" w14:textId="77777777" w:rsidR="001B225E" w:rsidRPr="00C06E05" w:rsidRDefault="001B225E" w:rsidP="00146DF8">
            <w:pPr>
              <w:jc w:val="both"/>
              <w:rPr>
                <w:rFonts w:ascii="Arial" w:hAnsi="Arial" w:cs="Arial"/>
                <w:sz w:val="24"/>
                <w:szCs w:val="24"/>
              </w:rPr>
            </w:pPr>
            <w:r w:rsidRPr="00C06E05">
              <w:rPr>
                <w:rFonts w:ascii="Arial" w:hAnsi="Arial" w:cs="Arial"/>
                <w:sz w:val="24"/>
                <w:szCs w:val="24"/>
              </w:rPr>
              <w:t>Bachelor of Physical Education</w:t>
            </w:r>
          </w:p>
        </w:tc>
        <w:tc>
          <w:tcPr>
            <w:tcW w:w="2126" w:type="dxa"/>
            <w:tcBorders>
              <w:top w:val="single" w:sz="4" w:space="0" w:color="auto"/>
            </w:tcBorders>
            <w:vAlign w:val="center"/>
          </w:tcPr>
          <w:p w14:paraId="776AC2F8" w14:textId="77777777" w:rsidR="001B225E" w:rsidRPr="00C06E05" w:rsidRDefault="001B225E" w:rsidP="00146DF8">
            <w:pPr>
              <w:jc w:val="center"/>
              <w:rPr>
                <w:rFonts w:ascii="Arial" w:hAnsi="Arial" w:cs="Arial"/>
                <w:sz w:val="24"/>
                <w:szCs w:val="24"/>
              </w:rPr>
            </w:pPr>
            <w:r w:rsidRPr="00C06E05">
              <w:rPr>
                <w:rFonts w:ascii="Arial" w:hAnsi="Arial" w:cs="Arial"/>
                <w:sz w:val="24"/>
                <w:szCs w:val="24"/>
              </w:rPr>
              <w:t>56</w:t>
            </w:r>
          </w:p>
        </w:tc>
        <w:tc>
          <w:tcPr>
            <w:tcW w:w="2267" w:type="dxa"/>
            <w:tcBorders>
              <w:top w:val="single" w:sz="4" w:space="0" w:color="auto"/>
            </w:tcBorders>
            <w:vAlign w:val="center"/>
          </w:tcPr>
          <w:p w14:paraId="55C6A7F7" w14:textId="77777777" w:rsidR="001B225E" w:rsidRPr="00C06E05" w:rsidRDefault="001B225E" w:rsidP="00146DF8">
            <w:pPr>
              <w:jc w:val="center"/>
              <w:rPr>
                <w:rFonts w:ascii="Arial" w:hAnsi="Arial" w:cs="Arial"/>
                <w:sz w:val="24"/>
                <w:szCs w:val="24"/>
              </w:rPr>
            </w:pPr>
            <w:r w:rsidRPr="00C06E05">
              <w:rPr>
                <w:rFonts w:ascii="Arial" w:hAnsi="Arial" w:cs="Arial"/>
                <w:sz w:val="24"/>
                <w:szCs w:val="24"/>
              </w:rPr>
              <w:t>39</w:t>
            </w:r>
          </w:p>
        </w:tc>
      </w:tr>
      <w:tr w:rsidR="001B225E" w:rsidRPr="00C06E05" w14:paraId="7A24C4C8" w14:textId="77777777" w:rsidTr="00146DF8">
        <w:trPr>
          <w:jc w:val="center"/>
        </w:trPr>
        <w:tc>
          <w:tcPr>
            <w:tcW w:w="4957" w:type="dxa"/>
            <w:vAlign w:val="center"/>
          </w:tcPr>
          <w:p w14:paraId="0245ED31" w14:textId="77777777" w:rsidR="001B225E" w:rsidRPr="00C06E05" w:rsidRDefault="001B225E" w:rsidP="00146DF8">
            <w:pPr>
              <w:jc w:val="both"/>
              <w:rPr>
                <w:rFonts w:ascii="Arial" w:hAnsi="Arial" w:cs="Arial"/>
                <w:sz w:val="24"/>
                <w:szCs w:val="24"/>
              </w:rPr>
            </w:pPr>
            <w:r w:rsidRPr="00C06E05">
              <w:rPr>
                <w:rFonts w:ascii="Arial" w:hAnsi="Arial" w:cs="Arial"/>
                <w:sz w:val="24"/>
                <w:szCs w:val="24"/>
              </w:rPr>
              <w:t>English</w:t>
            </w:r>
          </w:p>
        </w:tc>
        <w:tc>
          <w:tcPr>
            <w:tcW w:w="2126" w:type="dxa"/>
            <w:vAlign w:val="center"/>
          </w:tcPr>
          <w:p w14:paraId="4FA92B05" w14:textId="77777777" w:rsidR="001B225E" w:rsidRPr="00C06E05" w:rsidRDefault="001B225E" w:rsidP="00146DF8">
            <w:pPr>
              <w:jc w:val="center"/>
              <w:rPr>
                <w:rFonts w:ascii="Arial" w:hAnsi="Arial" w:cs="Arial"/>
                <w:sz w:val="24"/>
                <w:szCs w:val="24"/>
              </w:rPr>
            </w:pPr>
            <w:r w:rsidRPr="00C06E05">
              <w:rPr>
                <w:rFonts w:ascii="Arial" w:hAnsi="Arial" w:cs="Arial"/>
                <w:sz w:val="24"/>
                <w:szCs w:val="24"/>
              </w:rPr>
              <w:t>47</w:t>
            </w:r>
          </w:p>
        </w:tc>
        <w:tc>
          <w:tcPr>
            <w:tcW w:w="2267" w:type="dxa"/>
            <w:vAlign w:val="center"/>
          </w:tcPr>
          <w:p w14:paraId="27E43DD4" w14:textId="77777777" w:rsidR="001B225E" w:rsidRPr="00C06E05" w:rsidRDefault="001B225E" w:rsidP="00146DF8">
            <w:pPr>
              <w:jc w:val="center"/>
              <w:rPr>
                <w:rFonts w:ascii="Arial" w:hAnsi="Arial" w:cs="Arial"/>
                <w:sz w:val="24"/>
                <w:szCs w:val="24"/>
              </w:rPr>
            </w:pPr>
            <w:r w:rsidRPr="00C06E05">
              <w:rPr>
                <w:rFonts w:ascii="Arial" w:hAnsi="Arial" w:cs="Arial"/>
                <w:sz w:val="24"/>
                <w:szCs w:val="24"/>
              </w:rPr>
              <w:t>33</w:t>
            </w:r>
          </w:p>
        </w:tc>
      </w:tr>
      <w:tr w:rsidR="001B225E" w:rsidRPr="00C06E05" w14:paraId="742B611F" w14:textId="77777777" w:rsidTr="00146DF8">
        <w:trPr>
          <w:jc w:val="center"/>
        </w:trPr>
        <w:tc>
          <w:tcPr>
            <w:tcW w:w="4957" w:type="dxa"/>
            <w:vAlign w:val="center"/>
          </w:tcPr>
          <w:p w14:paraId="6F9E1388" w14:textId="77777777" w:rsidR="001B225E" w:rsidRPr="00C06E05" w:rsidRDefault="001B225E" w:rsidP="00146DF8">
            <w:pPr>
              <w:jc w:val="both"/>
              <w:rPr>
                <w:rFonts w:ascii="Arial" w:hAnsi="Arial" w:cs="Arial"/>
                <w:sz w:val="24"/>
                <w:szCs w:val="24"/>
              </w:rPr>
            </w:pPr>
            <w:r w:rsidRPr="00C06E05">
              <w:rPr>
                <w:rFonts w:ascii="Arial" w:hAnsi="Arial" w:cs="Arial"/>
                <w:sz w:val="24"/>
                <w:szCs w:val="24"/>
              </w:rPr>
              <w:t>Filipino</w:t>
            </w:r>
          </w:p>
        </w:tc>
        <w:tc>
          <w:tcPr>
            <w:tcW w:w="2126" w:type="dxa"/>
            <w:vAlign w:val="center"/>
          </w:tcPr>
          <w:p w14:paraId="1E603162" w14:textId="77777777" w:rsidR="001B225E" w:rsidRPr="00C06E05" w:rsidRDefault="001B225E" w:rsidP="00146DF8">
            <w:pPr>
              <w:jc w:val="center"/>
              <w:rPr>
                <w:rFonts w:ascii="Arial" w:hAnsi="Arial" w:cs="Arial"/>
                <w:sz w:val="24"/>
                <w:szCs w:val="24"/>
              </w:rPr>
            </w:pPr>
            <w:r w:rsidRPr="00C06E05">
              <w:rPr>
                <w:rFonts w:ascii="Arial" w:hAnsi="Arial" w:cs="Arial"/>
                <w:sz w:val="24"/>
                <w:szCs w:val="24"/>
              </w:rPr>
              <w:t>21</w:t>
            </w:r>
          </w:p>
        </w:tc>
        <w:tc>
          <w:tcPr>
            <w:tcW w:w="2267" w:type="dxa"/>
            <w:vAlign w:val="center"/>
          </w:tcPr>
          <w:p w14:paraId="6B534282" w14:textId="77777777" w:rsidR="001B225E" w:rsidRPr="00C06E05" w:rsidRDefault="001B225E" w:rsidP="00146DF8">
            <w:pPr>
              <w:jc w:val="center"/>
              <w:rPr>
                <w:rFonts w:ascii="Arial" w:hAnsi="Arial" w:cs="Arial"/>
                <w:sz w:val="24"/>
                <w:szCs w:val="24"/>
              </w:rPr>
            </w:pPr>
            <w:r w:rsidRPr="00C06E05">
              <w:rPr>
                <w:rFonts w:ascii="Arial" w:hAnsi="Arial" w:cs="Arial"/>
                <w:sz w:val="24"/>
                <w:szCs w:val="24"/>
              </w:rPr>
              <w:t>15</w:t>
            </w:r>
          </w:p>
        </w:tc>
      </w:tr>
      <w:tr w:rsidR="001B225E" w:rsidRPr="00C06E05" w14:paraId="12D0DC66" w14:textId="77777777" w:rsidTr="00146DF8">
        <w:trPr>
          <w:jc w:val="center"/>
        </w:trPr>
        <w:tc>
          <w:tcPr>
            <w:tcW w:w="4957" w:type="dxa"/>
            <w:vAlign w:val="center"/>
          </w:tcPr>
          <w:p w14:paraId="3F39D1AE" w14:textId="77777777" w:rsidR="001B225E" w:rsidRPr="00C06E05" w:rsidRDefault="001B225E" w:rsidP="00146DF8">
            <w:pPr>
              <w:jc w:val="both"/>
              <w:rPr>
                <w:rFonts w:ascii="Arial" w:hAnsi="Arial" w:cs="Arial"/>
                <w:sz w:val="24"/>
                <w:szCs w:val="24"/>
              </w:rPr>
            </w:pPr>
            <w:r w:rsidRPr="00C06E05">
              <w:rPr>
                <w:rFonts w:ascii="Arial" w:hAnsi="Arial" w:cs="Arial"/>
                <w:sz w:val="24"/>
                <w:szCs w:val="24"/>
              </w:rPr>
              <w:t>Social Studies</w:t>
            </w:r>
          </w:p>
        </w:tc>
        <w:tc>
          <w:tcPr>
            <w:tcW w:w="2126" w:type="dxa"/>
            <w:vAlign w:val="center"/>
          </w:tcPr>
          <w:p w14:paraId="282DDDF3" w14:textId="77777777" w:rsidR="001B225E" w:rsidRPr="00C06E05" w:rsidRDefault="001B225E" w:rsidP="00146DF8">
            <w:pPr>
              <w:jc w:val="center"/>
              <w:rPr>
                <w:rFonts w:ascii="Arial" w:hAnsi="Arial" w:cs="Arial"/>
                <w:sz w:val="24"/>
                <w:szCs w:val="24"/>
              </w:rPr>
            </w:pPr>
            <w:r w:rsidRPr="00C06E05">
              <w:rPr>
                <w:rFonts w:ascii="Arial" w:hAnsi="Arial" w:cs="Arial"/>
                <w:sz w:val="24"/>
                <w:szCs w:val="24"/>
              </w:rPr>
              <w:t>21</w:t>
            </w:r>
          </w:p>
        </w:tc>
        <w:tc>
          <w:tcPr>
            <w:tcW w:w="2267" w:type="dxa"/>
            <w:vAlign w:val="center"/>
          </w:tcPr>
          <w:p w14:paraId="02A86FAC" w14:textId="77777777" w:rsidR="001B225E" w:rsidRPr="00C06E05" w:rsidRDefault="001B225E" w:rsidP="00146DF8">
            <w:pPr>
              <w:jc w:val="center"/>
              <w:rPr>
                <w:rFonts w:ascii="Arial" w:hAnsi="Arial" w:cs="Arial"/>
                <w:sz w:val="24"/>
                <w:szCs w:val="24"/>
              </w:rPr>
            </w:pPr>
            <w:r w:rsidRPr="00C06E05">
              <w:rPr>
                <w:rFonts w:ascii="Arial" w:hAnsi="Arial" w:cs="Arial"/>
                <w:sz w:val="24"/>
                <w:szCs w:val="24"/>
              </w:rPr>
              <w:t>15</w:t>
            </w:r>
          </w:p>
        </w:tc>
      </w:tr>
      <w:tr w:rsidR="001B225E" w:rsidRPr="00C06E05" w14:paraId="3CE0E7FB" w14:textId="77777777" w:rsidTr="00146DF8">
        <w:trPr>
          <w:jc w:val="center"/>
        </w:trPr>
        <w:tc>
          <w:tcPr>
            <w:tcW w:w="4957" w:type="dxa"/>
            <w:tcBorders>
              <w:bottom w:val="single" w:sz="4" w:space="0" w:color="auto"/>
            </w:tcBorders>
            <w:vAlign w:val="center"/>
          </w:tcPr>
          <w:p w14:paraId="71A3F066" w14:textId="77777777" w:rsidR="001B225E" w:rsidRPr="00C06E05" w:rsidRDefault="001B225E" w:rsidP="00146DF8">
            <w:pPr>
              <w:jc w:val="both"/>
              <w:rPr>
                <w:rFonts w:ascii="Arial" w:hAnsi="Arial" w:cs="Arial"/>
                <w:sz w:val="24"/>
                <w:szCs w:val="24"/>
              </w:rPr>
            </w:pPr>
            <w:r w:rsidRPr="00C06E05">
              <w:rPr>
                <w:rFonts w:ascii="Arial" w:hAnsi="Arial" w:cs="Arial"/>
                <w:sz w:val="24"/>
                <w:szCs w:val="24"/>
              </w:rPr>
              <w:t>Bachelor of Technology and Livelihood Education</w:t>
            </w:r>
          </w:p>
        </w:tc>
        <w:tc>
          <w:tcPr>
            <w:tcW w:w="2126" w:type="dxa"/>
            <w:tcBorders>
              <w:bottom w:val="single" w:sz="4" w:space="0" w:color="auto"/>
            </w:tcBorders>
            <w:vAlign w:val="center"/>
          </w:tcPr>
          <w:p w14:paraId="394A6481" w14:textId="77777777" w:rsidR="001B225E" w:rsidRPr="00C06E05" w:rsidRDefault="001B225E" w:rsidP="00146DF8">
            <w:pPr>
              <w:jc w:val="center"/>
              <w:rPr>
                <w:rFonts w:ascii="Arial" w:hAnsi="Arial" w:cs="Arial"/>
                <w:sz w:val="24"/>
                <w:szCs w:val="24"/>
              </w:rPr>
            </w:pPr>
            <w:r w:rsidRPr="00C06E05">
              <w:rPr>
                <w:rFonts w:ascii="Arial" w:hAnsi="Arial" w:cs="Arial"/>
                <w:sz w:val="24"/>
                <w:szCs w:val="24"/>
              </w:rPr>
              <w:t>20</w:t>
            </w:r>
          </w:p>
        </w:tc>
        <w:tc>
          <w:tcPr>
            <w:tcW w:w="2267" w:type="dxa"/>
            <w:tcBorders>
              <w:bottom w:val="single" w:sz="4" w:space="0" w:color="auto"/>
            </w:tcBorders>
            <w:vAlign w:val="center"/>
          </w:tcPr>
          <w:p w14:paraId="75FE6E78" w14:textId="77777777" w:rsidR="001B225E" w:rsidRPr="00C06E05" w:rsidRDefault="001B225E" w:rsidP="00146DF8">
            <w:pPr>
              <w:jc w:val="center"/>
              <w:rPr>
                <w:rFonts w:ascii="Arial" w:hAnsi="Arial" w:cs="Arial"/>
                <w:sz w:val="24"/>
                <w:szCs w:val="24"/>
              </w:rPr>
            </w:pPr>
            <w:r w:rsidRPr="00C06E05">
              <w:rPr>
                <w:rFonts w:ascii="Arial" w:hAnsi="Arial" w:cs="Arial"/>
                <w:sz w:val="24"/>
                <w:szCs w:val="24"/>
              </w:rPr>
              <w:t>14</w:t>
            </w:r>
          </w:p>
        </w:tc>
      </w:tr>
      <w:tr w:rsidR="001B225E" w:rsidRPr="00C06E05" w14:paraId="307494E8" w14:textId="77777777" w:rsidTr="00146DF8">
        <w:trPr>
          <w:jc w:val="center"/>
        </w:trPr>
        <w:tc>
          <w:tcPr>
            <w:tcW w:w="4957" w:type="dxa"/>
            <w:tcBorders>
              <w:top w:val="single" w:sz="4" w:space="0" w:color="auto"/>
              <w:bottom w:val="single" w:sz="4" w:space="0" w:color="auto"/>
            </w:tcBorders>
            <w:vAlign w:val="center"/>
          </w:tcPr>
          <w:p w14:paraId="1B3061BA" w14:textId="77777777" w:rsidR="001B225E" w:rsidRPr="00C06E05" w:rsidRDefault="001B225E" w:rsidP="00146DF8">
            <w:pPr>
              <w:jc w:val="both"/>
              <w:rPr>
                <w:rFonts w:ascii="Arial" w:hAnsi="Arial" w:cs="Arial"/>
                <w:sz w:val="24"/>
                <w:szCs w:val="24"/>
              </w:rPr>
            </w:pPr>
            <w:r w:rsidRPr="00C06E05">
              <w:rPr>
                <w:rFonts w:ascii="Arial" w:hAnsi="Arial" w:cs="Arial"/>
                <w:b/>
                <w:bCs/>
                <w:sz w:val="24"/>
                <w:szCs w:val="24"/>
              </w:rPr>
              <w:t>Total</w:t>
            </w:r>
          </w:p>
        </w:tc>
        <w:tc>
          <w:tcPr>
            <w:tcW w:w="2126" w:type="dxa"/>
            <w:tcBorders>
              <w:top w:val="single" w:sz="4" w:space="0" w:color="auto"/>
              <w:bottom w:val="single" w:sz="4" w:space="0" w:color="auto"/>
            </w:tcBorders>
            <w:vAlign w:val="center"/>
          </w:tcPr>
          <w:p w14:paraId="2A21D25F" w14:textId="77777777" w:rsidR="001B225E" w:rsidRPr="00C06E05" w:rsidRDefault="001B225E" w:rsidP="00146DF8">
            <w:pPr>
              <w:jc w:val="center"/>
              <w:rPr>
                <w:rFonts w:ascii="Arial" w:hAnsi="Arial" w:cs="Arial"/>
                <w:sz w:val="24"/>
                <w:szCs w:val="24"/>
              </w:rPr>
            </w:pPr>
            <w:r w:rsidRPr="00C06E05">
              <w:rPr>
                <w:rFonts w:ascii="Arial" w:hAnsi="Arial" w:cs="Arial"/>
                <w:b/>
                <w:bCs/>
                <w:sz w:val="24"/>
                <w:szCs w:val="24"/>
              </w:rPr>
              <w:t>165</w:t>
            </w:r>
          </w:p>
        </w:tc>
        <w:tc>
          <w:tcPr>
            <w:tcW w:w="2267" w:type="dxa"/>
            <w:tcBorders>
              <w:top w:val="single" w:sz="4" w:space="0" w:color="auto"/>
              <w:bottom w:val="single" w:sz="4" w:space="0" w:color="auto"/>
            </w:tcBorders>
            <w:vAlign w:val="center"/>
          </w:tcPr>
          <w:p w14:paraId="6E904A05" w14:textId="77777777" w:rsidR="001B225E" w:rsidRPr="00C06E05" w:rsidRDefault="001B225E" w:rsidP="00146DF8">
            <w:pPr>
              <w:jc w:val="center"/>
              <w:rPr>
                <w:rFonts w:ascii="Arial" w:hAnsi="Arial" w:cs="Arial"/>
                <w:sz w:val="24"/>
                <w:szCs w:val="24"/>
              </w:rPr>
            </w:pPr>
            <w:r w:rsidRPr="00C06E05">
              <w:rPr>
                <w:rFonts w:ascii="Arial" w:hAnsi="Arial" w:cs="Arial"/>
                <w:b/>
                <w:bCs/>
                <w:sz w:val="24"/>
                <w:szCs w:val="24"/>
              </w:rPr>
              <w:t>116</w:t>
            </w:r>
          </w:p>
        </w:tc>
      </w:tr>
    </w:tbl>
    <w:p w14:paraId="03816220" w14:textId="77777777" w:rsidR="001B225E" w:rsidRPr="00C06E05" w:rsidRDefault="001B225E" w:rsidP="001B225E">
      <w:pPr>
        <w:spacing w:after="0" w:line="480" w:lineRule="auto"/>
        <w:rPr>
          <w:rFonts w:ascii="Arial" w:hAnsi="Arial" w:cs="Arial"/>
          <w:b/>
          <w:bCs/>
        </w:rPr>
      </w:pPr>
    </w:p>
    <w:p w14:paraId="159E10F0" w14:textId="77777777" w:rsidR="001B225E" w:rsidRPr="007C515E" w:rsidRDefault="001B225E" w:rsidP="001B225E">
      <w:pPr>
        <w:spacing w:after="0" w:line="480" w:lineRule="auto"/>
        <w:rPr>
          <w:rFonts w:ascii="Arial" w:hAnsi="Arial" w:cs="Arial"/>
          <w:b/>
          <w:bCs/>
        </w:rPr>
      </w:pPr>
      <w:r w:rsidRPr="00C06E05">
        <w:rPr>
          <w:rFonts w:ascii="Arial" w:hAnsi="Arial" w:cs="Arial"/>
          <w:b/>
          <w:bCs/>
        </w:rPr>
        <w:t>Data Gathering Tools</w:t>
      </w:r>
    </w:p>
    <w:p w14:paraId="6BFC7A36" w14:textId="77777777" w:rsidR="001B225E" w:rsidRDefault="001B225E" w:rsidP="001B225E">
      <w:pPr>
        <w:spacing w:after="0" w:line="480" w:lineRule="auto"/>
        <w:jc w:val="both"/>
        <w:rPr>
          <w:rFonts w:ascii="Arial" w:eastAsia="Arial" w:hAnsi="Arial" w:cs="Arial"/>
        </w:rPr>
      </w:pPr>
      <w:r>
        <w:rPr>
          <w:rFonts w:ascii="Arial" w:eastAsia="Arial" w:hAnsi="Arial" w:cs="Arial"/>
          <w:b/>
          <w:bCs/>
        </w:rPr>
        <w:tab/>
      </w:r>
      <w:r>
        <w:rPr>
          <w:rFonts w:ascii="Arial" w:eastAsia="Arial" w:hAnsi="Arial" w:cs="Arial"/>
        </w:rPr>
        <w:t xml:space="preserve">The instruments that are used in collecting the data are a researcher-made questionnaire administered through Google Form, library techniques, and research through the internet. The Google Form questionnaire serves as the primary data collection instrument of the study, as it enables the systematic and efficient collection of relevant data from the respondents on their profile, academic performance, study habits, review preparation practices, and institutional support received from the Community College in preparing for the Licensure Examination for Teachers. </w:t>
      </w:r>
    </w:p>
    <w:p w14:paraId="4FE95E34" w14:textId="77777777" w:rsidR="001B225E" w:rsidRDefault="001B225E" w:rsidP="001B225E">
      <w:pPr>
        <w:spacing w:after="0" w:line="480" w:lineRule="auto"/>
        <w:ind w:firstLine="720"/>
        <w:jc w:val="both"/>
        <w:rPr>
          <w:rFonts w:ascii="Arial" w:eastAsia="Arial" w:hAnsi="Arial" w:cs="Arial"/>
        </w:rPr>
      </w:pPr>
      <w:r>
        <w:rPr>
          <w:rFonts w:ascii="Arial" w:eastAsia="Arial" w:hAnsi="Arial" w:cs="Arial"/>
        </w:rPr>
        <w:t>The use of Google Form as the primary platform for data gathering is appropriate for this study given the geographically dispersed nature of the respondents identified through snowball sampling, as it allows for accessible, convenient, and timely participation without requiring physical presence.</w:t>
      </w:r>
    </w:p>
    <w:p w14:paraId="46CFE302" w14:textId="77777777" w:rsidR="001B225E" w:rsidRPr="00C22815" w:rsidRDefault="001B225E" w:rsidP="001B225E">
      <w:pPr>
        <w:spacing w:after="0" w:line="480" w:lineRule="auto"/>
        <w:jc w:val="both"/>
        <w:rPr>
          <w:rFonts w:ascii="Arial" w:eastAsia="Arial" w:hAnsi="Arial" w:cs="Arial"/>
        </w:rPr>
      </w:pPr>
      <w:r w:rsidRPr="00C06E05">
        <w:rPr>
          <w:rFonts w:ascii="Arial" w:hAnsi="Arial" w:cs="Arial"/>
          <w:b/>
          <w:bCs/>
        </w:rPr>
        <w:t>Questionnaire</w:t>
      </w:r>
    </w:p>
    <w:p w14:paraId="30448FB5"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t xml:space="preserve">A questionnaire is a research tool primarily used to collect information from a population of individuals in a specific geographical area. Data gathered through questionnaires are vital information that is typically analyzed and interpreted, </w:t>
      </w:r>
      <w:r w:rsidRPr="00C06E05">
        <w:rPr>
          <w:rFonts w:ascii="Arial" w:hAnsi="Arial" w:cs="Arial"/>
        </w:rPr>
        <w:lastRenderedPageBreak/>
        <w:t>allowing the researcher to arrive at a solution or conclusion to the research problem. Booth (2020) averred that the use of a questionnaire can fully explore some aspects of the phenomenon under study. To Leavy (2021), a questionnaire is a well-established tool within social science research for acquiring information on participants</w:t>
      </w:r>
      <w:r>
        <w:rPr>
          <w:rFonts w:ascii="Arial" w:hAnsi="Arial" w:cs="Arial"/>
        </w:rPr>
        <w:t>’</w:t>
      </w:r>
      <w:r w:rsidRPr="00C06E05">
        <w:rPr>
          <w:rFonts w:ascii="Arial" w:hAnsi="Arial" w:cs="Arial"/>
        </w:rPr>
        <w:t xml:space="preserve"> social characteristics, present and past behavior, standards of behavior or attitudes, and their beliefs and reasons for action with respect to the topic under investigation.</w:t>
      </w:r>
    </w:p>
    <w:p w14:paraId="5149CD46" w14:textId="77777777" w:rsidR="001B225E" w:rsidRPr="00C06E05" w:rsidRDefault="001B225E" w:rsidP="001B225E">
      <w:pPr>
        <w:spacing w:after="0" w:line="480" w:lineRule="auto"/>
        <w:ind w:firstLine="720"/>
        <w:jc w:val="both"/>
        <w:rPr>
          <w:rFonts w:ascii="Arial" w:hAnsi="Arial" w:cs="Arial"/>
        </w:rPr>
      </w:pPr>
      <w:r>
        <w:rPr>
          <w:rFonts w:ascii="Arial" w:eastAsia="Arial" w:hAnsi="Arial" w:cs="Arial"/>
        </w:rPr>
        <w:t xml:space="preserve">In this study, the questionnaire is administered through Google Form, a free and accessible online survey platform that allows the researcher to design, distribute, and collect responses digitally. The Google Form questionnaire was structured into five parts corresponding to the specific research questions of the study. </w:t>
      </w:r>
      <w:r w:rsidRPr="00C06E05">
        <w:rPr>
          <w:rFonts w:ascii="Arial" w:hAnsi="Arial" w:cs="Arial"/>
        </w:rPr>
        <w:t>Part I gathered information on the profile of the LET takers, including age, degree,</w:t>
      </w:r>
      <w:r>
        <w:rPr>
          <w:rFonts w:ascii="Arial" w:hAnsi="Arial" w:cs="Arial"/>
        </w:rPr>
        <w:t xml:space="preserve"> and</w:t>
      </w:r>
      <w:r w:rsidRPr="00C06E05">
        <w:rPr>
          <w:rFonts w:ascii="Arial" w:hAnsi="Arial" w:cs="Arial"/>
        </w:rPr>
        <w:t xml:space="preserve"> major or specialization. Part II collected data on their academic performance, namely the general weighted average, general education average, professional education average, major or specialization average, and teaching internship grade. Part III measured the level of study habits in preparation for the LET. Part IV assessed the level of review preparation practices. Part V evaluated the level of institutional support received from the community college.</w:t>
      </w:r>
    </w:p>
    <w:p w14:paraId="1754CAF4"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t xml:space="preserve">Parts III, IV, and V were measured using a five-point Likert-type response format, ranging from 5 for the highest level of agreement or implementation to 1 for the lowest. The indicators under each of these three scales were finalized after item analysis from the pilot testing, which determined the items to be retained, rewritten, or removed. Following the item analysis, the study habits scale retained </w:t>
      </w:r>
      <w:r w:rsidRPr="00C06E05">
        <w:rPr>
          <w:rFonts w:ascii="Arial" w:hAnsi="Arial" w:cs="Arial"/>
        </w:rPr>
        <w:lastRenderedPageBreak/>
        <w:t>ten items, the review preparation practices scale retained ten items, and the institutional support scale retained ten items, resulting in a final instrument composed of indicators that appropriately and reliably measured each construct.</w:t>
      </w:r>
    </w:p>
    <w:p w14:paraId="2AFAA1EC"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b/>
          <w:bCs/>
        </w:rPr>
        <w:t>Preparation of the Questionnaire</w:t>
      </w:r>
      <w:r>
        <w:rPr>
          <w:rFonts w:ascii="Arial" w:hAnsi="Arial" w:cs="Arial"/>
        </w:rPr>
        <w:t xml:space="preserve">. </w:t>
      </w:r>
      <w:r w:rsidRPr="00C06E05">
        <w:rPr>
          <w:rFonts w:ascii="Arial" w:hAnsi="Arial" w:cs="Arial"/>
        </w:rPr>
        <w:t>In the preparation of the questionnaire, related books, unpublished theses, journals, and other related materials were consulted. The questionnaire was constructed in accordance with the following criteria defined by Fox (2016): clarity of language, specificity of context, singleness of purpose, linguistic completeness, grammatical consistency, freedom from assumption, freedom from suggestion, and the time required to complete the questionnaire.</w:t>
      </w:r>
    </w:p>
    <w:p w14:paraId="6C22A5CF"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t>In refining the indicators for each Likert scale, the results of the item analysis conducted during pilot testing served as the basis for deciding which indicators to retain, rewrite, or remove. Indicators that demonstrated acceptable item-total correlation and contributed positively to the internal consistency of their respective scales were retained, indicators that were ambiguous or poorly understood by the pilot respondents were rewritten for clarity, and indicators that weakened the reliability of a scale or did not align with the construct being measured were removed. This procedure ensured that only the appropriate indicators, consistent with the criteria of Fox (2016), were included in the final instrument.</w:t>
      </w:r>
    </w:p>
    <w:p w14:paraId="083FF68E"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b/>
          <w:bCs/>
        </w:rPr>
        <w:t>Validation of the Questionnaire</w:t>
      </w:r>
      <w:r>
        <w:rPr>
          <w:rFonts w:ascii="Arial" w:hAnsi="Arial" w:cs="Arial"/>
          <w:b/>
          <w:bCs/>
        </w:rPr>
        <w:t>.</w:t>
      </w:r>
      <w:r>
        <w:rPr>
          <w:rFonts w:ascii="Arial" w:hAnsi="Arial" w:cs="Arial"/>
        </w:rPr>
        <w:t xml:space="preserve"> </w:t>
      </w:r>
      <w:r w:rsidRPr="00C06E05">
        <w:rPr>
          <w:rFonts w:ascii="Arial" w:hAnsi="Arial" w:cs="Arial"/>
        </w:rPr>
        <w:t>The questionnaire was presented and underwent consolidation</w:t>
      </w:r>
      <w:r>
        <w:rPr>
          <w:rFonts w:ascii="Arial" w:hAnsi="Arial" w:cs="Arial"/>
        </w:rPr>
        <w:t xml:space="preserve">. </w:t>
      </w:r>
      <w:r w:rsidRPr="00C06E05">
        <w:rPr>
          <w:rFonts w:ascii="Arial" w:hAnsi="Arial" w:cs="Arial"/>
        </w:rPr>
        <w:t xml:space="preserve">The instrument was subjected to content validation through </w:t>
      </w:r>
      <w:r>
        <w:rPr>
          <w:rFonts w:ascii="Arial" w:hAnsi="Arial" w:cs="Arial"/>
        </w:rPr>
        <w:t xml:space="preserve">different </w:t>
      </w:r>
      <w:r w:rsidRPr="00C06E05">
        <w:rPr>
          <w:rFonts w:ascii="Arial" w:hAnsi="Arial" w:cs="Arial"/>
        </w:rPr>
        <w:t>validators</w:t>
      </w:r>
      <w:r>
        <w:rPr>
          <w:rFonts w:ascii="Arial" w:hAnsi="Arial" w:cs="Arial"/>
        </w:rPr>
        <w:t xml:space="preserve">, </w:t>
      </w:r>
      <w:r w:rsidRPr="00C06E05">
        <w:rPr>
          <w:rFonts w:ascii="Arial" w:hAnsi="Arial" w:cs="Arial"/>
        </w:rPr>
        <w:t xml:space="preserve">who evaluated the relevance, clarity, and adequacy of the items in relation to the variables and objectives of the study. </w:t>
      </w:r>
      <w:r>
        <w:rPr>
          <w:rFonts w:ascii="Arial" w:eastAsia="Arial" w:hAnsi="Arial" w:cs="Arial"/>
        </w:rPr>
        <w:t xml:space="preserve">After incorporating </w:t>
      </w:r>
      <w:r>
        <w:rPr>
          <w:rFonts w:ascii="Arial" w:eastAsia="Arial" w:hAnsi="Arial" w:cs="Arial"/>
        </w:rPr>
        <w:lastRenderedPageBreak/>
        <w:t xml:space="preserve">the suggestions and recommendations, the questionnaire is pilot-tested through Google Form on ten possible respondents who are not part of the actual study. The Google Form links for the dry run were distributed to the ten pilot respondents through available online communication channels, and their responses were automatically collected and recorded through the platform. </w:t>
      </w:r>
      <w:r w:rsidRPr="00C06E05">
        <w:rPr>
          <w:rFonts w:ascii="Arial" w:hAnsi="Arial" w:cs="Arial"/>
        </w:rPr>
        <w:t>Applying Boeije</w:t>
      </w:r>
      <w:r>
        <w:rPr>
          <w:rFonts w:ascii="Arial" w:hAnsi="Arial" w:cs="Arial"/>
        </w:rPr>
        <w:t>’</w:t>
      </w:r>
      <w:r w:rsidRPr="00C06E05">
        <w:rPr>
          <w:rFonts w:ascii="Arial" w:hAnsi="Arial" w:cs="Arial"/>
        </w:rPr>
        <w:t>s (2020) criteria, the questionnaire was subjected to a dry run using the following rating scales: 5 for excellent, 4 for very good, 3 for good, 2 for fair, and 1 for poor. The criterion that determined the time requirement to finish accomplishing the questionnaire had the following adjectival rating: too long, long, just enough, and short.</w:t>
      </w:r>
    </w:p>
    <w:p w14:paraId="18E25EE9"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t>To establish the reliability of the instrument, the internal consistency of each Likert subscale was determined using Cronbach</w:t>
      </w:r>
      <w:r>
        <w:rPr>
          <w:rFonts w:ascii="Arial" w:hAnsi="Arial" w:cs="Arial"/>
        </w:rPr>
        <w:t>’</w:t>
      </w:r>
      <w:r w:rsidRPr="00C06E05">
        <w:rPr>
          <w:rFonts w:ascii="Arial" w:hAnsi="Arial" w:cs="Arial"/>
        </w:rPr>
        <w:t>s alpha coefficient (Cronbach, 1951) based on the data gathered from the pilot testing. The reliability was computed separately for the three Likert subscales of the questionnaire, namely study habits, review preparation practices, and institutional support. The resulting Cronbach</w:t>
      </w:r>
      <w:r>
        <w:rPr>
          <w:rFonts w:ascii="Arial" w:hAnsi="Arial" w:cs="Arial"/>
        </w:rPr>
        <w:t>’</w:t>
      </w:r>
      <w:r w:rsidRPr="00C06E05">
        <w:rPr>
          <w:rFonts w:ascii="Arial" w:hAnsi="Arial" w:cs="Arial"/>
        </w:rPr>
        <w:t>s alpha values were interpreted using established thresholds, where a value of 0.90 and above is considered excellent, 0.80 to 0.89 is good, and 0.70 to 0.79 is acceptable. The three subscales obtained Cronbach</w:t>
      </w:r>
      <w:r>
        <w:rPr>
          <w:rFonts w:ascii="Arial" w:hAnsi="Arial" w:cs="Arial"/>
        </w:rPr>
        <w:t>’</w:t>
      </w:r>
      <w:r w:rsidRPr="00C06E05">
        <w:rPr>
          <w:rFonts w:ascii="Arial" w:hAnsi="Arial" w:cs="Arial"/>
        </w:rPr>
        <w:t xml:space="preserve">s alpha values within the acceptable to excellent range, indicating that the instrument was reliable and internally consistent and was therefore suitable for use in the actual data gathering. </w:t>
      </w:r>
    </w:p>
    <w:p w14:paraId="3F5FC266" w14:textId="77777777" w:rsidR="001B225E" w:rsidRDefault="001B225E" w:rsidP="001B225E">
      <w:pPr>
        <w:spacing w:after="0" w:line="480" w:lineRule="auto"/>
        <w:ind w:firstLine="720"/>
        <w:jc w:val="both"/>
        <w:rPr>
          <w:rFonts w:ascii="Arial" w:hAnsi="Arial" w:cs="Arial"/>
        </w:rPr>
      </w:pPr>
      <w:r w:rsidRPr="00C06E05">
        <w:rPr>
          <w:rFonts w:ascii="Arial" w:hAnsi="Arial" w:cs="Arial"/>
          <w:b/>
          <w:bCs/>
        </w:rPr>
        <w:t>Administration and Retrieval of the Questionnaire</w:t>
      </w:r>
      <w:r>
        <w:rPr>
          <w:rFonts w:ascii="Arial" w:hAnsi="Arial" w:cs="Arial"/>
        </w:rPr>
        <w:t xml:space="preserve">. </w:t>
      </w:r>
      <w:r w:rsidRPr="00C06E05">
        <w:rPr>
          <w:rFonts w:ascii="Arial" w:hAnsi="Arial" w:cs="Arial"/>
        </w:rPr>
        <w:t xml:space="preserve">After confirming the questionnaire, the necessary approval was secured from the Office of the College President of the community college to distribute the questionnaire and to conduct </w:t>
      </w:r>
      <w:r w:rsidRPr="00C06E05">
        <w:rPr>
          <w:rFonts w:ascii="Arial" w:hAnsi="Arial" w:cs="Arial"/>
        </w:rPr>
        <w:lastRenderedPageBreak/>
        <w:t xml:space="preserve">the study. After determining the </w:t>
      </w:r>
      <w:r>
        <w:rPr>
          <w:rFonts w:ascii="Arial" w:hAnsi="Arial" w:cs="Arial"/>
        </w:rPr>
        <w:t>power analysis</w:t>
      </w:r>
      <w:r w:rsidRPr="00C06E05">
        <w:rPr>
          <w:rFonts w:ascii="Arial" w:hAnsi="Arial" w:cs="Arial"/>
        </w:rPr>
        <w:t xml:space="preserve"> sample of 116 respondents derived through the </w:t>
      </w:r>
      <w:r>
        <w:rPr>
          <w:rFonts w:ascii="Arial" w:hAnsi="Arial" w:cs="Arial"/>
        </w:rPr>
        <w:t>R</w:t>
      </w:r>
      <w:r w:rsidRPr="00C06E05">
        <w:rPr>
          <w:rFonts w:ascii="Arial" w:hAnsi="Arial" w:cs="Arial"/>
        </w:rPr>
        <w:t>*Power computation, the distribution and retrieval of the questionnaire were done personally by the researcher within the five-month period allotted for data gathering. After the retrieval, the data were tallied, analyzed, and interpreted using the appropriate statistical tools.</w:t>
      </w:r>
    </w:p>
    <w:p w14:paraId="57B18DE8" w14:textId="77777777" w:rsidR="001B225E" w:rsidRPr="00C06E05" w:rsidRDefault="001B225E" w:rsidP="001B225E">
      <w:pPr>
        <w:spacing w:after="0" w:line="480" w:lineRule="auto"/>
        <w:jc w:val="both"/>
        <w:rPr>
          <w:rFonts w:ascii="Arial" w:hAnsi="Arial" w:cs="Arial"/>
          <w:b/>
          <w:bCs/>
        </w:rPr>
      </w:pPr>
      <w:r w:rsidRPr="00C06E05">
        <w:rPr>
          <w:rFonts w:ascii="Arial" w:hAnsi="Arial" w:cs="Arial"/>
          <w:b/>
          <w:bCs/>
        </w:rPr>
        <w:t>Document Review</w:t>
      </w:r>
    </w:p>
    <w:p w14:paraId="519DE8BA"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t>The document review was employed as a distinct data gathering technique to obtain the objective academic records of the respondents. Document review is a systematic procedure for gathering, reviewing, and evaluating existing records and documents as a source of research data (Bowen, 2009). In this study, the documents reviewed were the official academic records of the respondents obtained from the registrar and other authorized offices of the community college, after securing the necessary approval from the institution. The variables retrieved through document review were the general weighted average, the general education average, the professional education average, the major or specialization average, and the teaching internship grade of the respondents. To ensure the accuracy and integrity of the data, procedural safeguards were observed, including the cross-checking of the retrieved records against the official institutional files, the verification of entries with the authorized records personnel, and the maintenance of confidentiality in handling the academic records. The document review provided the verified academic performance data that served as one of the predictor variables in the study.</w:t>
      </w:r>
    </w:p>
    <w:p w14:paraId="31F6138B" w14:textId="77777777" w:rsidR="001B225E" w:rsidRPr="00C06E05" w:rsidRDefault="001B225E" w:rsidP="001B225E">
      <w:pPr>
        <w:spacing w:after="0" w:line="480" w:lineRule="auto"/>
        <w:jc w:val="both"/>
        <w:rPr>
          <w:rFonts w:ascii="Arial" w:hAnsi="Arial" w:cs="Arial"/>
        </w:rPr>
      </w:pPr>
      <w:r w:rsidRPr="00C06E05">
        <w:rPr>
          <w:rFonts w:ascii="Arial" w:hAnsi="Arial" w:cs="Arial"/>
          <w:b/>
          <w:bCs/>
        </w:rPr>
        <w:t>Library Technique</w:t>
      </w:r>
    </w:p>
    <w:p w14:paraId="48588B85"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lastRenderedPageBreak/>
        <w:t>This technique was employed during the review of related literature and studies. Related studies were gathered from different libraries in the Bicol Region and through digital library platforms and databases to provide a comprehensive theoretical and empirical foundation for the study.</w:t>
      </w:r>
    </w:p>
    <w:p w14:paraId="07ED46DC" w14:textId="77777777" w:rsidR="001B225E" w:rsidRPr="00C06E05" w:rsidRDefault="001B225E" w:rsidP="001B225E">
      <w:pPr>
        <w:spacing w:after="0" w:line="480" w:lineRule="auto"/>
        <w:rPr>
          <w:rFonts w:ascii="Arial" w:hAnsi="Arial" w:cs="Arial"/>
          <w:b/>
          <w:bCs/>
        </w:rPr>
      </w:pPr>
      <w:r w:rsidRPr="00C06E05">
        <w:rPr>
          <w:rFonts w:ascii="Arial" w:hAnsi="Arial" w:cs="Arial"/>
          <w:b/>
          <w:bCs/>
        </w:rPr>
        <w:t>Statistical Treatment of the Data</w:t>
      </w:r>
    </w:p>
    <w:p w14:paraId="34C41BB9" w14:textId="77777777" w:rsidR="001B225E" w:rsidRPr="00C06E05" w:rsidRDefault="001B225E" w:rsidP="001B225E">
      <w:pPr>
        <w:spacing w:after="0" w:line="480" w:lineRule="auto"/>
        <w:jc w:val="both"/>
        <w:rPr>
          <w:rFonts w:ascii="Arial" w:hAnsi="Arial" w:cs="Arial"/>
        </w:rPr>
      </w:pPr>
      <w:r w:rsidRPr="00C06E05">
        <w:rPr>
          <w:rFonts w:ascii="Arial" w:hAnsi="Arial" w:cs="Arial"/>
          <w:b/>
          <w:bCs/>
        </w:rPr>
        <w:tab/>
      </w:r>
      <w:r w:rsidRPr="00C06E05">
        <w:rPr>
          <w:rFonts w:ascii="Arial" w:hAnsi="Arial" w:cs="Arial"/>
        </w:rPr>
        <w:t>The researcher employed several statistical tools to treat the data gathered. The responses of the respondents were classified and tabulated systematically according to the different variables included in the study. The following statistical tools were used:</w:t>
      </w:r>
    </w:p>
    <w:p w14:paraId="62684BB7"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b/>
          <w:bCs/>
        </w:rPr>
        <w:t>Power Analysis (</w:t>
      </w:r>
      <w:r>
        <w:rPr>
          <w:rFonts w:ascii="Arial" w:hAnsi="Arial" w:cs="Arial"/>
          <w:b/>
          <w:bCs/>
        </w:rPr>
        <w:t>R</w:t>
      </w:r>
      <w:r w:rsidRPr="00C06E05">
        <w:rPr>
          <w:rFonts w:ascii="Arial" w:hAnsi="Arial" w:cs="Arial"/>
          <w:b/>
          <w:bCs/>
        </w:rPr>
        <w:t>*Power).</w:t>
      </w:r>
      <w:r w:rsidRPr="00C06E05">
        <w:rPr>
          <w:rFonts w:ascii="Arial" w:hAnsi="Arial" w:cs="Arial"/>
        </w:rPr>
        <w:t xml:space="preserve"> Prior to data gathering, power analysis was conducted using the </w:t>
      </w:r>
      <w:r>
        <w:rPr>
          <w:rFonts w:ascii="Arial" w:hAnsi="Arial" w:cs="Arial"/>
        </w:rPr>
        <w:t>R</w:t>
      </w:r>
      <w:r w:rsidRPr="00C06E05">
        <w:rPr>
          <w:rFonts w:ascii="Arial" w:hAnsi="Arial" w:cs="Arial"/>
        </w:rPr>
        <w:t>*Power (Faul et al., 2007) to determine the minimum sample size required for the study. The analysis used the linear multiple regression model (fixed model, R² deviation from zero), with a medium effect size, an alpha level of 0.05, a power of 0.95, and the number of predictors examined in the study. This computation yielded the required sample size of 116 respondents, which was then proportionally allocated across the five program strata.</w:t>
      </w:r>
    </w:p>
    <w:p w14:paraId="562D9E92"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b/>
          <w:bCs/>
        </w:rPr>
        <w:t>Frequency Distribution.</w:t>
      </w:r>
      <w:r w:rsidRPr="00C06E05">
        <w:rPr>
          <w:rFonts w:ascii="Arial" w:hAnsi="Arial" w:cs="Arial"/>
        </w:rPr>
        <w:t xml:space="preserve"> Frequency Distribution. This refers to the total answers or perceptions of the respondents and was used to determine the percentages of each response. In this study, frequency distribution was used to describe the profile of the LET takers at the community college in terms of age, sex, degree, major or specialization, and LET rating as stated in SOP 1.</w:t>
      </w:r>
    </w:p>
    <w:p w14:paraId="2F2920E1"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b/>
          <w:bCs/>
        </w:rPr>
        <w:t>Percentage.</w:t>
      </w:r>
      <w:r w:rsidRPr="00C06E05">
        <w:rPr>
          <w:rFonts w:ascii="Arial" w:hAnsi="Arial" w:cs="Arial"/>
        </w:rPr>
        <w:t xml:space="preserve"> This refers to the proportion of the responses in relation to the total number of respondents, expressed as a rate per hundred. In this study, the </w:t>
      </w:r>
      <w:r w:rsidRPr="00C06E05">
        <w:rPr>
          <w:rFonts w:ascii="Arial" w:hAnsi="Arial" w:cs="Arial"/>
        </w:rPr>
        <w:lastRenderedPageBreak/>
        <w:t>percentage technique was used in conjunction with frequency distribution to describe and summarize the profile variables of the LET takers at the community college.</w:t>
      </w:r>
    </w:p>
    <w:p w14:paraId="57DF2969" w14:textId="77777777" w:rsidR="001B225E" w:rsidRPr="00C06E05" w:rsidRDefault="001B225E" w:rsidP="001B225E">
      <w:pPr>
        <w:spacing w:after="0" w:line="480" w:lineRule="auto"/>
        <w:jc w:val="both"/>
        <w:rPr>
          <w:rFonts w:ascii="Arial" w:hAnsi="Arial" w:cs="Arial"/>
        </w:rPr>
      </w:pPr>
      <w:r w:rsidRPr="00C06E05">
        <w:rPr>
          <w:rFonts w:ascii="Arial" w:hAnsi="Arial" w:cs="Arial"/>
        </w:rPr>
        <w:t>The formula is:</w:t>
      </w:r>
    </w:p>
    <w:p w14:paraId="27447A89" w14:textId="77777777" w:rsidR="001B225E" w:rsidRDefault="001B225E" w:rsidP="001B225E">
      <w:pPr>
        <w:spacing w:after="0" w:line="480" w:lineRule="auto"/>
        <w:ind w:left="3600"/>
        <w:jc w:val="both"/>
        <w:rPr>
          <w:rFonts w:ascii="Arial" w:hAnsi="Arial" w:cs="Arial"/>
        </w:rPr>
      </w:pPr>
      <w:r w:rsidRPr="00C06E05">
        <w:rPr>
          <w:rFonts w:ascii="Arial" w:hAnsi="Arial" w:cs="Arial"/>
          <w:b/>
          <w:bCs/>
        </w:rPr>
        <w:t>P = f/N x 100</w:t>
      </w:r>
    </w:p>
    <w:p w14:paraId="091DA800" w14:textId="77777777" w:rsidR="001B225E" w:rsidRPr="00C06E05" w:rsidRDefault="001B225E" w:rsidP="001B225E">
      <w:pPr>
        <w:spacing w:after="0" w:line="480" w:lineRule="auto"/>
        <w:jc w:val="both"/>
        <w:rPr>
          <w:rFonts w:ascii="Arial" w:hAnsi="Arial" w:cs="Arial"/>
        </w:rPr>
      </w:pPr>
      <w:r w:rsidRPr="00C06E05">
        <w:rPr>
          <w:rFonts w:ascii="Arial" w:hAnsi="Arial" w:cs="Arial"/>
          <w:b/>
          <w:bCs/>
        </w:rPr>
        <w:t>Where:</w:t>
      </w:r>
    </w:p>
    <w:p w14:paraId="51C2AD63" w14:textId="77777777" w:rsidR="001B225E" w:rsidRPr="00C06E05" w:rsidRDefault="001B225E" w:rsidP="001B225E">
      <w:pPr>
        <w:spacing w:after="0" w:line="480" w:lineRule="auto"/>
        <w:ind w:left="3600"/>
        <w:jc w:val="both"/>
        <w:rPr>
          <w:rFonts w:ascii="Arial" w:hAnsi="Arial" w:cs="Arial"/>
        </w:rPr>
      </w:pPr>
      <w:r w:rsidRPr="00C06E05">
        <w:rPr>
          <w:rFonts w:ascii="Arial" w:hAnsi="Arial" w:cs="Arial"/>
        </w:rPr>
        <w:t>P = percentage</w:t>
      </w:r>
    </w:p>
    <w:p w14:paraId="3482A14E" w14:textId="77777777" w:rsidR="001B225E" w:rsidRPr="00C06E05" w:rsidRDefault="001B225E" w:rsidP="001B225E">
      <w:pPr>
        <w:spacing w:after="0" w:line="480" w:lineRule="auto"/>
        <w:ind w:left="3600"/>
        <w:jc w:val="both"/>
        <w:rPr>
          <w:rFonts w:ascii="Arial" w:hAnsi="Arial" w:cs="Arial"/>
        </w:rPr>
      </w:pPr>
      <w:r w:rsidRPr="00C06E05">
        <w:rPr>
          <w:rFonts w:ascii="Arial" w:hAnsi="Arial" w:cs="Arial"/>
        </w:rPr>
        <w:t>f = frequency of responses</w:t>
      </w:r>
    </w:p>
    <w:p w14:paraId="12730E39" w14:textId="77777777" w:rsidR="001B225E" w:rsidRPr="00C06E05" w:rsidRDefault="001B225E" w:rsidP="001B225E">
      <w:pPr>
        <w:spacing w:after="0" w:line="480" w:lineRule="auto"/>
        <w:ind w:left="3600"/>
        <w:jc w:val="both"/>
        <w:rPr>
          <w:rFonts w:ascii="Arial" w:hAnsi="Arial" w:cs="Arial"/>
        </w:rPr>
      </w:pPr>
      <w:r w:rsidRPr="00C06E05">
        <w:rPr>
          <w:rFonts w:ascii="Arial" w:hAnsi="Arial" w:cs="Arial"/>
        </w:rPr>
        <w:t>N = total number of respondents</w:t>
      </w:r>
    </w:p>
    <w:p w14:paraId="62F54EDC"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b/>
          <w:bCs/>
        </w:rPr>
        <w:t>Weighted Mean.</w:t>
      </w:r>
      <w:r w:rsidRPr="00C06E05">
        <w:rPr>
          <w:rFonts w:ascii="Arial" w:hAnsi="Arial" w:cs="Arial"/>
        </w:rPr>
        <w:t xml:space="preserve"> The weighted mean was used to quantify the data and make the interpretation more objective. In this study, the weighted mean was used to determine the level of study habits, review preparation practices, and institutional support among the LET takers at the community college as stated in SOP 3. The formula is:</w:t>
      </w:r>
    </w:p>
    <w:p w14:paraId="77DF49ED" w14:textId="77777777" w:rsidR="001B225E" w:rsidRPr="00C06E05" w:rsidRDefault="001B225E" w:rsidP="001B225E">
      <w:pPr>
        <w:spacing w:after="0" w:line="480" w:lineRule="auto"/>
        <w:jc w:val="center"/>
        <w:rPr>
          <w:rFonts w:ascii="Arial" w:hAnsi="Arial" w:cs="Arial"/>
        </w:rPr>
      </w:pPr>
      <w:r w:rsidRPr="00C06E05">
        <w:rPr>
          <w:rFonts w:ascii="Arial" w:hAnsi="Arial" w:cs="Arial"/>
          <w:b/>
          <w:bCs/>
        </w:rPr>
        <w:t>WM = TWF/N</w:t>
      </w:r>
    </w:p>
    <w:p w14:paraId="4C23FA8A" w14:textId="77777777" w:rsidR="001B225E" w:rsidRPr="00C06E05" w:rsidRDefault="001B225E" w:rsidP="001B225E">
      <w:pPr>
        <w:spacing w:after="0" w:line="480" w:lineRule="auto"/>
        <w:jc w:val="both"/>
        <w:rPr>
          <w:rFonts w:ascii="Arial" w:hAnsi="Arial" w:cs="Arial"/>
        </w:rPr>
      </w:pPr>
      <w:r w:rsidRPr="00C06E05">
        <w:rPr>
          <w:rFonts w:ascii="Arial" w:hAnsi="Arial" w:cs="Arial"/>
          <w:b/>
          <w:bCs/>
        </w:rPr>
        <w:t>Where:</w:t>
      </w:r>
    </w:p>
    <w:p w14:paraId="1B4F5A20" w14:textId="77777777" w:rsidR="001B225E" w:rsidRPr="00C06E05" w:rsidRDefault="001B225E" w:rsidP="001B225E">
      <w:pPr>
        <w:spacing w:after="0" w:line="480" w:lineRule="auto"/>
        <w:ind w:left="3600"/>
        <w:jc w:val="both"/>
        <w:rPr>
          <w:rFonts w:ascii="Arial" w:hAnsi="Arial" w:cs="Arial"/>
        </w:rPr>
      </w:pPr>
      <w:r w:rsidRPr="00C06E05">
        <w:rPr>
          <w:rFonts w:ascii="Arial" w:hAnsi="Arial" w:cs="Arial"/>
        </w:rPr>
        <w:t>WM = weighted mean</w:t>
      </w:r>
    </w:p>
    <w:p w14:paraId="4E4136DF" w14:textId="77777777" w:rsidR="001B225E" w:rsidRPr="00C06E05" w:rsidRDefault="001B225E" w:rsidP="001B225E">
      <w:pPr>
        <w:spacing w:after="0" w:line="480" w:lineRule="auto"/>
        <w:ind w:left="3600"/>
        <w:jc w:val="both"/>
        <w:rPr>
          <w:rFonts w:ascii="Arial" w:hAnsi="Arial" w:cs="Arial"/>
        </w:rPr>
      </w:pPr>
      <w:r w:rsidRPr="00C06E05">
        <w:rPr>
          <w:rFonts w:ascii="Arial" w:hAnsi="Arial" w:cs="Arial"/>
        </w:rPr>
        <w:t>F = frequency of number of responses</w:t>
      </w:r>
    </w:p>
    <w:p w14:paraId="36E2DA29" w14:textId="77777777" w:rsidR="001B225E" w:rsidRPr="00C06E05" w:rsidRDefault="001B225E" w:rsidP="001B225E">
      <w:pPr>
        <w:spacing w:after="0" w:line="480" w:lineRule="auto"/>
        <w:ind w:left="3600"/>
        <w:jc w:val="both"/>
        <w:rPr>
          <w:rFonts w:ascii="Arial" w:hAnsi="Arial" w:cs="Arial"/>
        </w:rPr>
      </w:pPr>
      <w:r w:rsidRPr="00C06E05">
        <w:rPr>
          <w:rFonts w:ascii="Arial" w:hAnsi="Arial" w:cs="Arial"/>
        </w:rPr>
        <w:t>W = weight of category of responses</w:t>
      </w:r>
    </w:p>
    <w:p w14:paraId="37D825DF" w14:textId="77777777" w:rsidR="001B225E" w:rsidRPr="00C06E05" w:rsidRDefault="001B225E" w:rsidP="001B225E">
      <w:pPr>
        <w:spacing w:after="0" w:line="480" w:lineRule="auto"/>
        <w:ind w:left="3600"/>
        <w:jc w:val="both"/>
        <w:rPr>
          <w:rFonts w:ascii="Arial" w:hAnsi="Arial" w:cs="Arial"/>
        </w:rPr>
      </w:pPr>
      <w:r w:rsidRPr="00C06E05">
        <w:rPr>
          <w:rFonts w:ascii="Arial" w:hAnsi="Arial" w:cs="Arial"/>
        </w:rPr>
        <w:t>N = number of responses</w:t>
      </w:r>
    </w:p>
    <w:p w14:paraId="7A31A0B8" w14:textId="77777777" w:rsidR="001B225E" w:rsidRPr="00C06E05" w:rsidRDefault="001B225E" w:rsidP="001B225E">
      <w:pPr>
        <w:spacing w:after="0" w:line="480" w:lineRule="auto"/>
        <w:ind w:left="3600"/>
        <w:jc w:val="both"/>
        <w:rPr>
          <w:rFonts w:ascii="Arial" w:hAnsi="Arial" w:cs="Arial"/>
        </w:rPr>
      </w:pPr>
      <w:r w:rsidRPr="00C06E05">
        <w:rPr>
          <w:rFonts w:ascii="Arial" w:hAnsi="Arial" w:cs="Arial"/>
        </w:rPr>
        <w:t>T = total</w:t>
      </w:r>
    </w:p>
    <w:p w14:paraId="5CEFA256"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b/>
          <w:bCs/>
        </w:rPr>
        <w:t>Pearson Product-Moment Correlation Coefficient.</w:t>
      </w:r>
      <w:r w:rsidRPr="00C06E05">
        <w:rPr>
          <w:rFonts w:ascii="Arial" w:hAnsi="Arial" w:cs="Arial"/>
        </w:rPr>
        <w:t xml:space="preserve"> This statistical tool was used to determine the significant relationship between the independent </w:t>
      </w:r>
      <w:r w:rsidRPr="00C06E05">
        <w:rPr>
          <w:rFonts w:ascii="Arial" w:hAnsi="Arial" w:cs="Arial"/>
        </w:rPr>
        <w:lastRenderedPageBreak/>
        <w:t>variables, namely the profile variables, academic performance, study habits, review preparation practices, and institutional support, and the dependent variable, which is the performance in the Licensure Examination for Teachers. The Pearson correlation coefficient measures the strength and direction of the linear relationship between two variables and provided the basis for determining which variables were significantly correlated with LET performance prior to the regression analysis.</w:t>
      </w:r>
    </w:p>
    <w:p w14:paraId="7033A1DE"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b/>
          <w:bCs/>
        </w:rPr>
        <w:t>Multiple Regression Analysis.</w:t>
      </w:r>
      <w:r w:rsidRPr="00C06E05">
        <w:rPr>
          <w:rFonts w:ascii="Arial" w:hAnsi="Arial" w:cs="Arial"/>
        </w:rPr>
        <w:t xml:space="preserve"> This statistical tool was used to determine which among the profile variables, academic performance, study habits, review preparation practices, and institutional support significantly predicted performance in the Licensure Examination for Teachers among LET takers at the community college, as stated in SOP 4. Multiple regression analysis allows for the simultaneous examination of multiple predictor variables in relation to a single outcome variable, thereby identifying the most significant predictors of LET performance and the extent to which each variable contributes to the prediction of licensure outcomes.</w:t>
      </w:r>
    </w:p>
    <w:p w14:paraId="07D5BFAE"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b/>
          <w:bCs/>
        </w:rPr>
        <w:t>Simple Linear Regression Analysis.</w:t>
      </w:r>
      <w:r w:rsidRPr="00C06E05">
        <w:rPr>
          <w:rFonts w:ascii="Arial" w:hAnsi="Arial" w:cs="Arial"/>
        </w:rPr>
        <w:t xml:space="preserve"> This statistical tool was used to examine the individual predictive relationship between each disaggregated academic performance component, namely the general weighted average, general education average, professional education average, and major or specialization average, and the LET rating. Simple linear regression was applied to determine whether each academic component, when analyzed separately, significantly predicted LET performance, thereby providing a more detailed analysis of the</w:t>
      </w:r>
      <w:r>
        <w:rPr>
          <w:rFonts w:ascii="Arial" w:hAnsi="Arial" w:cs="Arial"/>
        </w:rPr>
        <w:t xml:space="preserve"> </w:t>
      </w:r>
      <w:r w:rsidRPr="00C06E05">
        <w:rPr>
          <w:rFonts w:ascii="Arial" w:hAnsi="Arial" w:cs="Arial"/>
        </w:rPr>
        <w:lastRenderedPageBreak/>
        <w:t>contribution of each academic indicator to licensure outcomes as reflected in the separate regression tables presented in the Appendix.</w:t>
      </w:r>
    </w:p>
    <w:p w14:paraId="2E273D9E"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b/>
          <w:bCs/>
        </w:rPr>
        <w:t>Five-Point Rating Scale.</w:t>
      </w:r>
      <w:r w:rsidRPr="00C06E05">
        <w:rPr>
          <w:rFonts w:ascii="Arial" w:hAnsi="Arial" w:cs="Arial"/>
        </w:rPr>
        <w:t xml:space="preserve"> The Likert-type scale was employed in quantifying and interpreting the weighted mean for each indicator related to study habits, review preparation practices, and institutional support. The scale consisted of the following interpretations: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61"/>
        <w:gridCol w:w="2948"/>
      </w:tblGrid>
      <w:tr w:rsidR="001B225E" w:rsidRPr="00C06E05" w14:paraId="0132EF8B" w14:textId="77777777" w:rsidTr="00146DF8">
        <w:trPr>
          <w:jc w:val="center"/>
        </w:trPr>
        <w:tc>
          <w:tcPr>
            <w:tcW w:w="3116" w:type="dxa"/>
            <w:tcBorders>
              <w:top w:val="single" w:sz="4" w:space="0" w:color="auto"/>
              <w:bottom w:val="single" w:sz="4" w:space="0" w:color="auto"/>
            </w:tcBorders>
            <w:vAlign w:val="center"/>
          </w:tcPr>
          <w:p w14:paraId="3273B436" w14:textId="77777777" w:rsidR="001B225E" w:rsidRPr="00C06E05" w:rsidRDefault="001B225E" w:rsidP="00146DF8">
            <w:pPr>
              <w:spacing w:line="480" w:lineRule="auto"/>
              <w:jc w:val="center"/>
              <w:rPr>
                <w:rFonts w:ascii="Arial" w:hAnsi="Arial" w:cs="Arial"/>
                <w:sz w:val="24"/>
                <w:szCs w:val="24"/>
              </w:rPr>
            </w:pPr>
            <w:r w:rsidRPr="00C06E05">
              <w:rPr>
                <w:rFonts w:ascii="Arial" w:hAnsi="Arial" w:cs="Arial"/>
                <w:b/>
                <w:bCs/>
                <w:sz w:val="24"/>
                <w:szCs w:val="24"/>
              </w:rPr>
              <w:t>Scale</w:t>
            </w:r>
          </w:p>
        </w:tc>
        <w:tc>
          <w:tcPr>
            <w:tcW w:w="3117" w:type="dxa"/>
            <w:tcBorders>
              <w:top w:val="single" w:sz="4" w:space="0" w:color="auto"/>
              <w:bottom w:val="single" w:sz="4" w:space="0" w:color="auto"/>
            </w:tcBorders>
            <w:vAlign w:val="center"/>
          </w:tcPr>
          <w:p w14:paraId="1BD53EFB" w14:textId="77777777" w:rsidR="001B225E" w:rsidRPr="00C06E05" w:rsidRDefault="001B225E" w:rsidP="00146DF8">
            <w:pPr>
              <w:spacing w:line="480" w:lineRule="auto"/>
              <w:jc w:val="center"/>
              <w:rPr>
                <w:rFonts w:ascii="Arial" w:hAnsi="Arial" w:cs="Arial"/>
                <w:sz w:val="24"/>
                <w:szCs w:val="24"/>
              </w:rPr>
            </w:pPr>
            <w:r w:rsidRPr="00C06E05">
              <w:rPr>
                <w:rFonts w:ascii="Arial" w:hAnsi="Arial" w:cs="Arial"/>
                <w:b/>
                <w:bCs/>
                <w:sz w:val="24"/>
                <w:szCs w:val="24"/>
              </w:rPr>
              <w:t>Interval</w:t>
            </w:r>
          </w:p>
        </w:tc>
        <w:tc>
          <w:tcPr>
            <w:tcW w:w="3117" w:type="dxa"/>
            <w:tcBorders>
              <w:top w:val="single" w:sz="4" w:space="0" w:color="auto"/>
              <w:bottom w:val="single" w:sz="4" w:space="0" w:color="auto"/>
            </w:tcBorders>
            <w:vAlign w:val="center"/>
          </w:tcPr>
          <w:p w14:paraId="5EDDE1F9" w14:textId="77777777" w:rsidR="001B225E" w:rsidRPr="00C06E05" w:rsidRDefault="001B225E" w:rsidP="00146DF8">
            <w:pPr>
              <w:spacing w:line="480" w:lineRule="auto"/>
              <w:jc w:val="center"/>
              <w:rPr>
                <w:rFonts w:ascii="Arial" w:hAnsi="Arial" w:cs="Arial"/>
                <w:sz w:val="24"/>
                <w:szCs w:val="24"/>
              </w:rPr>
            </w:pPr>
            <w:r w:rsidRPr="00C06E05">
              <w:rPr>
                <w:rFonts w:ascii="Arial" w:hAnsi="Arial" w:cs="Arial"/>
                <w:b/>
                <w:bCs/>
                <w:sz w:val="24"/>
                <w:szCs w:val="24"/>
              </w:rPr>
              <w:t>Verbal Interpretation</w:t>
            </w:r>
          </w:p>
        </w:tc>
      </w:tr>
      <w:tr w:rsidR="001B225E" w:rsidRPr="00C06E05" w14:paraId="20487E86" w14:textId="77777777" w:rsidTr="00146DF8">
        <w:trPr>
          <w:jc w:val="center"/>
        </w:trPr>
        <w:tc>
          <w:tcPr>
            <w:tcW w:w="3116" w:type="dxa"/>
            <w:tcBorders>
              <w:top w:val="single" w:sz="4" w:space="0" w:color="auto"/>
            </w:tcBorders>
            <w:vAlign w:val="center"/>
          </w:tcPr>
          <w:p w14:paraId="1A1C520F" w14:textId="77777777" w:rsidR="001B225E" w:rsidRPr="00C06E05" w:rsidRDefault="001B225E" w:rsidP="00146DF8">
            <w:pPr>
              <w:spacing w:line="480" w:lineRule="auto"/>
              <w:jc w:val="center"/>
              <w:rPr>
                <w:rFonts w:ascii="Arial" w:hAnsi="Arial" w:cs="Arial"/>
                <w:sz w:val="24"/>
                <w:szCs w:val="24"/>
              </w:rPr>
            </w:pPr>
            <w:r w:rsidRPr="00C06E05">
              <w:rPr>
                <w:rFonts w:ascii="Arial" w:hAnsi="Arial" w:cs="Arial"/>
                <w:sz w:val="24"/>
                <w:szCs w:val="24"/>
              </w:rPr>
              <w:t>5</w:t>
            </w:r>
          </w:p>
        </w:tc>
        <w:tc>
          <w:tcPr>
            <w:tcW w:w="3117" w:type="dxa"/>
            <w:tcBorders>
              <w:top w:val="single" w:sz="4" w:space="0" w:color="auto"/>
            </w:tcBorders>
            <w:vAlign w:val="center"/>
          </w:tcPr>
          <w:p w14:paraId="4B84C385" w14:textId="77777777" w:rsidR="001B225E" w:rsidRPr="00C06E05" w:rsidRDefault="001B225E" w:rsidP="00146DF8">
            <w:pPr>
              <w:spacing w:line="480" w:lineRule="auto"/>
              <w:jc w:val="center"/>
              <w:rPr>
                <w:rFonts w:ascii="Arial" w:hAnsi="Arial" w:cs="Arial"/>
                <w:sz w:val="24"/>
                <w:szCs w:val="24"/>
              </w:rPr>
            </w:pPr>
            <w:r w:rsidRPr="00C06E05">
              <w:rPr>
                <w:rFonts w:ascii="Arial" w:hAnsi="Arial" w:cs="Arial"/>
                <w:sz w:val="24"/>
                <w:szCs w:val="24"/>
              </w:rPr>
              <w:t>4.20 – 5.00</w:t>
            </w:r>
          </w:p>
        </w:tc>
        <w:tc>
          <w:tcPr>
            <w:tcW w:w="3117" w:type="dxa"/>
            <w:tcBorders>
              <w:top w:val="single" w:sz="4" w:space="0" w:color="auto"/>
            </w:tcBorders>
            <w:vAlign w:val="center"/>
          </w:tcPr>
          <w:p w14:paraId="3F4DA1E4" w14:textId="77777777" w:rsidR="001B225E" w:rsidRPr="00C06E05" w:rsidRDefault="001B225E" w:rsidP="00146DF8">
            <w:pPr>
              <w:spacing w:line="480" w:lineRule="auto"/>
              <w:jc w:val="center"/>
              <w:rPr>
                <w:rFonts w:ascii="Arial" w:hAnsi="Arial" w:cs="Arial"/>
                <w:sz w:val="24"/>
                <w:szCs w:val="24"/>
              </w:rPr>
            </w:pPr>
            <w:r w:rsidRPr="00C06E05">
              <w:rPr>
                <w:rFonts w:ascii="Arial" w:hAnsi="Arial" w:cs="Arial"/>
                <w:sz w:val="24"/>
                <w:szCs w:val="24"/>
              </w:rPr>
              <w:t>Strongly Agree</w:t>
            </w:r>
          </w:p>
        </w:tc>
      </w:tr>
      <w:tr w:rsidR="001B225E" w:rsidRPr="00C06E05" w14:paraId="242EA2CF" w14:textId="77777777" w:rsidTr="00146DF8">
        <w:trPr>
          <w:jc w:val="center"/>
        </w:trPr>
        <w:tc>
          <w:tcPr>
            <w:tcW w:w="3116" w:type="dxa"/>
            <w:vAlign w:val="center"/>
          </w:tcPr>
          <w:p w14:paraId="182A943A" w14:textId="77777777" w:rsidR="001B225E" w:rsidRPr="00C06E05" w:rsidRDefault="001B225E" w:rsidP="00146DF8">
            <w:pPr>
              <w:spacing w:line="480" w:lineRule="auto"/>
              <w:jc w:val="center"/>
              <w:rPr>
                <w:rFonts w:ascii="Arial" w:hAnsi="Arial" w:cs="Arial"/>
                <w:sz w:val="24"/>
                <w:szCs w:val="24"/>
              </w:rPr>
            </w:pPr>
            <w:r w:rsidRPr="00C06E05">
              <w:rPr>
                <w:rFonts w:ascii="Arial" w:hAnsi="Arial" w:cs="Arial"/>
                <w:sz w:val="24"/>
                <w:szCs w:val="24"/>
              </w:rPr>
              <w:t>4</w:t>
            </w:r>
          </w:p>
        </w:tc>
        <w:tc>
          <w:tcPr>
            <w:tcW w:w="3117" w:type="dxa"/>
            <w:vAlign w:val="center"/>
          </w:tcPr>
          <w:p w14:paraId="34853BBB" w14:textId="77777777" w:rsidR="001B225E" w:rsidRPr="00C06E05" w:rsidRDefault="001B225E" w:rsidP="00146DF8">
            <w:pPr>
              <w:spacing w:line="480" w:lineRule="auto"/>
              <w:jc w:val="center"/>
              <w:rPr>
                <w:rFonts w:ascii="Arial" w:hAnsi="Arial" w:cs="Arial"/>
                <w:sz w:val="24"/>
                <w:szCs w:val="24"/>
              </w:rPr>
            </w:pPr>
            <w:r w:rsidRPr="00C06E05">
              <w:rPr>
                <w:rFonts w:ascii="Arial" w:hAnsi="Arial" w:cs="Arial"/>
                <w:sz w:val="24"/>
                <w:szCs w:val="24"/>
              </w:rPr>
              <w:t>3.40 – 4.19</w:t>
            </w:r>
          </w:p>
        </w:tc>
        <w:tc>
          <w:tcPr>
            <w:tcW w:w="3117" w:type="dxa"/>
            <w:vAlign w:val="center"/>
          </w:tcPr>
          <w:p w14:paraId="7651336C" w14:textId="77777777" w:rsidR="001B225E" w:rsidRPr="00C06E05" w:rsidRDefault="001B225E" w:rsidP="00146DF8">
            <w:pPr>
              <w:spacing w:line="480" w:lineRule="auto"/>
              <w:jc w:val="center"/>
              <w:rPr>
                <w:rFonts w:ascii="Arial" w:hAnsi="Arial" w:cs="Arial"/>
                <w:sz w:val="24"/>
                <w:szCs w:val="24"/>
              </w:rPr>
            </w:pPr>
            <w:r w:rsidRPr="00C06E05">
              <w:rPr>
                <w:rFonts w:ascii="Arial" w:hAnsi="Arial" w:cs="Arial"/>
                <w:sz w:val="24"/>
                <w:szCs w:val="24"/>
              </w:rPr>
              <w:t>Agree</w:t>
            </w:r>
          </w:p>
        </w:tc>
      </w:tr>
      <w:tr w:rsidR="001B225E" w:rsidRPr="00C06E05" w14:paraId="368E35AA" w14:textId="77777777" w:rsidTr="00146DF8">
        <w:trPr>
          <w:jc w:val="center"/>
        </w:trPr>
        <w:tc>
          <w:tcPr>
            <w:tcW w:w="3116" w:type="dxa"/>
            <w:vAlign w:val="center"/>
          </w:tcPr>
          <w:p w14:paraId="2C289A52" w14:textId="77777777" w:rsidR="001B225E" w:rsidRPr="00C06E05" w:rsidRDefault="001B225E" w:rsidP="00146DF8">
            <w:pPr>
              <w:spacing w:line="480" w:lineRule="auto"/>
              <w:jc w:val="center"/>
              <w:rPr>
                <w:rFonts w:ascii="Arial" w:hAnsi="Arial" w:cs="Arial"/>
                <w:sz w:val="24"/>
                <w:szCs w:val="24"/>
              </w:rPr>
            </w:pPr>
            <w:r w:rsidRPr="00C06E05">
              <w:rPr>
                <w:rFonts w:ascii="Arial" w:hAnsi="Arial" w:cs="Arial"/>
                <w:sz w:val="24"/>
                <w:szCs w:val="24"/>
              </w:rPr>
              <w:t>3</w:t>
            </w:r>
          </w:p>
        </w:tc>
        <w:tc>
          <w:tcPr>
            <w:tcW w:w="3117" w:type="dxa"/>
            <w:vAlign w:val="center"/>
          </w:tcPr>
          <w:p w14:paraId="2CB4FB54" w14:textId="77777777" w:rsidR="001B225E" w:rsidRPr="00C06E05" w:rsidRDefault="001B225E" w:rsidP="00146DF8">
            <w:pPr>
              <w:spacing w:line="480" w:lineRule="auto"/>
              <w:jc w:val="center"/>
              <w:rPr>
                <w:rFonts w:ascii="Arial" w:hAnsi="Arial" w:cs="Arial"/>
                <w:sz w:val="24"/>
                <w:szCs w:val="24"/>
              </w:rPr>
            </w:pPr>
            <w:r w:rsidRPr="00C06E05">
              <w:rPr>
                <w:rFonts w:ascii="Arial" w:hAnsi="Arial" w:cs="Arial"/>
                <w:sz w:val="24"/>
                <w:szCs w:val="24"/>
              </w:rPr>
              <w:t>2.60 – 3.39</w:t>
            </w:r>
          </w:p>
        </w:tc>
        <w:tc>
          <w:tcPr>
            <w:tcW w:w="3117" w:type="dxa"/>
            <w:vAlign w:val="center"/>
          </w:tcPr>
          <w:p w14:paraId="361AA08E" w14:textId="77777777" w:rsidR="001B225E" w:rsidRPr="00C06E05" w:rsidRDefault="001B225E" w:rsidP="00146DF8">
            <w:pPr>
              <w:spacing w:line="480" w:lineRule="auto"/>
              <w:jc w:val="center"/>
              <w:rPr>
                <w:rFonts w:ascii="Arial" w:hAnsi="Arial" w:cs="Arial"/>
                <w:sz w:val="24"/>
                <w:szCs w:val="24"/>
              </w:rPr>
            </w:pPr>
            <w:r w:rsidRPr="00C06E05">
              <w:rPr>
                <w:rFonts w:ascii="Arial" w:hAnsi="Arial" w:cs="Arial"/>
                <w:sz w:val="24"/>
                <w:szCs w:val="24"/>
              </w:rPr>
              <w:t>Neutral</w:t>
            </w:r>
          </w:p>
        </w:tc>
      </w:tr>
      <w:tr w:rsidR="001B225E" w:rsidRPr="00C06E05" w14:paraId="72467EC1" w14:textId="77777777" w:rsidTr="00146DF8">
        <w:trPr>
          <w:jc w:val="center"/>
        </w:trPr>
        <w:tc>
          <w:tcPr>
            <w:tcW w:w="3116" w:type="dxa"/>
            <w:vAlign w:val="center"/>
          </w:tcPr>
          <w:p w14:paraId="08AD7894" w14:textId="77777777" w:rsidR="001B225E" w:rsidRPr="00C06E05" w:rsidRDefault="001B225E" w:rsidP="00146DF8">
            <w:pPr>
              <w:spacing w:line="480" w:lineRule="auto"/>
              <w:jc w:val="center"/>
              <w:rPr>
                <w:rFonts w:ascii="Arial" w:hAnsi="Arial" w:cs="Arial"/>
                <w:sz w:val="24"/>
                <w:szCs w:val="24"/>
              </w:rPr>
            </w:pPr>
            <w:r w:rsidRPr="00C06E05">
              <w:rPr>
                <w:rFonts w:ascii="Arial" w:hAnsi="Arial" w:cs="Arial"/>
                <w:sz w:val="24"/>
                <w:szCs w:val="24"/>
              </w:rPr>
              <w:t>2</w:t>
            </w:r>
          </w:p>
        </w:tc>
        <w:tc>
          <w:tcPr>
            <w:tcW w:w="3117" w:type="dxa"/>
            <w:vAlign w:val="center"/>
          </w:tcPr>
          <w:p w14:paraId="01F773A0" w14:textId="77777777" w:rsidR="001B225E" w:rsidRPr="00C06E05" w:rsidRDefault="001B225E" w:rsidP="00146DF8">
            <w:pPr>
              <w:spacing w:line="480" w:lineRule="auto"/>
              <w:jc w:val="center"/>
              <w:rPr>
                <w:rFonts w:ascii="Arial" w:hAnsi="Arial" w:cs="Arial"/>
                <w:sz w:val="24"/>
                <w:szCs w:val="24"/>
              </w:rPr>
            </w:pPr>
            <w:r w:rsidRPr="00C06E05">
              <w:rPr>
                <w:rFonts w:ascii="Arial" w:hAnsi="Arial" w:cs="Arial"/>
                <w:sz w:val="24"/>
                <w:szCs w:val="24"/>
              </w:rPr>
              <w:t>1.80 – 2.59</w:t>
            </w:r>
          </w:p>
        </w:tc>
        <w:tc>
          <w:tcPr>
            <w:tcW w:w="3117" w:type="dxa"/>
            <w:vAlign w:val="center"/>
          </w:tcPr>
          <w:p w14:paraId="0D1B7AE6" w14:textId="77777777" w:rsidR="001B225E" w:rsidRPr="00C06E05" w:rsidRDefault="001B225E" w:rsidP="00146DF8">
            <w:pPr>
              <w:spacing w:line="480" w:lineRule="auto"/>
              <w:jc w:val="center"/>
              <w:rPr>
                <w:rFonts w:ascii="Arial" w:hAnsi="Arial" w:cs="Arial"/>
                <w:sz w:val="24"/>
                <w:szCs w:val="24"/>
              </w:rPr>
            </w:pPr>
            <w:r w:rsidRPr="00C06E05">
              <w:rPr>
                <w:rFonts w:ascii="Arial" w:hAnsi="Arial" w:cs="Arial"/>
                <w:sz w:val="24"/>
                <w:szCs w:val="24"/>
              </w:rPr>
              <w:t>Disagree</w:t>
            </w:r>
          </w:p>
        </w:tc>
      </w:tr>
      <w:tr w:rsidR="001B225E" w:rsidRPr="00C06E05" w14:paraId="4062303B" w14:textId="77777777" w:rsidTr="00146DF8">
        <w:trPr>
          <w:jc w:val="center"/>
        </w:trPr>
        <w:tc>
          <w:tcPr>
            <w:tcW w:w="3116" w:type="dxa"/>
            <w:tcBorders>
              <w:bottom w:val="single" w:sz="4" w:space="0" w:color="auto"/>
            </w:tcBorders>
            <w:vAlign w:val="center"/>
          </w:tcPr>
          <w:p w14:paraId="1579A19A" w14:textId="77777777" w:rsidR="001B225E" w:rsidRPr="00C06E05" w:rsidRDefault="001B225E" w:rsidP="00146DF8">
            <w:pPr>
              <w:spacing w:line="480" w:lineRule="auto"/>
              <w:jc w:val="center"/>
              <w:rPr>
                <w:rFonts w:ascii="Arial" w:hAnsi="Arial" w:cs="Arial"/>
                <w:sz w:val="24"/>
                <w:szCs w:val="24"/>
              </w:rPr>
            </w:pPr>
            <w:r w:rsidRPr="00C06E05">
              <w:rPr>
                <w:rFonts w:ascii="Arial" w:hAnsi="Arial" w:cs="Arial"/>
                <w:sz w:val="24"/>
                <w:szCs w:val="24"/>
              </w:rPr>
              <w:t>1</w:t>
            </w:r>
          </w:p>
        </w:tc>
        <w:tc>
          <w:tcPr>
            <w:tcW w:w="3117" w:type="dxa"/>
            <w:tcBorders>
              <w:bottom w:val="single" w:sz="4" w:space="0" w:color="auto"/>
            </w:tcBorders>
            <w:vAlign w:val="center"/>
          </w:tcPr>
          <w:p w14:paraId="76393FEC" w14:textId="77777777" w:rsidR="001B225E" w:rsidRPr="00C06E05" w:rsidRDefault="001B225E" w:rsidP="00146DF8">
            <w:pPr>
              <w:spacing w:line="480" w:lineRule="auto"/>
              <w:jc w:val="center"/>
              <w:rPr>
                <w:rFonts w:ascii="Arial" w:hAnsi="Arial" w:cs="Arial"/>
                <w:sz w:val="24"/>
                <w:szCs w:val="24"/>
              </w:rPr>
            </w:pPr>
            <w:r w:rsidRPr="00C06E05">
              <w:rPr>
                <w:rFonts w:ascii="Arial" w:hAnsi="Arial" w:cs="Arial"/>
                <w:sz w:val="24"/>
                <w:szCs w:val="24"/>
              </w:rPr>
              <w:t>1.00 – 1.79</w:t>
            </w:r>
          </w:p>
        </w:tc>
        <w:tc>
          <w:tcPr>
            <w:tcW w:w="3117" w:type="dxa"/>
            <w:tcBorders>
              <w:bottom w:val="single" w:sz="4" w:space="0" w:color="auto"/>
            </w:tcBorders>
            <w:vAlign w:val="center"/>
          </w:tcPr>
          <w:p w14:paraId="0D563CAB" w14:textId="77777777" w:rsidR="001B225E" w:rsidRPr="00C06E05" w:rsidRDefault="001B225E" w:rsidP="00146DF8">
            <w:pPr>
              <w:spacing w:line="480" w:lineRule="auto"/>
              <w:jc w:val="center"/>
              <w:rPr>
                <w:rFonts w:ascii="Arial" w:hAnsi="Arial" w:cs="Arial"/>
                <w:sz w:val="24"/>
                <w:szCs w:val="24"/>
              </w:rPr>
            </w:pPr>
            <w:r w:rsidRPr="00C06E05">
              <w:rPr>
                <w:rFonts w:ascii="Arial" w:hAnsi="Arial" w:cs="Arial"/>
                <w:sz w:val="24"/>
                <w:szCs w:val="24"/>
              </w:rPr>
              <w:t>Strongly Disagree</w:t>
            </w:r>
          </w:p>
        </w:tc>
      </w:tr>
    </w:tbl>
    <w:p w14:paraId="11E1258C" w14:textId="77777777" w:rsidR="001B225E" w:rsidRDefault="001B225E" w:rsidP="001B225E">
      <w:pPr>
        <w:spacing w:after="0" w:line="480" w:lineRule="auto"/>
        <w:rPr>
          <w:rFonts w:ascii="Arial" w:hAnsi="Arial" w:cs="Arial"/>
        </w:rPr>
      </w:pPr>
    </w:p>
    <w:p w14:paraId="056A24BC" w14:textId="77777777" w:rsidR="001B225E" w:rsidRDefault="001B225E" w:rsidP="001B225E">
      <w:pPr>
        <w:spacing w:line="480" w:lineRule="auto"/>
        <w:rPr>
          <w:rFonts w:ascii="Arial" w:hAnsi="Arial" w:cs="Arial"/>
        </w:rPr>
      </w:pPr>
    </w:p>
    <w:p w14:paraId="540FEE9A" w14:textId="77777777" w:rsidR="001B225E" w:rsidRDefault="001B225E" w:rsidP="001B225E">
      <w:pPr>
        <w:spacing w:line="480" w:lineRule="auto"/>
        <w:rPr>
          <w:rFonts w:ascii="Arial" w:hAnsi="Arial" w:cs="Arial"/>
        </w:rPr>
      </w:pPr>
    </w:p>
    <w:p w14:paraId="02416D87" w14:textId="77777777" w:rsidR="001B225E" w:rsidRDefault="001B225E" w:rsidP="001B225E">
      <w:pPr>
        <w:spacing w:line="480" w:lineRule="auto"/>
        <w:rPr>
          <w:rFonts w:ascii="Arial" w:hAnsi="Arial" w:cs="Arial"/>
        </w:rPr>
      </w:pPr>
    </w:p>
    <w:p w14:paraId="231396E2" w14:textId="77777777" w:rsidR="001B225E" w:rsidRDefault="001B225E" w:rsidP="001B225E">
      <w:pPr>
        <w:spacing w:line="480" w:lineRule="auto"/>
        <w:rPr>
          <w:rFonts w:ascii="Arial" w:hAnsi="Arial" w:cs="Arial"/>
        </w:rPr>
      </w:pPr>
    </w:p>
    <w:p w14:paraId="4190107B" w14:textId="77777777" w:rsidR="001B225E" w:rsidRDefault="001B225E" w:rsidP="001B225E">
      <w:pPr>
        <w:spacing w:line="480" w:lineRule="auto"/>
        <w:rPr>
          <w:rFonts w:ascii="Arial" w:hAnsi="Arial" w:cs="Arial"/>
        </w:rPr>
      </w:pPr>
    </w:p>
    <w:p w14:paraId="4ED507E3" w14:textId="77777777" w:rsidR="001B225E" w:rsidRDefault="001B225E" w:rsidP="001B225E">
      <w:pPr>
        <w:spacing w:line="480" w:lineRule="auto"/>
        <w:rPr>
          <w:rFonts w:ascii="Arial" w:hAnsi="Arial" w:cs="Arial"/>
        </w:rPr>
      </w:pPr>
    </w:p>
    <w:p w14:paraId="5D9C7B0F" w14:textId="77777777" w:rsidR="001B225E" w:rsidRDefault="001B225E" w:rsidP="001B225E">
      <w:pPr>
        <w:spacing w:line="480" w:lineRule="auto"/>
        <w:rPr>
          <w:rFonts w:ascii="Arial" w:hAnsi="Arial" w:cs="Arial"/>
        </w:rPr>
      </w:pPr>
    </w:p>
    <w:p w14:paraId="5729E85B" w14:textId="77777777" w:rsidR="001B225E" w:rsidRPr="00C06E05" w:rsidRDefault="001B225E" w:rsidP="001B225E">
      <w:pPr>
        <w:spacing w:line="480" w:lineRule="auto"/>
        <w:rPr>
          <w:rFonts w:ascii="Arial" w:hAnsi="Arial" w:cs="Arial"/>
        </w:rPr>
      </w:pPr>
    </w:p>
    <w:p w14:paraId="7DC3D933" w14:textId="77777777" w:rsidR="001B225E" w:rsidRPr="00C06E05" w:rsidRDefault="001B225E" w:rsidP="001B225E">
      <w:pPr>
        <w:spacing w:line="480" w:lineRule="auto"/>
        <w:jc w:val="center"/>
        <w:rPr>
          <w:rFonts w:ascii="Arial" w:hAnsi="Arial" w:cs="Arial"/>
          <w:b/>
          <w:bCs/>
        </w:rPr>
      </w:pPr>
      <w:r w:rsidRPr="00C06E05">
        <w:rPr>
          <w:rFonts w:ascii="Arial" w:hAnsi="Arial" w:cs="Arial"/>
          <w:b/>
          <w:bCs/>
        </w:rPr>
        <w:lastRenderedPageBreak/>
        <w:t>Notes</w:t>
      </w:r>
    </w:p>
    <w:p w14:paraId="5D707A2E" w14:textId="77777777" w:rsidR="001B225E" w:rsidRPr="00C06E05" w:rsidRDefault="001B225E" w:rsidP="001B225E">
      <w:pPr>
        <w:spacing w:line="240" w:lineRule="auto"/>
        <w:ind w:firstLine="851"/>
        <w:jc w:val="both"/>
        <w:rPr>
          <w:rFonts w:ascii="Arial" w:hAnsi="Arial" w:cs="Arial"/>
        </w:rPr>
      </w:pPr>
      <w:r w:rsidRPr="00C06E05">
        <w:rPr>
          <w:rFonts w:ascii="Arial" w:hAnsi="Arial" w:cs="Arial"/>
        </w:rPr>
        <w:t>Boeije, H. R. (2020). How to design and create an effective survey/questionnaire: A step-by-step guide. International Journal of Academic Research in Management, 15(4), 37–41.</w:t>
      </w:r>
    </w:p>
    <w:p w14:paraId="3F0C0BE8" w14:textId="77777777" w:rsidR="001B225E" w:rsidRPr="00C06E05" w:rsidRDefault="001B225E" w:rsidP="001B225E">
      <w:pPr>
        <w:spacing w:line="240" w:lineRule="auto"/>
        <w:ind w:firstLine="851"/>
        <w:jc w:val="both"/>
        <w:rPr>
          <w:rFonts w:ascii="Arial" w:hAnsi="Arial" w:cs="Arial"/>
        </w:rPr>
      </w:pPr>
      <w:r w:rsidRPr="00C06E05">
        <w:rPr>
          <w:rFonts w:ascii="Arial" w:hAnsi="Arial" w:cs="Arial"/>
        </w:rPr>
        <w:t>Booth, W. C. (2020). The craft of research. McGraw-Hill Publishing.</w:t>
      </w:r>
    </w:p>
    <w:p w14:paraId="4C318AEA" w14:textId="77777777" w:rsidR="001B225E" w:rsidRPr="00C06E05" w:rsidRDefault="001B225E" w:rsidP="001B225E">
      <w:pPr>
        <w:spacing w:line="240" w:lineRule="auto"/>
        <w:ind w:firstLine="851"/>
        <w:jc w:val="both"/>
        <w:rPr>
          <w:rFonts w:ascii="Arial" w:hAnsi="Arial" w:cs="Arial"/>
        </w:rPr>
      </w:pPr>
      <w:r w:rsidRPr="00C06E05">
        <w:rPr>
          <w:rFonts w:ascii="Arial" w:hAnsi="Arial" w:cs="Arial"/>
        </w:rPr>
        <w:t xml:space="preserve">Bowen, G. A. (2009). Document analysis as a qualitative research method. Qualitative Research Journal, 9(2), 27–40. </w:t>
      </w:r>
      <w:hyperlink r:id="rId45" w:history="1">
        <w:r w:rsidRPr="00C06E05">
          <w:rPr>
            <w:rStyle w:val="Hyperlink"/>
            <w:rFonts w:ascii="Arial" w:hAnsi="Arial" w:cs="Arial"/>
          </w:rPr>
          <w:t>https://doi.org/10.3316/QRJ0902027</w:t>
        </w:r>
      </w:hyperlink>
    </w:p>
    <w:p w14:paraId="23AAFF5D" w14:textId="77777777" w:rsidR="001B225E" w:rsidRPr="00C06E05" w:rsidRDefault="001B225E" w:rsidP="001B225E">
      <w:pPr>
        <w:spacing w:line="240" w:lineRule="auto"/>
        <w:ind w:firstLine="851"/>
        <w:jc w:val="both"/>
        <w:rPr>
          <w:rFonts w:ascii="Arial" w:hAnsi="Arial" w:cs="Arial"/>
          <w:lang w:val="sv-SE"/>
        </w:rPr>
      </w:pPr>
      <w:r w:rsidRPr="00C06E05">
        <w:rPr>
          <w:rFonts w:ascii="Arial" w:hAnsi="Arial" w:cs="Arial"/>
        </w:rPr>
        <w:t xml:space="preserve">Cronbach, L. J. (1951). Coefficient alpha and the internal structure of tests. </w:t>
      </w:r>
      <w:proofErr w:type="spellStart"/>
      <w:r w:rsidRPr="00C06E05">
        <w:rPr>
          <w:rFonts w:ascii="Arial" w:hAnsi="Arial" w:cs="Arial"/>
          <w:lang w:val="sv-SE"/>
        </w:rPr>
        <w:t>Psychometrika</w:t>
      </w:r>
      <w:proofErr w:type="spellEnd"/>
      <w:r w:rsidRPr="00C06E05">
        <w:rPr>
          <w:rFonts w:ascii="Arial" w:hAnsi="Arial" w:cs="Arial"/>
          <w:lang w:val="sv-SE"/>
        </w:rPr>
        <w:t xml:space="preserve">, 16(3), 297–334. </w:t>
      </w:r>
      <w:hyperlink r:id="rId46" w:history="1">
        <w:r w:rsidRPr="00C06E05">
          <w:rPr>
            <w:rStyle w:val="Hyperlink"/>
            <w:rFonts w:ascii="Arial" w:hAnsi="Arial" w:cs="Arial"/>
            <w:lang w:val="sv-SE"/>
          </w:rPr>
          <w:t>https://doi.org/10.1007/BF02310555</w:t>
        </w:r>
      </w:hyperlink>
    </w:p>
    <w:p w14:paraId="721349C8" w14:textId="77777777" w:rsidR="001B225E" w:rsidRPr="00C06E05" w:rsidRDefault="001B225E" w:rsidP="001B225E">
      <w:pPr>
        <w:spacing w:line="240" w:lineRule="auto"/>
        <w:ind w:firstLine="851"/>
        <w:jc w:val="both"/>
        <w:rPr>
          <w:rFonts w:ascii="Arial" w:hAnsi="Arial" w:cs="Arial"/>
        </w:rPr>
      </w:pPr>
      <w:r w:rsidRPr="00C06E05">
        <w:rPr>
          <w:rFonts w:ascii="Arial" w:hAnsi="Arial" w:cs="Arial"/>
          <w:lang w:val="sv-SE"/>
        </w:rPr>
        <w:t xml:space="preserve">Davies, P., Francis, P., &amp; </w:t>
      </w:r>
      <w:proofErr w:type="spellStart"/>
      <w:r w:rsidRPr="00C06E05">
        <w:rPr>
          <w:rFonts w:ascii="Arial" w:hAnsi="Arial" w:cs="Arial"/>
          <w:lang w:val="sv-SE"/>
        </w:rPr>
        <w:t>Jupp</w:t>
      </w:r>
      <w:proofErr w:type="spellEnd"/>
      <w:r w:rsidRPr="00C06E05">
        <w:rPr>
          <w:rFonts w:ascii="Arial" w:hAnsi="Arial" w:cs="Arial"/>
          <w:lang w:val="sv-SE"/>
        </w:rPr>
        <w:t xml:space="preserve">, V. (2017). </w:t>
      </w:r>
      <w:r w:rsidRPr="00C06E05">
        <w:rPr>
          <w:rFonts w:ascii="Arial" w:hAnsi="Arial" w:cs="Arial"/>
        </w:rPr>
        <w:t>Doing criminological research. Sage Publishing House.</w:t>
      </w:r>
    </w:p>
    <w:p w14:paraId="690263EE" w14:textId="77777777" w:rsidR="001B225E" w:rsidRPr="00C06E05" w:rsidRDefault="001B225E" w:rsidP="001B225E">
      <w:pPr>
        <w:spacing w:line="240" w:lineRule="auto"/>
        <w:ind w:firstLine="851"/>
        <w:jc w:val="both"/>
        <w:rPr>
          <w:rFonts w:ascii="Arial" w:hAnsi="Arial" w:cs="Arial"/>
        </w:rPr>
      </w:pPr>
      <w:proofErr w:type="spellStart"/>
      <w:r w:rsidRPr="00C06E05">
        <w:rPr>
          <w:rFonts w:ascii="Arial" w:hAnsi="Arial" w:cs="Arial"/>
          <w:lang w:val="sv-SE"/>
        </w:rPr>
        <w:t>Faul</w:t>
      </w:r>
      <w:proofErr w:type="spellEnd"/>
      <w:r w:rsidRPr="00C06E05">
        <w:rPr>
          <w:rFonts w:ascii="Arial" w:hAnsi="Arial" w:cs="Arial"/>
          <w:lang w:val="sv-SE"/>
        </w:rPr>
        <w:t xml:space="preserve">, F., </w:t>
      </w:r>
      <w:proofErr w:type="spellStart"/>
      <w:r w:rsidRPr="00C06E05">
        <w:rPr>
          <w:rFonts w:ascii="Arial" w:hAnsi="Arial" w:cs="Arial"/>
          <w:lang w:val="sv-SE"/>
        </w:rPr>
        <w:t>Erdfelder</w:t>
      </w:r>
      <w:proofErr w:type="spellEnd"/>
      <w:r w:rsidRPr="00C06E05">
        <w:rPr>
          <w:rFonts w:ascii="Arial" w:hAnsi="Arial" w:cs="Arial"/>
          <w:lang w:val="sv-SE"/>
        </w:rPr>
        <w:t xml:space="preserve">, E., Lang, A.-G., &amp; </w:t>
      </w:r>
      <w:proofErr w:type="spellStart"/>
      <w:r w:rsidRPr="00C06E05">
        <w:rPr>
          <w:rFonts w:ascii="Arial" w:hAnsi="Arial" w:cs="Arial"/>
          <w:lang w:val="sv-SE"/>
        </w:rPr>
        <w:t>Buchner</w:t>
      </w:r>
      <w:proofErr w:type="spellEnd"/>
      <w:r w:rsidRPr="00C06E05">
        <w:rPr>
          <w:rFonts w:ascii="Arial" w:hAnsi="Arial" w:cs="Arial"/>
          <w:lang w:val="sv-SE"/>
        </w:rPr>
        <w:t xml:space="preserve">, A. (2007). </w:t>
      </w:r>
      <w:r w:rsidRPr="00C06E05">
        <w:rPr>
          <w:rFonts w:ascii="Arial" w:hAnsi="Arial" w:cs="Arial"/>
        </w:rPr>
        <w:t xml:space="preserve">G*Power 3: A flexible statistical power analysis program for the social, behavioral, and biomedical sciences. Behavior Research Methods, 39(2), 175–191. </w:t>
      </w:r>
      <w:hyperlink r:id="rId47" w:history="1">
        <w:r w:rsidRPr="00C06E05">
          <w:rPr>
            <w:rStyle w:val="Hyperlink"/>
            <w:rFonts w:ascii="Arial" w:hAnsi="Arial" w:cs="Arial"/>
          </w:rPr>
          <w:t>https://doi.org/10.3758/BF03193146</w:t>
        </w:r>
      </w:hyperlink>
    </w:p>
    <w:p w14:paraId="1BC09F6B" w14:textId="77777777" w:rsidR="001B225E" w:rsidRPr="00C06E05" w:rsidRDefault="001B225E" w:rsidP="001B225E">
      <w:pPr>
        <w:spacing w:line="240" w:lineRule="auto"/>
        <w:ind w:firstLine="851"/>
        <w:jc w:val="both"/>
        <w:rPr>
          <w:rFonts w:ascii="Arial" w:hAnsi="Arial" w:cs="Arial"/>
        </w:rPr>
      </w:pPr>
      <w:r w:rsidRPr="00C06E05">
        <w:rPr>
          <w:rFonts w:ascii="Arial" w:hAnsi="Arial" w:cs="Arial"/>
        </w:rPr>
        <w:t>Fox, N. (2016). How to design a questionnaire. Sage Publications.</w:t>
      </w:r>
    </w:p>
    <w:p w14:paraId="47B08C4F" w14:textId="77777777" w:rsidR="001B225E" w:rsidRPr="00C06E05" w:rsidRDefault="001B225E" w:rsidP="001B225E">
      <w:pPr>
        <w:spacing w:line="240" w:lineRule="auto"/>
        <w:ind w:firstLine="851"/>
        <w:jc w:val="both"/>
        <w:rPr>
          <w:rFonts w:ascii="Arial" w:hAnsi="Arial" w:cs="Arial"/>
        </w:rPr>
      </w:pPr>
      <w:r w:rsidRPr="00C06E05">
        <w:rPr>
          <w:rFonts w:ascii="Arial" w:hAnsi="Arial" w:cs="Arial"/>
        </w:rPr>
        <w:t xml:space="preserve">Hagan, J. (2016). Defining hospitality: Readers respond with their insight. </w:t>
      </w:r>
      <w:hyperlink r:id="rId48" w:history="1">
        <w:r w:rsidRPr="00C06E05">
          <w:rPr>
            <w:rStyle w:val="Hyperlink"/>
            <w:rFonts w:ascii="Arial" w:hAnsi="Arial" w:cs="Arial"/>
          </w:rPr>
          <w:t>http://www.hotel-online.com/News/DefiningHospitality.html</w:t>
        </w:r>
      </w:hyperlink>
    </w:p>
    <w:p w14:paraId="5B0394A1" w14:textId="77777777" w:rsidR="001B225E" w:rsidRPr="00C06E05" w:rsidRDefault="001B225E" w:rsidP="001B225E">
      <w:pPr>
        <w:spacing w:line="240" w:lineRule="auto"/>
        <w:ind w:firstLine="851"/>
        <w:jc w:val="both"/>
        <w:rPr>
          <w:rFonts w:ascii="Arial" w:hAnsi="Arial" w:cs="Arial"/>
        </w:rPr>
      </w:pPr>
      <w:proofErr w:type="spellStart"/>
      <w:r w:rsidRPr="00C06E05">
        <w:rPr>
          <w:rFonts w:ascii="Arial" w:hAnsi="Arial" w:cs="Arial"/>
          <w:lang w:val="sv-SE"/>
        </w:rPr>
        <w:t>Kaur</w:t>
      </w:r>
      <w:proofErr w:type="spellEnd"/>
      <w:r w:rsidRPr="00C06E05">
        <w:rPr>
          <w:rFonts w:ascii="Arial" w:hAnsi="Arial" w:cs="Arial"/>
          <w:lang w:val="sv-SE"/>
        </w:rPr>
        <w:t xml:space="preserve">, P., </w:t>
      </w:r>
      <w:proofErr w:type="spellStart"/>
      <w:r w:rsidRPr="00C06E05">
        <w:rPr>
          <w:rFonts w:ascii="Arial" w:hAnsi="Arial" w:cs="Arial"/>
          <w:lang w:val="sv-SE"/>
        </w:rPr>
        <w:t>Stoltzfus</w:t>
      </w:r>
      <w:proofErr w:type="spellEnd"/>
      <w:r w:rsidRPr="00C06E05">
        <w:rPr>
          <w:rFonts w:ascii="Arial" w:hAnsi="Arial" w:cs="Arial"/>
          <w:lang w:val="sv-SE"/>
        </w:rPr>
        <w:t xml:space="preserve">, J., &amp; </w:t>
      </w:r>
      <w:proofErr w:type="spellStart"/>
      <w:r w:rsidRPr="00C06E05">
        <w:rPr>
          <w:rFonts w:ascii="Arial" w:hAnsi="Arial" w:cs="Arial"/>
          <w:lang w:val="sv-SE"/>
        </w:rPr>
        <w:t>Yellapu</w:t>
      </w:r>
      <w:proofErr w:type="spellEnd"/>
      <w:r w:rsidRPr="00C06E05">
        <w:rPr>
          <w:rFonts w:ascii="Arial" w:hAnsi="Arial" w:cs="Arial"/>
          <w:lang w:val="sv-SE"/>
        </w:rPr>
        <w:t xml:space="preserve">, V. (2019). </w:t>
      </w:r>
      <w:r w:rsidRPr="00C06E05">
        <w:rPr>
          <w:rFonts w:ascii="Arial" w:hAnsi="Arial" w:cs="Arial"/>
        </w:rPr>
        <w:t>Descriptive statistics. Harpers and Row Publishers.</w:t>
      </w:r>
    </w:p>
    <w:p w14:paraId="3369CDD7" w14:textId="77777777" w:rsidR="001B225E" w:rsidRPr="00C06E05" w:rsidRDefault="001B225E" w:rsidP="001B225E">
      <w:pPr>
        <w:spacing w:line="240" w:lineRule="auto"/>
        <w:ind w:firstLine="851"/>
        <w:jc w:val="both"/>
        <w:rPr>
          <w:rFonts w:ascii="Arial" w:hAnsi="Arial" w:cs="Arial"/>
        </w:rPr>
      </w:pPr>
      <w:r w:rsidRPr="00C06E05">
        <w:rPr>
          <w:rFonts w:ascii="Arial" w:hAnsi="Arial" w:cs="Arial"/>
        </w:rPr>
        <w:t>Leavy, P. (2021). The Oxford handbook of research. Jossey Bass.</w:t>
      </w:r>
    </w:p>
    <w:p w14:paraId="7D0A736A" w14:textId="77777777" w:rsidR="001B225E" w:rsidRPr="00C06E05" w:rsidRDefault="001B225E" w:rsidP="001B225E">
      <w:pPr>
        <w:spacing w:line="240" w:lineRule="auto"/>
        <w:ind w:firstLine="851"/>
        <w:jc w:val="both"/>
        <w:rPr>
          <w:rFonts w:ascii="Arial" w:hAnsi="Arial" w:cs="Arial"/>
        </w:rPr>
      </w:pPr>
      <w:r w:rsidRPr="00C06E05">
        <w:rPr>
          <w:rFonts w:ascii="Arial" w:hAnsi="Arial" w:cs="Arial"/>
        </w:rPr>
        <w:t>McMillan, J. H., &amp; Schumacher, S. (2016). Research in education: A conceptual introduction. Longman.</w:t>
      </w:r>
    </w:p>
    <w:p w14:paraId="14FAA032" w14:textId="77777777" w:rsidR="001B225E" w:rsidRPr="00C06E05" w:rsidRDefault="001B225E" w:rsidP="001B225E">
      <w:pPr>
        <w:spacing w:line="480" w:lineRule="auto"/>
        <w:jc w:val="both"/>
        <w:rPr>
          <w:rFonts w:ascii="Arial" w:hAnsi="Arial" w:cs="Arial"/>
        </w:rPr>
      </w:pPr>
    </w:p>
    <w:p w14:paraId="6DE06D36" w14:textId="77777777" w:rsidR="001B225E" w:rsidRPr="00C06E05" w:rsidRDefault="001B225E" w:rsidP="001B225E">
      <w:pPr>
        <w:spacing w:line="480" w:lineRule="auto"/>
        <w:jc w:val="both"/>
        <w:rPr>
          <w:rFonts w:ascii="Arial" w:hAnsi="Arial" w:cs="Arial"/>
        </w:rPr>
      </w:pPr>
    </w:p>
    <w:p w14:paraId="55CAA2A8" w14:textId="77777777" w:rsidR="001B225E" w:rsidRPr="00C06E05" w:rsidRDefault="001B225E" w:rsidP="001B225E">
      <w:pPr>
        <w:spacing w:line="480" w:lineRule="auto"/>
        <w:jc w:val="both"/>
        <w:rPr>
          <w:rFonts w:ascii="Arial" w:hAnsi="Arial" w:cs="Arial"/>
        </w:rPr>
      </w:pPr>
    </w:p>
    <w:p w14:paraId="59CEF267" w14:textId="77777777" w:rsidR="001B225E" w:rsidRPr="00C06E05" w:rsidRDefault="001B225E" w:rsidP="001B225E">
      <w:pPr>
        <w:spacing w:line="480" w:lineRule="auto"/>
        <w:jc w:val="both"/>
        <w:rPr>
          <w:rFonts w:ascii="Arial" w:hAnsi="Arial" w:cs="Arial"/>
        </w:rPr>
      </w:pPr>
    </w:p>
    <w:p w14:paraId="73363E6B" w14:textId="77777777" w:rsidR="001B225E" w:rsidRPr="00C06E05" w:rsidRDefault="001B225E" w:rsidP="001B225E">
      <w:pPr>
        <w:spacing w:line="480" w:lineRule="auto"/>
        <w:jc w:val="both"/>
        <w:rPr>
          <w:rFonts w:ascii="Arial" w:hAnsi="Arial" w:cs="Arial"/>
        </w:rPr>
      </w:pPr>
    </w:p>
    <w:p w14:paraId="03058962" w14:textId="77777777" w:rsidR="001B225E" w:rsidRPr="00C06E05" w:rsidRDefault="001B225E" w:rsidP="001B225E">
      <w:pPr>
        <w:spacing w:line="480" w:lineRule="auto"/>
        <w:jc w:val="both"/>
        <w:rPr>
          <w:rFonts w:ascii="Arial" w:eastAsia="Arial" w:hAnsi="Arial" w:cs="Arial"/>
        </w:rPr>
      </w:pPr>
    </w:p>
    <w:p w14:paraId="0674277B" w14:textId="77777777" w:rsidR="001B225E" w:rsidRPr="00C22815" w:rsidRDefault="001B225E" w:rsidP="001B225E">
      <w:pPr>
        <w:pStyle w:val="Heading1"/>
        <w:spacing w:line="480" w:lineRule="auto"/>
        <w:jc w:val="center"/>
        <w:rPr>
          <w:rFonts w:ascii="Arial" w:hAnsi="Arial" w:cs="Arial"/>
          <w:color w:val="000000" w:themeColor="text1"/>
          <w:sz w:val="24"/>
          <w:szCs w:val="24"/>
        </w:rPr>
      </w:pPr>
      <w:r w:rsidRPr="00C22815">
        <w:rPr>
          <w:rFonts w:ascii="Arial" w:hAnsi="Arial" w:cs="Arial"/>
          <w:noProof/>
          <w:sz w:val="24"/>
          <w:szCs w:val="24"/>
        </w:rPr>
        <w:lastRenderedPageBreak/>
        <mc:AlternateContent>
          <mc:Choice Requires="wps">
            <w:drawing>
              <wp:anchor distT="0" distB="0" distL="114300" distR="114300" simplePos="0" relativeHeight="251663360" behindDoc="0" locked="0" layoutInCell="1" hidden="0" allowOverlap="1" wp14:anchorId="3D8E3E2A" wp14:editId="14F39EE3">
                <wp:simplePos x="0" y="0"/>
                <wp:positionH relativeFrom="column">
                  <wp:posOffset>5299710</wp:posOffset>
                </wp:positionH>
                <wp:positionV relativeFrom="paragraph">
                  <wp:posOffset>-356235</wp:posOffset>
                </wp:positionV>
                <wp:extent cx="327025" cy="261257"/>
                <wp:effectExtent l="0" t="0" r="3175" b="5715"/>
                <wp:wrapNone/>
                <wp:docPr id="1164354967" name="Rectangle 1164354967"/>
                <wp:cNvGraphicFramePr/>
                <a:graphic xmlns:a="http://schemas.openxmlformats.org/drawingml/2006/main">
                  <a:graphicData uri="http://schemas.microsoft.com/office/word/2010/wordprocessingShape">
                    <wps:wsp>
                      <wps:cNvSpPr/>
                      <wps:spPr>
                        <a:xfrm flipV="1">
                          <a:off x="0" y="0"/>
                          <a:ext cx="327025" cy="261257"/>
                        </a:xfrm>
                        <a:prstGeom prst="rect">
                          <a:avLst/>
                        </a:prstGeom>
                        <a:solidFill>
                          <a:schemeClr val="lt1"/>
                        </a:solidFill>
                        <a:ln>
                          <a:noFill/>
                        </a:ln>
                      </wps:spPr>
                      <wps:txbx>
                        <w:txbxContent>
                          <w:p w14:paraId="26539F06" w14:textId="77777777" w:rsidR="001B225E" w:rsidRDefault="001B225E" w:rsidP="001B225E">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D8E3E2A" id="Rectangle 1164354967" o:spid="_x0000_s1029" style="position:absolute;left:0;text-align:left;margin-left:417.3pt;margin-top:-28.05pt;width:25.75pt;height:20.5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" fillcolor="white [3201]" stroked="f">
                <v:textbox inset="2.53958mm,2.53958mm,2.53958mm,2.53958mm">
                  <w:txbxContent>
                    <w:p w14:paraId="26539F06" w14:textId="77777777" w:rsidR="001B225E" w:rsidRDefault="001B225E" w:rsidP="001B225E">
                      <w:pPr>
                        <w:spacing w:after="0" w:line="240" w:lineRule="auto"/>
                        <w:textDirection w:val="btLr"/>
                      </w:pPr>
                    </w:p>
                  </w:txbxContent>
                </v:textbox>
              </v:rect>
            </w:pict>
          </mc:Fallback>
        </mc:AlternateContent>
      </w:r>
      <w:r w:rsidRPr="00C22815">
        <w:rPr>
          <w:rFonts w:ascii="Arial" w:hAnsi="Arial" w:cs="Arial"/>
          <w:color w:val="000000" w:themeColor="text1"/>
          <w:sz w:val="24"/>
          <w:szCs w:val="24"/>
        </w:rPr>
        <w:t>Chapter 4</w:t>
      </w:r>
    </w:p>
    <w:p w14:paraId="311B59FA" w14:textId="77777777" w:rsidR="001B225E" w:rsidRDefault="001B225E" w:rsidP="001B225E">
      <w:pPr>
        <w:pStyle w:val="NoSpacing"/>
        <w:jc w:val="center"/>
        <w:rPr>
          <w:rFonts w:ascii="Arial" w:hAnsi="Arial" w:cs="Arial"/>
          <w:b/>
          <w:bCs/>
          <w:sz w:val="24"/>
          <w:szCs w:val="24"/>
        </w:rPr>
      </w:pPr>
      <w:r w:rsidRPr="00C22815">
        <w:rPr>
          <w:rFonts w:ascii="Arial" w:hAnsi="Arial" w:cs="Arial"/>
          <w:b/>
          <w:bCs/>
          <w:sz w:val="24"/>
          <w:szCs w:val="24"/>
        </w:rPr>
        <w:t>PREDICTORS OF PERFORMANCE IN THE LICENSURE EXAMINATION FOR TEACHERS</w:t>
      </w:r>
      <w:r>
        <w:rPr>
          <w:rFonts w:ascii="Arial" w:hAnsi="Arial" w:cs="Arial"/>
          <w:b/>
          <w:bCs/>
          <w:sz w:val="24"/>
          <w:szCs w:val="24"/>
        </w:rPr>
        <w:t xml:space="preserve"> </w:t>
      </w:r>
      <w:r w:rsidRPr="00C22815">
        <w:rPr>
          <w:rFonts w:ascii="Arial" w:hAnsi="Arial" w:cs="Arial"/>
          <w:b/>
          <w:bCs/>
          <w:sz w:val="24"/>
          <w:szCs w:val="24"/>
        </w:rPr>
        <w:t>IN A COMMUNITY COLLEGE IN ALBAY</w:t>
      </w:r>
    </w:p>
    <w:p w14:paraId="01579074" w14:textId="77777777" w:rsidR="001B225E" w:rsidRPr="00C22815" w:rsidRDefault="001B225E" w:rsidP="001B225E">
      <w:pPr>
        <w:pStyle w:val="NoSpacing"/>
        <w:jc w:val="center"/>
        <w:rPr>
          <w:rFonts w:ascii="Arial" w:hAnsi="Arial" w:cs="Arial"/>
          <w:b/>
          <w:bCs/>
          <w:sz w:val="24"/>
          <w:szCs w:val="24"/>
        </w:rPr>
      </w:pPr>
    </w:p>
    <w:p w14:paraId="174D6CAA" w14:textId="77777777" w:rsidR="001B225E" w:rsidRPr="00C06E05" w:rsidRDefault="001B225E" w:rsidP="001B225E">
      <w:pPr>
        <w:spacing w:after="0" w:line="480" w:lineRule="auto"/>
        <w:ind w:firstLine="720"/>
        <w:jc w:val="both"/>
        <w:rPr>
          <w:rFonts w:ascii="Arial" w:hAnsi="Arial" w:cs="Arial"/>
          <w:color w:val="000000" w:themeColor="text1"/>
        </w:rPr>
      </w:pPr>
      <w:r w:rsidRPr="00C06E05">
        <w:rPr>
          <w:rFonts w:ascii="Arial" w:hAnsi="Arial" w:cs="Arial"/>
        </w:rPr>
        <w:t xml:space="preserve">This chapter presented, analyzed, and interpreted the data gathered from the 116 LET takers of a community college in Albay who served as the respondents of the study. The presentation of results followed the sequence of the specific problems (SOP) of the study, which were organized according to the Input-Environment-Outcome (I-E-O) framework. Specifically, the data were presented in the following order: SOP 1 presented the profile of the LET takers and the Input characteristics they brought into the licensure process; SOP 2 presented their academic performance as part of the Input block; SOP 3 presented the level of their study habits, review preparation practices, and institutional support, which constituted the Environment block; and SOP 4 presented the significant predictors of performance in the Licensure Examination for Teachers as identified through regression analysis, which represented the Outcome. The discussion of each set of results was substantiated using the Present, Analyze, Integrate, and Link (PAIL) method, where the data were first presented, then analyzed, integrated and interpreted in relation to the institutional context, and finally linked to the related </w:t>
      </w:r>
      <w:r w:rsidRPr="00C06E05">
        <w:rPr>
          <w:rFonts w:ascii="Arial" w:hAnsi="Arial" w:cs="Arial"/>
          <w:color w:val="000000" w:themeColor="text1"/>
        </w:rPr>
        <w:t>literature and studies reviewed in the study.</w:t>
      </w:r>
    </w:p>
    <w:p w14:paraId="104E63EB" w14:textId="77777777" w:rsidR="001B225E" w:rsidRPr="007374BD" w:rsidRDefault="001B225E" w:rsidP="001B225E">
      <w:pPr>
        <w:pStyle w:val="Heading2"/>
        <w:spacing w:after="0" w:line="480" w:lineRule="auto"/>
        <w:rPr>
          <w:rFonts w:ascii="Arial" w:hAnsi="Arial" w:cs="Arial"/>
          <w:b/>
          <w:bCs/>
          <w:color w:val="000000" w:themeColor="text1"/>
          <w:sz w:val="24"/>
          <w:szCs w:val="24"/>
        </w:rPr>
      </w:pPr>
      <w:r w:rsidRPr="007374BD">
        <w:rPr>
          <w:rFonts w:ascii="Arial" w:hAnsi="Arial" w:cs="Arial"/>
          <w:b/>
          <w:bCs/>
          <w:color w:val="000000" w:themeColor="text1"/>
          <w:sz w:val="24"/>
          <w:szCs w:val="24"/>
        </w:rPr>
        <w:t xml:space="preserve"> Profile of the LET Takers</w:t>
      </w:r>
    </w:p>
    <w:p w14:paraId="2A5BE927"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t>The profile of the LET takers was examined in terms of age, sex, degree, major or specialization,</w:t>
      </w:r>
      <w:r>
        <w:rPr>
          <w:rFonts w:ascii="Arial" w:hAnsi="Arial" w:cs="Arial"/>
        </w:rPr>
        <w:t xml:space="preserve"> </w:t>
      </w:r>
      <w:r w:rsidRPr="00C06E05">
        <w:rPr>
          <w:rFonts w:ascii="Arial" w:hAnsi="Arial" w:cs="Arial"/>
        </w:rPr>
        <w:t xml:space="preserve">and LET rating. These variables constituted the Input </w:t>
      </w:r>
      <w:r w:rsidRPr="00C06E05">
        <w:rPr>
          <w:rFonts w:ascii="Arial" w:hAnsi="Arial" w:cs="Arial"/>
        </w:rPr>
        <w:lastRenderedPageBreak/>
        <w:t>characteristics of the respondents within the I-E-O framework and were presented in the following tables.</w:t>
      </w:r>
    </w:p>
    <w:p w14:paraId="230C56E6" w14:textId="77777777" w:rsidR="001B225E" w:rsidRPr="007374BD" w:rsidRDefault="001B225E" w:rsidP="001B225E">
      <w:pPr>
        <w:pStyle w:val="NoSpacing"/>
        <w:jc w:val="center"/>
        <w:rPr>
          <w:rFonts w:ascii="Arial" w:hAnsi="Arial" w:cs="Arial"/>
          <w:sz w:val="24"/>
          <w:szCs w:val="24"/>
        </w:rPr>
      </w:pPr>
      <w:r w:rsidRPr="007374BD">
        <w:rPr>
          <w:rFonts w:ascii="Arial" w:hAnsi="Arial" w:cs="Arial"/>
          <w:sz w:val="24"/>
          <w:szCs w:val="24"/>
        </w:rPr>
        <w:t>Table 2</w:t>
      </w:r>
    </w:p>
    <w:p w14:paraId="2B6E6998" w14:textId="77777777" w:rsidR="001B225E" w:rsidRDefault="001B225E" w:rsidP="001B225E">
      <w:pPr>
        <w:pStyle w:val="NoSpacing"/>
        <w:jc w:val="center"/>
        <w:rPr>
          <w:rFonts w:ascii="Arial" w:hAnsi="Arial" w:cs="Arial"/>
          <w:b/>
          <w:bCs/>
          <w:sz w:val="24"/>
          <w:szCs w:val="24"/>
        </w:rPr>
      </w:pPr>
      <w:r w:rsidRPr="007374BD">
        <w:rPr>
          <w:rFonts w:ascii="Arial" w:hAnsi="Arial" w:cs="Arial"/>
          <w:b/>
          <w:bCs/>
          <w:sz w:val="24"/>
          <w:szCs w:val="24"/>
        </w:rPr>
        <w:t>Age</w:t>
      </w:r>
    </w:p>
    <w:p w14:paraId="45D5B89C" w14:textId="77777777" w:rsidR="001B225E" w:rsidRPr="007374BD" w:rsidRDefault="001B225E" w:rsidP="001B225E">
      <w:pPr>
        <w:pStyle w:val="NoSpacing"/>
        <w:jc w:val="center"/>
        <w:rPr>
          <w:rFonts w:ascii="Arial" w:hAnsi="Arial" w:cs="Arial"/>
          <w:b/>
          <w:bCs/>
          <w:sz w:val="24"/>
          <w:szCs w:val="24"/>
        </w:rPr>
      </w:pPr>
    </w:p>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60"/>
        <w:gridCol w:w="2495"/>
        <w:gridCol w:w="2495"/>
      </w:tblGrid>
      <w:tr w:rsidR="001B225E" w:rsidRPr="00C06E05" w14:paraId="69473C27" w14:textId="77777777" w:rsidTr="00146DF8">
        <w:trPr>
          <w:trHeight w:val="228"/>
          <w:tblHeader/>
        </w:trPr>
        <w:tc>
          <w:tcPr>
            <w:tcW w:w="3660"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33180656"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Age</w:t>
            </w:r>
          </w:p>
        </w:tc>
        <w:tc>
          <w:tcPr>
            <w:tcW w:w="2495"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3BB7E251" w14:textId="77777777" w:rsidR="001B225E" w:rsidRPr="00C06E05" w:rsidRDefault="001B225E" w:rsidP="00146DF8">
            <w:pPr>
              <w:spacing w:after="0" w:line="240" w:lineRule="auto"/>
              <w:jc w:val="center"/>
              <w:rPr>
                <w:rFonts w:ascii="Arial" w:hAnsi="Arial" w:cs="Arial"/>
              </w:rPr>
            </w:pPr>
            <w:r>
              <w:rPr>
                <w:rFonts w:ascii="Arial" w:hAnsi="Arial" w:cs="Arial"/>
                <w:b/>
                <w:bCs/>
              </w:rPr>
              <w:t>f</w:t>
            </w:r>
          </w:p>
        </w:tc>
        <w:tc>
          <w:tcPr>
            <w:tcW w:w="2495"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1872056F" w14:textId="77777777" w:rsidR="001B225E" w:rsidRPr="00C06E05" w:rsidRDefault="001B225E" w:rsidP="00146DF8">
            <w:pPr>
              <w:spacing w:after="0" w:line="240" w:lineRule="auto"/>
              <w:jc w:val="center"/>
              <w:rPr>
                <w:rFonts w:ascii="Arial" w:hAnsi="Arial" w:cs="Arial"/>
              </w:rPr>
            </w:pPr>
            <w:r>
              <w:rPr>
                <w:rFonts w:ascii="Arial" w:hAnsi="Arial" w:cs="Arial"/>
                <w:b/>
                <w:bCs/>
              </w:rPr>
              <w:t>%</w:t>
            </w:r>
          </w:p>
        </w:tc>
      </w:tr>
      <w:tr w:rsidR="001B225E" w:rsidRPr="00C06E05" w14:paraId="0D373B3A" w14:textId="77777777" w:rsidTr="00146DF8">
        <w:trPr>
          <w:trHeight w:val="43"/>
        </w:trPr>
        <w:tc>
          <w:tcPr>
            <w:tcW w:w="366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CDB9349" w14:textId="77777777" w:rsidR="001B225E" w:rsidRPr="00C06E05" w:rsidRDefault="001B225E" w:rsidP="00146DF8">
            <w:pPr>
              <w:spacing w:after="0" w:line="240" w:lineRule="auto"/>
              <w:jc w:val="center"/>
              <w:rPr>
                <w:rFonts w:ascii="Arial" w:hAnsi="Arial" w:cs="Arial"/>
              </w:rPr>
            </w:pPr>
            <w:r w:rsidRPr="00C06E05">
              <w:rPr>
                <w:rFonts w:ascii="Arial" w:hAnsi="Arial" w:cs="Arial"/>
              </w:rPr>
              <w:t>21</w:t>
            </w:r>
          </w:p>
        </w:tc>
        <w:tc>
          <w:tcPr>
            <w:tcW w:w="249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EAE3FAC" w14:textId="77777777" w:rsidR="001B225E" w:rsidRPr="00C06E05" w:rsidRDefault="001B225E" w:rsidP="00146DF8">
            <w:pPr>
              <w:spacing w:after="0" w:line="240" w:lineRule="auto"/>
              <w:jc w:val="center"/>
              <w:rPr>
                <w:rFonts w:ascii="Arial" w:hAnsi="Arial" w:cs="Arial"/>
              </w:rPr>
            </w:pPr>
            <w:r w:rsidRPr="00C06E05">
              <w:rPr>
                <w:rFonts w:ascii="Arial" w:hAnsi="Arial" w:cs="Arial"/>
              </w:rPr>
              <w:t>1</w:t>
            </w:r>
          </w:p>
        </w:tc>
        <w:tc>
          <w:tcPr>
            <w:tcW w:w="249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DCD6F65" w14:textId="77777777" w:rsidR="001B225E" w:rsidRPr="00C06E05" w:rsidRDefault="001B225E" w:rsidP="00146DF8">
            <w:pPr>
              <w:spacing w:after="0" w:line="240" w:lineRule="auto"/>
              <w:jc w:val="center"/>
              <w:rPr>
                <w:rFonts w:ascii="Arial" w:hAnsi="Arial" w:cs="Arial"/>
              </w:rPr>
            </w:pPr>
            <w:r w:rsidRPr="00C06E05">
              <w:rPr>
                <w:rFonts w:ascii="Arial" w:hAnsi="Arial" w:cs="Arial"/>
              </w:rPr>
              <w:t>1</w:t>
            </w:r>
          </w:p>
        </w:tc>
      </w:tr>
      <w:tr w:rsidR="001B225E" w:rsidRPr="00C06E05" w14:paraId="1C37F7BC" w14:textId="77777777" w:rsidTr="00146DF8">
        <w:trPr>
          <w:trHeight w:val="57"/>
        </w:trPr>
        <w:tc>
          <w:tcPr>
            <w:tcW w:w="366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AE7E921" w14:textId="77777777" w:rsidR="001B225E" w:rsidRPr="00C06E05" w:rsidRDefault="001B225E" w:rsidP="00146DF8">
            <w:pPr>
              <w:spacing w:after="0" w:line="240" w:lineRule="auto"/>
              <w:jc w:val="center"/>
              <w:rPr>
                <w:rFonts w:ascii="Arial" w:hAnsi="Arial" w:cs="Arial"/>
              </w:rPr>
            </w:pPr>
            <w:r w:rsidRPr="00C06E05">
              <w:rPr>
                <w:rFonts w:ascii="Arial" w:hAnsi="Arial" w:cs="Arial"/>
              </w:rPr>
              <w:t>22</w:t>
            </w:r>
          </w:p>
        </w:tc>
        <w:tc>
          <w:tcPr>
            <w:tcW w:w="249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DE74E49" w14:textId="77777777" w:rsidR="001B225E" w:rsidRPr="00C06E05" w:rsidRDefault="001B225E" w:rsidP="00146DF8">
            <w:pPr>
              <w:spacing w:after="0" w:line="240" w:lineRule="auto"/>
              <w:jc w:val="center"/>
              <w:rPr>
                <w:rFonts w:ascii="Arial" w:hAnsi="Arial" w:cs="Arial"/>
              </w:rPr>
            </w:pPr>
            <w:r w:rsidRPr="00C06E05">
              <w:rPr>
                <w:rFonts w:ascii="Arial" w:hAnsi="Arial" w:cs="Arial"/>
              </w:rPr>
              <w:t>20</w:t>
            </w:r>
          </w:p>
        </w:tc>
        <w:tc>
          <w:tcPr>
            <w:tcW w:w="249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DB3224F" w14:textId="77777777" w:rsidR="001B225E" w:rsidRPr="00C06E05" w:rsidRDefault="001B225E" w:rsidP="00146DF8">
            <w:pPr>
              <w:spacing w:after="0" w:line="240" w:lineRule="auto"/>
              <w:jc w:val="center"/>
              <w:rPr>
                <w:rFonts w:ascii="Arial" w:hAnsi="Arial" w:cs="Arial"/>
              </w:rPr>
            </w:pPr>
            <w:r w:rsidRPr="00C06E05">
              <w:rPr>
                <w:rFonts w:ascii="Arial" w:hAnsi="Arial" w:cs="Arial"/>
              </w:rPr>
              <w:t>17</w:t>
            </w:r>
          </w:p>
        </w:tc>
      </w:tr>
      <w:tr w:rsidR="001B225E" w:rsidRPr="00C06E05" w14:paraId="3CDF45BF" w14:textId="77777777" w:rsidTr="00146DF8">
        <w:trPr>
          <w:trHeight w:val="40"/>
        </w:trPr>
        <w:tc>
          <w:tcPr>
            <w:tcW w:w="366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A27A244" w14:textId="77777777" w:rsidR="001B225E" w:rsidRPr="00C06E05" w:rsidRDefault="001B225E" w:rsidP="00146DF8">
            <w:pPr>
              <w:spacing w:after="0" w:line="240" w:lineRule="auto"/>
              <w:jc w:val="center"/>
              <w:rPr>
                <w:rFonts w:ascii="Arial" w:hAnsi="Arial" w:cs="Arial"/>
              </w:rPr>
            </w:pPr>
            <w:r w:rsidRPr="00C06E05">
              <w:rPr>
                <w:rFonts w:ascii="Arial" w:hAnsi="Arial" w:cs="Arial"/>
              </w:rPr>
              <w:t>23</w:t>
            </w:r>
          </w:p>
        </w:tc>
        <w:tc>
          <w:tcPr>
            <w:tcW w:w="249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D88E2AB" w14:textId="77777777" w:rsidR="001B225E" w:rsidRPr="00C06E05" w:rsidRDefault="001B225E" w:rsidP="00146DF8">
            <w:pPr>
              <w:spacing w:after="0" w:line="240" w:lineRule="auto"/>
              <w:jc w:val="center"/>
              <w:rPr>
                <w:rFonts w:ascii="Arial" w:hAnsi="Arial" w:cs="Arial"/>
              </w:rPr>
            </w:pPr>
            <w:r w:rsidRPr="00C06E05">
              <w:rPr>
                <w:rFonts w:ascii="Arial" w:hAnsi="Arial" w:cs="Arial"/>
              </w:rPr>
              <w:t>58</w:t>
            </w:r>
          </w:p>
        </w:tc>
        <w:tc>
          <w:tcPr>
            <w:tcW w:w="249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76C9D67" w14:textId="77777777" w:rsidR="001B225E" w:rsidRPr="00C06E05" w:rsidRDefault="001B225E" w:rsidP="00146DF8">
            <w:pPr>
              <w:spacing w:after="0" w:line="240" w:lineRule="auto"/>
              <w:jc w:val="center"/>
              <w:rPr>
                <w:rFonts w:ascii="Arial" w:hAnsi="Arial" w:cs="Arial"/>
              </w:rPr>
            </w:pPr>
            <w:r w:rsidRPr="00C06E05">
              <w:rPr>
                <w:rFonts w:ascii="Arial" w:hAnsi="Arial" w:cs="Arial"/>
              </w:rPr>
              <w:t>50</w:t>
            </w:r>
          </w:p>
        </w:tc>
      </w:tr>
      <w:tr w:rsidR="001B225E" w:rsidRPr="00C06E05" w14:paraId="731285F5" w14:textId="77777777" w:rsidTr="00146DF8">
        <w:trPr>
          <w:trHeight w:val="40"/>
        </w:trPr>
        <w:tc>
          <w:tcPr>
            <w:tcW w:w="366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C83753F" w14:textId="77777777" w:rsidR="001B225E" w:rsidRPr="00C06E05" w:rsidRDefault="001B225E" w:rsidP="00146DF8">
            <w:pPr>
              <w:spacing w:after="0" w:line="240" w:lineRule="auto"/>
              <w:jc w:val="center"/>
              <w:rPr>
                <w:rFonts w:ascii="Arial" w:hAnsi="Arial" w:cs="Arial"/>
              </w:rPr>
            </w:pPr>
            <w:r w:rsidRPr="00C06E05">
              <w:rPr>
                <w:rFonts w:ascii="Arial" w:hAnsi="Arial" w:cs="Arial"/>
              </w:rPr>
              <w:t>24</w:t>
            </w:r>
          </w:p>
        </w:tc>
        <w:tc>
          <w:tcPr>
            <w:tcW w:w="249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A35C8F4" w14:textId="77777777" w:rsidR="001B225E" w:rsidRPr="00C06E05" w:rsidRDefault="001B225E" w:rsidP="00146DF8">
            <w:pPr>
              <w:spacing w:after="0" w:line="240" w:lineRule="auto"/>
              <w:jc w:val="center"/>
              <w:rPr>
                <w:rFonts w:ascii="Arial" w:hAnsi="Arial" w:cs="Arial"/>
              </w:rPr>
            </w:pPr>
            <w:r w:rsidRPr="00C06E05">
              <w:rPr>
                <w:rFonts w:ascii="Arial" w:hAnsi="Arial" w:cs="Arial"/>
              </w:rPr>
              <w:t>27</w:t>
            </w:r>
          </w:p>
        </w:tc>
        <w:tc>
          <w:tcPr>
            <w:tcW w:w="249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C6B1507" w14:textId="77777777" w:rsidR="001B225E" w:rsidRPr="00C06E05" w:rsidRDefault="001B225E" w:rsidP="00146DF8">
            <w:pPr>
              <w:spacing w:after="0" w:line="240" w:lineRule="auto"/>
              <w:jc w:val="center"/>
              <w:rPr>
                <w:rFonts w:ascii="Arial" w:hAnsi="Arial" w:cs="Arial"/>
              </w:rPr>
            </w:pPr>
            <w:r w:rsidRPr="00C06E05">
              <w:rPr>
                <w:rFonts w:ascii="Arial" w:hAnsi="Arial" w:cs="Arial"/>
              </w:rPr>
              <w:t>23</w:t>
            </w:r>
          </w:p>
        </w:tc>
      </w:tr>
      <w:tr w:rsidR="001B225E" w:rsidRPr="00C06E05" w14:paraId="4483B196" w14:textId="77777777" w:rsidTr="00146DF8">
        <w:trPr>
          <w:trHeight w:val="40"/>
        </w:trPr>
        <w:tc>
          <w:tcPr>
            <w:tcW w:w="366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8A9EEBB" w14:textId="77777777" w:rsidR="001B225E" w:rsidRPr="00C06E05" w:rsidRDefault="001B225E" w:rsidP="00146DF8">
            <w:pPr>
              <w:spacing w:after="0" w:line="240" w:lineRule="auto"/>
              <w:jc w:val="center"/>
              <w:rPr>
                <w:rFonts w:ascii="Arial" w:hAnsi="Arial" w:cs="Arial"/>
              </w:rPr>
            </w:pPr>
            <w:r w:rsidRPr="00C06E05">
              <w:rPr>
                <w:rFonts w:ascii="Arial" w:hAnsi="Arial" w:cs="Arial"/>
              </w:rPr>
              <w:t>25</w:t>
            </w:r>
          </w:p>
        </w:tc>
        <w:tc>
          <w:tcPr>
            <w:tcW w:w="249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A3856F9" w14:textId="77777777" w:rsidR="001B225E" w:rsidRPr="00C06E05" w:rsidRDefault="001B225E" w:rsidP="00146DF8">
            <w:pPr>
              <w:spacing w:after="0" w:line="240" w:lineRule="auto"/>
              <w:jc w:val="center"/>
              <w:rPr>
                <w:rFonts w:ascii="Arial" w:hAnsi="Arial" w:cs="Arial"/>
              </w:rPr>
            </w:pPr>
            <w:r w:rsidRPr="00C06E05">
              <w:rPr>
                <w:rFonts w:ascii="Arial" w:hAnsi="Arial" w:cs="Arial"/>
              </w:rPr>
              <w:t>5</w:t>
            </w:r>
          </w:p>
        </w:tc>
        <w:tc>
          <w:tcPr>
            <w:tcW w:w="249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E6D5C87" w14:textId="77777777" w:rsidR="001B225E" w:rsidRPr="00C06E05" w:rsidRDefault="001B225E" w:rsidP="00146DF8">
            <w:pPr>
              <w:spacing w:after="0" w:line="240" w:lineRule="auto"/>
              <w:jc w:val="center"/>
              <w:rPr>
                <w:rFonts w:ascii="Arial" w:hAnsi="Arial" w:cs="Arial"/>
              </w:rPr>
            </w:pPr>
            <w:r w:rsidRPr="00C06E05">
              <w:rPr>
                <w:rFonts w:ascii="Arial" w:hAnsi="Arial" w:cs="Arial"/>
              </w:rPr>
              <w:t>4</w:t>
            </w:r>
          </w:p>
        </w:tc>
      </w:tr>
      <w:tr w:rsidR="001B225E" w:rsidRPr="00C06E05" w14:paraId="0D7A9B42" w14:textId="77777777" w:rsidTr="00146DF8">
        <w:trPr>
          <w:trHeight w:val="40"/>
        </w:trPr>
        <w:tc>
          <w:tcPr>
            <w:tcW w:w="3660"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0B409BCA" w14:textId="77777777" w:rsidR="001B225E" w:rsidRPr="00C06E05" w:rsidRDefault="001B225E" w:rsidP="00146DF8">
            <w:pPr>
              <w:spacing w:after="0" w:line="240" w:lineRule="auto"/>
              <w:jc w:val="center"/>
              <w:rPr>
                <w:rFonts w:ascii="Arial" w:hAnsi="Arial" w:cs="Arial"/>
              </w:rPr>
            </w:pPr>
            <w:r w:rsidRPr="00C06E05">
              <w:rPr>
                <w:rFonts w:ascii="Arial" w:hAnsi="Arial" w:cs="Arial"/>
              </w:rPr>
              <w:t>26</w:t>
            </w:r>
          </w:p>
        </w:tc>
        <w:tc>
          <w:tcPr>
            <w:tcW w:w="2495"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48A5551F" w14:textId="77777777" w:rsidR="001B225E" w:rsidRPr="00C06E05" w:rsidRDefault="001B225E" w:rsidP="00146DF8">
            <w:pPr>
              <w:spacing w:after="0" w:line="240" w:lineRule="auto"/>
              <w:jc w:val="center"/>
              <w:rPr>
                <w:rFonts w:ascii="Arial" w:hAnsi="Arial" w:cs="Arial"/>
              </w:rPr>
            </w:pPr>
            <w:r w:rsidRPr="00C06E05">
              <w:rPr>
                <w:rFonts w:ascii="Arial" w:hAnsi="Arial" w:cs="Arial"/>
              </w:rPr>
              <w:t>5</w:t>
            </w:r>
          </w:p>
        </w:tc>
        <w:tc>
          <w:tcPr>
            <w:tcW w:w="2495"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09BF5DB5" w14:textId="77777777" w:rsidR="001B225E" w:rsidRPr="00C06E05" w:rsidRDefault="001B225E" w:rsidP="00146DF8">
            <w:pPr>
              <w:spacing w:after="0" w:line="240" w:lineRule="auto"/>
              <w:jc w:val="center"/>
              <w:rPr>
                <w:rFonts w:ascii="Arial" w:hAnsi="Arial" w:cs="Arial"/>
              </w:rPr>
            </w:pPr>
            <w:r w:rsidRPr="00C06E05">
              <w:rPr>
                <w:rFonts w:ascii="Arial" w:hAnsi="Arial" w:cs="Arial"/>
              </w:rPr>
              <w:t>4</w:t>
            </w:r>
          </w:p>
        </w:tc>
      </w:tr>
      <w:tr w:rsidR="001B225E" w:rsidRPr="00C06E05" w14:paraId="4CFEA812" w14:textId="77777777" w:rsidTr="00146DF8">
        <w:trPr>
          <w:trHeight w:val="450"/>
        </w:trPr>
        <w:tc>
          <w:tcPr>
            <w:tcW w:w="3660"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33A2F6CA"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Total</w:t>
            </w:r>
          </w:p>
        </w:tc>
        <w:tc>
          <w:tcPr>
            <w:tcW w:w="2495"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0DE2659F"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116</w:t>
            </w:r>
          </w:p>
        </w:tc>
        <w:tc>
          <w:tcPr>
            <w:tcW w:w="2495"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41614E1E"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100</w:t>
            </w:r>
          </w:p>
        </w:tc>
      </w:tr>
    </w:tbl>
    <w:p w14:paraId="608285D7"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t xml:space="preserve">Table </w:t>
      </w:r>
      <w:r>
        <w:rPr>
          <w:rFonts w:ascii="Arial" w:hAnsi="Arial" w:cs="Arial"/>
        </w:rPr>
        <w:t xml:space="preserve">2 </w:t>
      </w:r>
      <w:r w:rsidRPr="00C06E05">
        <w:rPr>
          <w:rFonts w:ascii="Arial" w:hAnsi="Arial" w:cs="Arial"/>
        </w:rPr>
        <w:t>the age distribution of the LET takers. The data showed that the majority of the respondents, 58 or 50 percent, were 23 years old, followed by 27 respondents or 23 percent who were 24 years old, and 20 respondents or 17 percent who were 22 years old. The remaining respondents were distributed among those aged 25 (5 or 4 percent), 26 (5 or 4 percent), and 21 (1 or 1 percent).</w:t>
      </w:r>
    </w:p>
    <w:p w14:paraId="0A557801" w14:textId="77777777" w:rsidR="001B225E" w:rsidRPr="00C06E05" w:rsidRDefault="001B225E" w:rsidP="001B225E">
      <w:pPr>
        <w:spacing w:line="480" w:lineRule="auto"/>
        <w:ind w:firstLine="720"/>
        <w:jc w:val="both"/>
        <w:rPr>
          <w:rFonts w:ascii="Arial" w:hAnsi="Arial" w:cs="Arial"/>
        </w:rPr>
      </w:pPr>
      <w:r w:rsidRPr="00C06E05">
        <w:rPr>
          <w:rFonts w:ascii="Arial" w:hAnsi="Arial" w:cs="Arial"/>
        </w:rPr>
        <w:t xml:space="preserve">The data revealed that the respondents were predominantly young adults clustered between 22 and 24 years of age, which indicated that most of the graduates of the institution took the licensure examination within a short period after completing the teacher education program. This pattern suggested that the respondents benefited from the recency of their academic training when they sat for the LET. The predominance of young LET takers was consistent with the findings of Abao et al. (2023) in a national study, which indicated that younger teacher education graduates tended to take the LET closer to their year of </w:t>
      </w:r>
      <w:r w:rsidRPr="00C06E05">
        <w:rPr>
          <w:rFonts w:ascii="Arial" w:hAnsi="Arial" w:cs="Arial"/>
        </w:rPr>
        <w:lastRenderedPageBreak/>
        <w:t>graduation and benefited from the recency of their academic preparation. In the same manner, Olvido et al. (2024) found that a great number of graduates of Philippine teacher education institutions who took the licensure examination immediately after graduation performed at a higher level, since the academic content remained fresh and accessible. The age profile of the respondents therefore reflected commendable academic preparedness and professional motivation among the graduates of the community college.</w:t>
      </w:r>
    </w:p>
    <w:p w14:paraId="0BE96B40" w14:textId="77777777" w:rsidR="001B225E" w:rsidRPr="007374BD" w:rsidRDefault="001B225E" w:rsidP="001B225E">
      <w:pPr>
        <w:pStyle w:val="NoSpacing"/>
        <w:jc w:val="center"/>
        <w:rPr>
          <w:rFonts w:ascii="Arial" w:hAnsi="Arial" w:cs="Arial"/>
          <w:sz w:val="24"/>
          <w:szCs w:val="24"/>
        </w:rPr>
      </w:pPr>
      <w:r w:rsidRPr="007374BD">
        <w:rPr>
          <w:rFonts w:ascii="Arial" w:hAnsi="Arial" w:cs="Arial"/>
          <w:sz w:val="24"/>
          <w:szCs w:val="24"/>
        </w:rPr>
        <w:t xml:space="preserve">Table </w:t>
      </w:r>
      <w:r>
        <w:rPr>
          <w:rFonts w:ascii="Arial" w:hAnsi="Arial" w:cs="Arial"/>
          <w:sz w:val="24"/>
          <w:szCs w:val="24"/>
        </w:rPr>
        <w:t>3</w:t>
      </w:r>
    </w:p>
    <w:p w14:paraId="14C42229" w14:textId="77777777" w:rsidR="001B225E" w:rsidRPr="007374BD" w:rsidRDefault="001B225E" w:rsidP="001B225E">
      <w:pPr>
        <w:pStyle w:val="NoSpacing"/>
        <w:jc w:val="center"/>
        <w:rPr>
          <w:rFonts w:ascii="Arial" w:hAnsi="Arial" w:cs="Arial"/>
          <w:b/>
          <w:bCs/>
          <w:sz w:val="24"/>
          <w:szCs w:val="24"/>
        </w:rPr>
      </w:pPr>
      <w:r w:rsidRPr="007374BD">
        <w:rPr>
          <w:rFonts w:ascii="Arial" w:hAnsi="Arial" w:cs="Arial"/>
          <w:b/>
          <w:bCs/>
          <w:sz w:val="24"/>
          <w:szCs w:val="24"/>
        </w:rPr>
        <w:t>Sex</w:t>
      </w:r>
    </w:p>
    <w:p w14:paraId="435F434E" w14:textId="77777777" w:rsidR="001B225E" w:rsidRPr="007374BD" w:rsidRDefault="001B225E" w:rsidP="001B225E">
      <w:pPr>
        <w:pStyle w:val="NoSpacing"/>
        <w:jc w:val="center"/>
        <w:rPr>
          <w:rFonts w:ascii="Arial" w:hAnsi="Arial" w:cs="Arial"/>
          <w:sz w:val="24"/>
          <w:szCs w:val="24"/>
        </w:rPr>
      </w:pPr>
    </w:p>
    <w:tbl>
      <w:tblP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38"/>
        <w:gridCol w:w="2480"/>
        <w:gridCol w:w="2480"/>
      </w:tblGrid>
      <w:tr w:rsidR="001B225E" w:rsidRPr="00C06E05" w14:paraId="2BAEC8A7" w14:textId="77777777" w:rsidTr="00146DF8">
        <w:trPr>
          <w:trHeight w:val="455"/>
          <w:tblHeader/>
        </w:trPr>
        <w:tc>
          <w:tcPr>
            <w:tcW w:w="3638" w:type="dxa"/>
            <w:tcBorders>
              <w:top w:val="single" w:sz="6" w:space="0" w:color="000000"/>
              <w:left w:val="nil"/>
              <w:bottom w:val="single" w:sz="6" w:space="0" w:color="000000"/>
              <w:right w:val="nil"/>
            </w:tcBorders>
            <w:tcMar>
              <w:top w:w="50" w:type="dxa"/>
              <w:left w:w="110" w:type="dxa"/>
              <w:bottom w:w="50" w:type="dxa"/>
              <w:right w:w="110" w:type="dxa"/>
            </w:tcMar>
            <w:vAlign w:val="center"/>
          </w:tcPr>
          <w:p w14:paraId="38A5DAF5" w14:textId="77777777" w:rsidR="001B225E" w:rsidRPr="00C06E05" w:rsidRDefault="001B225E" w:rsidP="00146DF8">
            <w:pPr>
              <w:spacing w:after="0" w:line="240" w:lineRule="auto"/>
              <w:rPr>
                <w:rFonts w:ascii="Arial" w:hAnsi="Arial" w:cs="Arial"/>
              </w:rPr>
            </w:pPr>
            <w:r w:rsidRPr="00C06E05">
              <w:rPr>
                <w:rFonts w:ascii="Arial" w:hAnsi="Arial" w:cs="Arial"/>
                <w:b/>
                <w:bCs/>
              </w:rPr>
              <w:t>Sex</w:t>
            </w:r>
          </w:p>
        </w:tc>
        <w:tc>
          <w:tcPr>
            <w:tcW w:w="2480" w:type="dxa"/>
            <w:tcBorders>
              <w:top w:val="single" w:sz="6" w:space="0" w:color="000000"/>
              <w:left w:val="nil"/>
              <w:bottom w:val="single" w:sz="6" w:space="0" w:color="000000"/>
              <w:right w:val="nil"/>
            </w:tcBorders>
            <w:tcMar>
              <w:top w:w="50" w:type="dxa"/>
              <w:left w:w="110" w:type="dxa"/>
              <w:bottom w:w="50" w:type="dxa"/>
              <w:right w:w="110" w:type="dxa"/>
            </w:tcMar>
            <w:vAlign w:val="center"/>
          </w:tcPr>
          <w:p w14:paraId="4DCDB7C1"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Frequency</w:t>
            </w:r>
          </w:p>
        </w:tc>
        <w:tc>
          <w:tcPr>
            <w:tcW w:w="2480" w:type="dxa"/>
            <w:tcBorders>
              <w:top w:val="single" w:sz="6" w:space="0" w:color="000000"/>
              <w:left w:val="nil"/>
              <w:bottom w:val="single" w:sz="6" w:space="0" w:color="000000"/>
              <w:right w:val="nil"/>
            </w:tcBorders>
            <w:tcMar>
              <w:top w:w="50" w:type="dxa"/>
              <w:left w:w="110" w:type="dxa"/>
              <w:bottom w:w="50" w:type="dxa"/>
              <w:right w:w="110" w:type="dxa"/>
            </w:tcMar>
            <w:vAlign w:val="center"/>
          </w:tcPr>
          <w:p w14:paraId="680F3D47"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Percentage</w:t>
            </w:r>
          </w:p>
        </w:tc>
      </w:tr>
      <w:tr w:rsidR="001B225E" w:rsidRPr="00C06E05" w14:paraId="2576585A" w14:textId="77777777" w:rsidTr="00146DF8">
        <w:trPr>
          <w:trHeight w:val="43"/>
        </w:trPr>
        <w:tc>
          <w:tcPr>
            <w:tcW w:w="3638" w:type="dxa"/>
            <w:tcBorders>
              <w:top w:val="none" w:sz="0" w:space="0" w:color="FFFFFF"/>
              <w:left w:val="nil"/>
              <w:bottom w:val="none" w:sz="0" w:space="0" w:color="FFFFFF"/>
              <w:right w:val="nil"/>
            </w:tcBorders>
            <w:tcMar>
              <w:top w:w="50" w:type="dxa"/>
              <w:left w:w="110" w:type="dxa"/>
              <w:bottom w:w="50" w:type="dxa"/>
              <w:right w:w="110" w:type="dxa"/>
            </w:tcMar>
            <w:vAlign w:val="center"/>
          </w:tcPr>
          <w:p w14:paraId="6B546BCF" w14:textId="77777777" w:rsidR="001B225E" w:rsidRPr="00C06E05" w:rsidRDefault="001B225E" w:rsidP="00146DF8">
            <w:pPr>
              <w:spacing w:after="0" w:line="240" w:lineRule="auto"/>
              <w:rPr>
                <w:rFonts w:ascii="Arial" w:hAnsi="Arial" w:cs="Arial"/>
              </w:rPr>
            </w:pPr>
            <w:r w:rsidRPr="00C06E05">
              <w:rPr>
                <w:rFonts w:ascii="Arial" w:hAnsi="Arial" w:cs="Arial"/>
              </w:rPr>
              <w:t>Male</w:t>
            </w:r>
          </w:p>
        </w:tc>
        <w:tc>
          <w:tcPr>
            <w:tcW w:w="2480" w:type="dxa"/>
            <w:tcBorders>
              <w:top w:val="none" w:sz="0" w:space="0" w:color="FFFFFF"/>
              <w:left w:val="nil"/>
              <w:bottom w:val="none" w:sz="0" w:space="0" w:color="FFFFFF"/>
              <w:right w:val="nil"/>
            </w:tcBorders>
            <w:tcMar>
              <w:top w:w="50" w:type="dxa"/>
              <w:left w:w="110" w:type="dxa"/>
              <w:bottom w:w="50" w:type="dxa"/>
              <w:right w:w="110" w:type="dxa"/>
            </w:tcMar>
            <w:vAlign w:val="center"/>
          </w:tcPr>
          <w:p w14:paraId="20B8C66F" w14:textId="77777777" w:rsidR="001B225E" w:rsidRPr="00C06E05" w:rsidRDefault="001B225E" w:rsidP="00146DF8">
            <w:pPr>
              <w:spacing w:after="0" w:line="240" w:lineRule="auto"/>
              <w:jc w:val="center"/>
              <w:rPr>
                <w:rFonts w:ascii="Arial" w:hAnsi="Arial" w:cs="Arial"/>
              </w:rPr>
            </w:pPr>
            <w:r w:rsidRPr="00C06E05">
              <w:rPr>
                <w:rFonts w:ascii="Arial" w:hAnsi="Arial" w:cs="Arial"/>
              </w:rPr>
              <w:t>31</w:t>
            </w:r>
          </w:p>
        </w:tc>
        <w:tc>
          <w:tcPr>
            <w:tcW w:w="2480" w:type="dxa"/>
            <w:tcBorders>
              <w:top w:val="none" w:sz="0" w:space="0" w:color="FFFFFF"/>
              <w:left w:val="nil"/>
              <w:bottom w:val="none" w:sz="0" w:space="0" w:color="FFFFFF"/>
              <w:right w:val="nil"/>
            </w:tcBorders>
            <w:tcMar>
              <w:top w:w="50" w:type="dxa"/>
              <w:left w:w="110" w:type="dxa"/>
              <w:bottom w:w="50" w:type="dxa"/>
              <w:right w:w="110" w:type="dxa"/>
            </w:tcMar>
            <w:vAlign w:val="center"/>
          </w:tcPr>
          <w:p w14:paraId="6BA148E5" w14:textId="77777777" w:rsidR="001B225E" w:rsidRPr="00C06E05" w:rsidRDefault="001B225E" w:rsidP="00146DF8">
            <w:pPr>
              <w:spacing w:after="0" w:line="240" w:lineRule="auto"/>
              <w:jc w:val="center"/>
              <w:rPr>
                <w:rFonts w:ascii="Arial" w:hAnsi="Arial" w:cs="Arial"/>
              </w:rPr>
            </w:pPr>
            <w:r w:rsidRPr="00C06E05">
              <w:rPr>
                <w:rFonts w:ascii="Arial" w:hAnsi="Arial" w:cs="Arial"/>
              </w:rPr>
              <w:t>27</w:t>
            </w:r>
          </w:p>
        </w:tc>
      </w:tr>
      <w:tr w:rsidR="001B225E" w:rsidRPr="00C06E05" w14:paraId="4CF20B6D" w14:textId="77777777" w:rsidTr="00146DF8">
        <w:trPr>
          <w:trHeight w:val="429"/>
        </w:trPr>
        <w:tc>
          <w:tcPr>
            <w:tcW w:w="3638" w:type="dxa"/>
            <w:tcBorders>
              <w:top w:val="none" w:sz="0" w:space="0" w:color="FFFFFF"/>
              <w:left w:val="nil"/>
              <w:bottom w:val="double" w:sz="4" w:space="0" w:color="000000"/>
              <w:right w:val="nil"/>
            </w:tcBorders>
            <w:tcMar>
              <w:top w:w="50" w:type="dxa"/>
              <w:left w:w="110" w:type="dxa"/>
              <w:bottom w:w="50" w:type="dxa"/>
              <w:right w:w="110" w:type="dxa"/>
            </w:tcMar>
            <w:vAlign w:val="center"/>
          </w:tcPr>
          <w:p w14:paraId="48284265" w14:textId="77777777" w:rsidR="001B225E" w:rsidRPr="00C06E05" w:rsidRDefault="001B225E" w:rsidP="00146DF8">
            <w:pPr>
              <w:spacing w:after="0" w:line="240" w:lineRule="auto"/>
              <w:rPr>
                <w:rFonts w:ascii="Arial" w:hAnsi="Arial" w:cs="Arial"/>
              </w:rPr>
            </w:pPr>
            <w:r w:rsidRPr="00C06E05">
              <w:rPr>
                <w:rFonts w:ascii="Arial" w:hAnsi="Arial" w:cs="Arial"/>
              </w:rPr>
              <w:t>Female</w:t>
            </w:r>
          </w:p>
        </w:tc>
        <w:tc>
          <w:tcPr>
            <w:tcW w:w="2480" w:type="dxa"/>
            <w:tcBorders>
              <w:top w:val="none" w:sz="0" w:space="0" w:color="FFFFFF"/>
              <w:left w:val="nil"/>
              <w:bottom w:val="double" w:sz="4" w:space="0" w:color="000000"/>
              <w:right w:val="nil"/>
            </w:tcBorders>
            <w:tcMar>
              <w:top w:w="50" w:type="dxa"/>
              <w:left w:w="110" w:type="dxa"/>
              <w:bottom w:w="50" w:type="dxa"/>
              <w:right w:w="110" w:type="dxa"/>
            </w:tcMar>
            <w:vAlign w:val="center"/>
          </w:tcPr>
          <w:p w14:paraId="4B880464" w14:textId="77777777" w:rsidR="001B225E" w:rsidRPr="00C06E05" w:rsidRDefault="001B225E" w:rsidP="00146DF8">
            <w:pPr>
              <w:spacing w:after="0" w:line="240" w:lineRule="auto"/>
              <w:jc w:val="center"/>
              <w:rPr>
                <w:rFonts w:ascii="Arial" w:hAnsi="Arial" w:cs="Arial"/>
              </w:rPr>
            </w:pPr>
            <w:r w:rsidRPr="00C06E05">
              <w:rPr>
                <w:rFonts w:ascii="Arial" w:hAnsi="Arial" w:cs="Arial"/>
              </w:rPr>
              <w:t>85</w:t>
            </w:r>
          </w:p>
        </w:tc>
        <w:tc>
          <w:tcPr>
            <w:tcW w:w="2480" w:type="dxa"/>
            <w:tcBorders>
              <w:top w:val="none" w:sz="0" w:space="0" w:color="FFFFFF"/>
              <w:left w:val="nil"/>
              <w:bottom w:val="double" w:sz="4" w:space="0" w:color="000000"/>
              <w:right w:val="nil"/>
            </w:tcBorders>
            <w:tcMar>
              <w:top w:w="50" w:type="dxa"/>
              <w:left w:w="110" w:type="dxa"/>
              <w:bottom w:w="50" w:type="dxa"/>
              <w:right w:w="110" w:type="dxa"/>
            </w:tcMar>
            <w:vAlign w:val="center"/>
          </w:tcPr>
          <w:p w14:paraId="3C1D5927" w14:textId="77777777" w:rsidR="001B225E" w:rsidRPr="00C06E05" w:rsidRDefault="001B225E" w:rsidP="00146DF8">
            <w:pPr>
              <w:spacing w:after="0" w:line="240" w:lineRule="auto"/>
              <w:jc w:val="center"/>
              <w:rPr>
                <w:rFonts w:ascii="Arial" w:hAnsi="Arial" w:cs="Arial"/>
              </w:rPr>
            </w:pPr>
            <w:r w:rsidRPr="00C06E05">
              <w:rPr>
                <w:rFonts w:ascii="Arial" w:hAnsi="Arial" w:cs="Arial"/>
              </w:rPr>
              <w:t>73</w:t>
            </w:r>
          </w:p>
        </w:tc>
      </w:tr>
      <w:tr w:rsidR="001B225E" w:rsidRPr="00C06E05" w14:paraId="6B0F7819" w14:textId="77777777" w:rsidTr="00146DF8">
        <w:trPr>
          <w:trHeight w:val="455"/>
        </w:trPr>
        <w:tc>
          <w:tcPr>
            <w:tcW w:w="3638" w:type="dxa"/>
            <w:tcBorders>
              <w:top w:val="double" w:sz="4" w:space="0" w:color="000000"/>
              <w:left w:val="nil"/>
              <w:bottom w:val="double" w:sz="4" w:space="0" w:color="000000"/>
              <w:right w:val="nil"/>
            </w:tcBorders>
            <w:tcMar>
              <w:top w:w="50" w:type="dxa"/>
              <w:left w:w="110" w:type="dxa"/>
              <w:bottom w:w="50" w:type="dxa"/>
              <w:right w:w="110" w:type="dxa"/>
            </w:tcMar>
            <w:vAlign w:val="center"/>
          </w:tcPr>
          <w:p w14:paraId="7CAD41C4" w14:textId="77777777" w:rsidR="001B225E" w:rsidRPr="00C06E05" w:rsidRDefault="001B225E" w:rsidP="00146DF8">
            <w:pPr>
              <w:spacing w:after="0" w:line="240" w:lineRule="auto"/>
              <w:rPr>
                <w:rFonts w:ascii="Arial" w:hAnsi="Arial" w:cs="Arial"/>
              </w:rPr>
            </w:pPr>
            <w:r w:rsidRPr="00C06E05">
              <w:rPr>
                <w:rFonts w:ascii="Arial" w:hAnsi="Arial" w:cs="Arial"/>
                <w:b/>
                <w:bCs/>
              </w:rPr>
              <w:t>Total</w:t>
            </w:r>
          </w:p>
        </w:tc>
        <w:tc>
          <w:tcPr>
            <w:tcW w:w="2480" w:type="dxa"/>
            <w:tcBorders>
              <w:top w:val="double" w:sz="4" w:space="0" w:color="000000"/>
              <w:left w:val="nil"/>
              <w:bottom w:val="double" w:sz="4" w:space="0" w:color="000000"/>
              <w:right w:val="nil"/>
            </w:tcBorders>
            <w:tcMar>
              <w:top w:w="50" w:type="dxa"/>
              <w:left w:w="110" w:type="dxa"/>
              <w:bottom w:w="50" w:type="dxa"/>
              <w:right w:w="110" w:type="dxa"/>
            </w:tcMar>
            <w:vAlign w:val="center"/>
          </w:tcPr>
          <w:p w14:paraId="1DC0EEFF"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116</w:t>
            </w:r>
          </w:p>
        </w:tc>
        <w:tc>
          <w:tcPr>
            <w:tcW w:w="2480" w:type="dxa"/>
            <w:tcBorders>
              <w:top w:val="double" w:sz="4" w:space="0" w:color="000000"/>
              <w:left w:val="nil"/>
              <w:bottom w:val="double" w:sz="4" w:space="0" w:color="000000"/>
              <w:right w:val="nil"/>
            </w:tcBorders>
            <w:tcMar>
              <w:top w:w="50" w:type="dxa"/>
              <w:left w:w="110" w:type="dxa"/>
              <w:bottom w:w="50" w:type="dxa"/>
              <w:right w:w="110" w:type="dxa"/>
            </w:tcMar>
            <w:vAlign w:val="center"/>
          </w:tcPr>
          <w:p w14:paraId="0D9D6A9B"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100</w:t>
            </w:r>
          </w:p>
        </w:tc>
      </w:tr>
    </w:tbl>
    <w:p w14:paraId="4B7F5556"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t xml:space="preserve">Table </w:t>
      </w:r>
      <w:r>
        <w:rPr>
          <w:rFonts w:ascii="Arial" w:hAnsi="Arial" w:cs="Arial"/>
        </w:rPr>
        <w:t>3</w:t>
      </w:r>
      <w:r w:rsidRPr="00C06E05">
        <w:rPr>
          <w:rFonts w:ascii="Arial" w:hAnsi="Arial" w:cs="Arial"/>
        </w:rPr>
        <w:t xml:space="preserve"> presented the distribution of the respondents according to sex. The data showed that the majority of the LET takers, 85 or 73 percent, were female, while 31 or 27 percent were male.</w:t>
      </w:r>
    </w:p>
    <w:p w14:paraId="6EF9A0A0" w14:textId="77777777" w:rsidR="001B225E" w:rsidRPr="00C06E05" w:rsidRDefault="001B225E" w:rsidP="001B225E">
      <w:pPr>
        <w:spacing w:line="480" w:lineRule="auto"/>
        <w:ind w:firstLine="720"/>
        <w:jc w:val="both"/>
        <w:rPr>
          <w:rFonts w:ascii="Arial" w:hAnsi="Arial" w:cs="Arial"/>
        </w:rPr>
      </w:pPr>
      <w:r w:rsidRPr="00C06E05">
        <w:rPr>
          <w:rFonts w:ascii="Arial" w:hAnsi="Arial" w:cs="Arial"/>
        </w:rPr>
        <w:t>The data showed a strong prevalence of female respondents among the LET takers which is reflective of the gender breakdown typical of the teaching profession in the Philippines and teacher education programs in general. The distribution indicates that the teacher education programs offered by the community college continue to attract a disproportionately female population, mirroring the national trend in the field. Belza et al. (2025) in a profiling study of teacher education institutions in the Philippines noted that the demographic make-</w:t>
      </w:r>
      <w:r w:rsidRPr="00C06E05">
        <w:rPr>
          <w:rFonts w:ascii="Arial" w:hAnsi="Arial" w:cs="Arial"/>
        </w:rPr>
        <w:lastRenderedPageBreak/>
        <w:t>up of teacher education graduates, including their distribution by sex, is part of the institutional profile that affects licensure outcomes and provides information for program planning. The sex distribution of the respondents therefore provided important demographic context for understanding the population of LET takers at the institution.</w:t>
      </w:r>
    </w:p>
    <w:p w14:paraId="799418E7" w14:textId="77777777" w:rsidR="001B225E" w:rsidRPr="007374BD" w:rsidRDefault="001B225E" w:rsidP="001B225E">
      <w:pPr>
        <w:pStyle w:val="NoSpacing"/>
        <w:jc w:val="center"/>
        <w:rPr>
          <w:rFonts w:ascii="Arial" w:hAnsi="Arial" w:cs="Arial"/>
          <w:sz w:val="24"/>
          <w:szCs w:val="24"/>
        </w:rPr>
      </w:pPr>
      <w:r w:rsidRPr="007374BD">
        <w:rPr>
          <w:rFonts w:ascii="Arial" w:hAnsi="Arial" w:cs="Arial"/>
          <w:sz w:val="24"/>
          <w:szCs w:val="24"/>
        </w:rPr>
        <w:t xml:space="preserve">Table </w:t>
      </w:r>
      <w:r>
        <w:rPr>
          <w:rFonts w:ascii="Arial" w:hAnsi="Arial" w:cs="Arial"/>
          <w:sz w:val="24"/>
          <w:szCs w:val="24"/>
        </w:rPr>
        <w:t>4</w:t>
      </w:r>
    </w:p>
    <w:p w14:paraId="418C3CA5" w14:textId="77777777" w:rsidR="001B225E" w:rsidRDefault="001B225E" w:rsidP="001B225E">
      <w:pPr>
        <w:pStyle w:val="NoSpacing"/>
        <w:jc w:val="center"/>
        <w:rPr>
          <w:rFonts w:ascii="Arial" w:hAnsi="Arial" w:cs="Arial"/>
          <w:b/>
          <w:bCs/>
          <w:sz w:val="24"/>
          <w:szCs w:val="24"/>
        </w:rPr>
      </w:pPr>
      <w:r w:rsidRPr="007374BD">
        <w:rPr>
          <w:rFonts w:ascii="Arial" w:hAnsi="Arial" w:cs="Arial"/>
          <w:b/>
          <w:bCs/>
          <w:sz w:val="24"/>
          <w:szCs w:val="24"/>
        </w:rPr>
        <w:t>Degree</w:t>
      </w:r>
    </w:p>
    <w:p w14:paraId="3BFF60FB" w14:textId="77777777" w:rsidR="001B225E" w:rsidRPr="007374BD" w:rsidRDefault="001B225E" w:rsidP="001B225E">
      <w:pPr>
        <w:pStyle w:val="NoSpacing"/>
        <w:jc w:val="center"/>
        <w:rPr>
          <w:rFonts w:ascii="Arial" w:hAnsi="Arial" w:cs="Arial"/>
          <w:b/>
          <w:bCs/>
          <w:sz w:val="24"/>
          <w:szCs w:val="24"/>
        </w:rPr>
      </w:pPr>
    </w:p>
    <w:tbl>
      <w:tblPr>
        <w:tblW w:w="8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99"/>
        <w:gridCol w:w="1953"/>
        <w:gridCol w:w="1953"/>
      </w:tblGrid>
      <w:tr w:rsidR="001B225E" w:rsidRPr="00C06E05" w14:paraId="62686EE2" w14:textId="77777777" w:rsidTr="00146DF8">
        <w:trPr>
          <w:trHeight w:val="274"/>
          <w:tblHeader/>
        </w:trPr>
        <w:tc>
          <w:tcPr>
            <w:tcW w:w="4799"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4F384B42" w14:textId="77777777" w:rsidR="001B225E" w:rsidRPr="00C06E05" w:rsidRDefault="001B225E" w:rsidP="00146DF8">
            <w:pPr>
              <w:spacing w:after="0" w:line="240" w:lineRule="auto"/>
              <w:rPr>
                <w:rFonts w:ascii="Arial" w:hAnsi="Arial" w:cs="Arial"/>
              </w:rPr>
            </w:pPr>
            <w:r w:rsidRPr="00C06E05">
              <w:rPr>
                <w:rFonts w:ascii="Arial" w:hAnsi="Arial" w:cs="Arial"/>
                <w:b/>
                <w:bCs/>
              </w:rPr>
              <w:t>Degree</w:t>
            </w:r>
          </w:p>
        </w:tc>
        <w:tc>
          <w:tcPr>
            <w:tcW w:w="1953"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3DAC0728"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Frequency</w:t>
            </w:r>
          </w:p>
        </w:tc>
        <w:tc>
          <w:tcPr>
            <w:tcW w:w="1953"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0B9B5DC1"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Percentage</w:t>
            </w:r>
          </w:p>
        </w:tc>
      </w:tr>
      <w:tr w:rsidR="001B225E" w:rsidRPr="00C06E05" w14:paraId="2CCD1DF9" w14:textId="77777777" w:rsidTr="00146DF8">
        <w:trPr>
          <w:trHeight w:val="274"/>
        </w:trPr>
        <w:tc>
          <w:tcPr>
            <w:tcW w:w="4799"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B72AFAA" w14:textId="77777777" w:rsidR="001B225E" w:rsidRPr="00C06E05" w:rsidRDefault="001B225E" w:rsidP="00146DF8">
            <w:pPr>
              <w:spacing w:after="0" w:line="240" w:lineRule="auto"/>
              <w:rPr>
                <w:rFonts w:ascii="Arial" w:hAnsi="Arial" w:cs="Arial"/>
              </w:rPr>
            </w:pPr>
            <w:r w:rsidRPr="00C06E05">
              <w:rPr>
                <w:rFonts w:ascii="Arial" w:hAnsi="Arial" w:cs="Arial"/>
              </w:rPr>
              <w:t>Bachelor of Physical Education (</w:t>
            </w:r>
            <w:proofErr w:type="spellStart"/>
            <w:r w:rsidRPr="00C06E05">
              <w:rPr>
                <w:rFonts w:ascii="Arial" w:hAnsi="Arial" w:cs="Arial"/>
              </w:rPr>
              <w:t>BPEd</w:t>
            </w:r>
            <w:proofErr w:type="spellEnd"/>
            <w:r w:rsidRPr="00C06E05">
              <w:rPr>
                <w:rFonts w:ascii="Arial" w:hAnsi="Arial" w:cs="Arial"/>
              </w:rPr>
              <w:t>)</w:t>
            </w:r>
          </w:p>
        </w:tc>
        <w:tc>
          <w:tcPr>
            <w:tcW w:w="195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9C9E53F" w14:textId="77777777" w:rsidR="001B225E" w:rsidRPr="00C06E05" w:rsidRDefault="001B225E" w:rsidP="00146DF8">
            <w:pPr>
              <w:spacing w:after="0" w:line="240" w:lineRule="auto"/>
              <w:jc w:val="center"/>
              <w:rPr>
                <w:rFonts w:ascii="Arial" w:hAnsi="Arial" w:cs="Arial"/>
              </w:rPr>
            </w:pPr>
            <w:r w:rsidRPr="00C06E05">
              <w:rPr>
                <w:rFonts w:ascii="Arial" w:hAnsi="Arial" w:cs="Arial"/>
              </w:rPr>
              <w:t>38</w:t>
            </w:r>
          </w:p>
        </w:tc>
        <w:tc>
          <w:tcPr>
            <w:tcW w:w="195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16C8F95" w14:textId="77777777" w:rsidR="001B225E" w:rsidRPr="00C06E05" w:rsidRDefault="001B225E" w:rsidP="00146DF8">
            <w:pPr>
              <w:spacing w:after="0" w:line="240" w:lineRule="auto"/>
              <w:jc w:val="center"/>
              <w:rPr>
                <w:rFonts w:ascii="Arial" w:hAnsi="Arial" w:cs="Arial"/>
              </w:rPr>
            </w:pPr>
            <w:r w:rsidRPr="00C06E05">
              <w:rPr>
                <w:rFonts w:ascii="Arial" w:hAnsi="Arial" w:cs="Arial"/>
              </w:rPr>
              <w:t>33</w:t>
            </w:r>
          </w:p>
        </w:tc>
      </w:tr>
      <w:tr w:rsidR="001B225E" w:rsidRPr="00C06E05" w14:paraId="0DEE5A69" w14:textId="77777777" w:rsidTr="00146DF8">
        <w:trPr>
          <w:trHeight w:val="274"/>
        </w:trPr>
        <w:tc>
          <w:tcPr>
            <w:tcW w:w="4799"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403A0F0" w14:textId="77777777" w:rsidR="001B225E" w:rsidRPr="00C06E05" w:rsidRDefault="001B225E" w:rsidP="00146DF8">
            <w:pPr>
              <w:spacing w:after="0" w:line="240" w:lineRule="auto"/>
              <w:rPr>
                <w:rFonts w:ascii="Arial" w:hAnsi="Arial" w:cs="Arial"/>
              </w:rPr>
            </w:pPr>
            <w:r w:rsidRPr="00C06E05">
              <w:rPr>
                <w:rFonts w:ascii="Arial" w:hAnsi="Arial" w:cs="Arial"/>
              </w:rPr>
              <w:t>Bachelor of Secondary Education (</w:t>
            </w:r>
            <w:proofErr w:type="spellStart"/>
            <w:r w:rsidRPr="00C06E05">
              <w:rPr>
                <w:rFonts w:ascii="Arial" w:hAnsi="Arial" w:cs="Arial"/>
              </w:rPr>
              <w:t>BSEd</w:t>
            </w:r>
            <w:proofErr w:type="spellEnd"/>
            <w:r w:rsidRPr="00C06E05">
              <w:rPr>
                <w:rFonts w:ascii="Arial" w:hAnsi="Arial" w:cs="Arial"/>
              </w:rPr>
              <w:t>)</w:t>
            </w:r>
          </w:p>
        </w:tc>
        <w:tc>
          <w:tcPr>
            <w:tcW w:w="195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A41FBF8" w14:textId="77777777" w:rsidR="001B225E" w:rsidRPr="00C06E05" w:rsidRDefault="001B225E" w:rsidP="00146DF8">
            <w:pPr>
              <w:spacing w:after="0" w:line="240" w:lineRule="auto"/>
              <w:jc w:val="center"/>
              <w:rPr>
                <w:rFonts w:ascii="Arial" w:hAnsi="Arial" w:cs="Arial"/>
              </w:rPr>
            </w:pPr>
            <w:r w:rsidRPr="00C06E05">
              <w:rPr>
                <w:rFonts w:ascii="Arial" w:hAnsi="Arial" w:cs="Arial"/>
              </w:rPr>
              <w:t>64</w:t>
            </w:r>
          </w:p>
        </w:tc>
        <w:tc>
          <w:tcPr>
            <w:tcW w:w="195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06C1855" w14:textId="77777777" w:rsidR="001B225E" w:rsidRPr="00C06E05" w:rsidRDefault="001B225E" w:rsidP="00146DF8">
            <w:pPr>
              <w:spacing w:after="0" w:line="240" w:lineRule="auto"/>
              <w:jc w:val="center"/>
              <w:rPr>
                <w:rFonts w:ascii="Arial" w:hAnsi="Arial" w:cs="Arial"/>
              </w:rPr>
            </w:pPr>
            <w:r w:rsidRPr="00C06E05">
              <w:rPr>
                <w:rFonts w:ascii="Arial" w:hAnsi="Arial" w:cs="Arial"/>
              </w:rPr>
              <w:t>55</w:t>
            </w:r>
          </w:p>
        </w:tc>
      </w:tr>
      <w:tr w:rsidR="001B225E" w:rsidRPr="00C06E05" w14:paraId="5E91D87A" w14:textId="77777777" w:rsidTr="00146DF8">
        <w:trPr>
          <w:trHeight w:val="549"/>
        </w:trPr>
        <w:tc>
          <w:tcPr>
            <w:tcW w:w="4799"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0C0F2658" w14:textId="77777777" w:rsidR="001B225E" w:rsidRPr="00C06E05" w:rsidRDefault="001B225E" w:rsidP="00146DF8">
            <w:pPr>
              <w:spacing w:after="0" w:line="240" w:lineRule="auto"/>
              <w:rPr>
                <w:rFonts w:ascii="Arial" w:hAnsi="Arial" w:cs="Arial"/>
              </w:rPr>
            </w:pPr>
            <w:r w:rsidRPr="00C06E05">
              <w:rPr>
                <w:rFonts w:ascii="Arial" w:hAnsi="Arial" w:cs="Arial"/>
              </w:rPr>
              <w:t>Bachelor of Technology and Livelihood Education (</w:t>
            </w:r>
            <w:proofErr w:type="spellStart"/>
            <w:r w:rsidRPr="00C06E05">
              <w:rPr>
                <w:rFonts w:ascii="Arial" w:hAnsi="Arial" w:cs="Arial"/>
              </w:rPr>
              <w:t>BTLEd</w:t>
            </w:r>
            <w:proofErr w:type="spellEnd"/>
            <w:r w:rsidRPr="00C06E05">
              <w:rPr>
                <w:rFonts w:ascii="Arial" w:hAnsi="Arial" w:cs="Arial"/>
              </w:rPr>
              <w:t>)</w:t>
            </w:r>
          </w:p>
        </w:tc>
        <w:tc>
          <w:tcPr>
            <w:tcW w:w="1953"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3C3EBA49" w14:textId="77777777" w:rsidR="001B225E" w:rsidRPr="00C06E05" w:rsidRDefault="001B225E" w:rsidP="00146DF8">
            <w:pPr>
              <w:spacing w:after="0" w:line="240" w:lineRule="auto"/>
              <w:jc w:val="center"/>
              <w:rPr>
                <w:rFonts w:ascii="Arial" w:hAnsi="Arial" w:cs="Arial"/>
              </w:rPr>
            </w:pPr>
            <w:r w:rsidRPr="00C06E05">
              <w:rPr>
                <w:rFonts w:ascii="Arial" w:hAnsi="Arial" w:cs="Arial"/>
              </w:rPr>
              <w:t>14</w:t>
            </w:r>
          </w:p>
        </w:tc>
        <w:tc>
          <w:tcPr>
            <w:tcW w:w="1953"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4D7D64D3" w14:textId="77777777" w:rsidR="001B225E" w:rsidRPr="00C06E05" w:rsidRDefault="001B225E" w:rsidP="00146DF8">
            <w:pPr>
              <w:spacing w:after="0" w:line="240" w:lineRule="auto"/>
              <w:jc w:val="center"/>
              <w:rPr>
                <w:rFonts w:ascii="Arial" w:hAnsi="Arial" w:cs="Arial"/>
              </w:rPr>
            </w:pPr>
            <w:r w:rsidRPr="00C06E05">
              <w:rPr>
                <w:rFonts w:ascii="Arial" w:hAnsi="Arial" w:cs="Arial"/>
              </w:rPr>
              <w:t>12</w:t>
            </w:r>
          </w:p>
        </w:tc>
      </w:tr>
      <w:tr w:rsidR="001B225E" w:rsidRPr="00C06E05" w14:paraId="41E98E9B" w14:textId="77777777" w:rsidTr="00146DF8">
        <w:trPr>
          <w:trHeight w:val="257"/>
        </w:trPr>
        <w:tc>
          <w:tcPr>
            <w:tcW w:w="4799"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1C2ABAC1" w14:textId="77777777" w:rsidR="001B225E" w:rsidRPr="00C06E05" w:rsidRDefault="001B225E" w:rsidP="00146DF8">
            <w:pPr>
              <w:spacing w:after="0" w:line="240" w:lineRule="auto"/>
              <w:rPr>
                <w:rFonts w:ascii="Arial" w:hAnsi="Arial" w:cs="Arial"/>
              </w:rPr>
            </w:pPr>
            <w:r w:rsidRPr="00C06E05">
              <w:rPr>
                <w:rFonts w:ascii="Arial" w:hAnsi="Arial" w:cs="Arial"/>
                <w:b/>
                <w:bCs/>
              </w:rPr>
              <w:t>Total</w:t>
            </w:r>
          </w:p>
        </w:tc>
        <w:tc>
          <w:tcPr>
            <w:tcW w:w="1953"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2E4B5050"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116</w:t>
            </w:r>
          </w:p>
        </w:tc>
        <w:tc>
          <w:tcPr>
            <w:tcW w:w="1953"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1A54CA82"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100</w:t>
            </w:r>
          </w:p>
        </w:tc>
      </w:tr>
    </w:tbl>
    <w:p w14:paraId="38109EAF"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t xml:space="preserve">Table </w:t>
      </w:r>
      <w:r>
        <w:rPr>
          <w:rFonts w:ascii="Arial" w:hAnsi="Arial" w:cs="Arial"/>
        </w:rPr>
        <w:t>4</w:t>
      </w:r>
      <w:r w:rsidRPr="00C06E05">
        <w:rPr>
          <w:rFonts w:ascii="Arial" w:hAnsi="Arial" w:cs="Arial"/>
        </w:rPr>
        <w:t xml:space="preserve"> presented the distribution of the respondents by degree program. Data revealed that the majority of the LET examinees were graduates of Bachelor of Secondary Education program with 64 or 55 percent. This was followed by 38 respondents or 33 percent who were graduates of Bachelor of Physical Education program and 14 respondents or 12 percent who were graduates of Bachelor of Technology and Livelihood Education program.</w:t>
      </w:r>
    </w:p>
    <w:p w14:paraId="70A47943"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t xml:space="preserve">The data indicated that the largest percentage of the respondents were from the Bachelor of Secondary Education program which reflects the enrollment profile and program composition of the community college. This distribution implied that the institution’s licensure performance was primarily a function of the preparation it provided in its secondary education program. In the national study of Abao et al. (2023), the distribution of LET takers by degree program significantly differs across </w:t>
      </w:r>
      <w:r w:rsidRPr="00C06E05">
        <w:rPr>
          <w:rFonts w:ascii="Arial" w:hAnsi="Arial" w:cs="Arial"/>
        </w:rPr>
        <w:lastRenderedPageBreak/>
        <w:t>institutions, and the stronger the enrollment base of a program, the more examinees an institution produces. Belza et al. (2025) in their profiling study noted that an institution’s licensure profile is directly influenced by its program mix, where resources, faculty expertise, and curricular emphasis are focused on a particular set of programs. The degree distribution therefore underscored the need to ensure instructional quality aligned with the specialization across all program offerings of the community college.</w:t>
      </w:r>
    </w:p>
    <w:p w14:paraId="70CCE970" w14:textId="77777777" w:rsidR="001B225E" w:rsidRPr="007374BD" w:rsidRDefault="001B225E" w:rsidP="001B225E">
      <w:pPr>
        <w:pStyle w:val="NoSpacing"/>
        <w:jc w:val="center"/>
        <w:rPr>
          <w:rFonts w:ascii="Arial" w:hAnsi="Arial" w:cs="Arial"/>
          <w:sz w:val="24"/>
          <w:szCs w:val="24"/>
        </w:rPr>
      </w:pPr>
      <w:r w:rsidRPr="007374BD">
        <w:rPr>
          <w:rFonts w:ascii="Arial" w:hAnsi="Arial" w:cs="Arial"/>
          <w:sz w:val="24"/>
          <w:szCs w:val="24"/>
        </w:rPr>
        <w:t>Table 5</w:t>
      </w:r>
    </w:p>
    <w:p w14:paraId="00244F53" w14:textId="77777777" w:rsidR="001B225E" w:rsidRDefault="001B225E" w:rsidP="001B225E">
      <w:pPr>
        <w:pStyle w:val="NoSpacing"/>
        <w:jc w:val="center"/>
        <w:rPr>
          <w:rFonts w:ascii="Arial" w:hAnsi="Arial" w:cs="Arial"/>
          <w:b/>
          <w:bCs/>
          <w:sz w:val="24"/>
          <w:szCs w:val="24"/>
        </w:rPr>
      </w:pPr>
      <w:r w:rsidRPr="007374BD">
        <w:rPr>
          <w:rFonts w:ascii="Arial" w:hAnsi="Arial" w:cs="Arial"/>
          <w:b/>
          <w:bCs/>
          <w:sz w:val="24"/>
          <w:szCs w:val="24"/>
        </w:rPr>
        <w:t>Major</w:t>
      </w:r>
    </w:p>
    <w:p w14:paraId="0C03CA58" w14:textId="77777777" w:rsidR="001B225E" w:rsidRPr="007374BD" w:rsidRDefault="001B225E" w:rsidP="001B225E">
      <w:pPr>
        <w:pStyle w:val="NoSpacing"/>
        <w:jc w:val="center"/>
        <w:rPr>
          <w:rFonts w:ascii="Arial" w:hAnsi="Arial" w:cs="Arial"/>
          <w:b/>
          <w:bCs/>
          <w:sz w:val="24"/>
          <w:szCs w:val="24"/>
        </w:rPr>
      </w:pPr>
    </w:p>
    <w:tbl>
      <w:tblPr>
        <w:tblW w:w="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49"/>
        <w:gridCol w:w="2488"/>
        <w:gridCol w:w="2488"/>
      </w:tblGrid>
      <w:tr w:rsidR="001B225E" w:rsidRPr="00C06E05" w14:paraId="1F6DF468" w14:textId="77777777" w:rsidTr="00146DF8">
        <w:trPr>
          <w:trHeight w:val="272"/>
          <w:tblHeader/>
        </w:trPr>
        <w:tc>
          <w:tcPr>
            <w:tcW w:w="3649"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08764560" w14:textId="77777777" w:rsidR="001B225E" w:rsidRPr="00C06E05" w:rsidRDefault="001B225E" w:rsidP="00146DF8">
            <w:pPr>
              <w:spacing w:after="0" w:line="240" w:lineRule="auto"/>
              <w:rPr>
                <w:rFonts w:ascii="Arial" w:hAnsi="Arial" w:cs="Arial"/>
              </w:rPr>
            </w:pPr>
            <w:r w:rsidRPr="00C06E05">
              <w:rPr>
                <w:rFonts w:ascii="Arial" w:hAnsi="Arial" w:cs="Arial"/>
                <w:b/>
                <w:bCs/>
              </w:rPr>
              <w:t>Major</w:t>
            </w:r>
          </w:p>
        </w:tc>
        <w:tc>
          <w:tcPr>
            <w:tcW w:w="2488"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3C502698"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Frequency</w:t>
            </w:r>
          </w:p>
        </w:tc>
        <w:tc>
          <w:tcPr>
            <w:tcW w:w="2488"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69E55EAD"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Percentage</w:t>
            </w:r>
          </w:p>
        </w:tc>
      </w:tr>
      <w:tr w:rsidR="001B225E" w:rsidRPr="00C06E05" w14:paraId="1C040165" w14:textId="77777777" w:rsidTr="00146DF8">
        <w:trPr>
          <w:trHeight w:val="272"/>
        </w:trPr>
        <w:tc>
          <w:tcPr>
            <w:tcW w:w="3649"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846004A" w14:textId="77777777" w:rsidR="001B225E" w:rsidRPr="00C06E05" w:rsidRDefault="001B225E" w:rsidP="00146DF8">
            <w:pPr>
              <w:spacing w:after="0" w:line="240" w:lineRule="auto"/>
              <w:rPr>
                <w:rFonts w:ascii="Arial" w:hAnsi="Arial" w:cs="Arial"/>
              </w:rPr>
            </w:pPr>
            <w:r w:rsidRPr="00C06E05">
              <w:rPr>
                <w:rFonts w:ascii="Arial" w:hAnsi="Arial" w:cs="Arial"/>
              </w:rPr>
              <w:t>English</w:t>
            </w:r>
          </w:p>
        </w:tc>
        <w:tc>
          <w:tcPr>
            <w:tcW w:w="248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085EDCE" w14:textId="77777777" w:rsidR="001B225E" w:rsidRPr="00C06E05" w:rsidRDefault="001B225E" w:rsidP="00146DF8">
            <w:pPr>
              <w:spacing w:after="0" w:line="240" w:lineRule="auto"/>
              <w:jc w:val="center"/>
              <w:rPr>
                <w:rFonts w:ascii="Arial" w:hAnsi="Arial" w:cs="Arial"/>
              </w:rPr>
            </w:pPr>
            <w:r w:rsidRPr="00C06E05">
              <w:rPr>
                <w:rFonts w:ascii="Arial" w:hAnsi="Arial" w:cs="Arial"/>
              </w:rPr>
              <w:t>33</w:t>
            </w:r>
          </w:p>
        </w:tc>
        <w:tc>
          <w:tcPr>
            <w:tcW w:w="248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D009FEB" w14:textId="77777777" w:rsidR="001B225E" w:rsidRPr="00C06E05" w:rsidRDefault="001B225E" w:rsidP="00146DF8">
            <w:pPr>
              <w:spacing w:after="0" w:line="240" w:lineRule="auto"/>
              <w:jc w:val="center"/>
              <w:rPr>
                <w:rFonts w:ascii="Arial" w:hAnsi="Arial" w:cs="Arial"/>
              </w:rPr>
            </w:pPr>
            <w:r w:rsidRPr="00C06E05">
              <w:rPr>
                <w:rFonts w:ascii="Arial" w:hAnsi="Arial" w:cs="Arial"/>
              </w:rPr>
              <w:t>28</w:t>
            </w:r>
          </w:p>
        </w:tc>
      </w:tr>
      <w:tr w:rsidR="001B225E" w:rsidRPr="00C06E05" w14:paraId="58719449" w14:textId="77777777" w:rsidTr="00146DF8">
        <w:trPr>
          <w:trHeight w:val="272"/>
        </w:trPr>
        <w:tc>
          <w:tcPr>
            <w:tcW w:w="3649"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0B63F4E" w14:textId="77777777" w:rsidR="001B225E" w:rsidRPr="00C06E05" w:rsidRDefault="001B225E" w:rsidP="00146DF8">
            <w:pPr>
              <w:spacing w:after="0" w:line="240" w:lineRule="auto"/>
              <w:rPr>
                <w:rFonts w:ascii="Arial" w:hAnsi="Arial" w:cs="Arial"/>
              </w:rPr>
            </w:pPr>
            <w:r w:rsidRPr="00C06E05">
              <w:rPr>
                <w:rFonts w:ascii="Arial" w:hAnsi="Arial" w:cs="Arial"/>
              </w:rPr>
              <w:t>Filipino</w:t>
            </w:r>
          </w:p>
        </w:tc>
        <w:tc>
          <w:tcPr>
            <w:tcW w:w="248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AA77558" w14:textId="77777777" w:rsidR="001B225E" w:rsidRPr="00C06E05" w:rsidRDefault="001B225E" w:rsidP="00146DF8">
            <w:pPr>
              <w:spacing w:after="0" w:line="240" w:lineRule="auto"/>
              <w:jc w:val="center"/>
              <w:rPr>
                <w:rFonts w:ascii="Arial" w:hAnsi="Arial" w:cs="Arial"/>
              </w:rPr>
            </w:pPr>
            <w:r w:rsidRPr="00C06E05">
              <w:rPr>
                <w:rFonts w:ascii="Arial" w:hAnsi="Arial" w:cs="Arial"/>
              </w:rPr>
              <w:t>15</w:t>
            </w:r>
          </w:p>
        </w:tc>
        <w:tc>
          <w:tcPr>
            <w:tcW w:w="248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54D7AED" w14:textId="77777777" w:rsidR="001B225E" w:rsidRPr="00C06E05" w:rsidRDefault="001B225E" w:rsidP="00146DF8">
            <w:pPr>
              <w:spacing w:after="0" w:line="240" w:lineRule="auto"/>
              <w:jc w:val="center"/>
              <w:rPr>
                <w:rFonts w:ascii="Arial" w:hAnsi="Arial" w:cs="Arial"/>
              </w:rPr>
            </w:pPr>
            <w:r w:rsidRPr="00C06E05">
              <w:rPr>
                <w:rFonts w:ascii="Arial" w:hAnsi="Arial" w:cs="Arial"/>
              </w:rPr>
              <w:t>13</w:t>
            </w:r>
          </w:p>
        </w:tc>
      </w:tr>
      <w:tr w:rsidR="001B225E" w:rsidRPr="00C06E05" w14:paraId="7B181279" w14:textId="77777777" w:rsidTr="00146DF8">
        <w:trPr>
          <w:trHeight w:val="272"/>
        </w:trPr>
        <w:tc>
          <w:tcPr>
            <w:tcW w:w="3649"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852AB95" w14:textId="77777777" w:rsidR="001B225E" w:rsidRPr="00C06E05" w:rsidRDefault="001B225E" w:rsidP="00146DF8">
            <w:pPr>
              <w:spacing w:after="0" w:line="240" w:lineRule="auto"/>
              <w:rPr>
                <w:rFonts w:ascii="Arial" w:hAnsi="Arial" w:cs="Arial"/>
              </w:rPr>
            </w:pPr>
            <w:r w:rsidRPr="00C06E05">
              <w:rPr>
                <w:rFonts w:ascii="Arial" w:hAnsi="Arial" w:cs="Arial"/>
              </w:rPr>
              <w:t>Home Economics</w:t>
            </w:r>
          </w:p>
        </w:tc>
        <w:tc>
          <w:tcPr>
            <w:tcW w:w="248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68D3EA8" w14:textId="77777777" w:rsidR="001B225E" w:rsidRPr="00C06E05" w:rsidRDefault="001B225E" w:rsidP="00146DF8">
            <w:pPr>
              <w:spacing w:after="0" w:line="240" w:lineRule="auto"/>
              <w:jc w:val="center"/>
              <w:rPr>
                <w:rFonts w:ascii="Arial" w:hAnsi="Arial" w:cs="Arial"/>
              </w:rPr>
            </w:pPr>
            <w:r w:rsidRPr="00C06E05">
              <w:rPr>
                <w:rFonts w:ascii="Arial" w:hAnsi="Arial" w:cs="Arial"/>
              </w:rPr>
              <w:t>14</w:t>
            </w:r>
          </w:p>
        </w:tc>
        <w:tc>
          <w:tcPr>
            <w:tcW w:w="248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3A99077" w14:textId="77777777" w:rsidR="001B225E" w:rsidRPr="00C06E05" w:rsidRDefault="001B225E" w:rsidP="00146DF8">
            <w:pPr>
              <w:spacing w:after="0" w:line="240" w:lineRule="auto"/>
              <w:jc w:val="center"/>
              <w:rPr>
                <w:rFonts w:ascii="Arial" w:hAnsi="Arial" w:cs="Arial"/>
              </w:rPr>
            </w:pPr>
            <w:r w:rsidRPr="00C06E05">
              <w:rPr>
                <w:rFonts w:ascii="Arial" w:hAnsi="Arial" w:cs="Arial"/>
              </w:rPr>
              <w:t>12</w:t>
            </w:r>
          </w:p>
        </w:tc>
      </w:tr>
      <w:tr w:rsidR="001B225E" w:rsidRPr="00C06E05" w14:paraId="04CC18DC" w14:textId="77777777" w:rsidTr="00146DF8">
        <w:trPr>
          <w:trHeight w:val="272"/>
        </w:trPr>
        <w:tc>
          <w:tcPr>
            <w:tcW w:w="3649"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589A5B7" w14:textId="77777777" w:rsidR="001B225E" w:rsidRPr="00C06E05" w:rsidRDefault="001B225E" w:rsidP="00146DF8">
            <w:pPr>
              <w:spacing w:after="0" w:line="240" w:lineRule="auto"/>
              <w:rPr>
                <w:rFonts w:ascii="Arial" w:hAnsi="Arial" w:cs="Arial"/>
              </w:rPr>
            </w:pPr>
            <w:r w:rsidRPr="00C06E05">
              <w:rPr>
                <w:rFonts w:ascii="Arial" w:hAnsi="Arial" w:cs="Arial"/>
              </w:rPr>
              <w:t>Physical Education</w:t>
            </w:r>
          </w:p>
        </w:tc>
        <w:tc>
          <w:tcPr>
            <w:tcW w:w="248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CA73DC3" w14:textId="77777777" w:rsidR="001B225E" w:rsidRPr="00C06E05" w:rsidRDefault="001B225E" w:rsidP="00146DF8">
            <w:pPr>
              <w:spacing w:after="0" w:line="240" w:lineRule="auto"/>
              <w:jc w:val="center"/>
              <w:rPr>
                <w:rFonts w:ascii="Arial" w:hAnsi="Arial" w:cs="Arial"/>
              </w:rPr>
            </w:pPr>
            <w:r w:rsidRPr="00C06E05">
              <w:rPr>
                <w:rFonts w:ascii="Arial" w:hAnsi="Arial" w:cs="Arial"/>
              </w:rPr>
              <w:t>39</w:t>
            </w:r>
          </w:p>
        </w:tc>
        <w:tc>
          <w:tcPr>
            <w:tcW w:w="248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6F94B56" w14:textId="77777777" w:rsidR="001B225E" w:rsidRPr="00C06E05" w:rsidRDefault="001B225E" w:rsidP="00146DF8">
            <w:pPr>
              <w:spacing w:after="0" w:line="240" w:lineRule="auto"/>
              <w:jc w:val="center"/>
              <w:rPr>
                <w:rFonts w:ascii="Arial" w:hAnsi="Arial" w:cs="Arial"/>
              </w:rPr>
            </w:pPr>
            <w:r w:rsidRPr="00C06E05">
              <w:rPr>
                <w:rFonts w:ascii="Arial" w:hAnsi="Arial" w:cs="Arial"/>
              </w:rPr>
              <w:t>34</w:t>
            </w:r>
          </w:p>
        </w:tc>
      </w:tr>
      <w:tr w:rsidR="001B225E" w:rsidRPr="00C06E05" w14:paraId="13AC9C8A" w14:textId="77777777" w:rsidTr="00146DF8">
        <w:trPr>
          <w:trHeight w:val="272"/>
        </w:trPr>
        <w:tc>
          <w:tcPr>
            <w:tcW w:w="3649"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24E251A4" w14:textId="77777777" w:rsidR="001B225E" w:rsidRPr="00C06E05" w:rsidRDefault="001B225E" w:rsidP="00146DF8">
            <w:pPr>
              <w:spacing w:after="0" w:line="240" w:lineRule="auto"/>
              <w:rPr>
                <w:rFonts w:ascii="Arial" w:hAnsi="Arial" w:cs="Arial"/>
              </w:rPr>
            </w:pPr>
            <w:r w:rsidRPr="00C06E05">
              <w:rPr>
                <w:rFonts w:ascii="Arial" w:hAnsi="Arial" w:cs="Arial"/>
              </w:rPr>
              <w:t>Social Studies</w:t>
            </w:r>
          </w:p>
        </w:tc>
        <w:tc>
          <w:tcPr>
            <w:tcW w:w="2488"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1962D061" w14:textId="77777777" w:rsidR="001B225E" w:rsidRPr="00C06E05" w:rsidRDefault="001B225E" w:rsidP="00146DF8">
            <w:pPr>
              <w:spacing w:after="0" w:line="240" w:lineRule="auto"/>
              <w:jc w:val="center"/>
              <w:rPr>
                <w:rFonts w:ascii="Arial" w:hAnsi="Arial" w:cs="Arial"/>
              </w:rPr>
            </w:pPr>
            <w:r w:rsidRPr="00C06E05">
              <w:rPr>
                <w:rFonts w:ascii="Arial" w:hAnsi="Arial" w:cs="Arial"/>
              </w:rPr>
              <w:t>15</w:t>
            </w:r>
          </w:p>
        </w:tc>
        <w:tc>
          <w:tcPr>
            <w:tcW w:w="2488"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7EE0DDDE" w14:textId="77777777" w:rsidR="001B225E" w:rsidRPr="00C06E05" w:rsidRDefault="001B225E" w:rsidP="00146DF8">
            <w:pPr>
              <w:spacing w:after="0" w:line="240" w:lineRule="auto"/>
              <w:jc w:val="center"/>
              <w:rPr>
                <w:rFonts w:ascii="Arial" w:hAnsi="Arial" w:cs="Arial"/>
              </w:rPr>
            </w:pPr>
            <w:r w:rsidRPr="00C06E05">
              <w:rPr>
                <w:rFonts w:ascii="Arial" w:hAnsi="Arial" w:cs="Arial"/>
              </w:rPr>
              <w:t>13</w:t>
            </w:r>
          </w:p>
        </w:tc>
      </w:tr>
      <w:tr w:rsidR="001B225E" w:rsidRPr="00C06E05" w14:paraId="4BF80833" w14:textId="77777777" w:rsidTr="00146DF8">
        <w:trPr>
          <w:trHeight w:val="272"/>
        </w:trPr>
        <w:tc>
          <w:tcPr>
            <w:tcW w:w="3649"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5FFE1C98" w14:textId="77777777" w:rsidR="001B225E" w:rsidRPr="00C06E05" w:rsidRDefault="001B225E" w:rsidP="00146DF8">
            <w:pPr>
              <w:spacing w:after="0" w:line="240" w:lineRule="auto"/>
              <w:rPr>
                <w:rFonts w:ascii="Arial" w:hAnsi="Arial" w:cs="Arial"/>
              </w:rPr>
            </w:pPr>
            <w:r w:rsidRPr="00C06E05">
              <w:rPr>
                <w:rFonts w:ascii="Arial" w:hAnsi="Arial" w:cs="Arial"/>
                <w:b/>
                <w:bCs/>
              </w:rPr>
              <w:t>Total</w:t>
            </w:r>
          </w:p>
        </w:tc>
        <w:tc>
          <w:tcPr>
            <w:tcW w:w="2488"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329BD17B"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116</w:t>
            </w:r>
          </w:p>
        </w:tc>
        <w:tc>
          <w:tcPr>
            <w:tcW w:w="2488"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1EC0227E"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100</w:t>
            </w:r>
          </w:p>
        </w:tc>
      </w:tr>
    </w:tbl>
    <w:p w14:paraId="055F70DC" w14:textId="77777777" w:rsidR="001B225E" w:rsidRDefault="001B225E" w:rsidP="001B225E">
      <w:pPr>
        <w:spacing w:after="0" w:line="480" w:lineRule="auto"/>
        <w:ind w:firstLine="720"/>
        <w:jc w:val="both"/>
        <w:rPr>
          <w:rFonts w:ascii="Arial" w:hAnsi="Arial" w:cs="Arial"/>
        </w:rPr>
      </w:pPr>
      <w:r w:rsidRPr="00C06E05">
        <w:rPr>
          <w:rFonts w:ascii="Arial" w:hAnsi="Arial" w:cs="Arial"/>
        </w:rPr>
        <w:t xml:space="preserve">Table </w:t>
      </w:r>
      <w:r>
        <w:rPr>
          <w:rFonts w:ascii="Arial" w:hAnsi="Arial" w:cs="Arial"/>
        </w:rPr>
        <w:t>5</w:t>
      </w:r>
      <w:r w:rsidRPr="00C06E05">
        <w:rPr>
          <w:rFonts w:ascii="Arial" w:hAnsi="Arial" w:cs="Arial"/>
        </w:rPr>
        <w:t xml:space="preserve"> presented the distribution of the respondents according to their major or specialization. The data showed that the largest group of LET takers, 39 or 34 percent, specialized in Physical Education, followed by 33 respondents or 28 percent in English. Filipino and Social Studies had 15 respondents or 13 percent and Home Economics had 14 respondents or 12 percent.</w:t>
      </w:r>
      <w:r>
        <w:rPr>
          <w:rFonts w:ascii="Arial" w:hAnsi="Arial" w:cs="Arial"/>
        </w:rPr>
        <w:t xml:space="preserve"> </w:t>
      </w:r>
      <w:r w:rsidRPr="00C06E05">
        <w:rPr>
          <w:rFonts w:ascii="Arial" w:hAnsi="Arial" w:cs="Arial"/>
        </w:rPr>
        <w:t xml:space="preserve">Data shows that the respondents were divided into five specialization areas. The biggest groups were Physical Education and English. This distribution represented the diversity of the teacher education programs offered by the community college and the relative enrollment strength of each specialization. The type of major directly affected </w:t>
      </w:r>
      <w:r w:rsidRPr="00C06E05">
        <w:rPr>
          <w:rFonts w:ascii="Arial" w:hAnsi="Arial" w:cs="Arial"/>
        </w:rPr>
        <w:lastRenderedPageBreak/>
        <w:t>licensure preparation as each major is a different knowledge domain that is measured in the specialization part of the LET. A teacher education graduate’s specialization is a major determinant of academic preparation and LET performance (</w:t>
      </w:r>
      <w:proofErr w:type="spellStart"/>
      <w:r w:rsidRPr="00C06E05">
        <w:rPr>
          <w:rFonts w:ascii="Arial" w:hAnsi="Arial" w:cs="Arial"/>
        </w:rPr>
        <w:t>Dionio</w:t>
      </w:r>
      <w:proofErr w:type="spellEnd"/>
      <w:r w:rsidRPr="00C06E05">
        <w:rPr>
          <w:rFonts w:ascii="Arial" w:hAnsi="Arial" w:cs="Arial"/>
        </w:rPr>
        <w:t xml:space="preserve"> et al., 2025).</w:t>
      </w:r>
    </w:p>
    <w:p w14:paraId="397963B7" w14:textId="77777777" w:rsidR="001B225E" w:rsidRDefault="001B225E" w:rsidP="001B225E">
      <w:pPr>
        <w:spacing w:after="0" w:line="480" w:lineRule="auto"/>
        <w:ind w:firstLine="720"/>
        <w:jc w:val="both"/>
        <w:rPr>
          <w:rFonts w:ascii="Arial" w:hAnsi="Arial" w:cs="Arial"/>
        </w:rPr>
      </w:pPr>
      <w:r w:rsidRPr="00C06E05">
        <w:rPr>
          <w:rFonts w:ascii="Arial" w:hAnsi="Arial" w:cs="Arial"/>
        </w:rPr>
        <w:t xml:space="preserve"> The performance in the specialization part of the licensure examination is related to the depth and breadth of content mastery in a particular subject area. In the same manner, </w:t>
      </w:r>
      <w:proofErr w:type="spellStart"/>
      <w:r w:rsidRPr="00C06E05">
        <w:rPr>
          <w:rFonts w:ascii="Arial" w:hAnsi="Arial" w:cs="Arial"/>
        </w:rPr>
        <w:t>Cadosales</w:t>
      </w:r>
      <w:proofErr w:type="spellEnd"/>
      <w:r w:rsidRPr="00C06E05">
        <w:rPr>
          <w:rFonts w:ascii="Arial" w:hAnsi="Arial" w:cs="Arial"/>
        </w:rPr>
        <w:t xml:space="preserve"> et al. (2023) found that academic indicators in some subjects were good proxies for content mastery, which implies that students who took coursework related to LET competencies were likely to be proficient in that area. The very presence of a plethora of specializations necessitated the need to maintain the quality of content in all the major offerings of the institution.</w:t>
      </w:r>
    </w:p>
    <w:p w14:paraId="00F33B60" w14:textId="77777777" w:rsidR="001B225E" w:rsidRPr="00C06E05" w:rsidRDefault="001B225E" w:rsidP="001B225E">
      <w:pPr>
        <w:spacing w:before="180" w:after="0" w:line="480" w:lineRule="auto"/>
        <w:rPr>
          <w:rFonts w:ascii="Arial" w:hAnsi="Arial" w:cs="Arial"/>
        </w:rPr>
      </w:pPr>
      <w:r w:rsidRPr="00C06E05">
        <w:rPr>
          <w:rFonts w:ascii="Arial" w:hAnsi="Arial" w:cs="Arial"/>
          <w:b/>
          <w:bCs/>
        </w:rPr>
        <w:t>LET Rating</w:t>
      </w:r>
    </w:p>
    <w:p w14:paraId="0E3987D4" w14:textId="77777777" w:rsidR="001B225E" w:rsidRDefault="001B225E" w:rsidP="001B225E">
      <w:pPr>
        <w:spacing w:after="0" w:line="480" w:lineRule="auto"/>
        <w:ind w:firstLine="720"/>
        <w:jc w:val="both"/>
        <w:rPr>
          <w:rFonts w:ascii="Arial" w:hAnsi="Arial" w:cs="Arial"/>
        </w:rPr>
      </w:pPr>
      <w:r w:rsidRPr="00C06E05">
        <w:rPr>
          <w:rFonts w:ascii="Arial" w:hAnsi="Arial" w:cs="Arial"/>
        </w:rPr>
        <w:t>The LET rating of the respondents was presented separately in terms of the overall rating and the three component ratings, namely General Education, Professional Education, and Major or Specialization, in accordance with the requirement to present the licensure rating across each examination component.</w:t>
      </w:r>
    </w:p>
    <w:p w14:paraId="501C7B1A" w14:textId="77777777" w:rsidR="001B225E" w:rsidRPr="00C06E05" w:rsidRDefault="001B225E" w:rsidP="001B225E">
      <w:pPr>
        <w:spacing w:line="480" w:lineRule="auto"/>
        <w:ind w:firstLine="720"/>
        <w:jc w:val="both"/>
        <w:rPr>
          <w:rFonts w:ascii="Arial" w:hAnsi="Arial" w:cs="Arial"/>
        </w:rPr>
      </w:pPr>
      <w:r w:rsidRPr="00C06E05">
        <w:rPr>
          <w:rFonts w:ascii="Arial" w:hAnsi="Arial" w:cs="Arial"/>
        </w:rPr>
        <w:t xml:space="preserve">Table </w:t>
      </w:r>
      <w:r>
        <w:rPr>
          <w:rFonts w:ascii="Arial" w:hAnsi="Arial" w:cs="Arial"/>
        </w:rPr>
        <w:t>8</w:t>
      </w:r>
      <w:r w:rsidRPr="00C06E05">
        <w:rPr>
          <w:rFonts w:ascii="Arial" w:hAnsi="Arial" w:cs="Arial"/>
        </w:rPr>
        <w:t xml:space="preserve"> presented the distribution of the respondents according to their overall LET rating. The data revealed that the highest number 43 or 37 percent</w:t>
      </w:r>
      <w:r>
        <w:rPr>
          <w:rFonts w:ascii="Arial" w:hAnsi="Arial" w:cs="Arial"/>
        </w:rPr>
        <w:t>,</w:t>
      </w:r>
      <w:r w:rsidRPr="00C06E05">
        <w:rPr>
          <w:rFonts w:ascii="Arial" w:hAnsi="Arial" w:cs="Arial"/>
        </w:rPr>
        <w:t xml:space="preserve"> got</w:t>
      </w:r>
      <w:r>
        <w:rPr>
          <w:rFonts w:ascii="Arial" w:hAnsi="Arial" w:cs="Arial"/>
        </w:rPr>
        <w:t xml:space="preserve"> </w:t>
      </w:r>
      <w:r w:rsidRPr="00C06E05">
        <w:rPr>
          <w:rFonts w:ascii="Arial" w:hAnsi="Arial" w:cs="Arial"/>
        </w:rPr>
        <w:t>the scores ranging from 85.00 to 89.99, 32 respondents</w:t>
      </w:r>
      <w:r>
        <w:rPr>
          <w:rFonts w:ascii="Arial" w:hAnsi="Arial" w:cs="Arial"/>
        </w:rPr>
        <w:t>,</w:t>
      </w:r>
      <w:r w:rsidRPr="00C06E05">
        <w:rPr>
          <w:rFonts w:ascii="Arial" w:hAnsi="Arial" w:cs="Arial"/>
        </w:rPr>
        <w:t xml:space="preserve"> or 28 percent</w:t>
      </w:r>
      <w:r>
        <w:rPr>
          <w:rFonts w:ascii="Arial" w:hAnsi="Arial" w:cs="Arial"/>
        </w:rPr>
        <w:t>,</w:t>
      </w:r>
      <w:r w:rsidRPr="00C06E05">
        <w:rPr>
          <w:rFonts w:ascii="Arial" w:hAnsi="Arial" w:cs="Arial"/>
        </w:rPr>
        <w:t xml:space="preserve"> got</w:t>
      </w:r>
      <w:r>
        <w:rPr>
          <w:rFonts w:ascii="Arial" w:hAnsi="Arial" w:cs="Arial"/>
        </w:rPr>
        <w:t xml:space="preserve"> the score ranging from 80.00 to 84.99 and 24 respondents or 21 percent got the scores </w:t>
      </w:r>
      <w:r w:rsidRPr="00C06E05">
        <w:rPr>
          <w:rFonts w:ascii="Arial" w:hAnsi="Arial" w:cs="Arial"/>
        </w:rPr>
        <w:t>ranging from 75.00 to 79.99. Eleven respondents or 9 percent were rated below 75.00, while 6 respondents or 5 percent were scored between 90.00 and 100.00.</w:t>
      </w:r>
    </w:p>
    <w:p w14:paraId="6FAB646E" w14:textId="77777777" w:rsidR="001B225E" w:rsidRPr="007374BD" w:rsidRDefault="001B225E" w:rsidP="001B225E">
      <w:pPr>
        <w:pStyle w:val="NoSpacing"/>
        <w:jc w:val="center"/>
        <w:rPr>
          <w:rFonts w:ascii="Arial" w:hAnsi="Arial" w:cs="Arial"/>
          <w:sz w:val="24"/>
          <w:szCs w:val="24"/>
        </w:rPr>
      </w:pPr>
      <w:r w:rsidRPr="007374BD">
        <w:rPr>
          <w:rFonts w:ascii="Arial" w:hAnsi="Arial" w:cs="Arial"/>
          <w:sz w:val="24"/>
          <w:szCs w:val="24"/>
        </w:rPr>
        <w:lastRenderedPageBreak/>
        <w:t>Table 8</w:t>
      </w:r>
    </w:p>
    <w:p w14:paraId="1D38B93D" w14:textId="77777777" w:rsidR="001B225E" w:rsidRPr="007374BD" w:rsidRDefault="001B225E" w:rsidP="001B225E">
      <w:pPr>
        <w:pStyle w:val="NoSpacing"/>
        <w:jc w:val="center"/>
        <w:rPr>
          <w:rFonts w:ascii="Arial" w:hAnsi="Arial" w:cs="Arial"/>
          <w:b/>
          <w:bCs/>
          <w:sz w:val="24"/>
          <w:szCs w:val="24"/>
        </w:rPr>
      </w:pPr>
      <w:r w:rsidRPr="007374BD">
        <w:rPr>
          <w:rFonts w:ascii="Arial" w:hAnsi="Arial" w:cs="Arial"/>
          <w:b/>
          <w:bCs/>
          <w:sz w:val="24"/>
          <w:szCs w:val="24"/>
        </w:rPr>
        <w:t>Overall LET Rating</w:t>
      </w:r>
    </w:p>
    <w:p w14:paraId="24271495" w14:textId="77777777" w:rsidR="001B225E" w:rsidRPr="007374BD" w:rsidRDefault="001B225E" w:rsidP="001B225E">
      <w:pPr>
        <w:pStyle w:val="NoSpacing"/>
        <w:jc w:val="center"/>
        <w:rPr>
          <w:rFonts w:ascii="Arial" w:hAnsi="Arial" w:cs="Arial"/>
          <w:sz w:val="24"/>
          <w:szCs w:val="24"/>
        </w:rPr>
      </w:pPr>
    </w:p>
    <w:tbl>
      <w:tblPr>
        <w:tblW w:w="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49"/>
        <w:gridCol w:w="2488"/>
        <w:gridCol w:w="2488"/>
      </w:tblGrid>
      <w:tr w:rsidR="001B225E" w:rsidRPr="00C06E05" w14:paraId="46C461E3" w14:textId="77777777" w:rsidTr="00146DF8">
        <w:trPr>
          <w:trHeight w:val="260"/>
          <w:tblHeader/>
        </w:trPr>
        <w:tc>
          <w:tcPr>
            <w:tcW w:w="3649"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0A4D4D2F" w14:textId="77777777" w:rsidR="001B225E" w:rsidRPr="00C06E05" w:rsidRDefault="001B225E" w:rsidP="00146DF8">
            <w:pPr>
              <w:spacing w:after="0" w:line="240" w:lineRule="auto"/>
              <w:rPr>
                <w:rFonts w:ascii="Arial" w:hAnsi="Arial" w:cs="Arial"/>
              </w:rPr>
            </w:pPr>
            <w:r w:rsidRPr="00C06E05">
              <w:rPr>
                <w:rFonts w:ascii="Arial" w:hAnsi="Arial" w:cs="Arial"/>
                <w:b/>
                <w:bCs/>
              </w:rPr>
              <w:t>Rating Interval</w:t>
            </w:r>
          </w:p>
        </w:tc>
        <w:tc>
          <w:tcPr>
            <w:tcW w:w="2488"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5296A844"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Frequency</w:t>
            </w:r>
          </w:p>
        </w:tc>
        <w:tc>
          <w:tcPr>
            <w:tcW w:w="2488"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78C20846"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Percentage</w:t>
            </w:r>
          </w:p>
        </w:tc>
      </w:tr>
      <w:tr w:rsidR="001B225E" w:rsidRPr="00C06E05" w14:paraId="58B1B5B5" w14:textId="77777777" w:rsidTr="00146DF8">
        <w:trPr>
          <w:trHeight w:val="278"/>
        </w:trPr>
        <w:tc>
          <w:tcPr>
            <w:tcW w:w="3649"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6EC1010" w14:textId="77777777" w:rsidR="001B225E" w:rsidRPr="00C06E05" w:rsidRDefault="001B225E" w:rsidP="00146DF8">
            <w:pPr>
              <w:spacing w:after="0" w:line="240" w:lineRule="auto"/>
              <w:rPr>
                <w:rFonts w:ascii="Arial" w:hAnsi="Arial" w:cs="Arial"/>
              </w:rPr>
            </w:pPr>
            <w:r w:rsidRPr="00C06E05">
              <w:rPr>
                <w:rFonts w:ascii="Arial" w:hAnsi="Arial" w:cs="Arial"/>
              </w:rPr>
              <w:t>Below 75.00</w:t>
            </w:r>
          </w:p>
        </w:tc>
        <w:tc>
          <w:tcPr>
            <w:tcW w:w="248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9312468" w14:textId="77777777" w:rsidR="001B225E" w:rsidRPr="00C06E05" w:rsidRDefault="001B225E" w:rsidP="00146DF8">
            <w:pPr>
              <w:spacing w:after="0" w:line="240" w:lineRule="auto"/>
              <w:jc w:val="center"/>
              <w:rPr>
                <w:rFonts w:ascii="Arial" w:hAnsi="Arial" w:cs="Arial"/>
              </w:rPr>
            </w:pPr>
            <w:r w:rsidRPr="00C06E05">
              <w:rPr>
                <w:rFonts w:ascii="Arial" w:hAnsi="Arial" w:cs="Arial"/>
              </w:rPr>
              <w:t>11</w:t>
            </w:r>
          </w:p>
        </w:tc>
        <w:tc>
          <w:tcPr>
            <w:tcW w:w="248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D4E8784" w14:textId="77777777" w:rsidR="001B225E" w:rsidRPr="00C06E05" w:rsidRDefault="001B225E" w:rsidP="00146DF8">
            <w:pPr>
              <w:spacing w:after="0" w:line="240" w:lineRule="auto"/>
              <w:jc w:val="center"/>
              <w:rPr>
                <w:rFonts w:ascii="Arial" w:hAnsi="Arial" w:cs="Arial"/>
              </w:rPr>
            </w:pPr>
            <w:r w:rsidRPr="00C06E05">
              <w:rPr>
                <w:rFonts w:ascii="Arial" w:hAnsi="Arial" w:cs="Arial"/>
              </w:rPr>
              <w:t>9</w:t>
            </w:r>
          </w:p>
        </w:tc>
      </w:tr>
      <w:tr w:rsidR="001B225E" w:rsidRPr="00C06E05" w14:paraId="218C2A57" w14:textId="77777777" w:rsidTr="00146DF8">
        <w:trPr>
          <w:trHeight w:val="278"/>
        </w:trPr>
        <w:tc>
          <w:tcPr>
            <w:tcW w:w="3649"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494CA07" w14:textId="77777777" w:rsidR="001B225E" w:rsidRPr="00C06E05" w:rsidRDefault="001B225E" w:rsidP="00146DF8">
            <w:pPr>
              <w:spacing w:after="0" w:line="240" w:lineRule="auto"/>
              <w:rPr>
                <w:rFonts w:ascii="Arial" w:hAnsi="Arial" w:cs="Arial"/>
              </w:rPr>
            </w:pPr>
            <w:r w:rsidRPr="00C06E05">
              <w:rPr>
                <w:rFonts w:ascii="Arial" w:hAnsi="Arial" w:cs="Arial"/>
              </w:rPr>
              <w:t>75.00 – 79.99</w:t>
            </w:r>
          </w:p>
        </w:tc>
        <w:tc>
          <w:tcPr>
            <w:tcW w:w="248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B175040" w14:textId="77777777" w:rsidR="001B225E" w:rsidRPr="00C06E05" w:rsidRDefault="001B225E" w:rsidP="00146DF8">
            <w:pPr>
              <w:spacing w:after="0" w:line="240" w:lineRule="auto"/>
              <w:jc w:val="center"/>
              <w:rPr>
                <w:rFonts w:ascii="Arial" w:hAnsi="Arial" w:cs="Arial"/>
              </w:rPr>
            </w:pPr>
            <w:r w:rsidRPr="00C06E05">
              <w:rPr>
                <w:rFonts w:ascii="Arial" w:hAnsi="Arial" w:cs="Arial"/>
              </w:rPr>
              <w:t>24</w:t>
            </w:r>
          </w:p>
        </w:tc>
        <w:tc>
          <w:tcPr>
            <w:tcW w:w="248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86E7BB1" w14:textId="77777777" w:rsidR="001B225E" w:rsidRPr="00C06E05" w:rsidRDefault="001B225E" w:rsidP="00146DF8">
            <w:pPr>
              <w:spacing w:after="0" w:line="240" w:lineRule="auto"/>
              <w:jc w:val="center"/>
              <w:rPr>
                <w:rFonts w:ascii="Arial" w:hAnsi="Arial" w:cs="Arial"/>
              </w:rPr>
            </w:pPr>
            <w:r w:rsidRPr="00C06E05">
              <w:rPr>
                <w:rFonts w:ascii="Arial" w:hAnsi="Arial" w:cs="Arial"/>
              </w:rPr>
              <w:t>21</w:t>
            </w:r>
          </w:p>
        </w:tc>
      </w:tr>
      <w:tr w:rsidR="001B225E" w:rsidRPr="00C06E05" w14:paraId="1A558A1D" w14:textId="77777777" w:rsidTr="00146DF8">
        <w:trPr>
          <w:trHeight w:val="260"/>
        </w:trPr>
        <w:tc>
          <w:tcPr>
            <w:tcW w:w="3649"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9411ACF" w14:textId="77777777" w:rsidR="001B225E" w:rsidRPr="00C06E05" w:rsidRDefault="001B225E" w:rsidP="00146DF8">
            <w:pPr>
              <w:spacing w:after="0" w:line="240" w:lineRule="auto"/>
              <w:rPr>
                <w:rFonts w:ascii="Arial" w:hAnsi="Arial" w:cs="Arial"/>
              </w:rPr>
            </w:pPr>
            <w:r w:rsidRPr="00C06E05">
              <w:rPr>
                <w:rFonts w:ascii="Arial" w:hAnsi="Arial" w:cs="Arial"/>
              </w:rPr>
              <w:t>80.00 – 84.99</w:t>
            </w:r>
          </w:p>
        </w:tc>
        <w:tc>
          <w:tcPr>
            <w:tcW w:w="248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1AE2A73" w14:textId="77777777" w:rsidR="001B225E" w:rsidRPr="00C06E05" w:rsidRDefault="001B225E" w:rsidP="00146DF8">
            <w:pPr>
              <w:spacing w:after="0" w:line="240" w:lineRule="auto"/>
              <w:jc w:val="center"/>
              <w:rPr>
                <w:rFonts w:ascii="Arial" w:hAnsi="Arial" w:cs="Arial"/>
              </w:rPr>
            </w:pPr>
            <w:r w:rsidRPr="00C06E05">
              <w:rPr>
                <w:rFonts w:ascii="Arial" w:hAnsi="Arial" w:cs="Arial"/>
              </w:rPr>
              <w:t>32</w:t>
            </w:r>
          </w:p>
        </w:tc>
        <w:tc>
          <w:tcPr>
            <w:tcW w:w="248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19F60E8" w14:textId="77777777" w:rsidR="001B225E" w:rsidRPr="00C06E05" w:rsidRDefault="001B225E" w:rsidP="00146DF8">
            <w:pPr>
              <w:spacing w:after="0" w:line="240" w:lineRule="auto"/>
              <w:jc w:val="center"/>
              <w:rPr>
                <w:rFonts w:ascii="Arial" w:hAnsi="Arial" w:cs="Arial"/>
              </w:rPr>
            </w:pPr>
            <w:r w:rsidRPr="00C06E05">
              <w:rPr>
                <w:rFonts w:ascii="Arial" w:hAnsi="Arial" w:cs="Arial"/>
              </w:rPr>
              <w:t>28</w:t>
            </w:r>
          </w:p>
        </w:tc>
      </w:tr>
      <w:tr w:rsidR="001B225E" w:rsidRPr="00C06E05" w14:paraId="65C55A0B" w14:textId="77777777" w:rsidTr="00146DF8">
        <w:trPr>
          <w:trHeight w:val="278"/>
        </w:trPr>
        <w:tc>
          <w:tcPr>
            <w:tcW w:w="3649"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EA0283D" w14:textId="77777777" w:rsidR="001B225E" w:rsidRPr="00C06E05" w:rsidRDefault="001B225E" w:rsidP="00146DF8">
            <w:pPr>
              <w:spacing w:after="0" w:line="240" w:lineRule="auto"/>
              <w:rPr>
                <w:rFonts w:ascii="Arial" w:hAnsi="Arial" w:cs="Arial"/>
              </w:rPr>
            </w:pPr>
            <w:r w:rsidRPr="00C06E05">
              <w:rPr>
                <w:rFonts w:ascii="Arial" w:hAnsi="Arial" w:cs="Arial"/>
              </w:rPr>
              <w:t>85.00 – 89.99</w:t>
            </w:r>
          </w:p>
        </w:tc>
        <w:tc>
          <w:tcPr>
            <w:tcW w:w="248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134A4B8" w14:textId="77777777" w:rsidR="001B225E" w:rsidRPr="00C06E05" w:rsidRDefault="001B225E" w:rsidP="00146DF8">
            <w:pPr>
              <w:spacing w:after="0" w:line="240" w:lineRule="auto"/>
              <w:jc w:val="center"/>
              <w:rPr>
                <w:rFonts w:ascii="Arial" w:hAnsi="Arial" w:cs="Arial"/>
              </w:rPr>
            </w:pPr>
            <w:r w:rsidRPr="00C06E05">
              <w:rPr>
                <w:rFonts w:ascii="Arial" w:hAnsi="Arial" w:cs="Arial"/>
              </w:rPr>
              <w:t>43</w:t>
            </w:r>
          </w:p>
        </w:tc>
        <w:tc>
          <w:tcPr>
            <w:tcW w:w="248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BA00AA7" w14:textId="77777777" w:rsidR="001B225E" w:rsidRPr="00C06E05" w:rsidRDefault="001B225E" w:rsidP="00146DF8">
            <w:pPr>
              <w:spacing w:after="0" w:line="240" w:lineRule="auto"/>
              <w:jc w:val="center"/>
              <w:rPr>
                <w:rFonts w:ascii="Arial" w:hAnsi="Arial" w:cs="Arial"/>
              </w:rPr>
            </w:pPr>
            <w:r w:rsidRPr="00C06E05">
              <w:rPr>
                <w:rFonts w:ascii="Arial" w:hAnsi="Arial" w:cs="Arial"/>
              </w:rPr>
              <w:t>37</w:t>
            </w:r>
          </w:p>
        </w:tc>
      </w:tr>
      <w:tr w:rsidR="001B225E" w:rsidRPr="00C06E05" w14:paraId="740FDD92" w14:textId="77777777" w:rsidTr="00146DF8">
        <w:trPr>
          <w:trHeight w:val="278"/>
        </w:trPr>
        <w:tc>
          <w:tcPr>
            <w:tcW w:w="3649"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5F1C4CBC" w14:textId="77777777" w:rsidR="001B225E" w:rsidRPr="00C06E05" w:rsidRDefault="001B225E" w:rsidP="00146DF8">
            <w:pPr>
              <w:spacing w:after="0" w:line="240" w:lineRule="auto"/>
              <w:rPr>
                <w:rFonts w:ascii="Arial" w:hAnsi="Arial" w:cs="Arial"/>
              </w:rPr>
            </w:pPr>
            <w:r w:rsidRPr="00C06E05">
              <w:rPr>
                <w:rFonts w:ascii="Arial" w:hAnsi="Arial" w:cs="Arial"/>
              </w:rPr>
              <w:t>90.00 – 100.00</w:t>
            </w:r>
          </w:p>
        </w:tc>
        <w:tc>
          <w:tcPr>
            <w:tcW w:w="2488"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5BB8A1FC" w14:textId="77777777" w:rsidR="001B225E" w:rsidRPr="00C06E05" w:rsidRDefault="001B225E" w:rsidP="00146DF8">
            <w:pPr>
              <w:spacing w:after="0" w:line="240" w:lineRule="auto"/>
              <w:jc w:val="center"/>
              <w:rPr>
                <w:rFonts w:ascii="Arial" w:hAnsi="Arial" w:cs="Arial"/>
              </w:rPr>
            </w:pPr>
            <w:r w:rsidRPr="00C06E05">
              <w:rPr>
                <w:rFonts w:ascii="Arial" w:hAnsi="Arial" w:cs="Arial"/>
              </w:rPr>
              <w:t>6</w:t>
            </w:r>
          </w:p>
        </w:tc>
        <w:tc>
          <w:tcPr>
            <w:tcW w:w="2488"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552B2AA5" w14:textId="77777777" w:rsidR="001B225E" w:rsidRPr="00C06E05" w:rsidRDefault="001B225E" w:rsidP="00146DF8">
            <w:pPr>
              <w:spacing w:after="0" w:line="240" w:lineRule="auto"/>
              <w:jc w:val="center"/>
              <w:rPr>
                <w:rFonts w:ascii="Arial" w:hAnsi="Arial" w:cs="Arial"/>
              </w:rPr>
            </w:pPr>
            <w:r w:rsidRPr="00C06E05">
              <w:rPr>
                <w:rFonts w:ascii="Arial" w:hAnsi="Arial" w:cs="Arial"/>
              </w:rPr>
              <w:t>5</w:t>
            </w:r>
          </w:p>
        </w:tc>
      </w:tr>
      <w:tr w:rsidR="001B225E" w:rsidRPr="00C06E05" w14:paraId="4E9CCD5B" w14:textId="77777777" w:rsidTr="00146DF8">
        <w:trPr>
          <w:trHeight w:val="278"/>
        </w:trPr>
        <w:tc>
          <w:tcPr>
            <w:tcW w:w="3649"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1FB41DE1" w14:textId="77777777" w:rsidR="001B225E" w:rsidRPr="00C06E05" w:rsidRDefault="001B225E" w:rsidP="00146DF8">
            <w:pPr>
              <w:spacing w:after="0" w:line="240" w:lineRule="auto"/>
              <w:rPr>
                <w:rFonts w:ascii="Arial" w:hAnsi="Arial" w:cs="Arial"/>
              </w:rPr>
            </w:pPr>
            <w:r w:rsidRPr="00C06E05">
              <w:rPr>
                <w:rFonts w:ascii="Arial" w:hAnsi="Arial" w:cs="Arial"/>
                <w:b/>
                <w:bCs/>
              </w:rPr>
              <w:t>Total</w:t>
            </w:r>
          </w:p>
        </w:tc>
        <w:tc>
          <w:tcPr>
            <w:tcW w:w="2488"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5BEB1388"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116</w:t>
            </w:r>
          </w:p>
        </w:tc>
        <w:tc>
          <w:tcPr>
            <w:tcW w:w="2488"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64593D98"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100</w:t>
            </w:r>
          </w:p>
        </w:tc>
      </w:tr>
    </w:tbl>
    <w:p w14:paraId="707EED6E" w14:textId="77777777" w:rsidR="001B225E" w:rsidRPr="007374BD" w:rsidRDefault="001B225E" w:rsidP="001B225E">
      <w:pPr>
        <w:spacing w:line="480" w:lineRule="auto"/>
        <w:jc w:val="both"/>
        <w:rPr>
          <w:rFonts w:ascii="Arial" w:hAnsi="Arial" w:cs="Arial"/>
          <w:sz w:val="8"/>
          <w:szCs w:val="8"/>
        </w:rPr>
      </w:pPr>
    </w:p>
    <w:p w14:paraId="506778D7" w14:textId="77777777" w:rsidR="001B225E" w:rsidRPr="00C06E05" w:rsidRDefault="001B225E" w:rsidP="001B225E">
      <w:pPr>
        <w:spacing w:line="480" w:lineRule="auto"/>
        <w:ind w:firstLine="720"/>
        <w:jc w:val="both"/>
        <w:rPr>
          <w:rFonts w:ascii="Arial" w:hAnsi="Arial" w:cs="Arial"/>
        </w:rPr>
      </w:pPr>
      <w:r w:rsidRPr="00C06E05">
        <w:rPr>
          <w:rFonts w:ascii="Arial" w:hAnsi="Arial" w:cs="Arial"/>
        </w:rPr>
        <w:t xml:space="preserve">The data revealed that the majority of the respondents received general ratings higher than or equal to the minimum passing score of 75.00, with the greatest number in the 85.00 to 89.99 range, although some of the takers scored below the passing grade. This distribution showed that although the majority of the community college graduates had the competency needed for professional licensure, the remaining percentage still did not meet the standard. This implied areas of institutional improvement. This is in agreement with Bustos et al. (2025) who found that the performance of teacher education graduates on the licensure examination in the Philippines tends to cluster around the passing score, which calls for systemic reforms in examination preparation and curriculum alignment. Likewise, </w:t>
      </w:r>
      <w:proofErr w:type="spellStart"/>
      <w:r w:rsidRPr="00C06E05">
        <w:rPr>
          <w:rFonts w:ascii="Arial" w:hAnsi="Arial" w:cs="Arial"/>
        </w:rPr>
        <w:t>Cadosales</w:t>
      </w:r>
      <w:proofErr w:type="spellEnd"/>
      <w:r w:rsidRPr="00C06E05">
        <w:rPr>
          <w:rFonts w:ascii="Arial" w:hAnsi="Arial" w:cs="Arial"/>
        </w:rPr>
        <w:t xml:space="preserve"> et al. (2023) stated that LET performance data can be used as a diagnostic tool for institutional program improvement, pointing out that the distribution of scores indicates areas in the curriculum and preparation processes that need attention. Therefore, the distribution of the total scores mirrored the institution’s strengths and areas for improvement in pre-service preparation, similar to the diagnostic focus of Abao et al. (2023).</w:t>
      </w:r>
    </w:p>
    <w:p w14:paraId="2C93AEE4" w14:textId="77777777" w:rsidR="001B225E" w:rsidRPr="007374BD" w:rsidRDefault="001B225E" w:rsidP="001B225E">
      <w:pPr>
        <w:pStyle w:val="NoSpacing"/>
        <w:jc w:val="center"/>
        <w:rPr>
          <w:rFonts w:ascii="Arial" w:hAnsi="Arial" w:cs="Arial"/>
          <w:sz w:val="24"/>
          <w:szCs w:val="24"/>
        </w:rPr>
      </w:pPr>
      <w:r w:rsidRPr="007374BD">
        <w:rPr>
          <w:rFonts w:ascii="Arial" w:hAnsi="Arial" w:cs="Arial"/>
          <w:sz w:val="24"/>
          <w:szCs w:val="24"/>
        </w:rPr>
        <w:lastRenderedPageBreak/>
        <w:t>Table 9</w:t>
      </w:r>
    </w:p>
    <w:p w14:paraId="38A9320D" w14:textId="77777777" w:rsidR="001B225E" w:rsidRDefault="001B225E" w:rsidP="001B225E">
      <w:pPr>
        <w:pStyle w:val="NoSpacing"/>
        <w:jc w:val="center"/>
        <w:rPr>
          <w:rFonts w:ascii="Arial" w:hAnsi="Arial" w:cs="Arial"/>
          <w:b/>
          <w:bCs/>
          <w:sz w:val="24"/>
          <w:szCs w:val="24"/>
        </w:rPr>
      </w:pPr>
      <w:r w:rsidRPr="007374BD">
        <w:rPr>
          <w:rFonts w:ascii="Arial" w:hAnsi="Arial" w:cs="Arial"/>
          <w:b/>
          <w:bCs/>
          <w:sz w:val="24"/>
          <w:szCs w:val="24"/>
        </w:rPr>
        <w:t>General Education</w:t>
      </w:r>
    </w:p>
    <w:p w14:paraId="4DF1F2AA" w14:textId="77777777" w:rsidR="001B225E" w:rsidRPr="007374BD" w:rsidRDefault="001B225E" w:rsidP="001B225E">
      <w:pPr>
        <w:pStyle w:val="NoSpacing"/>
        <w:jc w:val="center"/>
        <w:rPr>
          <w:rFonts w:ascii="Arial" w:hAnsi="Arial" w:cs="Arial"/>
          <w:b/>
          <w:bCs/>
          <w:sz w:val="24"/>
          <w:szCs w:val="24"/>
        </w:rPr>
      </w:pPr>
    </w:p>
    <w:tbl>
      <w:tblPr>
        <w:tblW w:w="8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43"/>
        <w:gridCol w:w="2484"/>
        <w:gridCol w:w="2484"/>
      </w:tblGrid>
      <w:tr w:rsidR="001B225E" w:rsidRPr="00C06E05" w14:paraId="5E66CB12" w14:textId="77777777" w:rsidTr="00146DF8">
        <w:trPr>
          <w:trHeight w:val="263"/>
          <w:tblHeader/>
        </w:trPr>
        <w:tc>
          <w:tcPr>
            <w:tcW w:w="3643"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55F74AB5" w14:textId="77777777" w:rsidR="001B225E" w:rsidRPr="00C06E05" w:rsidRDefault="001B225E" w:rsidP="00146DF8">
            <w:pPr>
              <w:spacing w:after="0" w:line="240" w:lineRule="auto"/>
              <w:rPr>
                <w:rFonts w:ascii="Arial" w:hAnsi="Arial" w:cs="Arial"/>
              </w:rPr>
            </w:pPr>
            <w:r w:rsidRPr="00C06E05">
              <w:rPr>
                <w:rFonts w:ascii="Arial" w:hAnsi="Arial" w:cs="Arial"/>
                <w:b/>
                <w:bCs/>
              </w:rPr>
              <w:t>Rating Interval</w:t>
            </w:r>
          </w:p>
        </w:tc>
        <w:tc>
          <w:tcPr>
            <w:tcW w:w="2484"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0AF9F1A0"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Frequency</w:t>
            </w:r>
          </w:p>
        </w:tc>
        <w:tc>
          <w:tcPr>
            <w:tcW w:w="2484"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31B741DF"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Percentage</w:t>
            </w:r>
          </w:p>
        </w:tc>
      </w:tr>
      <w:tr w:rsidR="001B225E" w:rsidRPr="00C06E05" w14:paraId="5071A780" w14:textId="77777777" w:rsidTr="00146DF8">
        <w:trPr>
          <w:trHeight w:val="263"/>
        </w:trPr>
        <w:tc>
          <w:tcPr>
            <w:tcW w:w="364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889612F" w14:textId="77777777" w:rsidR="001B225E" w:rsidRPr="00C06E05" w:rsidRDefault="001B225E" w:rsidP="00146DF8">
            <w:pPr>
              <w:spacing w:after="0" w:line="240" w:lineRule="auto"/>
              <w:rPr>
                <w:rFonts w:ascii="Arial" w:hAnsi="Arial" w:cs="Arial"/>
              </w:rPr>
            </w:pPr>
            <w:r w:rsidRPr="00C06E05">
              <w:rPr>
                <w:rFonts w:ascii="Arial" w:hAnsi="Arial" w:cs="Arial"/>
              </w:rPr>
              <w:t>Below 75.00</w:t>
            </w:r>
          </w:p>
        </w:tc>
        <w:tc>
          <w:tcPr>
            <w:tcW w:w="2484"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9621447" w14:textId="77777777" w:rsidR="001B225E" w:rsidRPr="00C06E05" w:rsidRDefault="001B225E" w:rsidP="00146DF8">
            <w:pPr>
              <w:spacing w:after="0" w:line="240" w:lineRule="auto"/>
              <w:jc w:val="center"/>
              <w:rPr>
                <w:rFonts w:ascii="Arial" w:hAnsi="Arial" w:cs="Arial"/>
              </w:rPr>
            </w:pPr>
            <w:r w:rsidRPr="00C06E05">
              <w:rPr>
                <w:rFonts w:ascii="Arial" w:hAnsi="Arial" w:cs="Arial"/>
              </w:rPr>
              <w:t>18</w:t>
            </w:r>
          </w:p>
        </w:tc>
        <w:tc>
          <w:tcPr>
            <w:tcW w:w="2484"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2B0B739" w14:textId="77777777" w:rsidR="001B225E" w:rsidRPr="00C06E05" w:rsidRDefault="001B225E" w:rsidP="00146DF8">
            <w:pPr>
              <w:spacing w:after="0" w:line="240" w:lineRule="auto"/>
              <w:jc w:val="center"/>
              <w:rPr>
                <w:rFonts w:ascii="Arial" w:hAnsi="Arial" w:cs="Arial"/>
              </w:rPr>
            </w:pPr>
            <w:r w:rsidRPr="00C06E05">
              <w:rPr>
                <w:rFonts w:ascii="Arial" w:hAnsi="Arial" w:cs="Arial"/>
              </w:rPr>
              <w:t>16</w:t>
            </w:r>
          </w:p>
        </w:tc>
      </w:tr>
      <w:tr w:rsidR="001B225E" w:rsidRPr="00C06E05" w14:paraId="5638D86B" w14:textId="77777777" w:rsidTr="00146DF8">
        <w:trPr>
          <w:trHeight w:val="234"/>
        </w:trPr>
        <w:tc>
          <w:tcPr>
            <w:tcW w:w="364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333B045" w14:textId="77777777" w:rsidR="001B225E" w:rsidRPr="00C06E05" w:rsidRDefault="001B225E" w:rsidP="00146DF8">
            <w:pPr>
              <w:spacing w:after="0" w:line="240" w:lineRule="auto"/>
              <w:rPr>
                <w:rFonts w:ascii="Arial" w:hAnsi="Arial" w:cs="Arial"/>
              </w:rPr>
            </w:pPr>
            <w:r w:rsidRPr="00C06E05">
              <w:rPr>
                <w:rFonts w:ascii="Arial" w:hAnsi="Arial" w:cs="Arial"/>
              </w:rPr>
              <w:t>75.00 – 79.99</w:t>
            </w:r>
          </w:p>
        </w:tc>
        <w:tc>
          <w:tcPr>
            <w:tcW w:w="2484"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0FE1E95" w14:textId="77777777" w:rsidR="001B225E" w:rsidRPr="00C06E05" w:rsidRDefault="001B225E" w:rsidP="00146DF8">
            <w:pPr>
              <w:spacing w:after="0" w:line="240" w:lineRule="auto"/>
              <w:jc w:val="center"/>
              <w:rPr>
                <w:rFonts w:ascii="Arial" w:hAnsi="Arial" w:cs="Arial"/>
              </w:rPr>
            </w:pPr>
            <w:r w:rsidRPr="00C06E05">
              <w:rPr>
                <w:rFonts w:ascii="Arial" w:hAnsi="Arial" w:cs="Arial"/>
              </w:rPr>
              <w:t>19</w:t>
            </w:r>
          </w:p>
        </w:tc>
        <w:tc>
          <w:tcPr>
            <w:tcW w:w="2484"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FE819F7" w14:textId="77777777" w:rsidR="001B225E" w:rsidRPr="00C06E05" w:rsidRDefault="001B225E" w:rsidP="00146DF8">
            <w:pPr>
              <w:spacing w:after="0" w:line="240" w:lineRule="auto"/>
              <w:jc w:val="center"/>
              <w:rPr>
                <w:rFonts w:ascii="Arial" w:hAnsi="Arial" w:cs="Arial"/>
              </w:rPr>
            </w:pPr>
            <w:r w:rsidRPr="00C06E05">
              <w:rPr>
                <w:rFonts w:ascii="Arial" w:hAnsi="Arial" w:cs="Arial"/>
              </w:rPr>
              <w:t>16</w:t>
            </w:r>
          </w:p>
        </w:tc>
      </w:tr>
      <w:tr w:rsidR="001B225E" w:rsidRPr="00C06E05" w14:paraId="30657A1D" w14:textId="77777777" w:rsidTr="00146DF8">
        <w:trPr>
          <w:trHeight w:val="263"/>
        </w:trPr>
        <w:tc>
          <w:tcPr>
            <w:tcW w:w="364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DD369D8" w14:textId="77777777" w:rsidR="001B225E" w:rsidRPr="00C06E05" w:rsidRDefault="001B225E" w:rsidP="00146DF8">
            <w:pPr>
              <w:spacing w:after="0" w:line="240" w:lineRule="auto"/>
              <w:rPr>
                <w:rFonts w:ascii="Arial" w:hAnsi="Arial" w:cs="Arial"/>
              </w:rPr>
            </w:pPr>
            <w:r w:rsidRPr="00C06E05">
              <w:rPr>
                <w:rFonts w:ascii="Arial" w:hAnsi="Arial" w:cs="Arial"/>
              </w:rPr>
              <w:t>80.00 – 84.99</w:t>
            </w:r>
          </w:p>
        </w:tc>
        <w:tc>
          <w:tcPr>
            <w:tcW w:w="2484"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2906FAB" w14:textId="77777777" w:rsidR="001B225E" w:rsidRPr="00C06E05" w:rsidRDefault="001B225E" w:rsidP="00146DF8">
            <w:pPr>
              <w:spacing w:after="0" w:line="240" w:lineRule="auto"/>
              <w:jc w:val="center"/>
              <w:rPr>
                <w:rFonts w:ascii="Arial" w:hAnsi="Arial" w:cs="Arial"/>
              </w:rPr>
            </w:pPr>
            <w:r w:rsidRPr="00C06E05">
              <w:rPr>
                <w:rFonts w:ascii="Arial" w:hAnsi="Arial" w:cs="Arial"/>
              </w:rPr>
              <w:t>30</w:t>
            </w:r>
          </w:p>
        </w:tc>
        <w:tc>
          <w:tcPr>
            <w:tcW w:w="2484"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A18B1B0" w14:textId="77777777" w:rsidR="001B225E" w:rsidRPr="00C06E05" w:rsidRDefault="001B225E" w:rsidP="00146DF8">
            <w:pPr>
              <w:spacing w:after="0" w:line="240" w:lineRule="auto"/>
              <w:jc w:val="center"/>
              <w:rPr>
                <w:rFonts w:ascii="Arial" w:hAnsi="Arial" w:cs="Arial"/>
              </w:rPr>
            </w:pPr>
            <w:r w:rsidRPr="00C06E05">
              <w:rPr>
                <w:rFonts w:ascii="Arial" w:hAnsi="Arial" w:cs="Arial"/>
              </w:rPr>
              <w:t>26</w:t>
            </w:r>
          </w:p>
        </w:tc>
      </w:tr>
      <w:tr w:rsidR="001B225E" w:rsidRPr="00C06E05" w14:paraId="00A33AE2" w14:textId="77777777" w:rsidTr="00146DF8">
        <w:trPr>
          <w:trHeight w:val="234"/>
        </w:trPr>
        <w:tc>
          <w:tcPr>
            <w:tcW w:w="364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00A87D2" w14:textId="77777777" w:rsidR="001B225E" w:rsidRPr="00C06E05" w:rsidRDefault="001B225E" w:rsidP="00146DF8">
            <w:pPr>
              <w:spacing w:after="0" w:line="240" w:lineRule="auto"/>
              <w:rPr>
                <w:rFonts w:ascii="Arial" w:hAnsi="Arial" w:cs="Arial"/>
              </w:rPr>
            </w:pPr>
            <w:r w:rsidRPr="00C06E05">
              <w:rPr>
                <w:rFonts w:ascii="Arial" w:hAnsi="Arial" w:cs="Arial"/>
              </w:rPr>
              <w:t>85.00 – 89.99</w:t>
            </w:r>
          </w:p>
        </w:tc>
        <w:tc>
          <w:tcPr>
            <w:tcW w:w="2484"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F096298" w14:textId="77777777" w:rsidR="001B225E" w:rsidRPr="00C06E05" w:rsidRDefault="001B225E" w:rsidP="00146DF8">
            <w:pPr>
              <w:spacing w:after="0" w:line="240" w:lineRule="auto"/>
              <w:jc w:val="center"/>
              <w:rPr>
                <w:rFonts w:ascii="Arial" w:hAnsi="Arial" w:cs="Arial"/>
              </w:rPr>
            </w:pPr>
            <w:r w:rsidRPr="00C06E05">
              <w:rPr>
                <w:rFonts w:ascii="Arial" w:hAnsi="Arial" w:cs="Arial"/>
              </w:rPr>
              <w:t>33</w:t>
            </w:r>
          </w:p>
        </w:tc>
        <w:tc>
          <w:tcPr>
            <w:tcW w:w="2484"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6186338" w14:textId="77777777" w:rsidR="001B225E" w:rsidRPr="00C06E05" w:rsidRDefault="001B225E" w:rsidP="00146DF8">
            <w:pPr>
              <w:spacing w:after="0" w:line="240" w:lineRule="auto"/>
              <w:jc w:val="center"/>
              <w:rPr>
                <w:rFonts w:ascii="Arial" w:hAnsi="Arial" w:cs="Arial"/>
              </w:rPr>
            </w:pPr>
            <w:r w:rsidRPr="00C06E05">
              <w:rPr>
                <w:rFonts w:ascii="Arial" w:hAnsi="Arial" w:cs="Arial"/>
              </w:rPr>
              <w:t>28</w:t>
            </w:r>
          </w:p>
        </w:tc>
      </w:tr>
      <w:tr w:rsidR="001B225E" w:rsidRPr="00C06E05" w14:paraId="6ED1CF42" w14:textId="77777777" w:rsidTr="00146DF8">
        <w:trPr>
          <w:trHeight w:val="263"/>
        </w:trPr>
        <w:tc>
          <w:tcPr>
            <w:tcW w:w="3643"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111693EC" w14:textId="77777777" w:rsidR="001B225E" w:rsidRPr="00C06E05" w:rsidRDefault="001B225E" w:rsidP="00146DF8">
            <w:pPr>
              <w:spacing w:after="0" w:line="240" w:lineRule="auto"/>
              <w:rPr>
                <w:rFonts w:ascii="Arial" w:hAnsi="Arial" w:cs="Arial"/>
              </w:rPr>
            </w:pPr>
            <w:r w:rsidRPr="00C06E05">
              <w:rPr>
                <w:rFonts w:ascii="Arial" w:hAnsi="Arial" w:cs="Arial"/>
              </w:rPr>
              <w:t>90.00 – 100.00</w:t>
            </w:r>
          </w:p>
        </w:tc>
        <w:tc>
          <w:tcPr>
            <w:tcW w:w="2484"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2A357178" w14:textId="77777777" w:rsidR="001B225E" w:rsidRPr="00C06E05" w:rsidRDefault="001B225E" w:rsidP="00146DF8">
            <w:pPr>
              <w:spacing w:after="0" w:line="240" w:lineRule="auto"/>
              <w:jc w:val="center"/>
              <w:rPr>
                <w:rFonts w:ascii="Arial" w:hAnsi="Arial" w:cs="Arial"/>
              </w:rPr>
            </w:pPr>
            <w:r w:rsidRPr="00C06E05">
              <w:rPr>
                <w:rFonts w:ascii="Arial" w:hAnsi="Arial" w:cs="Arial"/>
              </w:rPr>
              <w:t>16</w:t>
            </w:r>
          </w:p>
        </w:tc>
        <w:tc>
          <w:tcPr>
            <w:tcW w:w="2484"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5F4ED86E" w14:textId="77777777" w:rsidR="001B225E" w:rsidRPr="00C06E05" w:rsidRDefault="001B225E" w:rsidP="00146DF8">
            <w:pPr>
              <w:spacing w:after="0" w:line="240" w:lineRule="auto"/>
              <w:jc w:val="center"/>
              <w:rPr>
                <w:rFonts w:ascii="Arial" w:hAnsi="Arial" w:cs="Arial"/>
              </w:rPr>
            </w:pPr>
            <w:r w:rsidRPr="00C06E05">
              <w:rPr>
                <w:rFonts w:ascii="Arial" w:hAnsi="Arial" w:cs="Arial"/>
              </w:rPr>
              <w:t>14</w:t>
            </w:r>
          </w:p>
        </w:tc>
      </w:tr>
      <w:tr w:rsidR="001B225E" w:rsidRPr="00C06E05" w14:paraId="1E7174DD" w14:textId="77777777" w:rsidTr="00146DF8">
        <w:trPr>
          <w:trHeight w:val="263"/>
        </w:trPr>
        <w:tc>
          <w:tcPr>
            <w:tcW w:w="3643"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020910AA" w14:textId="77777777" w:rsidR="001B225E" w:rsidRPr="00C06E05" w:rsidRDefault="001B225E" w:rsidP="00146DF8">
            <w:pPr>
              <w:spacing w:after="0" w:line="240" w:lineRule="auto"/>
              <w:rPr>
                <w:rFonts w:ascii="Arial" w:hAnsi="Arial" w:cs="Arial"/>
              </w:rPr>
            </w:pPr>
            <w:r w:rsidRPr="00C06E05">
              <w:rPr>
                <w:rFonts w:ascii="Arial" w:hAnsi="Arial" w:cs="Arial"/>
                <w:b/>
                <w:bCs/>
              </w:rPr>
              <w:t>Total</w:t>
            </w:r>
          </w:p>
        </w:tc>
        <w:tc>
          <w:tcPr>
            <w:tcW w:w="2484"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30D0FCA3"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116</w:t>
            </w:r>
          </w:p>
        </w:tc>
        <w:tc>
          <w:tcPr>
            <w:tcW w:w="2484"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5C78B981"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100</w:t>
            </w:r>
          </w:p>
        </w:tc>
      </w:tr>
    </w:tbl>
    <w:p w14:paraId="019D0473" w14:textId="77777777" w:rsidR="001B225E" w:rsidRPr="00C06E05" w:rsidRDefault="001B225E" w:rsidP="001B225E">
      <w:pPr>
        <w:spacing w:before="240" w:line="480" w:lineRule="auto"/>
        <w:ind w:firstLine="720"/>
        <w:jc w:val="both"/>
        <w:rPr>
          <w:rFonts w:ascii="Arial" w:hAnsi="Arial" w:cs="Arial"/>
        </w:rPr>
      </w:pPr>
      <w:r w:rsidRPr="00C06E05">
        <w:rPr>
          <w:rFonts w:ascii="Arial" w:hAnsi="Arial" w:cs="Arial"/>
        </w:rPr>
        <w:t xml:space="preserve">Table </w:t>
      </w:r>
      <w:r>
        <w:rPr>
          <w:rFonts w:ascii="Arial" w:hAnsi="Arial" w:cs="Arial"/>
        </w:rPr>
        <w:t>9</w:t>
      </w:r>
      <w:r w:rsidRPr="00C06E05">
        <w:rPr>
          <w:rFonts w:ascii="Arial" w:hAnsi="Arial" w:cs="Arial"/>
        </w:rPr>
        <w:t xml:space="preserve"> presented the distribution of the respondents according to their LET rating in the General Education component. The data showed that 33 respondents or 28 percent scored between 85.00 and 89.99, followed by 30 respondents or 26 percent scored between 80.00 and 84.99. Eighteen respondents (16%) scored below 75.00, 19 respondents (16%) scored between 75.00 and 79.99 and 16 respondents (14%) scored between 90.00 and 100.00.</w:t>
      </w:r>
    </w:p>
    <w:p w14:paraId="7FC07229" w14:textId="77777777" w:rsidR="001B225E" w:rsidRDefault="001B225E" w:rsidP="001B225E">
      <w:pPr>
        <w:spacing w:after="0" w:line="480" w:lineRule="auto"/>
        <w:ind w:firstLine="720"/>
        <w:jc w:val="both"/>
        <w:rPr>
          <w:rFonts w:ascii="Arial" w:hAnsi="Arial" w:cs="Arial"/>
        </w:rPr>
      </w:pPr>
      <w:r w:rsidRPr="00C06E05">
        <w:rPr>
          <w:rFonts w:ascii="Arial" w:hAnsi="Arial" w:cs="Arial"/>
        </w:rPr>
        <w:t>The data were suggestive of a broad distribution of the General Education ratings. A significant proportion of the respondents scored below the pass mark. The General Education component was a relative challenge for the takers. The finding suggested the need to enhance curricular support for the breadth of content covered within the General Education domain. The literature shows that the congruence between the contents of the general education courses and the LET assessment is a salient determinant of the licensure performance, and the shortfalls of the curriculum mirror the low performance in this area (</w:t>
      </w:r>
      <w:proofErr w:type="spellStart"/>
      <w:r w:rsidRPr="00C06E05">
        <w:rPr>
          <w:rFonts w:ascii="Arial" w:hAnsi="Arial" w:cs="Arial"/>
        </w:rPr>
        <w:t>Balinario</w:t>
      </w:r>
      <w:proofErr w:type="spellEnd"/>
      <w:r w:rsidRPr="00C06E05">
        <w:rPr>
          <w:rFonts w:ascii="Arial" w:hAnsi="Arial" w:cs="Arial"/>
        </w:rPr>
        <w:t xml:space="preserve"> et al., 2023). </w:t>
      </w:r>
    </w:p>
    <w:p w14:paraId="14E88C8E" w14:textId="77777777" w:rsidR="001B225E" w:rsidRPr="00C06E05" w:rsidRDefault="001B225E" w:rsidP="001B225E">
      <w:pPr>
        <w:spacing w:line="480" w:lineRule="auto"/>
        <w:ind w:firstLine="720"/>
        <w:jc w:val="both"/>
        <w:rPr>
          <w:rFonts w:ascii="Arial" w:hAnsi="Arial" w:cs="Arial"/>
        </w:rPr>
      </w:pPr>
      <w:r w:rsidRPr="00C06E05">
        <w:rPr>
          <w:rFonts w:ascii="Arial" w:hAnsi="Arial" w:cs="Arial"/>
        </w:rPr>
        <w:lastRenderedPageBreak/>
        <w:t>Similarly, Delos Angeles (2020) found that the level of curriculum congruence with the LET competencies was a significant predictor of candidate performance and the incongruence of course objectives and licensure content had a negative impact on the examination results. Darling-Hammond and Bransford (2005) also argue that coherent programs of teacher preparation that integrate general academic content with pedagogical competencies produce graduates that are more closely aligned with the demands of professional licensure. The</w:t>
      </w:r>
      <w:r>
        <w:rPr>
          <w:rFonts w:ascii="Arial" w:hAnsi="Arial" w:cs="Arial"/>
        </w:rPr>
        <w:t xml:space="preserve"> </w:t>
      </w:r>
      <w:r w:rsidRPr="00C06E05">
        <w:rPr>
          <w:rFonts w:ascii="Arial" w:hAnsi="Arial" w:cs="Arial"/>
        </w:rPr>
        <w:t>distribution of General Education ratings, therefore, showed the need for a focused curricular review of this component.</w:t>
      </w:r>
    </w:p>
    <w:p w14:paraId="3864D39E" w14:textId="77777777" w:rsidR="001B225E" w:rsidRPr="007374BD" w:rsidRDefault="001B225E" w:rsidP="001B225E">
      <w:pPr>
        <w:pStyle w:val="NoSpacing"/>
        <w:jc w:val="center"/>
        <w:rPr>
          <w:rFonts w:ascii="Arial" w:hAnsi="Arial" w:cs="Arial"/>
          <w:sz w:val="24"/>
          <w:szCs w:val="24"/>
        </w:rPr>
      </w:pPr>
      <w:r w:rsidRPr="007374BD">
        <w:rPr>
          <w:rFonts w:ascii="Arial" w:hAnsi="Arial" w:cs="Arial"/>
          <w:sz w:val="24"/>
          <w:szCs w:val="24"/>
        </w:rPr>
        <w:t>Table 10</w:t>
      </w:r>
    </w:p>
    <w:p w14:paraId="0F171870" w14:textId="77777777" w:rsidR="001B225E" w:rsidRPr="007374BD" w:rsidRDefault="001B225E" w:rsidP="001B225E">
      <w:pPr>
        <w:pStyle w:val="NoSpacing"/>
        <w:jc w:val="center"/>
        <w:rPr>
          <w:rFonts w:ascii="Arial" w:hAnsi="Arial" w:cs="Arial"/>
          <w:b/>
          <w:bCs/>
          <w:sz w:val="24"/>
          <w:szCs w:val="24"/>
        </w:rPr>
      </w:pPr>
      <w:r w:rsidRPr="007374BD">
        <w:rPr>
          <w:rFonts w:ascii="Arial" w:hAnsi="Arial" w:cs="Arial"/>
          <w:b/>
          <w:bCs/>
          <w:sz w:val="24"/>
          <w:szCs w:val="24"/>
        </w:rPr>
        <w:t>Professional Education</w:t>
      </w:r>
    </w:p>
    <w:p w14:paraId="04113178" w14:textId="77777777" w:rsidR="001B225E" w:rsidRPr="007374BD" w:rsidRDefault="001B225E" w:rsidP="001B225E">
      <w:pPr>
        <w:pStyle w:val="NoSpacing"/>
        <w:jc w:val="center"/>
        <w:rPr>
          <w:rFonts w:ascii="Arial" w:hAnsi="Arial" w:cs="Arial"/>
          <w:sz w:val="24"/>
          <w:szCs w:val="24"/>
        </w:rPr>
      </w:pPr>
    </w:p>
    <w:tbl>
      <w:tblPr>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63"/>
        <w:gridCol w:w="2497"/>
        <w:gridCol w:w="2497"/>
      </w:tblGrid>
      <w:tr w:rsidR="001B225E" w:rsidRPr="00C06E05" w14:paraId="79FE81B3" w14:textId="77777777" w:rsidTr="00146DF8">
        <w:trPr>
          <w:trHeight w:val="264"/>
          <w:tblHeader/>
        </w:trPr>
        <w:tc>
          <w:tcPr>
            <w:tcW w:w="3663"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22A38596" w14:textId="77777777" w:rsidR="001B225E" w:rsidRPr="00C06E05" w:rsidRDefault="001B225E" w:rsidP="00146DF8">
            <w:pPr>
              <w:spacing w:after="0" w:line="240" w:lineRule="auto"/>
              <w:rPr>
                <w:rFonts w:ascii="Arial" w:hAnsi="Arial" w:cs="Arial"/>
              </w:rPr>
            </w:pPr>
            <w:r w:rsidRPr="00C06E05">
              <w:rPr>
                <w:rFonts w:ascii="Arial" w:hAnsi="Arial" w:cs="Arial"/>
                <w:b/>
                <w:bCs/>
              </w:rPr>
              <w:t>Rating Interval</w:t>
            </w:r>
          </w:p>
        </w:tc>
        <w:tc>
          <w:tcPr>
            <w:tcW w:w="2497"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76489FC9"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Frequency</w:t>
            </w:r>
          </w:p>
        </w:tc>
        <w:tc>
          <w:tcPr>
            <w:tcW w:w="2497"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5B26C91F"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Percentage</w:t>
            </w:r>
          </w:p>
        </w:tc>
      </w:tr>
      <w:tr w:rsidR="001B225E" w:rsidRPr="00C06E05" w14:paraId="4C69B21E" w14:textId="77777777" w:rsidTr="00146DF8">
        <w:trPr>
          <w:trHeight w:val="264"/>
        </w:trPr>
        <w:tc>
          <w:tcPr>
            <w:tcW w:w="366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3C2AF42" w14:textId="77777777" w:rsidR="001B225E" w:rsidRPr="00C06E05" w:rsidRDefault="001B225E" w:rsidP="00146DF8">
            <w:pPr>
              <w:spacing w:after="0" w:line="240" w:lineRule="auto"/>
              <w:rPr>
                <w:rFonts w:ascii="Arial" w:hAnsi="Arial" w:cs="Arial"/>
              </w:rPr>
            </w:pPr>
            <w:r w:rsidRPr="00C06E05">
              <w:rPr>
                <w:rFonts w:ascii="Arial" w:hAnsi="Arial" w:cs="Arial"/>
              </w:rPr>
              <w:t>Below 75.00</w:t>
            </w:r>
          </w:p>
        </w:tc>
        <w:tc>
          <w:tcPr>
            <w:tcW w:w="249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ECA3AC9" w14:textId="77777777" w:rsidR="001B225E" w:rsidRPr="00C06E05" w:rsidRDefault="001B225E" w:rsidP="00146DF8">
            <w:pPr>
              <w:spacing w:after="0" w:line="240" w:lineRule="auto"/>
              <w:jc w:val="center"/>
              <w:rPr>
                <w:rFonts w:ascii="Arial" w:hAnsi="Arial" w:cs="Arial"/>
              </w:rPr>
            </w:pPr>
            <w:r w:rsidRPr="00C06E05">
              <w:rPr>
                <w:rFonts w:ascii="Arial" w:hAnsi="Arial" w:cs="Arial"/>
              </w:rPr>
              <w:t>23</w:t>
            </w:r>
          </w:p>
        </w:tc>
        <w:tc>
          <w:tcPr>
            <w:tcW w:w="249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F3E199F" w14:textId="77777777" w:rsidR="001B225E" w:rsidRPr="00C06E05" w:rsidRDefault="001B225E" w:rsidP="00146DF8">
            <w:pPr>
              <w:spacing w:after="0" w:line="240" w:lineRule="auto"/>
              <w:jc w:val="center"/>
              <w:rPr>
                <w:rFonts w:ascii="Arial" w:hAnsi="Arial" w:cs="Arial"/>
              </w:rPr>
            </w:pPr>
            <w:r w:rsidRPr="00C06E05">
              <w:rPr>
                <w:rFonts w:ascii="Arial" w:hAnsi="Arial" w:cs="Arial"/>
              </w:rPr>
              <w:t>20</w:t>
            </w:r>
          </w:p>
        </w:tc>
      </w:tr>
      <w:tr w:rsidR="001B225E" w:rsidRPr="00C06E05" w14:paraId="6DFF0F3E" w14:textId="77777777" w:rsidTr="00146DF8">
        <w:trPr>
          <w:trHeight w:val="264"/>
        </w:trPr>
        <w:tc>
          <w:tcPr>
            <w:tcW w:w="366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DE2FC12" w14:textId="77777777" w:rsidR="001B225E" w:rsidRPr="00C06E05" w:rsidRDefault="001B225E" w:rsidP="00146DF8">
            <w:pPr>
              <w:spacing w:after="0" w:line="240" w:lineRule="auto"/>
              <w:rPr>
                <w:rFonts w:ascii="Arial" w:hAnsi="Arial" w:cs="Arial"/>
              </w:rPr>
            </w:pPr>
            <w:r w:rsidRPr="00C06E05">
              <w:rPr>
                <w:rFonts w:ascii="Arial" w:hAnsi="Arial" w:cs="Arial"/>
              </w:rPr>
              <w:t>75.00 – 79.99</w:t>
            </w:r>
          </w:p>
        </w:tc>
        <w:tc>
          <w:tcPr>
            <w:tcW w:w="249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7ED09D7" w14:textId="77777777" w:rsidR="001B225E" w:rsidRPr="00C06E05" w:rsidRDefault="001B225E" w:rsidP="00146DF8">
            <w:pPr>
              <w:spacing w:after="0" w:line="240" w:lineRule="auto"/>
              <w:jc w:val="center"/>
              <w:rPr>
                <w:rFonts w:ascii="Arial" w:hAnsi="Arial" w:cs="Arial"/>
              </w:rPr>
            </w:pPr>
            <w:r w:rsidRPr="00C06E05">
              <w:rPr>
                <w:rFonts w:ascii="Arial" w:hAnsi="Arial" w:cs="Arial"/>
              </w:rPr>
              <w:t>30</w:t>
            </w:r>
          </w:p>
        </w:tc>
        <w:tc>
          <w:tcPr>
            <w:tcW w:w="249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B9F6C00" w14:textId="77777777" w:rsidR="001B225E" w:rsidRPr="00C06E05" w:rsidRDefault="001B225E" w:rsidP="00146DF8">
            <w:pPr>
              <w:spacing w:after="0" w:line="240" w:lineRule="auto"/>
              <w:jc w:val="center"/>
              <w:rPr>
                <w:rFonts w:ascii="Arial" w:hAnsi="Arial" w:cs="Arial"/>
              </w:rPr>
            </w:pPr>
            <w:r w:rsidRPr="00C06E05">
              <w:rPr>
                <w:rFonts w:ascii="Arial" w:hAnsi="Arial" w:cs="Arial"/>
              </w:rPr>
              <w:t>26</w:t>
            </w:r>
          </w:p>
        </w:tc>
      </w:tr>
      <w:tr w:rsidR="001B225E" w:rsidRPr="00C06E05" w14:paraId="16777BA1" w14:textId="77777777" w:rsidTr="00146DF8">
        <w:trPr>
          <w:trHeight w:val="264"/>
        </w:trPr>
        <w:tc>
          <w:tcPr>
            <w:tcW w:w="366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CF8B628" w14:textId="77777777" w:rsidR="001B225E" w:rsidRPr="00C06E05" w:rsidRDefault="001B225E" w:rsidP="00146DF8">
            <w:pPr>
              <w:spacing w:after="0" w:line="240" w:lineRule="auto"/>
              <w:rPr>
                <w:rFonts w:ascii="Arial" w:hAnsi="Arial" w:cs="Arial"/>
              </w:rPr>
            </w:pPr>
            <w:r w:rsidRPr="00C06E05">
              <w:rPr>
                <w:rFonts w:ascii="Arial" w:hAnsi="Arial" w:cs="Arial"/>
              </w:rPr>
              <w:t>80.00 – 84.99</w:t>
            </w:r>
          </w:p>
        </w:tc>
        <w:tc>
          <w:tcPr>
            <w:tcW w:w="249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C71074E" w14:textId="77777777" w:rsidR="001B225E" w:rsidRPr="00C06E05" w:rsidRDefault="001B225E" w:rsidP="00146DF8">
            <w:pPr>
              <w:spacing w:after="0" w:line="240" w:lineRule="auto"/>
              <w:jc w:val="center"/>
              <w:rPr>
                <w:rFonts w:ascii="Arial" w:hAnsi="Arial" w:cs="Arial"/>
              </w:rPr>
            </w:pPr>
            <w:r w:rsidRPr="00C06E05">
              <w:rPr>
                <w:rFonts w:ascii="Arial" w:hAnsi="Arial" w:cs="Arial"/>
              </w:rPr>
              <w:t>34</w:t>
            </w:r>
          </w:p>
        </w:tc>
        <w:tc>
          <w:tcPr>
            <w:tcW w:w="249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7320F08" w14:textId="77777777" w:rsidR="001B225E" w:rsidRPr="00C06E05" w:rsidRDefault="001B225E" w:rsidP="00146DF8">
            <w:pPr>
              <w:spacing w:after="0" w:line="240" w:lineRule="auto"/>
              <w:jc w:val="center"/>
              <w:rPr>
                <w:rFonts w:ascii="Arial" w:hAnsi="Arial" w:cs="Arial"/>
              </w:rPr>
            </w:pPr>
            <w:r w:rsidRPr="00C06E05">
              <w:rPr>
                <w:rFonts w:ascii="Arial" w:hAnsi="Arial" w:cs="Arial"/>
              </w:rPr>
              <w:t>29</w:t>
            </w:r>
          </w:p>
        </w:tc>
      </w:tr>
      <w:tr w:rsidR="001B225E" w:rsidRPr="00C06E05" w14:paraId="5F1B38D6" w14:textId="77777777" w:rsidTr="00146DF8">
        <w:trPr>
          <w:trHeight w:val="235"/>
        </w:trPr>
        <w:tc>
          <w:tcPr>
            <w:tcW w:w="366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0CE7B2D" w14:textId="77777777" w:rsidR="001B225E" w:rsidRPr="00C06E05" w:rsidRDefault="001B225E" w:rsidP="00146DF8">
            <w:pPr>
              <w:spacing w:after="0" w:line="240" w:lineRule="auto"/>
              <w:rPr>
                <w:rFonts w:ascii="Arial" w:hAnsi="Arial" w:cs="Arial"/>
              </w:rPr>
            </w:pPr>
            <w:r w:rsidRPr="00C06E05">
              <w:rPr>
                <w:rFonts w:ascii="Arial" w:hAnsi="Arial" w:cs="Arial"/>
              </w:rPr>
              <w:t>85.00 – 89.99</w:t>
            </w:r>
          </w:p>
        </w:tc>
        <w:tc>
          <w:tcPr>
            <w:tcW w:w="249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C581CDB" w14:textId="77777777" w:rsidR="001B225E" w:rsidRPr="00C06E05" w:rsidRDefault="001B225E" w:rsidP="00146DF8">
            <w:pPr>
              <w:spacing w:after="0" w:line="240" w:lineRule="auto"/>
              <w:jc w:val="center"/>
              <w:rPr>
                <w:rFonts w:ascii="Arial" w:hAnsi="Arial" w:cs="Arial"/>
              </w:rPr>
            </w:pPr>
            <w:r w:rsidRPr="00C06E05">
              <w:rPr>
                <w:rFonts w:ascii="Arial" w:hAnsi="Arial" w:cs="Arial"/>
              </w:rPr>
              <w:t>25</w:t>
            </w:r>
          </w:p>
        </w:tc>
        <w:tc>
          <w:tcPr>
            <w:tcW w:w="249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B57B72E" w14:textId="77777777" w:rsidR="001B225E" w:rsidRPr="00C06E05" w:rsidRDefault="001B225E" w:rsidP="00146DF8">
            <w:pPr>
              <w:spacing w:after="0" w:line="240" w:lineRule="auto"/>
              <w:jc w:val="center"/>
              <w:rPr>
                <w:rFonts w:ascii="Arial" w:hAnsi="Arial" w:cs="Arial"/>
              </w:rPr>
            </w:pPr>
            <w:r w:rsidRPr="00C06E05">
              <w:rPr>
                <w:rFonts w:ascii="Arial" w:hAnsi="Arial" w:cs="Arial"/>
              </w:rPr>
              <w:t>22</w:t>
            </w:r>
          </w:p>
        </w:tc>
      </w:tr>
      <w:tr w:rsidR="001B225E" w:rsidRPr="00C06E05" w14:paraId="62013CC0" w14:textId="77777777" w:rsidTr="00146DF8">
        <w:trPr>
          <w:trHeight w:val="264"/>
        </w:trPr>
        <w:tc>
          <w:tcPr>
            <w:tcW w:w="3663"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32605920" w14:textId="77777777" w:rsidR="001B225E" w:rsidRPr="00C06E05" w:rsidRDefault="001B225E" w:rsidP="00146DF8">
            <w:pPr>
              <w:spacing w:after="0" w:line="240" w:lineRule="auto"/>
              <w:rPr>
                <w:rFonts w:ascii="Arial" w:hAnsi="Arial" w:cs="Arial"/>
              </w:rPr>
            </w:pPr>
            <w:r w:rsidRPr="00C06E05">
              <w:rPr>
                <w:rFonts w:ascii="Arial" w:hAnsi="Arial" w:cs="Arial"/>
              </w:rPr>
              <w:t>90.00 – 100.00</w:t>
            </w:r>
          </w:p>
        </w:tc>
        <w:tc>
          <w:tcPr>
            <w:tcW w:w="2497"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3547E7A8" w14:textId="77777777" w:rsidR="001B225E" w:rsidRPr="00C06E05" w:rsidRDefault="001B225E" w:rsidP="00146DF8">
            <w:pPr>
              <w:spacing w:after="0" w:line="240" w:lineRule="auto"/>
              <w:jc w:val="center"/>
              <w:rPr>
                <w:rFonts w:ascii="Arial" w:hAnsi="Arial" w:cs="Arial"/>
              </w:rPr>
            </w:pPr>
            <w:r w:rsidRPr="00C06E05">
              <w:rPr>
                <w:rFonts w:ascii="Arial" w:hAnsi="Arial" w:cs="Arial"/>
              </w:rPr>
              <w:t>4</w:t>
            </w:r>
          </w:p>
        </w:tc>
        <w:tc>
          <w:tcPr>
            <w:tcW w:w="2497"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228EF95D" w14:textId="77777777" w:rsidR="001B225E" w:rsidRPr="00C06E05" w:rsidRDefault="001B225E" w:rsidP="00146DF8">
            <w:pPr>
              <w:spacing w:after="0" w:line="240" w:lineRule="auto"/>
              <w:jc w:val="center"/>
              <w:rPr>
                <w:rFonts w:ascii="Arial" w:hAnsi="Arial" w:cs="Arial"/>
              </w:rPr>
            </w:pPr>
            <w:r w:rsidRPr="00C06E05">
              <w:rPr>
                <w:rFonts w:ascii="Arial" w:hAnsi="Arial" w:cs="Arial"/>
              </w:rPr>
              <w:t>3</w:t>
            </w:r>
          </w:p>
        </w:tc>
      </w:tr>
      <w:tr w:rsidR="001B225E" w:rsidRPr="00C06E05" w14:paraId="21D5C71A" w14:textId="77777777" w:rsidTr="00146DF8">
        <w:trPr>
          <w:trHeight w:val="294"/>
        </w:trPr>
        <w:tc>
          <w:tcPr>
            <w:tcW w:w="3663"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64847507" w14:textId="77777777" w:rsidR="001B225E" w:rsidRPr="00C06E05" w:rsidRDefault="001B225E" w:rsidP="00146DF8">
            <w:pPr>
              <w:spacing w:after="0" w:line="240" w:lineRule="auto"/>
              <w:rPr>
                <w:rFonts w:ascii="Arial" w:hAnsi="Arial" w:cs="Arial"/>
              </w:rPr>
            </w:pPr>
            <w:r w:rsidRPr="00C06E05">
              <w:rPr>
                <w:rFonts w:ascii="Arial" w:hAnsi="Arial" w:cs="Arial"/>
                <w:b/>
                <w:bCs/>
              </w:rPr>
              <w:t>Total</w:t>
            </w:r>
          </w:p>
        </w:tc>
        <w:tc>
          <w:tcPr>
            <w:tcW w:w="2497"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488A813B"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116</w:t>
            </w:r>
          </w:p>
        </w:tc>
        <w:tc>
          <w:tcPr>
            <w:tcW w:w="2497"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048C9FA9"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100</w:t>
            </w:r>
          </w:p>
        </w:tc>
      </w:tr>
    </w:tbl>
    <w:p w14:paraId="2143E679" w14:textId="77777777" w:rsidR="001B225E" w:rsidRDefault="001B225E" w:rsidP="001B225E">
      <w:pPr>
        <w:spacing w:after="0" w:line="480" w:lineRule="auto"/>
        <w:ind w:firstLine="720"/>
        <w:jc w:val="both"/>
        <w:rPr>
          <w:rFonts w:ascii="Arial" w:hAnsi="Arial" w:cs="Arial"/>
        </w:rPr>
      </w:pPr>
    </w:p>
    <w:p w14:paraId="44ED6202"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t xml:space="preserve">Table </w:t>
      </w:r>
      <w:r>
        <w:rPr>
          <w:rFonts w:ascii="Arial" w:hAnsi="Arial" w:cs="Arial"/>
        </w:rPr>
        <w:t xml:space="preserve">10 </w:t>
      </w:r>
      <w:r w:rsidRPr="00C06E05">
        <w:rPr>
          <w:rFonts w:ascii="Arial" w:hAnsi="Arial" w:cs="Arial"/>
        </w:rPr>
        <w:t xml:space="preserve">presented the distribution of the respondents according to their LET rating in the Professional Education component. The data showed that 34 respondents or 29 percent got a score of 80.00 to 84.99, followed by 30 respondents or 26 percent who got a score of 75.00 to 79.99, and 25 respondents or 22 percent who got a score of 85.00 to 89.99. Twenty-three or 20 percent of the </w:t>
      </w:r>
      <w:r w:rsidRPr="00C06E05">
        <w:rPr>
          <w:rFonts w:ascii="Arial" w:hAnsi="Arial" w:cs="Arial"/>
        </w:rPr>
        <w:lastRenderedPageBreak/>
        <w:t>respondents scored below 75.00, whereas 4 or 3 percent of the respondents scored between 90.00 and 100.00.</w:t>
      </w:r>
    </w:p>
    <w:p w14:paraId="61D5CD74" w14:textId="77777777" w:rsidR="001B225E" w:rsidRDefault="001B225E" w:rsidP="001B225E">
      <w:pPr>
        <w:spacing w:line="480" w:lineRule="auto"/>
        <w:ind w:firstLine="720"/>
        <w:jc w:val="both"/>
        <w:rPr>
          <w:rFonts w:ascii="Arial" w:hAnsi="Arial" w:cs="Arial"/>
        </w:rPr>
      </w:pPr>
      <w:r w:rsidRPr="00C06E05">
        <w:rPr>
          <w:rFonts w:ascii="Arial" w:hAnsi="Arial" w:cs="Arial"/>
        </w:rPr>
        <w:t xml:space="preserve">The data showed that the Professional Education ratings were within the middle range, with a significant number of respondents scoring below the passing mark, implying that pedagogical content was also a challenge for a segment of the takers. The distribution, as the domain of Professional Education directly measures pedagogical knowledge and teaching competencies, indicated the need to strengthen this area of preparation. </w:t>
      </w:r>
      <w:proofErr w:type="spellStart"/>
      <w:r w:rsidRPr="00C06E05">
        <w:rPr>
          <w:rFonts w:ascii="Arial" w:hAnsi="Arial" w:cs="Arial"/>
        </w:rPr>
        <w:t>Amanonce</w:t>
      </w:r>
      <w:proofErr w:type="spellEnd"/>
      <w:r w:rsidRPr="00C06E05">
        <w:rPr>
          <w:rFonts w:ascii="Arial" w:hAnsi="Arial" w:cs="Arial"/>
        </w:rPr>
        <w:t xml:space="preserve"> and Maramag (2020) found that professional education grades are among the strongest academic predictors of LET performance, reflecting the central role of pedagogical mastery in licensure outcomes. Lao (2021) similarly found that students who excelled in professional education courses had a significantly higher chance of passing the LET, and that the quality of instruction and content coverage in this area were important factors in meeting the licensure cut score. </w:t>
      </w:r>
    </w:p>
    <w:p w14:paraId="6237B61A" w14:textId="77777777" w:rsidR="001B225E" w:rsidRDefault="001B225E" w:rsidP="001B225E">
      <w:pPr>
        <w:spacing w:after="0" w:line="480" w:lineRule="auto"/>
        <w:ind w:firstLine="720"/>
        <w:jc w:val="both"/>
        <w:rPr>
          <w:rFonts w:ascii="Arial" w:hAnsi="Arial" w:cs="Arial"/>
        </w:rPr>
      </w:pPr>
      <w:r w:rsidRPr="00C06E05">
        <w:rPr>
          <w:rFonts w:ascii="Arial" w:hAnsi="Arial" w:cs="Arial"/>
        </w:rPr>
        <w:t>The Professional Regulation Commission (2025) likewise reiterated that preparation for the LET should be aligned with the curriculum and examination coverage for professional education. The distribution of Professional Education ratings therefore highlighted the need to reinforce pedagogical preparation across the program.</w:t>
      </w:r>
    </w:p>
    <w:p w14:paraId="0E51F0EB" w14:textId="77777777" w:rsidR="001B225E" w:rsidRPr="00C06E05" w:rsidRDefault="001B225E" w:rsidP="001B225E">
      <w:pPr>
        <w:spacing w:after="0" w:line="480" w:lineRule="auto"/>
        <w:ind w:firstLine="720"/>
        <w:jc w:val="both"/>
        <w:rPr>
          <w:rFonts w:ascii="Arial" w:hAnsi="Arial" w:cs="Arial"/>
        </w:rPr>
      </w:pPr>
      <w:r>
        <w:rPr>
          <w:rFonts w:ascii="Arial" w:hAnsi="Arial" w:cs="Arial"/>
        </w:rPr>
        <w:t xml:space="preserve">Table </w:t>
      </w:r>
      <w:r w:rsidRPr="00C06E05">
        <w:rPr>
          <w:rFonts w:ascii="Arial" w:hAnsi="Arial" w:cs="Arial"/>
        </w:rPr>
        <w:t>1</w:t>
      </w:r>
      <w:r>
        <w:rPr>
          <w:rFonts w:ascii="Arial" w:hAnsi="Arial" w:cs="Arial"/>
        </w:rPr>
        <w:t xml:space="preserve">1 </w:t>
      </w:r>
      <w:r w:rsidRPr="00C06E05">
        <w:rPr>
          <w:rFonts w:ascii="Arial" w:hAnsi="Arial" w:cs="Arial"/>
        </w:rPr>
        <w:t>shows the distribution of the respondents according to their</w:t>
      </w:r>
      <w:r>
        <w:rPr>
          <w:rFonts w:ascii="Arial" w:hAnsi="Arial" w:cs="Arial"/>
        </w:rPr>
        <w:t xml:space="preserve"> LET </w:t>
      </w:r>
      <w:r w:rsidRPr="00C06E05">
        <w:rPr>
          <w:rFonts w:ascii="Arial" w:hAnsi="Arial" w:cs="Arial"/>
        </w:rPr>
        <w:t>rating in the Major or Specialization component. The data showed that there were</w:t>
      </w:r>
      <w:r>
        <w:rPr>
          <w:rFonts w:ascii="Arial" w:hAnsi="Arial" w:cs="Arial"/>
        </w:rPr>
        <w:t xml:space="preserve"> </w:t>
      </w:r>
      <w:r w:rsidRPr="00C06E05">
        <w:rPr>
          <w:rFonts w:ascii="Arial" w:hAnsi="Arial" w:cs="Arial"/>
        </w:rPr>
        <w:t>34</w:t>
      </w:r>
      <w:r>
        <w:rPr>
          <w:rFonts w:ascii="Arial" w:hAnsi="Arial" w:cs="Arial"/>
        </w:rPr>
        <w:t xml:space="preserve"> </w:t>
      </w:r>
      <w:r w:rsidRPr="00C06E05">
        <w:rPr>
          <w:rFonts w:ascii="Arial" w:hAnsi="Arial" w:cs="Arial"/>
        </w:rPr>
        <w:t>respondents or 29 percent with score of 80.00-84.99</w:t>
      </w:r>
      <w:r>
        <w:rPr>
          <w:rFonts w:ascii="Arial" w:hAnsi="Arial" w:cs="Arial"/>
        </w:rPr>
        <w:t xml:space="preserve"> </w:t>
      </w:r>
      <w:r w:rsidRPr="00C06E05">
        <w:rPr>
          <w:rFonts w:ascii="Arial" w:hAnsi="Arial" w:cs="Arial"/>
        </w:rPr>
        <w:t>and there were 34</w:t>
      </w:r>
    </w:p>
    <w:p w14:paraId="7894294E" w14:textId="77777777" w:rsidR="001B225E" w:rsidRPr="007374BD" w:rsidRDefault="001B225E" w:rsidP="001B225E">
      <w:pPr>
        <w:pStyle w:val="NoSpacing"/>
        <w:jc w:val="center"/>
        <w:rPr>
          <w:rFonts w:ascii="Arial" w:hAnsi="Arial" w:cs="Arial"/>
          <w:sz w:val="24"/>
          <w:szCs w:val="24"/>
        </w:rPr>
      </w:pPr>
      <w:r w:rsidRPr="007374BD">
        <w:rPr>
          <w:rFonts w:ascii="Arial" w:hAnsi="Arial" w:cs="Arial"/>
          <w:sz w:val="24"/>
          <w:szCs w:val="24"/>
        </w:rPr>
        <w:lastRenderedPageBreak/>
        <w:t>Table 11</w:t>
      </w:r>
    </w:p>
    <w:p w14:paraId="67018F8B" w14:textId="77777777" w:rsidR="001B225E" w:rsidRPr="007374BD" w:rsidRDefault="001B225E" w:rsidP="001B225E">
      <w:pPr>
        <w:pStyle w:val="NoSpacing"/>
        <w:jc w:val="center"/>
        <w:rPr>
          <w:rFonts w:ascii="Arial" w:hAnsi="Arial" w:cs="Arial"/>
          <w:b/>
          <w:bCs/>
          <w:sz w:val="24"/>
          <w:szCs w:val="24"/>
        </w:rPr>
      </w:pPr>
      <w:r w:rsidRPr="007374BD">
        <w:rPr>
          <w:rFonts w:ascii="Arial" w:hAnsi="Arial" w:cs="Arial"/>
          <w:b/>
          <w:bCs/>
          <w:sz w:val="24"/>
          <w:szCs w:val="24"/>
        </w:rPr>
        <w:t>Major/Specialization</w:t>
      </w:r>
    </w:p>
    <w:p w14:paraId="41ECAB3A" w14:textId="77777777" w:rsidR="001B225E" w:rsidRPr="007374BD" w:rsidRDefault="001B225E" w:rsidP="001B225E">
      <w:pPr>
        <w:pStyle w:val="NoSpacing"/>
        <w:jc w:val="center"/>
        <w:rPr>
          <w:rFonts w:ascii="Arial" w:hAnsi="Arial" w:cs="Arial"/>
          <w:sz w:val="24"/>
          <w:szCs w:val="24"/>
        </w:rPr>
      </w:pPr>
    </w:p>
    <w:tbl>
      <w:tblPr>
        <w:tblW w:w="8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37"/>
        <w:gridCol w:w="2480"/>
        <w:gridCol w:w="2480"/>
      </w:tblGrid>
      <w:tr w:rsidR="001B225E" w:rsidRPr="00C06E05" w14:paraId="781CAC9D" w14:textId="77777777" w:rsidTr="00146DF8">
        <w:trPr>
          <w:trHeight w:val="258"/>
          <w:tblHeader/>
        </w:trPr>
        <w:tc>
          <w:tcPr>
            <w:tcW w:w="3637"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2F71A0D8" w14:textId="77777777" w:rsidR="001B225E" w:rsidRPr="00C06E05" w:rsidRDefault="001B225E" w:rsidP="00146DF8">
            <w:pPr>
              <w:spacing w:after="0" w:line="240" w:lineRule="auto"/>
              <w:rPr>
                <w:rFonts w:ascii="Arial" w:hAnsi="Arial" w:cs="Arial"/>
              </w:rPr>
            </w:pPr>
            <w:r w:rsidRPr="00C06E05">
              <w:rPr>
                <w:rFonts w:ascii="Arial" w:hAnsi="Arial" w:cs="Arial"/>
                <w:b/>
                <w:bCs/>
              </w:rPr>
              <w:t>Rating Interval</w:t>
            </w:r>
          </w:p>
        </w:tc>
        <w:tc>
          <w:tcPr>
            <w:tcW w:w="2480"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353450F7"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Frequency</w:t>
            </w:r>
          </w:p>
        </w:tc>
        <w:tc>
          <w:tcPr>
            <w:tcW w:w="2480"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3312ED0C"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Percentage</w:t>
            </w:r>
          </w:p>
        </w:tc>
      </w:tr>
      <w:tr w:rsidR="001B225E" w:rsidRPr="00C06E05" w14:paraId="1CCC28B2" w14:textId="77777777" w:rsidTr="00146DF8">
        <w:trPr>
          <w:trHeight w:val="277"/>
        </w:trPr>
        <w:tc>
          <w:tcPr>
            <w:tcW w:w="363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F16F945" w14:textId="77777777" w:rsidR="001B225E" w:rsidRPr="00C06E05" w:rsidRDefault="001B225E" w:rsidP="00146DF8">
            <w:pPr>
              <w:spacing w:after="0" w:line="240" w:lineRule="auto"/>
              <w:rPr>
                <w:rFonts w:ascii="Arial" w:hAnsi="Arial" w:cs="Arial"/>
              </w:rPr>
            </w:pPr>
            <w:r w:rsidRPr="00C06E05">
              <w:rPr>
                <w:rFonts w:ascii="Arial" w:hAnsi="Arial" w:cs="Arial"/>
              </w:rPr>
              <w:t>Below 75.00</w:t>
            </w:r>
          </w:p>
        </w:tc>
        <w:tc>
          <w:tcPr>
            <w:tcW w:w="24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F65BE09" w14:textId="77777777" w:rsidR="001B225E" w:rsidRPr="00C06E05" w:rsidRDefault="001B225E" w:rsidP="00146DF8">
            <w:pPr>
              <w:spacing w:after="0" w:line="240" w:lineRule="auto"/>
              <w:jc w:val="center"/>
              <w:rPr>
                <w:rFonts w:ascii="Arial" w:hAnsi="Arial" w:cs="Arial"/>
              </w:rPr>
            </w:pPr>
            <w:r w:rsidRPr="00C06E05">
              <w:rPr>
                <w:rFonts w:ascii="Arial" w:hAnsi="Arial" w:cs="Arial"/>
              </w:rPr>
              <w:t>4</w:t>
            </w:r>
          </w:p>
        </w:tc>
        <w:tc>
          <w:tcPr>
            <w:tcW w:w="24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D381D62" w14:textId="77777777" w:rsidR="001B225E" w:rsidRPr="00C06E05" w:rsidRDefault="001B225E" w:rsidP="00146DF8">
            <w:pPr>
              <w:spacing w:after="0" w:line="240" w:lineRule="auto"/>
              <w:jc w:val="center"/>
              <w:rPr>
                <w:rFonts w:ascii="Arial" w:hAnsi="Arial" w:cs="Arial"/>
              </w:rPr>
            </w:pPr>
            <w:r w:rsidRPr="00C06E05">
              <w:rPr>
                <w:rFonts w:ascii="Arial" w:hAnsi="Arial" w:cs="Arial"/>
              </w:rPr>
              <w:t>3</w:t>
            </w:r>
          </w:p>
        </w:tc>
      </w:tr>
      <w:tr w:rsidR="001B225E" w:rsidRPr="00C06E05" w14:paraId="0D94B08D" w14:textId="77777777" w:rsidTr="00146DF8">
        <w:trPr>
          <w:trHeight w:val="258"/>
        </w:trPr>
        <w:tc>
          <w:tcPr>
            <w:tcW w:w="363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F420450" w14:textId="77777777" w:rsidR="001B225E" w:rsidRPr="00C06E05" w:rsidRDefault="001B225E" w:rsidP="00146DF8">
            <w:pPr>
              <w:spacing w:after="0" w:line="240" w:lineRule="auto"/>
              <w:rPr>
                <w:rFonts w:ascii="Arial" w:hAnsi="Arial" w:cs="Arial"/>
              </w:rPr>
            </w:pPr>
            <w:r w:rsidRPr="00C06E05">
              <w:rPr>
                <w:rFonts w:ascii="Arial" w:hAnsi="Arial" w:cs="Arial"/>
              </w:rPr>
              <w:t>75.00 – 79.99</w:t>
            </w:r>
          </w:p>
        </w:tc>
        <w:tc>
          <w:tcPr>
            <w:tcW w:w="24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2AC4E21" w14:textId="77777777" w:rsidR="001B225E" w:rsidRPr="00C06E05" w:rsidRDefault="001B225E" w:rsidP="00146DF8">
            <w:pPr>
              <w:spacing w:after="0" w:line="240" w:lineRule="auto"/>
              <w:jc w:val="center"/>
              <w:rPr>
                <w:rFonts w:ascii="Arial" w:hAnsi="Arial" w:cs="Arial"/>
              </w:rPr>
            </w:pPr>
            <w:r w:rsidRPr="00C06E05">
              <w:rPr>
                <w:rFonts w:ascii="Arial" w:hAnsi="Arial" w:cs="Arial"/>
              </w:rPr>
              <w:t>16</w:t>
            </w:r>
          </w:p>
        </w:tc>
        <w:tc>
          <w:tcPr>
            <w:tcW w:w="24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73DEC08" w14:textId="77777777" w:rsidR="001B225E" w:rsidRPr="00C06E05" w:rsidRDefault="001B225E" w:rsidP="00146DF8">
            <w:pPr>
              <w:spacing w:after="0" w:line="240" w:lineRule="auto"/>
              <w:jc w:val="center"/>
              <w:rPr>
                <w:rFonts w:ascii="Arial" w:hAnsi="Arial" w:cs="Arial"/>
              </w:rPr>
            </w:pPr>
            <w:r w:rsidRPr="00C06E05">
              <w:rPr>
                <w:rFonts w:ascii="Arial" w:hAnsi="Arial" w:cs="Arial"/>
              </w:rPr>
              <w:t>14</w:t>
            </w:r>
          </w:p>
        </w:tc>
      </w:tr>
      <w:tr w:rsidR="001B225E" w:rsidRPr="00C06E05" w14:paraId="0A857DB3" w14:textId="77777777" w:rsidTr="00146DF8">
        <w:trPr>
          <w:trHeight w:val="258"/>
        </w:trPr>
        <w:tc>
          <w:tcPr>
            <w:tcW w:w="363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C45B9D6" w14:textId="77777777" w:rsidR="001B225E" w:rsidRPr="00C06E05" w:rsidRDefault="001B225E" w:rsidP="00146DF8">
            <w:pPr>
              <w:spacing w:after="0" w:line="240" w:lineRule="auto"/>
              <w:rPr>
                <w:rFonts w:ascii="Arial" w:hAnsi="Arial" w:cs="Arial"/>
              </w:rPr>
            </w:pPr>
            <w:r w:rsidRPr="00C06E05">
              <w:rPr>
                <w:rFonts w:ascii="Arial" w:hAnsi="Arial" w:cs="Arial"/>
              </w:rPr>
              <w:t>80.00 – 84.99</w:t>
            </w:r>
          </w:p>
        </w:tc>
        <w:tc>
          <w:tcPr>
            <w:tcW w:w="24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9F70B74" w14:textId="77777777" w:rsidR="001B225E" w:rsidRPr="00C06E05" w:rsidRDefault="001B225E" w:rsidP="00146DF8">
            <w:pPr>
              <w:spacing w:after="0" w:line="240" w:lineRule="auto"/>
              <w:jc w:val="center"/>
              <w:rPr>
                <w:rFonts w:ascii="Arial" w:hAnsi="Arial" w:cs="Arial"/>
              </w:rPr>
            </w:pPr>
            <w:r w:rsidRPr="00C06E05">
              <w:rPr>
                <w:rFonts w:ascii="Arial" w:hAnsi="Arial" w:cs="Arial"/>
              </w:rPr>
              <w:t>34</w:t>
            </w:r>
          </w:p>
        </w:tc>
        <w:tc>
          <w:tcPr>
            <w:tcW w:w="24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57F2A45" w14:textId="77777777" w:rsidR="001B225E" w:rsidRPr="00C06E05" w:rsidRDefault="001B225E" w:rsidP="00146DF8">
            <w:pPr>
              <w:spacing w:after="0" w:line="240" w:lineRule="auto"/>
              <w:jc w:val="center"/>
              <w:rPr>
                <w:rFonts w:ascii="Arial" w:hAnsi="Arial" w:cs="Arial"/>
              </w:rPr>
            </w:pPr>
            <w:r w:rsidRPr="00C06E05">
              <w:rPr>
                <w:rFonts w:ascii="Arial" w:hAnsi="Arial" w:cs="Arial"/>
              </w:rPr>
              <w:t>29</w:t>
            </w:r>
          </w:p>
        </w:tc>
      </w:tr>
      <w:tr w:rsidR="001B225E" w:rsidRPr="00C06E05" w14:paraId="33FB9B3E" w14:textId="77777777" w:rsidTr="00146DF8">
        <w:trPr>
          <w:trHeight w:val="277"/>
        </w:trPr>
        <w:tc>
          <w:tcPr>
            <w:tcW w:w="363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E33ED55" w14:textId="77777777" w:rsidR="001B225E" w:rsidRPr="00C06E05" w:rsidRDefault="001B225E" w:rsidP="00146DF8">
            <w:pPr>
              <w:spacing w:after="0" w:line="240" w:lineRule="auto"/>
              <w:rPr>
                <w:rFonts w:ascii="Arial" w:hAnsi="Arial" w:cs="Arial"/>
              </w:rPr>
            </w:pPr>
            <w:r w:rsidRPr="00C06E05">
              <w:rPr>
                <w:rFonts w:ascii="Arial" w:hAnsi="Arial" w:cs="Arial"/>
              </w:rPr>
              <w:t>85.00 – 89.99</w:t>
            </w:r>
          </w:p>
        </w:tc>
        <w:tc>
          <w:tcPr>
            <w:tcW w:w="24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9249D49" w14:textId="77777777" w:rsidR="001B225E" w:rsidRPr="00C06E05" w:rsidRDefault="001B225E" w:rsidP="00146DF8">
            <w:pPr>
              <w:spacing w:after="0" w:line="240" w:lineRule="auto"/>
              <w:jc w:val="center"/>
              <w:rPr>
                <w:rFonts w:ascii="Arial" w:hAnsi="Arial" w:cs="Arial"/>
              </w:rPr>
            </w:pPr>
            <w:r w:rsidRPr="00C06E05">
              <w:rPr>
                <w:rFonts w:ascii="Arial" w:hAnsi="Arial" w:cs="Arial"/>
              </w:rPr>
              <w:t>34</w:t>
            </w:r>
          </w:p>
        </w:tc>
        <w:tc>
          <w:tcPr>
            <w:tcW w:w="24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CB2D755" w14:textId="77777777" w:rsidR="001B225E" w:rsidRPr="00C06E05" w:rsidRDefault="001B225E" w:rsidP="00146DF8">
            <w:pPr>
              <w:spacing w:after="0" w:line="240" w:lineRule="auto"/>
              <w:jc w:val="center"/>
              <w:rPr>
                <w:rFonts w:ascii="Arial" w:hAnsi="Arial" w:cs="Arial"/>
              </w:rPr>
            </w:pPr>
            <w:r w:rsidRPr="00C06E05">
              <w:rPr>
                <w:rFonts w:ascii="Arial" w:hAnsi="Arial" w:cs="Arial"/>
              </w:rPr>
              <w:t>29</w:t>
            </w:r>
          </w:p>
        </w:tc>
      </w:tr>
      <w:tr w:rsidR="001B225E" w:rsidRPr="00C06E05" w14:paraId="63D50B37" w14:textId="77777777" w:rsidTr="00146DF8">
        <w:trPr>
          <w:trHeight w:val="258"/>
        </w:trPr>
        <w:tc>
          <w:tcPr>
            <w:tcW w:w="3637"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567F5850" w14:textId="77777777" w:rsidR="001B225E" w:rsidRPr="00C06E05" w:rsidRDefault="001B225E" w:rsidP="00146DF8">
            <w:pPr>
              <w:spacing w:after="0" w:line="240" w:lineRule="auto"/>
              <w:rPr>
                <w:rFonts w:ascii="Arial" w:hAnsi="Arial" w:cs="Arial"/>
              </w:rPr>
            </w:pPr>
            <w:r w:rsidRPr="00C06E05">
              <w:rPr>
                <w:rFonts w:ascii="Arial" w:hAnsi="Arial" w:cs="Arial"/>
              </w:rPr>
              <w:t>90.00 – 100.00</w:t>
            </w:r>
          </w:p>
        </w:tc>
        <w:tc>
          <w:tcPr>
            <w:tcW w:w="2480"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6E6BD724" w14:textId="77777777" w:rsidR="001B225E" w:rsidRPr="00C06E05" w:rsidRDefault="001B225E" w:rsidP="00146DF8">
            <w:pPr>
              <w:spacing w:after="0" w:line="240" w:lineRule="auto"/>
              <w:jc w:val="center"/>
              <w:rPr>
                <w:rFonts w:ascii="Arial" w:hAnsi="Arial" w:cs="Arial"/>
              </w:rPr>
            </w:pPr>
            <w:r w:rsidRPr="00C06E05">
              <w:rPr>
                <w:rFonts w:ascii="Arial" w:hAnsi="Arial" w:cs="Arial"/>
              </w:rPr>
              <w:t>28</w:t>
            </w:r>
          </w:p>
        </w:tc>
        <w:tc>
          <w:tcPr>
            <w:tcW w:w="2480"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3A29775D" w14:textId="77777777" w:rsidR="001B225E" w:rsidRPr="00C06E05" w:rsidRDefault="001B225E" w:rsidP="00146DF8">
            <w:pPr>
              <w:spacing w:after="0" w:line="240" w:lineRule="auto"/>
              <w:jc w:val="center"/>
              <w:rPr>
                <w:rFonts w:ascii="Arial" w:hAnsi="Arial" w:cs="Arial"/>
              </w:rPr>
            </w:pPr>
            <w:r w:rsidRPr="00C06E05">
              <w:rPr>
                <w:rFonts w:ascii="Arial" w:hAnsi="Arial" w:cs="Arial"/>
              </w:rPr>
              <w:t>24</w:t>
            </w:r>
          </w:p>
        </w:tc>
      </w:tr>
      <w:tr w:rsidR="001B225E" w:rsidRPr="00C06E05" w14:paraId="01665DBF" w14:textId="77777777" w:rsidTr="00146DF8">
        <w:trPr>
          <w:trHeight w:val="258"/>
        </w:trPr>
        <w:tc>
          <w:tcPr>
            <w:tcW w:w="3637"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7F1C346A" w14:textId="77777777" w:rsidR="001B225E" w:rsidRPr="00C06E05" w:rsidRDefault="001B225E" w:rsidP="00146DF8">
            <w:pPr>
              <w:spacing w:after="0" w:line="240" w:lineRule="auto"/>
              <w:rPr>
                <w:rFonts w:ascii="Arial" w:hAnsi="Arial" w:cs="Arial"/>
              </w:rPr>
            </w:pPr>
            <w:r w:rsidRPr="00C06E05">
              <w:rPr>
                <w:rFonts w:ascii="Arial" w:hAnsi="Arial" w:cs="Arial"/>
                <w:b/>
                <w:bCs/>
              </w:rPr>
              <w:t>Total</w:t>
            </w:r>
          </w:p>
        </w:tc>
        <w:tc>
          <w:tcPr>
            <w:tcW w:w="2480"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7813B4E0"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116</w:t>
            </w:r>
          </w:p>
        </w:tc>
        <w:tc>
          <w:tcPr>
            <w:tcW w:w="2480"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270EE4A5"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100</w:t>
            </w:r>
          </w:p>
        </w:tc>
      </w:tr>
    </w:tbl>
    <w:p w14:paraId="4F2706A8" w14:textId="77777777" w:rsidR="001B225E" w:rsidRDefault="001B225E" w:rsidP="001B225E">
      <w:pPr>
        <w:spacing w:after="0" w:line="480" w:lineRule="auto"/>
        <w:jc w:val="both"/>
        <w:rPr>
          <w:rFonts w:ascii="Arial" w:hAnsi="Arial" w:cs="Arial"/>
        </w:rPr>
      </w:pPr>
    </w:p>
    <w:p w14:paraId="2737438F" w14:textId="77777777" w:rsidR="001B225E" w:rsidRPr="00C06E05" w:rsidRDefault="001B225E" w:rsidP="001B225E">
      <w:pPr>
        <w:spacing w:after="0" w:line="480" w:lineRule="auto"/>
        <w:jc w:val="both"/>
        <w:rPr>
          <w:rFonts w:ascii="Arial" w:hAnsi="Arial" w:cs="Arial"/>
        </w:rPr>
      </w:pPr>
      <w:r w:rsidRPr="00C06E05">
        <w:rPr>
          <w:rFonts w:ascii="Arial" w:hAnsi="Arial" w:cs="Arial"/>
        </w:rPr>
        <w:t>respondents or 29 percent with score of 85.00-89.99. Twenty-eight or 24 percent of the respondents scored 90.00 to 100.00, 16 or 14 percent scored 75.00-79.99 and only 4 or 3 percent scored below 75.00.</w:t>
      </w:r>
    </w:p>
    <w:p w14:paraId="0E2792CE" w14:textId="77777777" w:rsidR="001B225E" w:rsidRDefault="001B225E" w:rsidP="001B225E">
      <w:pPr>
        <w:spacing w:line="480" w:lineRule="auto"/>
        <w:ind w:firstLine="720"/>
        <w:jc w:val="both"/>
        <w:rPr>
          <w:rFonts w:ascii="Arial" w:hAnsi="Arial" w:cs="Arial"/>
        </w:rPr>
      </w:pPr>
      <w:r w:rsidRPr="00C06E05">
        <w:rPr>
          <w:rFonts w:ascii="Arial" w:hAnsi="Arial" w:cs="Arial"/>
        </w:rPr>
        <w:t xml:space="preserve">The data indicated that the Major or Specialization component received the highest rating among the three components of the examination. The overwhelming majority of respondents scored at or above the passing threshold and only a small proportion scored below it. This finding implied that the respondents’ areas of specialization in content mastery were a relative strength of the institution’s preparation. Ferrer (2024) reported that performance in the major or specialization subjects is a significant predictor of the LET specialization component, as deeper content expertise translates directly into better performance in the domain-specific portion of the examination. </w:t>
      </w:r>
    </w:p>
    <w:p w14:paraId="1F3791C0" w14:textId="77777777" w:rsidR="001B225E" w:rsidRDefault="001B225E" w:rsidP="001B225E">
      <w:pPr>
        <w:spacing w:line="480" w:lineRule="auto"/>
        <w:ind w:firstLine="720"/>
        <w:jc w:val="both"/>
        <w:rPr>
          <w:rFonts w:ascii="Arial" w:hAnsi="Arial" w:cs="Arial"/>
        </w:rPr>
      </w:pPr>
      <w:r w:rsidRPr="00C06E05">
        <w:rPr>
          <w:rFonts w:ascii="Arial" w:hAnsi="Arial" w:cs="Arial"/>
        </w:rPr>
        <w:t>Orlanda-</w:t>
      </w:r>
      <w:proofErr w:type="spellStart"/>
      <w:r w:rsidRPr="00C06E05">
        <w:rPr>
          <w:rFonts w:ascii="Arial" w:hAnsi="Arial" w:cs="Arial"/>
        </w:rPr>
        <w:t>Ventayen</w:t>
      </w:r>
      <w:proofErr w:type="spellEnd"/>
      <w:r w:rsidRPr="00C06E05">
        <w:rPr>
          <w:rFonts w:ascii="Arial" w:hAnsi="Arial" w:cs="Arial"/>
        </w:rPr>
        <w:t xml:space="preserve"> (2019) noted that mastery of subject matter is a good</w:t>
      </w:r>
    </w:p>
    <w:p w14:paraId="31DF2CF8" w14:textId="77777777" w:rsidR="001B225E" w:rsidRPr="00C06E05" w:rsidRDefault="001B225E" w:rsidP="001B225E">
      <w:pPr>
        <w:spacing w:after="0" w:line="480" w:lineRule="auto"/>
        <w:jc w:val="both"/>
        <w:rPr>
          <w:rFonts w:ascii="Arial" w:hAnsi="Arial" w:cs="Arial"/>
        </w:rPr>
      </w:pPr>
      <w:r w:rsidRPr="00C06E05">
        <w:rPr>
          <w:rFonts w:ascii="Arial" w:hAnsi="Arial" w:cs="Arial"/>
        </w:rPr>
        <w:t xml:space="preserve">predictor of licensure success and emphasized the need for continuous academic monitoring at the level of specialization. Ingersoll (2018) likewise found that </w:t>
      </w:r>
      <w:r w:rsidRPr="00C06E05">
        <w:rPr>
          <w:rFonts w:ascii="Arial" w:hAnsi="Arial" w:cs="Arial"/>
        </w:rPr>
        <w:lastRenderedPageBreak/>
        <w:t>teacher preparation programs offering coherent and sustained major coursework produce graduates with a stronger command of the content knowledge required for licensure. The strength of the Major or Specialization ratings therefore affirmed that the specialization curriculum of the community college was generally well aligned with the content domains tested in the LET.</w:t>
      </w:r>
    </w:p>
    <w:p w14:paraId="59CD051A" w14:textId="77777777" w:rsidR="001B225E" w:rsidRPr="007374BD" w:rsidRDefault="001B225E" w:rsidP="001B225E">
      <w:pPr>
        <w:pStyle w:val="Heading2"/>
        <w:spacing w:after="0" w:line="480" w:lineRule="auto"/>
        <w:rPr>
          <w:rFonts w:ascii="Arial" w:hAnsi="Arial" w:cs="Arial"/>
          <w:b/>
          <w:bCs/>
          <w:color w:val="000000" w:themeColor="text1"/>
          <w:sz w:val="24"/>
          <w:szCs w:val="24"/>
        </w:rPr>
      </w:pPr>
      <w:r w:rsidRPr="007374BD">
        <w:rPr>
          <w:rFonts w:ascii="Arial" w:hAnsi="Arial" w:cs="Arial"/>
          <w:b/>
          <w:bCs/>
          <w:color w:val="000000" w:themeColor="text1"/>
          <w:sz w:val="24"/>
          <w:szCs w:val="24"/>
        </w:rPr>
        <w:t>Academic Performance of the LET Takers</w:t>
      </w:r>
    </w:p>
    <w:p w14:paraId="29499C93" w14:textId="77777777" w:rsidR="001B225E" w:rsidRDefault="001B225E" w:rsidP="001B225E">
      <w:pPr>
        <w:spacing w:after="0" w:line="480" w:lineRule="auto"/>
        <w:ind w:firstLine="720"/>
        <w:jc w:val="both"/>
        <w:rPr>
          <w:rFonts w:ascii="Arial" w:hAnsi="Arial" w:cs="Arial"/>
        </w:rPr>
      </w:pPr>
      <w:r w:rsidRPr="00C06E05">
        <w:rPr>
          <w:rFonts w:ascii="Arial" w:hAnsi="Arial" w:cs="Arial"/>
        </w:rPr>
        <w:t>The academic performance of the LET takers was assessed in terms of the general weighted average, general education average, professional education average, major or specialization average, and teaching internship grade. These data were drawn from the official academic records of the respondents through document review and constituted part of the Input block of the I-E-O framework. The data were presented using the Philippine higher education grading system, where 1.00 denotes the highest level of academic performance. The corresponding verbal interpretations were as follows: 1.00 to 1.50 was Excellent, 1.51 to 2.00 was Very Satisfactory, and 2.01 to 2.50 was Satisfactory.</w:t>
      </w:r>
    </w:p>
    <w:p w14:paraId="08087CFC" w14:textId="77777777" w:rsidR="001B225E" w:rsidRPr="00424A36" w:rsidRDefault="001B225E" w:rsidP="001B225E">
      <w:pPr>
        <w:pStyle w:val="NoSpacing"/>
        <w:jc w:val="center"/>
        <w:rPr>
          <w:rFonts w:ascii="Arial" w:hAnsi="Arial" w:cs="Arial"/>
          <w:sz w:val="24"/>
          <w:szCs w:val="24"/>
        </w:rPr>
      </w:pPr>
      <w:r w:rsidRPr="00424A36">
        <w:rPr>
          <w:rFonts w:ascii="Arial" w:hAnsi="Arial" w:cs="Arial"/>
          <w:sz w:val="24"/>
          <w:szCs w:val="24"/>
        </w:rPr>
        <w:t>Table 12</w:t>
      </w:r>
    </w:p>
    <w:p w14:paraId="48AF9142" w14:textId="77777777" w:rsidR="001B225E" w:rsidRDefault="001B225E" w:rsidP="001B225E">
      <w:pPr>
        <w:pStyle w:val="NoSpacing"/>
        <w:jc w:val="center"/>
        <w:rPr>
          <w:rFonts w:ascii="Arial" w:hAnsi="Arial" w:cs="Arial"/>
          <w:b/>
          <w:bCs/>
          <w:sz w:val="24"/>
          <w:szCs w:val="24"/>
        </w:rPr>
      </w:pPr>
      <w:r w:rsidRPr="00424A36">
        <w:rPr>
          <w:rFonts w:ascii="Arial" w:hAnsi="Arial" w:cs="Arial"/>
          <w:b/>
          <w:bCs/>
          <w:sz w:val="24"/>
          <w:szCs w:val="24"/>
        </w:rPr>
        <w:t>General Weighted Average</w:t>
      </w:r>
    </w:p>
    <w:p w14:paraId="12647648" w14:textId="77777777" w:rsidR="001B225E" w:rsidRPr="00424A36" w:rsidRDefault="001B225E" w:rsidP="001B225E">
      <w:pPr>
        <w:pStyle w:val="NoSpacing"/>
        <w:jc w:val="center"/>
        <w:rPr>
          <w:rFonts w:ascii="Arial" w:hAnsi="Arial" w:cs="Arial"/>
          <w:b/>
          <w:bCs/>
          <w:sz w:val="24"/>
          <w:szCs w:val="24"/>
        </w:rPr>
      </w:pP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57"/>
        <w:gridCol w:w="1576"/>
        <w:gridCol w:w="1760"/>
        <w:gridCol w:w="2780"/>
      </w:tblGrid>
      <w:tr w:rsidR="001B225E" w:rsidRPr="00C06E05" w14:paraId="12F0512E" w14:textId="77777777" w:rsidTr="00146DF8">
        <w:trPr>
          <w:trHeight w:val="253"/>
          <w:tblHeader/>
        </w:trPr>
        <w:tc>
          <w:tcPr>
            <w:tcW w:w="2557"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331A71D0" w14:textId="77777777" w:rsidR="001B225E" w:rsidRPr="00C06E05" w:rsidRDefault="001B225E" w:rsidP="00146DF8">
            <w:pPr>
              <w:spacing w:after="0" w:line="240" w:lineRule="auto"/>
              <w:rPr>
                <w:rFonts w:ascii="Arial" w:hAnsi="Arial" w:cs="Arial"/>
              </w:rPr>
            </w:pPr>
          </w:p>
        </w:tc>
        <w:tc>
          <w:tcPr>
            <w:tcW w:w="1575"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188D013F"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Frequency</w:t>
            </w:r>
          </w:p>
        </w:tc>
        <w:tc>
          <w:tcPr>
            <w:tcW w:w="1760"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747588B4"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Percentage</w:t>
            </w:r>
          </w:p>
        </w:tc>
        <w:tc>
          <w:tcPr>
            <w:tcW w:w="2780"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5C0A51C8"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Interpretation</w:t>
            </w:r>
          </w:p>
        </w:tc>
      </w:tr>
      <w:tr w:rsidR="001B225E" w:rsidRPr="00C06E05" w14:paraId="79FFAF7F" w14:textId="77777777" w:rsidTr="00146DF8">
        <w:trPr>
          <w:trHeight w:val="271"/>
        </w:trPr>
        <w:tc>
          <w:tcPr>
            <w:tcW w:w="255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8671E4A" w14:textId="77777777" w:rsidR="001B225E" w:rsidRPr="00C06E05" w:rsidRDefault="001B225E" w:rsidP="00146DF8">
            <w:pPr>
              <w:spacing w:after="0" w:line="240" w:lineRule="auto"/>
              <w:rPr>
                <w:rFonts w:ascii="Arial" w:hAnsi="Arial" w:cs="Arial"/>
              </w:rPr>
            </w:pPr>
            <w:r w:rsidRPr="00C06E05">
              <w:rPr>
                <w:rFonts w:ascii="Arial" w:hAnsi="Arial" w:cs="Arial"/>
              </w:rPr>
              <w:t>1.00 – 1.50</w:t>
            </w:r>
          </w:p>
        </w:tc>
        <w:tc>
          <w:tcPr>
            <w:tcW w:w="157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701C8CA" w14:textId="77777777" w:rsidR="001B225E" w:rsidRPr="00C06E05" w:rsidRDefault="001B225E" w:rsidP="00146DF8">
            <w:pPr>
              <w:spacing w:after="0" w:line="240" w:lineRule="auto"/>
              <w:jc w:val="center"/>
              <w:rPr>
                <w:rFonts w:ascii="Arial" w:hAnsi="Arial" w:cs="Arial"/>
              </w:rPr>
            </w:pPr>
            <w:r w:rsidRPr="00C06E05">
              <w:rPr>
                <w:rFonts w:ascii="Arial" w:hAnsi="Arial" w:cs="Arial"/>
              </w:rPr>
              <w:t>0</w:t>
            </w:r>
          </w:p>
        </w:tc>
        <w:tc>
          <w:tcPr>
            <w:tcW w:w="176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A80A0EF" w14:textId="77777777" w:rsidR="001B225E" w:rsidRPr="00C06E05" w:rsidRDefault="001B225E" w:rsidP="00146DF8">
            <w:pPr>
              <w:spacing w:after="0" w:line="240" w:lineRule="auto"/>
              <w:jc w:val="center"/>
              <w:rPr>
                <w:rFonts w:ascii="Arial" w:hAnsi="Arial" w:cs="Arial"/>
              </w:rPr>
            </w:pPr>
            <w:r w:rsidRPr="00C06E05">
              <w:rPr>
                <w:rFonts w:ascii="Arial" w:hAnsi="Arial" w:cs="Arial"/>
              </w:rPr>
              <w:t>0</w:t>
            </w:r>
          </w:p>
        </w:tc>
        <w:tc>
          <w:tcPr>
            <w:tcW w:w="27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3AAC976" w14:textId="77777777" w:rsidR="001B225E" w:rsidRPr="00C06E05" w:rsidRDefault="001B225E" w:rsidP="00146DF8">
            <w:pPr>
              <w:spacing w:after="0" w:line="240" w:lineRule="auto"/>
              <w:jc w:val="center"/>
              <w:rPr>
                <w:rFonts w:ascii="Arial" w:hAnsi="Arial" w:cs="Arial"/>
              </w:rPr>
            </w:pPr>
            <w:r w:rsidRPr="00C06E05">
              <w:rPr>
                <w:rFonts w:ascii="Arial" w:hAnsi="Arial" w:cs="Arial"/>
              </w:rPr>
              <w:t>Excellent</w:t>
            </w:r>
          </w:p>
        </w:tc>
      </w:tr>
      <w:tr w:rsidR="001B225E" w:rsidRPr="00C06E05" w14:paraId="507D40A7" w14:textId="77777777" w:rsidTr="00146DF8">
        <w:trPr>
          <w:trHeight w:val="253"/>
        </w:trPr>
        <w:tc>
          <w:tcPr>
            <w:tcW w:w="255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0FC9019" w14:textId="77777777" w:rsidR="001B225E" w:rsidRPr="00C06E05" w:rsidRDefault="001B225E" w:rsidP="00146DF8">
            <w:pPr>
              <w:spacing w:after="0" w:line="240" w:lineRule="auto"/>
              <w:rPr>
                <w:rFonts w:ascii="Arial" w:hAnsi="Arial" w:cs="Arial"/>
              </w:rPr>
            </w:pPr>
            <w:r w:rsidRPr="00C06E05">
              <w:rPr>
                <w:rFonts w:ascii="Arial" w:hAnsi="Arial" w:cs="Arial"/>
              </w:rPr>
              <w:t>1.51 – 2.00</w:t>
            </w:r>
          </w:p>
        </w:tc>
        <w:tc>
          <w:tcPr>
            <w:tcW w:w="157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430FDC0" w14:textId="77777777" w:rsidR="001B225E" w:rsidRPr="00C06E05" w:rsidRDefault="001B225E" w:rsidP="00146DF8">
            <w:pPr>
              <w:spacing w:after="0" w:line="240" w:lineRule="auto"/>
              <w:jc w:val="center"/>
              <w:rPr>
                <w:rFonts w:ascii="Arial" w:hAnsi="Arial" w:cs="Arial"/>
              </w:rPr>
            </w:pPr>
            <w:r w:rsidRPr="00C06E05">
              <w:rPr>
                <w:rFonts w:ascii="Arial" w:hAnsi="Arial" w:cs="Arial"/>
              </w:rPr>
              <w:t>101</w:t>
            </w:r>
          </w:p>
        </w:tc>
        <w:tc>
          <w:tcPr>
            <w:tcW w:w="176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6839373" w14:textId="77777777" w:rsidR="001B225E" w:rsidRPr="00C06E05" w:rsidRDefault="001B225E" w:rsidP="00146DF8">
            <w:pPr>
              <w:spacing w:after="0" w:line="240" w:lineRule="auto"/>
              <w:jc w:val="center"/>
              <w:rPr>
                <w:rFonts w:ascii="Arial" w:hAnsi="Arial" w:cs="Arial"/>
              </w:rPr>
            </w:pPr>
            <w:r w:rsidRPr="00C06E05">
              <w:rPr>
                <w:rFonts w:ascii="Arial" w:hAnsi="Arial" w:cs="Arial"/>
              </w:rPr>
              <w:t>87</w:t>
            </w:r>
          </w:p>
        </w:tc>
        <w:tc>
          <w:tcPr>
            <w:tcW w:w="27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0BCA7C7" w14:textId="77777777" w:rsidR="001B225E" w:rsidRPr="00C06E05" w:rsidRDefault="001B225E" w:rsidP="00146DF8">
            <w:pPr>
              <w:spacing w:after="0" w:line="240" w:lineRule="auto"/>
              <w:jc w:val="center"/>
              <w:rPr>
                <w:rFonts w:ascii="Arial" w:hAnsi="Arial" w:cs="Arial"/>
              </w:rPr>
            </w:pPr>
            <w:r w:rsidRPr="00C06E05">
              <w:rPr>
                <w:rFonts w:ascii="Arial" w:hAnsi="Arial" w:cs="Arial"/>
              </w:rPr>
              <w:t>Very Satisfactory</w:t>
            </w:r>
          </w:p>
        </w:tc>
      </w:tr>
      <w:tr w:rsidR="001B225E" w:rsidRPr="00C06E05" w14:paraId="5EEE9970" w14:textId="77777777" w:rsidTr="00146DF8">
        <w:trPr>
          <w:trHeight w:val="253"/>
        </w:trPr>
        <w:tc>
          <w:tcPr>
            <w:tcW w:w="2557"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70262BD2" w14:textId="77777777" w:rsidR="001B225E" w:rsidRPr="00C06E05" w:rsidRDefault="001B225E" w:rsidP="00146DF8">
            <w:pPr>
              <w:spacing w:after="0" w:line="240" w:lineRule="auto"/>
              <w:rPr>
                <w:rFonts w:ascii="Arial" w:hAnsi="Arial" w:cs="Arial"/>
              </w:rPr>
            </w:pPr>
            <w:r w:rsidRPr="00C06E05">
              <w:rPr>
                <w:rFonts w:ascii="Arial" w:hAnsi="Arial" w:cs="Arial"/>
              </w:rPr>
              <w:t>2.01 – 2.50</w:t>
            </w:r>
          </w:p>
        </w:tc>
        <w:tc>
          <w:tcPr>
            <w:tcW w:w="1575"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036BF960" w14:textId="77777777" w:rsidR="001B225E" w:rsidRPr="00C06E05" w:rsidRDefault="001B225E" w:rsidP="00146DF8">
            <w:pPr>
              <w:spacing w:after="0" w:line="240" w:lineRule="auto"/>
              <w:jc w:val="center"/>
              <w:rPr>
                <w:rFonts w:ascii="Arial" w:hAnsi="Arial" w:cs="Arial"/>
              </w:rPr>
            </w:pPr>
            <w:r w:rsidRPr="00C06E05">
              <w:rPr>
                <w:rFonts w:ascii="Arial" w:hAnsi="Arial" w:cs="Arial"/>
              </w:rPr>
              <w:t>15</w:t>
            </w:r>
          </w:p>
        </w:tc>
        <w:tc>
          <w:tcPr>
            <w:tcW w:w="1760"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604A8282" w14:textId="77777777" w:rsidR="001B225E" w:rsidRPr="00C06E05" w:rsidRDefault="001B225E" w:rsidP="00146DF8">
            <w:pPr>
              <w:spacing w:after="0" w:line="240" w:lineRule="auto"/>
              <w:jc w:val="center"/>
              <w:rPr>
                <w:rFonts w:ascii="Arial" w:hAnsi="Arial" w:cs="Arial"/>
              </w:rPr>
            </w:pPr>
            <w:r w:rsidRPr="00C06E05">
              <w:rPr>
                <w:rFonts w:ascii="Arial" w:hAnsi="Arial" w:cs="Arial"/>
              </w:rPr>
              <w:t>13</w:t>
            </w:r>
          </w:p>
        </w:tc>
        <w:tc>
          <w:tcPr>
            <w:tcW w:w="2780"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257D9CA1" w14:textId="77777777" w:rsidR="001B225E" w:rsidRPr="00C06E05" w:rsidRDefault="001B225E" w:rsidP="00146DF8">
            <w:pPr>
              <w:spacing w:after="0" w:line="240" w:lineRule="auto"/>
              <w:jc w:val="center"/>
              <w:rPr>
                <w:rFonts w:ascii="Arial" w:hAnsi="Arial" w:cs="Arial"/>
              </w:rPr>
            </w:pPr>
            <w:r w:rsidRPr="00C06E05">
              <w:rPr>
                <w:rFonts w:ascii="Arial" w:hAnsi="Arial" w:cs="Arial"/>
              </w:rPr>
              <w:t>Satisfactory</w:t>
            </w:r>
          </w:p>
        </w:tc>
      </w:tr>
      <w:tr w:rsidR="001B225E" w:rsidRPr="00C06E05" w14:paraId="068548D1" w14:textId="77777777" w:rsidTr="00146DF8">
        <w:trPr>
          <w:trHeight w:val="289"/>
        </w:trPr>
        <w:tc>
          <w:tcPr>
            <w:tcW w:w="4133" w:type="dxa"/>
            <w:gridSpan w:val="2"/>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tcPr>
          <w:p w14:paraId="02814C70" w14:textId="77777777" w:rsidR="001B225E" w:rsidRPr="00C06E05" w:rsidRDefault="001B225E" w:rsidP="00146DF8">
            <w:pPr>
              <w:spacing w:after="0" w:line="240" w:lineRule="auto"/>
              <w:rPr>
                <w:rFonts w:ascii="Arial" w:hAnsi="Arial" w:cs="Arial"/>
              </w:rPr>
            </w:pPr>
            <w:r w:rsidRPr="00C06E05">
              <w:rPr>
                <w:rFonts w:ascii="Arial" w:hAnsi="Arial" w:cs="Arial"/>
                <w:b/>
                <w:bCs/>
              </w:rPr>
              <w:t>Mean GWA</w:t>
            </w:r>
          </w:p>
        </w:tc>
        <w:tc>
          <w:tcPr>
            <w:tcW w:w="1760"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tcPr>
          <w:p w14:paraId="355E03A2"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1.88</w:t>
            </w:r>
          </w:p>
        </w:tc>
        <w:tc>
          <w:tcPr>
            <w:tcW w:w="2780"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tcPr>
          <w:p w14:paraId="72BE385D"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Very Satisfactory</w:t>
            </w:r>
          </w:p>
        </w:tc>
      </w:tr>
    </w:tbl>
    <w:p w14:paraId="42472529" w14:textId="77777777" w:rsidR="001B225E" w:rsidRPr="00424A36" w:rsidRDefault="001B225E" w:rsidP="001B225E">
      <w:pPr>
        <w:spacing w:line="480" w:lineRule="auto"/>
        <w:ind w:firstLine="709"/>
        <w:jc w:val="both"/>
        <w:rPr>
          <w:rFonts w:ascii="Arial" w:hAnsi="Arial" w:cs="Arial"/>
          <w:sz w:val="10"/>
          <w:szCs w:val="10"/>
        </w:rPr>
      </w:pPr>
    </w:p>
    <w:p w14:paraId="3E696851" w14:textId="77777777" w:rsidR="001B225E" w:rsidRPr="00424A36" w:rsidRDefault="001B225E" w:rsidP="001B225E">
      <w:pPr>
        <w:spacing w:after="0" w:line="480" w:lineRule="auto"/>
        <w:ind w:firstLine="720"/>
        <w:jc w:val="both"/>
        <w:rPr>
          <w:rFonts w:ascii="Arial" w:hAnsi="Arial" w:cs="Arial"/>
        </w:rPr>
      </w:pPr>
      <w:r w:rsidRPr="00C06E05">
        <w:rPr>
          <w:rFonts w:ascii="Arial" w:hAnsi="Arial" w:cs="Arial"/>
        </w:rPr>
        <w:t xml:space="preserve">Table </w:t>
      </w:r>
      <w:r>
        <w:rPr>
          <w:rFonts w:ascii="Arial" w:hAnsi="Arial" w:cs="Arial"/>
        </w:rPr>
        <w:t xml:space="preserve">12 </w:t>
      </w:r>
      <w:r w:rsidRPr="00C06E05">
        <w:rPr>
          <w:rFonts w:ascii="Arial" w:hAnsi="Arial" w:cs="Arial"/>
        </w:rPr>
        <w:t xml:space="preserve">presented the distribution of the LET takers according to their general weighted average. No respondent fell within the Excellent range of 1.00 to </w:t>
      </w:r>
      <w:r w:rsidRPr="00C06E05">
        <w:rPr>
          <w:rFonts w:ascii="Arial" w:hAnsi="Arial" w:cs="Arial"/>
        </w:rPr>
        <w:lastRenderedPageBreak/>
        <w:t>1.50. The majority, 101 respondents or 87 percent, had a GWA in the 1.51 to 2.00</w:t>
      </w:r>
      <w:r>
        <w:rPr>
          <w:rFonts w:ascii="Arial" w:hAnsi="Arial" w:cs="Arial"/>
        </w:rPr>
        <w:t xml:space="preserve"> </w:t>
      </w:r>
      <w:r w:rsidRPr="00C06E05">
        <w:rPr>
          <w:rFonts w:ascii="Arial" w:hAnsi="Arial" w:cs="Arial"/>
        </w:rPr>
        <w:t>range, interpreted as Very Satisfactory, while 15 respondents or 13 percent</w:t>
      </w:r>
      <w:r>
        <w:rPr>
          <w:rFonts w:ascii="Arial" w:hAnsi="Arial" w:cs="Arial"/>
        </w:rPr>
        <w:t xml:space="preserve"> had a </w:t>
      </w:r>
      <w:r w:rsidRPr="00C06E05">
        <w:rPr>
          <w:rFonts w:ascii="Arial" w:hAnsi="Arial" w:cs="Arial"/>
        </w:rPr>
        <w:t>GWA in the 2.01 to 2.50 range, interpreted as Satisfactory. The mean GWA of the</w:t>
      </w:r>
      <w:r>
        <w:rPr>
          <w:rFonts w:ascii="Arial" w:hAnsi="Arial" w:cs="Arial"/>
        </w:rPr>
        <w:t xml:space="preserve"> </w:t>
      </w:r>
      <w:r w:rsidRPr="00C06E05">
        <w:rPr>
          <w:rFonts w:ascii="Arial" w:hAnsi="Arial" w:cs="Arial"/>
        </w:rPr>
        <w:t>respondents was 1.88 interpreted as Very Satisfactory.</w:t>
      </w:r>
    </w:p>
    <w:p w14:paraId="6CD3BDC5" w14:textId="77777777" w:rsidR="001B225E" w:rsidRDefault="001B225E" w:rsidP="001B225E">
      <w:pPr>
        <w:spacing w:after="0" w:line="480" w:lineRule="auto"/>
        <w:ind w:firstLine="709"/>
        <w:jc w:val="both"/>
        <w:rPr>
          <w:rFonts w:ascii="Arial" w:hAnsi="Arial" w:cs="Arial"/>
        </w:rPr>
      </w:pPr>
      <w:r w:rsidRPr="00C06E05">
        <w:rPr>
          <w:rFonts w:ascii="Arial" w:hAnsi="Arial" w:cs="Arial"/>
        </w:rPr>
        <w:t xml:space="preserve">The data revealed that generally, the respondents maintained a Very Satisfactory level of overall academic performance during their teacher education program which laid a solid academic foundation for licensure readiness. This finding pointed out the significance of cumulative academic achievement as the foundation for success in the licensure examination. </w:t>
      </w:r>
      <w:proofErr w:type="spellStart"/>
      <w:r w:rsidRPr="00C06E05">
        <w:rPr>
          <w:rFonts w:ascii="Arial" w:hAnsi="Arial" w:cs="Arial"/>
        </w:rPr>
        <w:t>Amanonce</w:t>
      </w:r>
      <w:proofErr w:type="spellEnd"/>
      <w:r w:rsidRPr="00C06E05">
        <w:rPr>
          <w:rFonts w:ascii="Arial" w:hAnsi="Arial" w:cs="Arial"/>
        </w:rPr>
        <w:t xml:space="preserve"> and Maramag (2020) found a significant positive relationship between the GWA of the teacher education graduates and their LET performance, and they identified cumulative academic records as one of the most reliable indicators of licensure readiness. Ferrer (2024) also found that grades earned during the teacher education program predicted the outcomes on the LET, confirming that consistent academic performance across all curricular components contributes to licensure readiness. </w:t>
      </w:r>
      <w:r>
        <w:rPr>
          <w:rFonts w:ascii="Arial" w:hAnsi="Arial" w:cs="Arial"/>
        </w:rPr>
        <w:t xml:space="preserve">      </w:t>
      </w:r>
    </w:p>
    <w:p w14:paraId="12242050" w14:textId="77777777" w:rsidR="001B225E" w:rsidRDefault="001B225E" w:rsidP="001B225E">
      <w:pPr>
        <w:spacing w:after="0" w:line="480" w:lineRule="auto"/>
        <w:ind w:firstLine="709"/>
        <w:jc w:val="both"/>
        <w:rPr>
          <w:rFonts w:ascii="Arial" w:hAnsi="Arial" w:cs="Arial"/>
        </w:rPr>
      </w:pPr>
      <w:r w:rsidRPr="00C06E05">
        <w:rPr>
          <w:rFonts w:ascii="Arial" w:hAnsi="Arial" w:cs="Arial"/>
        </w:rPr>
        <w:t xml:space="preserve">Similarly, </w:t>
      </w:r>
      <w:proofErr w:type="spellStart"/>
      <w:r w:rsidRPr="00C06E05">
        <w:rPr>
          <w:rFonts w:ascii="Arial" w:hAnsi="Arial" w:cs="Arial"/>
        </w:rPr>
        <w:t>Camarista</w:t>
      </w:r>
      <w:proofErr w:type="spellEnd"/>
      <w:r w:rsidRPr="00C06E05">
        <w:rPr>
          <w:rFonts w:ascii="Arial" w:hAnsi="Arial" w:cs="Arial"/>
        </w:rPr>
        <w:t xml:space="preserve"> et al. (2025) identified the GWA as a strong predictor of LET performance of Philippine teacher education institutions. The Very Satisfactory mean GWA of 1.88 therefore</w:t>
      </w:r>
      <w:r>
        <w:rPr>
          <w:rFonts w:ascii="Arial" w:hAnsi="Arial" w:cs="Arial"/>
        </w:rPr>
        <w:t>,</w:t>
      </w:r>
      <w:r w:rsidRPr="00C06E05">
        <w:rPr>
          <w:rFonts w:ascii="Arial" w:hAnsi="Arial" w:cs="Arial"/>
        </w:rPr>
        <w:t xml:space="preserve"> indicated that the LET takers of the community college generally sustained a commendable level of academic performance across their degree program.</w:t>
      </w:r>
    </w:p>
    <w:p w14:paraId="0EF84634" w14:textId="77777777" w:rsidR="001B225E" w:rsidRDefault="001B225E" w:rsidP="001B225E">
      <w:pPr>
        <w:spacing w:after="0" w:line="480" w:lineRule="auto"/>
        <w:ind w:firstLine="709"/>
        <w:jc w:val="both"/>
        <w:rPr>
          <w:rFonts w:ascii="Arial" w:hAnsi="Arial" w:cs="Arial"/>
        </w:rPr>
      </w:pPr>
      <w:r w:rsidRPr="00C06E05">
        <w:rPr>
          <w:rFonts w:ascii="Arial" w:hAnsi="Arial" w:cs="Arial"/>
        </w:rPr>
        <w:t xml:space="preserve">Table </w:t>
      </w:r>
      <w:r>
        <w:rPr>
          <w:rFonts w:ascii="Arial" w:hAnsi="Arial" w:cs="Arial"/>
        </w:rPr>
        <w:t xml:space="preserve">13 </w:t>
      </w:r>
      <w:r w:rsidRPr="00C06E05">
        <w:rPr>
          <w:rFonts w:ascii="Arial" w:hAnsi="Arial" w:cs="Arial"/>
        </w:rPr>
        <w:t>presented the academic performance of the respondents in the General Education component. No respondent obtained an average in the</w:t>
      </w:r>
      <w:r>
        <w:rPr>
          <w:rFonts w:ascii="Arial" w:hAnsi="Arial" w:cs="Arial"/>
        </w:rPr>
        <w:t xml:space="preserve"> Excellent range. </w:t>
      </w:r>
      <w:r w:rsidRPr="00C06E05">
        <w:rPr>
          <w:rFonts w:ascii="Arial" w:hAnsi="Arial" w:cs="Arial"/>
        </w:rPr>
        <w:t>Fifty-two respondents or 45 percent obtained averages</w:t>
      </w:r>
      <w:r>
        <w:rPr>
          <w:rFonts w:ascii="Arial" w:hAnsi="Arial" w:cs="Arial"/>
        </w:rPr>
        <w:t xml:space="preserve"> in the Very</w:t>
      </w:r>
    </w:p>
    <w:p w14:paraId="65A9E1A6" w14:textId="77777777" w:rsidR="001B225E" w:rsidRPr="00424A36" w:rsidRDefault="001B225E" w:rsidP="001B225E">
      <w:pPr>
        <w:pStyle w:val="NoSpacing"/>
        <w:jc w:val="center"/>
        <w:rPr>
          <w:rFonts w:ascii="Arial" w:hAnsi="Arial" w:cs="Arial"/>
          <w:sz w:val="24"/>
          <w:szCs w:val="24"/>
        </w:rPr>
      </w:pPr>
      <w:r w:rsidRPr="00424A36">
        <w:rPr>
          <w:rFonts w:ascii="Arial" w:hAnsi="Arial" w:cs="Arial"/>
          <w:sz w:val="24"/>
          <w:szCs w:val="24"/>
        </w:rPr>
        <w:lastRenderedPageBreak/>
        <w:t>Table 13</w:t>
      </w:r>
    </w:p>
    <w:p w14:paraId="41429650" w14:textId="77777777" w:rsidR="001B225E" w:rsidRPr="00424A36" w:rsidRDefault="001B225E" w:rsidP="001B225E">
      <w:pPr>
        <w:pStyle w:val="NoSpacing"/>
        <w:jc w:val="center"/>
        <w:rPr>
          <w:rFonts w:ascii="Arial" w:hAnsi="Arial" w:cs="Arial"/>
          <w:b/>
          <w:bCs/>
          <w:sz w:val="24"/>
          <w:szCs w:val="24"/>
        </w:rPr>
      </w:pPr>
      <w:r w:rsidRPr="00424A36">
        <w:rPr>
          <w:rFonts w:ascii="Arial" w:hAnsi="Arial" w:cs="Arial"/>
          <w:b/>
          <w:bCs/>
          <w:sz w:val="24"/>
          <w:szCs w:val="24"/>
        </w:rPr>
        <w:t>General Education</w:t>
      </w:r>
    </w:p>
    <w:p w14:paraId="328D6251" w14:textId="77777777" w:rsidR="001B225E" w:rsidRPr="00424A36" w:rsidRDefault="001B225E" w:rsidP="001B225E">
      <w:pPr>
        <w:pStyle w:val="NoSpacing"/>
        <w:jc w:val="center"/>
        <w:rPr>
          <w:rFonts w:ascii="Arial" w:hAnsi="Arial" w:cs="Arial"/>
          <w:sz w:val="24"/>
          <w:szCs w:val="24"/>
        </w:rPr>
      </w:pP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52"/>
        <w:gridCol w:w="1572"/>
        <w:gridCol w:w="1757"/>
        <w:gridCol w:w="2774"/>
      </w:tblGrid>
      <w:tr w:rsidR="001B225E" w:rsidRPr="00C06E05" w14:paraId="700FFB1C" w14:textId="77777777" w:rsidTr="00146DF8">
        <w:trPr>
          <w:trHeight w:val="252"/>
          <w:tblHeader/>
        </w:trPr>
        <w:tc>
          <w:tcPr>
            <w:tcW w:w="2552"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75017C70" w14:textId="77777777" w:rsidR="001B225E" w:rsidRPr="00C06E05" w:rsidRDefault="001B225E" w:rsidP="00146DF8">
            <w:pPr>
              <w:spacing w:after="0" w:line="240" w:lineRule="auto"/>
              <w:rPr>
                <w:rFonts w:ascii="Arial" w:hAnsi="Arial" w:cs="Arial"/>
              </w:rPr>
            </w:pPr>
            <w:r w:rsidRPr="00C06E05">
              <w:rPr>
                <w:rFonts w:ascii="Arial" w:hAnsi="Arial" w:cs="Arial"/>
                <w:b/>
                <w:bCs/>
              </w:rPr>
              <w:t>Range</w:t>
            </w:r>
          </w:p>
        </w:tc>
        <w:tc>
          <w:tcPr>
            <w:tcW w:w="1572"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550FCBAC"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Frequency</w:t>
            </w:r>
          </w:p>
        </w:tc>
        <w:tc>
          <w:tcPr>
            <w:tcW w:w="1757"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5A057068"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Percentage</w:t>
            </w:r>
          </w:p>
        </w:tc>
        <w:tc>
          <w:tcPr>
            <w:tcW w:w="2774"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1DB62757"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Interpretation</w:t>
            </w:r>
          </w:p>
        </w:tc>
      </w:tr>
      <w:tr w:rsidR="001B225E" w:rsidRPr="00C06E05" w14:paraId="33419EC2" w14:textId="77777777" w:rsidTr="00146DF8">
        <w:trPr>
          <w:trHeight w:val="271"/>
        </w:trPr>
        <w:tc>
          <w:tcPr>
            <w:tcW w:w="2552"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0215E74" w14:textId="77777777" w:rsidR="001B225E" w:rsidRPr="00C06E05" w:rsidRDefault="001B225E" w:rsidP="00146DF8">
            <w:pPr>
              <w:spacing w:after="0" w:line="240" w:lineRule="auto"/>
              <w:rPr>
                <w:rFonts w:ascii="Arial" w:hAnsi="Arial" w:cs="Arial"/>
              </w:rPr>
            </w:pPr>
            <w:r w:rsidRPr="00C06E05">
              <w:rPr>
                <w:rFonts w:ascii="Arial" w:hAnsi="Arial" w:cs="Arial"/>
              </w:rPr>
              <w:t>1.00 – 1.50</w:t>
            </w:r>
          </w:p>
        </w:tc>
        <w:tc>
          <w:tcPr>
            <w:tcW w:w="1572"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B315698" w14:textId="77777777" w:rsidR="001B225E" w:rsidRPr="00C06E05" w:rsidRDefault="001B225E" w:rsidP="00146DF8">
            <w:pPr>
              <w:spacing w:after="0" w:line="240" w:lineRule="auto"/>
              <w:jc w:val="center"/>
              <w:rPr>
                <w:rFonts w:ascii="Arial" w:hAnsi="Arial" w:cs="Arial"/>
              </w:rPr>
            </w:pPr>
            <w:r w:rsidRPr="00C06E05">
              <w:rPr>
                <w:rFonts w:ascii="Arial" w:hAnsi="Arial" w:cs="Arial"/>
              </w:rPr>
              <w:t>0</w:t>
            </w:r>
          </w:p>
        </w:tc>
        <w:tc>
          <w:tcPr>
            <w:tcW w:w="175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ED3BF82" w14:textId="77777777" w:rsidR="001B225E" w:rsidRPr="00C06E05" w:rsidRDefault="001B225E" w:rsidP="00146DF8">
            <w:pPr>
              <w:spacing w:after="0" w:line="240" w:lineRule="auto"/>
              <w:jc w:val="center"/>
              <w:rPr>
                <w:rFonts w:ascii="Arial" w:hAnsi="Arial" w:cs="Arial"/>
              </w:rPr>
            </w:pPr>
            <w:r w:rsidRPr="00C06E05">
              <w:rPr>
                <w:rFonts w:ascii="Arial" w:hAnsi="Arial" w:cs="Arial"/>
              </w:rPr>
              <w:t>0</w:t>
            </w:r>
          </w:p>
        </w:tc>
        <w:tc>
          <w:tcPr>
            <w:tcW w:w="2774"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C66EA92" w14:textId="77777777" w:rsidR="001B225E" w:rsidRPr="00C06E05" w:rsidRDefault="001B225E" w:rsidP="00146DF8">
            <w:pPr>
              <w:spacing w:after="0" w:line="240" w:lineRule="auto"/>
              <w:jc w:val="center"/>
              <w:rPr>
                <w:rFonts w:ascii="Arial" w:hAnsi="Arial" w:cs="Arial"/>
              </w:rPr>
            </w:pPr>
            <w:r w:rsidRPr="00C06E05">
              <w:rPr>
                <w:rFonts w:ascii="Arial" w:hAnsi="Arial" w:cs="Arial"/>
              </w:rPr>
              <w:t>Excellent</w:t>
            </w:r>
          </w:p>
        </w:tc>
      </w:tr>
      <w:tr w:rsidR="001B225E" w:rsidRPr="00C06E05" w14:paraId="578C66CE" w14:textId="77777777" w:rsidTr="00146DF8">
        <w:trPr>
          <w:trHeight w:val="252"/>
        </w:trPr>
        <w:tc>
          <w:tcPr>
            <w:tcW w:w="2552"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7744965" w14:textId="77777777" w:rsidR="001B225E" w:rsidRPr="00C06E05" w:rsidRDefault="001B225E" w:rsidP="00146DF8">
            <w:pPr>
              <w:spacing w:after="0" w:line="240" w:lineRule="auto"/>
              <w:rPr>
                <w:rFonts w:ascii="Arial" w:hAnsi="Arial" w:cs="Arial"/>
              </w:rPr>
            </w:pPr>
            <w:r w:rsidRPr="00C06E05">
              <w:rPr>
                <w:rFonts w:ascii="Arial" w:hAnsi="Arial" w:cs="Arial"/>
              </w:rPr>
              <w:t>1.51 – 2.00</w:t>
            </w:r>
          </w:p>
        </w:tc>
        <w:tc>
          <w:tcPr>
            <w:tcW w:w="1572"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330AE7D" w14:textId="77777777" w:rsidR="001B225E" w:rsidRPr="00C06E05" w:rsidRDefault="001B225E" w:rsidP="00146DF8">
            <w:pPr>
              <w:spacing w:after="0" w:line="240" w:lineRule="auto"/>
              <w:jc w:val="center"/>
              <w:rPr>
                <w:rFonts w:ascii="Arial" w:hAnsi="Arial" w:cs="Arial"/>
              </w:rPr>
            </w:pPr>
            <w:r w:rsidRPr="00C06E05">
              <w:rPr>
                <w:rFonts w:ascii="Arial" w:hAnsi="Arial" w:cs="Arial"/>
              </w:rPr>
              <w:t>52</w:t>
            </w:r>
          </w:p>
        </w:tc>
        <w:tc>
          <w:tcPr>
            <w:tcW w:w="175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DA2C28F" w14:textId="77777777" w:rsidR="001B225E" w:rsidRPr="00C06E05" w:rsidRDefault="001B225E" w:rsidP="00146DF8">
            <w:pPr>
              <w:spacing w:after="0" w:line="240" w:lineRule="auto"/>
              <w:jc w:val="center"/>
              <w:rPr>
                <w:rFonts w:ascii="Arial" w:hAnsi="Arial" w:cs="Arial"/>
              </w:rPr>
            </w:pPr>
            <w:r w:rsidRPr="00C06E05">
              <w:rPr>
                <w:rFonts w:ascii="Arial" w:hAnsi="Arial" w:cs="Arial"/>
              </w:rPr>
              <w:t>45</w:t>
            </w:r>
          </w:p>
        </w:tc>
        <w:tc>
          <w:tcPr>
            <w:tcW w:w="2774"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80EB6ED" w14:textId="77777777" w:rsidR="001B225E" w:rsidRPr="00C06E05" w:rsidRDefault="001B225E" w:rsidP="00146DF8">
            <w:pPr>
              <w:spacing w:after="0" w:line="240" w:lineRule="auto"/>
              <w:jc w:val="center"/>
              <w:rPr>
                <w:rFonts w:ascii="Arial" w:hAnsi="Arial" w:cs="Arial"/>
              </w:rPr>
            </w:pPr>
            <w:r w:rsidRPr="00C06E05">
              <w:rPr>
                <w:rFonts w:ascii="Arial" w:hAnsi="Arial" w:cs="Arial"/>
              </w:rPr>
              <w:t>Very Satisfactory</w:t>
            </w:r>
          </w:p>
        </w:tc>
      </w:tr>
      <w:tr w:rsidR="001B225E" w:rsidRPr="00C06E05" w14:paraId="01E93E94" w14:textId="77777777" w:rsidTr="00146DF8">
        <w:trPr>
          <w:trHeight w:val="252"/>
        </w:trPr>
        <w:tc>
          <w:tcPr>
            <w:tcW w:w="2552"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4050DC54" w14:textId="77777777" w:rsidR="001B225E" w:rsidRPr="00C06E05" w:rsidRDefault="001B225E" w:rsidP="00146DF8">
            <w:pPr>
              <w:spacing w:after="0" w:line="240" w:lineRule="auto"/>
              <w:rPr>
                <w:rFonts w:ascii="Arial" w:hAnsi="Arial" w:cs="Arial"/>
              </w:rPr>
            </w:pPr>
            <w:r w:rsidRPr="00C06E05">
              <w:rPr>
                <w:rFonts w:ascii="Arial" w:hAnsi="Arial" w:cs="Arial"/>
              </w:rPr>
              <w:t>2.01 – 2.50</w:t>
            </w:r>
          </w:p>
        </w:tc>
        <w:tc>
          <w:tcPr>
            <w:tcW w:w="1572"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79216724" w14:textId="77777777" w:rsidR="001B225E" w:rsidRPr="00C06E05" w:rsidRDefault="001B225E" w:rsidP="00146DF8">
            <w:pPr>
              <w:spacing w:after="0" w:line="240" w:lineRule="auto"/>
              <w:jc w:val="center"/>
              <w:rPr>
                <w:rFonts w:ascii="Arial" w:hAnsi="Arial" w:cs="Arial"/>
              </w:rPr>
            </w:pPr>
            <w:r w:rsidRPr="00C06E05">
              <w:rPr>
                <w:rFonts w:ascii="Arial" w:hAnsi="Arial" w:cs="Arial"/>
              </w:rPr>
              <w:t>63</w:t>
            </w:r>
          </w:p>
        </w:tc>
        <w:tc>
          <w:tcPr>
            <w:tcW w:w="1757"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117ECE1C" w14:textId="77777777" w:rsidR="001B225E" w:rsidRPr="00C06E05" w:rsidRDefault="001B225E" w:rsidP="00146DF8">
            <w:pPr>
              <w:spacing w:after="0" w:line="240" w:lineRule="auto"/>
              <w:jc w:val="center"/>
              <w:rPr>
                <w:rFonts w:ascii="Arial" w:hAnsi="Arial" w:cs="Arial"/>
              </w:rPr>
            </w:pPr>
            <w:r w:rsidRPr="00C06E05">
              <w:rPr>
                <w:rFonts w:ascii="Arial" w:hAnsi="Arial" w:cs="Arial"/>
              </w:rPr>
              <w:t>54</w:t>
            </w:r>
          </w:p>
        </w:tc>
        <w:tc>
          <w:tcPr>
            <w:tcW w:w="2774"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48B5CF94" w14:textId="77777777" w:rsidR="001B225E" w:rsidRPr="00C06E05" w:rsidRDefault="001B225E" w:rsidP="00146DF8">
            <w:pPr>
              <w:spacing w:after="0" w:line="240" w:lineRule="auto"/>
              <w:jc w:val="center"/>
              <w:rPr>
                <w:rFonts w:ascii="Arial" w:hAnsi="Arial" w:cs="Arial"/>
              </w:rPr>
            </w:pPr>
            <w:r w:rsidRPr="00C06E05">
              <w:rPr>
                <w:rFonts w:ascii="Arial" w:hAnsi="Arial" w:cs="Arial"/>
              </w:rPr>
              <w:t>Satisfactory</w:t>
            </w:r>
          </w:p>
        </w:tc>
      </w:tr>
      <w:tr w:rsidR="001B225E" w:rsidRPr="00C06E05" w14:paraId="11EDB33A" w14:textId="77777777" w:rsidTr="00146DF8">
        <w:trPr>
          <w:trHeight w:val="252"/>
        </w:trPr>
        <w:tc>
          <w:tcPr>
            <w:tcW w:w="4124" w:type="dxa"/>
            <w:gridSpan w:val="2"/>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tcPr>
          <w:p w14:paraId="6C127720" w14:textId="77777777" w:rsidR="001B225E" w:rsidRPr="00C06E05" w:rsidRDefault="001B225E" w:rsidP="00146DF8">
            <w:pPr>
              <w:spacing w:after="0" w:line="240" w:lineRule="auto"/>
              <w:rPr>
                <w:rFonts w:ascii="Arial" w:hAnsi="Arial" w:cs="Arial"/>
              </w:rPr>
            </w:pPr>
            <w:r w:rsidRPr="00C06E05">
              <w:rPr>
                <w:rFonts w:ascii="Arial" w:hAnsi="Arial" w:cs="Arial"/>
                <w:b/>
                <w:bCs/>
              </w:rPr>
              <w:t>Mean Gen Ed Average</w:t>
            </w:r>
          </w:p>
        </w:tc>
        <w:tc>
          <w:tcPr>
            <w:tcW w:w="1757"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tcPr>
          <w:p w14:paraId="1B70EBC8"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2.02</w:t>
            </w:r>
          </w:p>
        </w:tc>
        <w:tc>
          <w:tcPr>
            <w:tcW w:w="2774"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tcPr>
          <w:p w14:paraId="56122A4D"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Satisfactory</w:t>
            </w:r>
          </w:p>
        </w:tc>
      </w:tr>
    </w:tbl>
    <w:p w14:paraId="67017715" w14:textId="77777777" w:rsidR="001B225E" w:rsidRPr="00424A36" w:rsidRDefault="001B225E" w:rsidP="001B225E">
      <w:pPr>
        <w:spacing w:line="480" w:lineRule="auto"/>
        <w:ind w:firstLine="709"/>
        <w:jc w:val="both"/>
        <w:rPr>
          <w:rFonts w:ascii="Arial" w:hAnsi="Arial" w:cs="Arial"/>
          <w:sz w:val="8"/>
          <w:szCs w:val="8"/>
        </w:rPr>
      </w:pPr>
    </w:p>
    <w:p w14:paraId="3E42579E" w14:textId="77777777" w:rsidR="001B225E" w:rsidRPr="00C06E05" w:rsidRDefault="001B225E" w:rsidP="001B225E">
      <w:pPr>
        <w:spacing w:after="0" w:line="480" w:lineRule="auto"/>
        <w:jc w:val="both"/>
        <w:rPr>
          <w:rFonts w:ascii="Arial" w:hAnsi="Arial" w:cs="Arial"/>
        </w:rPr>
      </w:pPr>
      <w:r w:rsidRPr="00C06E05">
        <w:rPr>
          <w:rFonts w:ascii="Arial" w:hAnsi="Arial" w:cs="Arial"/>
        </w:rPr>
        <w:t>Satisfactory range, while 63 respondents or 54 percent fell within the Satisfactory</w:t>
      </w:r>
      <w:r>
        <w:rPr>
          <w:rFonts w:ascii="Arial" w:hAnsi="Arial" w:cs="Arial"/>
        </w:rPr>
        <w:t xml:space="preserve"> </w:t>
      </w:r>
      <w:r w:rsidRPr="00C06E05">
        <w:rPr>
          <w:rFonts w:ascii="Arial" w:hAnsi="Arial" w:cs="Arial"/>
        </w:rPr>
        <w:t>range. The mean General Education average was 2.02, interpreted as Satisfactory, the only academic component to fall below the Very Satisfactory level</w:t>
      </w:r>
    </w:p>
    <w:p w14:paraId="12280CF6" w14:textId="77777777" w:rsidR="001B225E" w:rsidRPr="00C06E05" w:rsidRDefault="001B225E" w:rsidP="001B225E">
      <w:pPr>
        <w:spacing w:line="480" w:lineRule="auto"/>
        <w:ind w:firstLine="720"/>
        <w:jc w:val="both"/>
        <w:rPr>
          <w:rFonts w:ascii="Arial" w:hAnsi="Arial" w:cs="Arial"/>
        </w:rPr>
      </w:pPr>
      <w:r w:rsidRPr="00C06E05">
        <w:rPr>
          <w:rFonts w:ascii="Arial" w:hAnsi="Arial" w:cs="Arial"/>
        </w:rPr>
        <w:t xml:space="preserve">The data showed that the General Education component was the weakest area of academic performance among the respondents as majority got only Satisfactory averages. This finding was consistent with the earlier observation that the General Education component of the LET rating showed a relatively high percentage of below-passing scores and thus was a priority area for curricular enhancement. </w:t>
      </w:r>
      <w:proofErr w:type="spellStart"/>
      <w:r w:rsidRPr="00C06E05">
        <w:rPr>
          <w:rFonts w:ascii="Arial" w:hAnsi="Arial" w:cs="Arial"/>
        </w:rPr>
        <w:t>Balinario</w:t>
      </w:r>
      <w:proofErr w:type="spellEnd"/>
      <w:r w:rsidRPr="00C06E05">
        <w:rPr>
          <w:rFonts w:ascii="Arial" w:hAnsi="Arial" w:cs="Arial"/>
        </w:rPr>
        <w:t xml:space="preserve"> et al. (2023) pointed out that congruence between what is delivered in the general education courses and what is assessed in the LET is a major factor in licensure performance, and gaps in curriculum coverage are often translated to lower scores in this area. Delos Angeles (2020) found that the degree of alignment between the curriculum and the LET competencies was a strong predictor of candidate performance, and that misalignment between course objectives and licensure content was negatively associated with examination performance. Darling-Hammond and Bransford (2005) further argued that coherent teacher preparation programs that combine general academic content </w:t>
      </w:r>
      <w:r w:rsidRPr="00C06E05">
        <w:rPr>
          <w:rFonts w:ascii="Arial" w:hAnsi="Arial" w:cs="Arial"/>
        </w:rPr>
        <w:lastRenderedPageBreak/>
        <w:t>with pedagogical competencies produce graduates more closely aligned with the demands of professional licensure. The Satisfactory mean General Education average therefore indicated that future LET takers would benefit from targeted curricular review and additional academic support in general education subjects.</w:t>
      </w:r>
    </w:p>
    <w:p w14:paraId="2585F490" w14:textId="77777777" w:rsidR="001B225E" w:rsidRPr="00424A36" w:rsidRDefault="001B225E" w:rsidP="001B225E">
      <w:pPr>
        <w:pStyle w:val="NoSpacing"/>
        <w:jc w:val="center"/>
        <w:rPr>
          <w:rFonts w:ascii="Arial" w:hAnsi="Arial" w:cs="Arial"/>
          <w:sz w:val="24"/>
          <w:szCs w:val="24"/>
        </w:rPr>
      </w:pPr>
      <w:r w:rsidRPr="00424A36">
        <w:rPr>
          <w:rFonts w:ascii="Arial" w:hAnsi="Arial" w:cs="Arial"/>
          <w:sz w:val="24"/>
          <w:szCs w:val="24"/>
        </w:rPr>
        <w:t>Table 14</w:t>
      </w:r>
    </w:p>
    <w:p w14:paraId="1F03FED3" w14:textId="77777777" w:rsidR="001B225E" w:rsidRPr="00424A36" w:rsidRDefault="001B225E" w:rsidP="001B225E">
      <w:pPr>
        <w:pStyle w:val="NoSpacing"/>
        <w:jc w:val="center"/>
        <w:rPr>
          <w:rFonts w:ascii="Arial" w:hAnsi="Arial" w:cs="Arial"/>
          <w:b/>
          <w:bCs/>
          <w:sz w:val="24"/>
          <w:szCs w:val="24"/>
        </w:rPr>
      </w:pPr>
      <w:r w:rsidRPr="00424A36">
        <w:rPr>
          <w:rFonts w:ascii="Arial" w:hAnsi="Arial" w:cs="Arial"/>
          <w:b/>
          <w:bCs/>
          <w:sz w:val="24"/>
          <w:szCs w:val="24"/>
        </w:rPr>
        <w:t>Professional Education</w:t>
      </w:r>
    </w:p>
    <w:p w14:paraId="77539534" w14:textId="77777777" w:rsidR="001B225E" w:rsidRPr="00424A36" w:rsidRDefault="001B225E" w:rsidP="001B225E">
      <w:pPr>
        <w:pStyle w:val="NoSpacing"/>
        <w:jc w:val="center"/>
        <w:rPr>
          <w:rFonts w:ascii="Arial" w:hAnsi="Arial" w:cs="Arial"/>
          <w:sz w:val="24"/>
          <w:szCs w:val="24"/>
        </w:rPr>
      </w:pPr>
    </w:p>
    <w:tbl>
      <w:tblPr>
        <w:tblW w:w="8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52"/>
        <w:gridCol w:w="1572"/>
        <w:gridCol w:w="1756"/>
        <w:gridCol w:w="2774"/>
      </w:tblGrid>
      <w:tr w:rsidR="001B225E" w:rsidRPr="00C06E05" w14:paraId="7C9E2667" w14:textId="77777777" w:rsidTr="00146DF8">
        <w:trPr>
          <w:trHeight w:val="378"/>
          <w:tblHeader/>
        </w:trPr>
        <w:tc>
          <w:tcPr>
            <w:tcW w:w="2552"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5C8FE0B4" w14:textId="77777777" w:rsidR="001B225E" w:rsidRPr="00C06E05" w:rsidRDefault="001B225E" w:rsidP="00146DF8">
            <w:pPr>
              <w:spacing w:after="0" w:line="240" w:lineRule="auto"/>
              <w:rPr>
                <w:rFonts w:ascii="Arial" w:hAnsi="Arial" w:cs="Arial"/>
              </w:rPr>
            </w:pPr>
            <w:r w:rsidRPr="00C06E05">
              <w:rPr>
                <w:rFonts w:ascii="Arial" w:hAnsi="Arial" w:cs="Arial"/>
                <w:b/>
                <w:bCs/>
              </w:rPr>
              <w:t>Range</w:t>
            </w:r>
          </w:p>
        </w:tc>
        <w:tc>
          <w:tcPr>
            <w:tcW w:w="1571"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16AC3A20"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Frequency</w:t>
            </w:r>
          </w:p>
        </w:tc>
        <w:tc>
          <w:tcPr>
            <w:tcW w:w="1756"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683EA435"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Percentage</w:t>
            </w:r>
          </w:p>
        </w:tc>
        <w:tc>
          <w:tcPr>
            <w:tcW w:w="2774"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462E6324"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Interpretation</w:t>
            </w:r>
          </w:p>
        </w:tc>
      </w:tr>
      <w:tr w:rsidR="001B225E" w:rsidRPr="00C06E05" w14:paraId="34C2AA22" w14:textId="77777777" w:rsidTr="00146DF8">
        <w:trPr>
          <w:trHeight w:val="44"/>
        </w:trPr>
        <w:tc>
          <w:tcPr>
            <w:tcW w:w="2552"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A3444D0" w14:textId="77777777" w:rsidR="001B225E" w:rsidRPr="00C06E05" w:rsidRDefault="001B225E" w:rsidP="00146DF8">
            <w:pPr>
              <w:spacing w:after="0" w:line="240" w:lineRule="auto"/>
              <w:rPr>
                <w:rFonts w:ascii="Arial" w:hAnsi="Arial" w:cs="Arial"/>
              </w:rPr>
            </w:pPr>
            <w:r w:rsidRPr="00C06E05">
              <w:rPr>
                <w:rFonts w:ascii="Arial" w:hAnsi="Arial" w:cs="Arial"/>
              </w:rPr>
              <w:t>1.00 – 1.50</w:t>
            </w:r>
          </w:p>
        </w:tc>
        <w:tc>
          <w:tcPr>
            <w:tcW w:w="1571"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240C218" w14:textId="77777777" w:rsidR="001B225E" w:rsidRPr="00C06E05" w:rsidRDefault="001B225E" w:rsidP="00146DF8">
            <w:pPr>
              <w:spacing w:after="0" w:line="240" w:lineRule="auto"/>
              <w:jc w:val="center"/>
              <w:rPr>
                <w:rFonts w:ascii="Arial" w:hAnsi="Arial" w:cs="Arial"/>
              </w:rPr>
            </w:pPr>
            <w:r w:rsidRPr="00C06E05">
              <w:rPr>
                <w:rFonts w:ascii="Arial" w:hAnsi="Arial" w:cs="Arial"/>
              </w:rPr>
              <w:t>4</w:t>
            </w:r>
          </w:p>
        </w:tc>
        <w:tc>
          <w:tcPr>
            <w:tcW w:w="175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962E717" w14:textId="77777777" w:rsidR="001B225E" w:rsidRPr="00C06E05" w:rsidRDefault="001B225E" w:rsidP="00146DF8">
            <w:pPr>
              <w:spacing w:after="0" w:line="240" w:lineRule="auto"/>
              <w:jc w:val="center"/>
              <w:rPr>
                <w:rFonts w:ascii="Arial" w:hAnsi="Arial" w:cs="Arial"/>
              </w:rPr>
            </w:pPr>
            <w:r w:rsidRPr="00C06E05">
              <w:rPr>
                <w:rFonts w:ascii="Arial" w:hAnsi="Arial" w:cs="Arial"/>
              </w:rPr>
              <w:t>3</w:t>
            </w:r>
          </w:p>
        </w:tc>
        <w:tc>
          <w:tcPr>
            <w:tcW w:w="2774"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2482510" w14:textId="77777777" w:rsidR="001B225E" w:rsidRPr="00C06E05" w:rsidRDefault="001B225E" w:rsidP="00146DF8">
            <w:pPr>
              <w:spacing w:after="0" w:line="240" w:lineRule="auto"/>
              <w:jc w:val="center"/>
              <w:rPr>
                <w:rFonts w:ascii="Arial" w:hAnsi="Arial" w:cs="Arial"/>
              </w:rPr>
            </w:pPr>
            <w:r w:rsidRPr="00C06E05">
              <w:rPr>
                <w:rFonts w:ascii="Arial" w:hAnsi="Arial" w:cs="Arial"/>
              </w:rPr>
              <w:t>Excellent</w:t>
            </w:r>
          </w:p>
        </w:tc>
      </w:tr>
      <w:tr w:rsidR="001B225E" w:rsidRPr="00C06E05" w14:paraId="0D1566C1" w14:textId="77777777" w:rsidTr="00146DF8">
        <w:trPr>
          <w:trHeight w:val="44"/>
        </w:trPr>
        <w:tc>
          <w:tcPr>
            <w:tcW w:w="2552"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B05B398" w14:textId="77777777" w:rsidR="001B225E" w:rsidRPr="00C06E05" w:rsidRDefault="001B225E" w:rsidP="00146DF8">
            <w:pPr>
              <w:spacing w:after="0" w:line="240" w:lineRule="auto"/>
              <w:rPr>
                <w:rFonts w:ascii="Arial" w:hAnsi="Arial" w:cs="Arial"/>
              </w:rPr>
            </w:pPr>
            <w:r w:rsidRPr="00C06E05">
              <w:rPr>
                <w:rFonts w:ascii="Arial" w:hAnsi="Arial" w:cs="Arial"/>
              </w:rPr>
              <w:t>1.51 – 2.00</w:t>
            </w:r>
          </w:p>
        </w:tc>
        <w:tc>
          <w:tcPr>
            <w:tcW w:w="1571"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4C78E83" w14:textId="77777777" w:rsidR="001B225E" w:rsidRPr="00C06E05" w:rsidRDefault="001B225E" w:rsidP="00146DF8">
            <w:pPr>
              <w:spacing w:after="0" w:line="240" w:lineRule="auto"/>
              <w:jc w:val="center"/>
              <w:rPr>
                <w:rFonts w:ascii="Arial" w:hAnsi="Arial" w:cs="Arial"/>
              </w:rPr>
            </w:pPr>
            <w:r w:rsidRPr="00C06E05">
              <w:rPr>
                <w:rFonts w:ascii="Arial" w:hAnsi="Arial" w:cs="Arial"/>
              </w:rPr>
              <w:t>78</w:t>
            </w:r>
          </w:p>
        </w:tc>
        <w:tc>
          <w:tcPr>
            <w:tcW w:w="175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6B2E539" w14:textId="77777777" w:rsidR="001B225E" w:rsidRPr="00C06E05" w:rsidRDefault="001B225E" w:rsidP="00146DF8">
            <w:pPr>
              <w:spacing w:after="0" w:line="240" w:lineRule="auto"/>
              <w:jc w:val="center"/>
              <w:rPr>
                <w:rFonts w:ascii="Arial" w:hAnsi="Arial" w:cs="Arial"/>
              </w:rPr>
            </w:pPr>
            <w:r w:rsidRPr="00C06E05">
              <w:rPr>
                <w:rFonts w:ascii="Arial" w:hAnsi="Arial" w:cs="Arial"/>
              </w:rPr>
              <w:t>67</w:t>
            </w:r>
          </w:p>
        </w:tc>
        <w:tc>
          <w:tcPr>
            <w:tcW w:w="2774"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81086EF" w14:textId="77777777" w:rsidR="001B225E" w:rsidRPr="00C06E05" w:rsidRDefault="001B225E" w:rsidP="00146DF8">
            <w:pPr>
              <w:spacing w:after="0" w:line="240" w:lineRule="auto"/>
              <w:jc w:val="center"/>
              <w:rPr>
                <w:rFonts w:ascii="Arial" w:hAnsi="Arial" w:cs="Arial"/>
              </w:rPr>
            </w:pPr>
            <w:r w:rsidRPr="00C06E05">
              <w:rPr>
                <w:rFonts w:ascii="Arial" w:hAnsi="Arial" w:cs="Arial"/>
              </w:rPr>
              <w:t>Very Satisfactory</w:t>
            </w:r>
          </w:p>
        </w:tc>
      </w:tr>
      <w:tr w:rsidR="001B225E" w:rsidRPr="00C06E05" w14:paraId="3FE104CC" w14:textId="77777777" w:rsidTr="00146DF8">
        <w:trPr>
          <w:trHeight w:val="44"/>
        </w:trPr>
        <w:tc>
          <w:tcPr>
            <w:tcW w:w="2552"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0913AB1F" w14:textId="77777777" w:rsidR="001B225E" w:rsidRPr="00C06E05" w:rsidRDefault="001B225E" w:rsidP="00146DF8">
            <w:pPr>
              <w:spacing w:after="0" w:line="240" w:lineRule="auto"/>
              <w:rPr>
                <w:rFonts w:ascii="Arial" w:hAnsi="Arial" w:cs="Arial"/>
              </w:rPr>
            </w:pPr>
            <w:r w:rsidRPr="00C06E05">
              <w:rPr>
                <w:rFonts w:ascii="Arial" w:hAnsi="Arial" w:cs="Arial"/>
              </w:rPr>
              <w:t>2.01 – 2.50</w:t>
            </w:r>
          </w:p>
        </w:tc>
        <w:tc>
          <w:tcPr>
            <w:tcW w:w="1571"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52986FCB" w14:textId="77777777" w:rsidR="001B225E" w:rsidRPr="00C06E05" w:rsidRDefault="001B225E" w:rsidP="00146DF8">
            <w:pPr>
              <w:spacing w:after="0" w:line="240" w:lineRule="auto"/>
              <w:jc w:val="center"/>
              <w:rPr>
                <w:rFonts w:ascii="Arial" w:hAnsi="Arial" w:cs="Arial"/>
              </w:rPr>
            </w:pPr>
            <w:r w:rsidRPr="00C06E05">
              <w:rPr>
                <w:rFonts w:ascii="Arial" w:hAnsi="Arial" w:cs="Arial"/>
              </w:rPr>
              <w:t>33</w:t>
            </w:r>
          </w:p>
        </w:tc>
        <w:tc>
          <w:tcPr>
            <w:tcW w:w="1756"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3D05AD0B" w14:textId="77777777" w:rsidR="001B225E" w:rsidRPr="00C06E05" w:rsidRDefault="001B225E" w:rsidP="00146DF8">
            <w:pPr>
              <w:spacing w:after="0" w:line="240" w:lineRule="auto"/>
              <w:jc w:val="center"/>
              <w:rPr>
                <w:rFonts w:ascii="Arial" w:hAnsi="Arial" w:cs="Arial"/>
              </w:rPr>
            </w:pPr>
            <w:r w:rsidRPr="00C06E05">
              <w:rPr>
                <w:rFonts w:ascii="Arial" w:hAnsi="Arial" w:cs="Arial"/>
              </w:rPr>
              <w:t>28</w:t>
            </w:r>
          </w:p>
        </w:tc>
        <w:tc>
          <w:tcPr>
            <w:tcW w:w="2774"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1DCC40DC" w14:textId="77777777" w:rsidR="001B225E" w:rsidRPr="00C06E05" w:rsidRDefault="001B225E" w:rsidP="00146DF8">
            <w:pPr>
              <w:spacing w:after="0" w:line="240" w:lineRule="auto"/>
              <w:jc w:val="center"/>
              <w:rPr>
                <w:rFonts w:ascii="Arial" w:hAnsi="Arial" w:cs="Arial"/>
              </w:rPr>
            </w:pPr>
            <w:r w:rsidRPr="00C06E05">
              <w:rPr>
                <w:rFonts w:ascii="Arial" w:hAnsi="Arial" w:cs="Arial"/>
              </w:rPr>
              <w:t>Satisfactory</w:t>
            </w:r>
          </w:p>
        </w:tc>
      </w:tr>
      <w:tr w:rsidR="001B225E" w:rsidRPr="00C06E05" w14:paraId="3C67B910" w14:textId="77777777" w:rsidTr="00146DF8">
        <w:trPr>
          <w:trHeight w:val="14"/>
        </w:trPr>
        <w:tc>
          <w:tcPr>
            <w:tcW w:w="4124" w:type="dxa"/>
            <w:gridSpan w:val="2"/>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tcPr>
          <w:p w14:paraId="3681EDE3" w14:textId="77777777" w:rsidR="001B225E" w:rsidRPr="00C06E05" w:rsidRDefault="001B225E" w:rsidP="00146DF8">
            <w:pPr>
              <w:spacing w:after="0" w:line="240" w:lineRule="auto"/>
              <w:rPr>
                <w:rFonts w:ascii="Arial" w:hAnsi="Arial" w:cs="Arial"/>
              </w:rPr>
            </w:pPr>
            <w:r w:rsidRPr="00C06E05">
              <w:rPr>
                <w:rFonts w:ascii="Arial" w:hAnsi="Arial" w:cs="Arial"/>
                <w:b/>
                <w:bCs/>
              </w:rPr>
              <w:t>Mean Prof Ed Average</w:t>
            </w:r>
          </w:p>
        </w:tc>
        <w:tc>
          <w:tcPr>
            <w:tcW w:w="1756"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tcPr>
          <w:p w14:paraId="318FE6E5"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1.88</w:t>
            </w:r>
          </w:p>
        </w:tc>
        <w:tc>
          <w:tcPr>
            <w:tcW w:w="2774"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tcPr>
          <w:p w14:paraId="7899B954"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Very Satisfactory</w:t>
            </w:r>
          </w:p>
        </w:tc>
      </w:tr>
    </w:tbl>
    <w:p w14:paraId="723363B7"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t xml:space="preserve">Table </w:t>
      </w:r>
      <w:r>
        <w:rPr>
          <w:rFonts w:ascii="Arial" w:hAnsi="Arial" w:cs="Arial"/>
        </w:rPr>
        <w:t xml:space="preserve">14 </w:t>
      </w:r>
      <w:r w:rsidRPr="00C06E05">
        <w:rPr>
          <w:rFonts w:ascii="Arial" w:hAnsi="Arial" w:cs="Arial"/>
        </w:rPr>
        <w:t>presented the academic performance of the respondents in the Professional Education component. Four respondents or 3 percent achieved an Excellent average, the majority comprising 78 respondents or 67 percent achieved averages in the Very Satisfactory range, and 33 respondents or 28 percent fell within the Satisfactory range. The mean Professional Education average was 1.88 interpreted as Very Satisfactory.</w:t>
      </w:r>
    </w:p>
    <w:p w14:paraId="38855991" w14:textId="77777777" w:rsidR="001B225E" w:rsidRPr="00C06E05" w:rsidRDefault="001B225E" w:rsidP="001B225E">
      <w:pPr>
        <w:spacing w:line="480" w:lineRule="auto"/>
        <w:ind w:firstLine="720"/>
        <w:jc w:val="both"/>
        <w:rPr>
          <w:rFonts w:ascii="Arial" w:hAnsi="Arial" w:cs="Arial"/>
        </w:rPr>
      </w:pPr>
      <w:r w:rsidRPr="00C06E05">
        <w:rPr>
          <w:rFonts w:ascii="Arial" w:hAnsi="Arial" w:cs="Arial"/>
        </w:rPr>
        <w:t xml:space="preserve">The data showed that the respondents achieved a Very Satisfactory level of academic performance in the Professional Education component which was a praiseworthy level of pedagogical preparation. The LET is considerably strengthened by Professional Education, and is directly linked to pedagogical knowledge and teaching competencies. Hence, this level of performance was an appropriate measure of licensure readiness. </w:t>
      </w:r>
      <w:proofErr w:type="spellStart"/>
      <w:r w:rsidRPr="00C06E05">
        <w:rPr>
          <w:rFonts w:ascii="Arial" w:hAnsi="Arial" w:cs="Arial"/>
        </w:rPr>
        <w:t>Amanonce</w:t>
      </w:r>
      <w:proofErr w:type="spellEnd"/>
      <w:r w:rsidRPr="00C06E05">
        <w:rPr>
          <w:rFonts w:ascii="Arial" w:hAnsi="Arial" w:cs="Arial"/>
        </w:rPr>
        <w:t xml:space="preserve"> and Maramag (2020) found that grades in professional education are among the strongest academic </w:t>
      </w:r>
      <w:r w:rsidRPr="00C06E05">
        <w:rPr>
          <w:rFonts w:ascii="Arial" w:hAnsi="Arial" w:cs="Arial"/>
        </w:rPr>
        <w:lastRenderedPageBreak/>
        <w:t>predictors of LET performance. Lao (2021) also reported that students who performed well in professional education courses had a significantly higher likelihood of passing the LET and the quality of instruction and content coverage in this area were important factors to achieve the licensure cut score. The Professional Regulation Commission (2025) also stressed that preparation for the LET should be in accordance with the curriculum and examination coverage for professional education. The Very Satisfactory mean of 1.88 therefore signified a commendable level of pedagogical preparation among the LET takers of the community college.</w:t>
      </w:r>
    </w:p>
    <w:p w14:paraId="6EC9F3B4" w14:textId="77777777" w:rsidR="001B225E" w:rsidRPr="00424A36" w:rsidRDefault="001B225E" w:rsidP="001B225E">
      <w:pPr>
        <w:pStyle w:val="NoSpacing"/>
        <w:jc w:val="center"/>
        <w:rPr>
          <w:rFonts w:ascii="Arial" w:hAnsi="Arial" w:cs="Arial"/>
          <w:sz w:val="24"/>
          <w:szCs w:val="24"/>
        </w:rPr>
      </w:pPr>
      <w:r w:rsidRPr="00424A36">
        <w:rPr>
          <w:rFonts w:ascii="Arial" w:hAnsi="Arial" w:cs="Arial"/>
          <w:sz w:val="24"/>
          <w:szCs w:val="24"/>
        </w:rPr>
        <w:t xml:space="preserve">Table </w:t>
      </w:r>
      <w:r>
        <w:rPr>
          <w:rFonts w:ascii="Arial" w:hAnsi="Arial" w:cs="Arial"/>
          <w:sz w:val="24"/>
          <w:szCs w:val="24"/>
        </w:rPr>
        <w:t>15</w:t>
      </w:r>
    </w:p>
    <w:p w14:paraId="54972D09" w14:textId="77777777" w:rsidR="001B225E" w:rsidRDefault="001B225E" w:rsidP="001B225E">
      <w:pPr>
        <w:pStyle w:val="NoSpacing"/>
        <w:jc w:val="center"/>
        <w:rPr>
          <w:rFonts w:ascii="Arial" w:hAnsi="Arial" w:cs="Arial"/>
          <w:b/>
          <w:bCs/>
          <w:sz w:val="24"/>
          <w:szCs w:val="24"/>
        </w:rPr>
      </w:pPr>
      <w:r w:rsidRPr="00424A36">
        <w:rPr>
          <w:rFonts w:ascii="Arial" w:hAnsi="Arial" w:cs="Arial"/>
          <w:b/>
          <w:bCs/>
          <w:sz w:val="24"/>
          <w:szCs w:val="24"/>
        </w:rPr>
        <w:t>Major/Specialization</w:t>
      </w:r>
    </w:p>
    <w:p w14:paraId="46A79AA5" w14:textId="77777777" w:rsidR="001B225E" w:rsidRPr="00424A36" w:rsidRDefault="001B225E" w:rsidP="001B225E">
      <w:pPr>
        <w:pStyle w:val="NoSpacing"/>
        <w:jc w:val="center"/>
        <w:rPr>
          <w:rFonts w:ascii="Arial" w:hAnsi="Arial" w:cs="Arial"/>
          <w:b/>
          <w:bCs/>
          <w:sz w:val="24"/>
          <w:szCs w:val="24"/>
        </w:rPr>
      </w:pP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52"/>
        <w:gridCol w:w="1572"/>
        <w:gridCol w:w="1757"/>
        <w:gridCol w:w="2774"/>
      </w:tblGrid>
      <w:tr w:rsidR="001B225E" w:rsidRPr="00C06E05" w14:paraId="05E3EEC8" w14:textId="77777777" w:rsidTr="00146DF8">
        <w:trPr>
          <w:trHeight w:val="29"/>
          <w:tblHeader/>
        </w:trPr>
        <w:tc>
          <w:tcPr>
            <w:tcW w:w="2552"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26E486C2" w14:textId="77777777" w:rsidR="001B225E" w:rsidRPr="00C06E05" w:rsidRDefault="001B225E" w:rsidP="00146DF8">
            <w:pPr>
              <w:spacing w:after="0" w:line="240" w:lineRule="auto"/>
              <w:rPr>
                <w:rFonts w:ascii="Arial" w:hAnsi="Arial" w:cs="Arial"/>
              </w:rPr>
            </w:pPr>
            <w:r w:rsidRPr="00C06E05">
              <w:rPr>
                <w:rFonts w:ascii="Arial" w:hAnsi="Arial" w:cs="Arial"/>
                <w:b/>
                <w:bCs/>
              </w:rPr>
              <w:t>Range</w:t>
            </w:r>
          </w:p>
        </w:tc>
        <w:tc>
          <w:tcPr>
            <w:tcW w:w="1572"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281279A6"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Frequency</w:t>
            </w:r>
          </w:p>
        </w:tc>
        <w:tc>
          <w:tcPr>
            <w:tcW w:w="1757"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67D19F7B"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Percentage</w:t>
            </w:r>
          </w:p>
        </w:tc>
        <w:tc>
          <w:tcPr>
            <w:tcW w:w="2774"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6FE02B24"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Interpretation</w:t>
            </w:r>
          </w:p>
        </w:tc>
      </w:tr>
      <w:tr w:rsidR="001B225E" w:rsidRPr="00C06E05" w14:paraId="4AE3C983" w14:textId="77777777" w:rsidTr="00146DF8">
        <w:trPr>
          <w:trHeight w:val="44"/>
        </w:trPr>
        <w:tc>
          <w:tcPr>
            <w:tcW w:w="2552"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44C14F3" w14:textId="77777777" w:rsidR="001B225E" w:rsidRPr="00C06E05" w:rsidRDefault="001B225E" w:rsidP="00146DF8">
            <w:pPr>
              <w:spacing w:after="0" w:line="240" w:lineRule="auto"/>
              <w:rPr>
                <w:rFonts w:ascii="Arial" w:hAnsi="Arial" w:cs="Arial"/>
              </w:rPr>
            </w:pPr>
            <w:r w:rsidRPr="00C06E05">
              <w:rPr>
                <w:rFonts w:ascii="Arial" w:hAnsi="Arial" w:cs="Arial"/>
              </w:rPr>
              <w:t>1.00 – 1.50</w:t>
            </w:r>
          </w:p>
        </w:tc>
        <w:tc>
          <w:tcPr>
            <w:tcW w:w="1572"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5CC5AC9" w14:textId="77777777" w:rsidR="001B225E" w:rsidRPr="00C06E05" w:rsidRDefault="001B225E" w:rsidP="00146DF8">
            <w:pPr>
              <w:spacing w:after="0" w:line="240" w:lineRule="auto"/>
              <w:jc w:val="center"/>
              <w:rPr>
                <w:rFonts w:ascii="Arial" w:hAnsi="Arial" w:cs="Arial"/>
              </w:rPr>
            </w:pPr>
            <w:r w:rsidRPr="00C06E05">
              <w:rPr>
                <w:rFonts w:ascii="Arial" w:hAnsi="Arial" w:cs="Arial"/>
              </w:rPr>
              <w:t>3</w:t>
            </w:r>
          </w:p>
        </w:tc>
        <w:tc>
          <w:tcPr>
            <w:tcW w:w="175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BC3A6D0" w14:textId="77777777" w:rsidR="001B225E" w:rsidRPr="00C06E05" w:rsidRDefault="001B225E" w:rsidP="00146DF8">
            <w:pPr>
              <w:spacing w:after="0" w:line="240" w:lineRule="auto"/>
              <w:jc w:val="center"/>
              <w:rPr>
                <w:rFonts w:ascii="Arial" w:hAnsi="Arial" w:cs="Arial"/>
              </w:rPr>
            </w:pPr>
            <w:r w:rsidRPr="00C06E05">
              <w:rPr>
                <w:rFonts w:ascii="Arial" w:hAnsi="Arial" w:cs="Arial"/>
              </w:rPr>
              <w:t>3</w:t>
            </w:r>
          </w:p>
        </w:tc>
        <w:tc>
          <w:tcPr>
            <w:tcW w:w="2774"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BE35294" w14:textId="77777777" w:rsidR="001B225E" w:rsidRPr="00C06E05" w:rsidRDefault="001B225E" w:rsidP="00146DF8">
            <w:pPr>
              <w:spacing w:after="0" w:line="240" w:lineRule="auto"/>
              <w:jc w:val="center"/>
              <w:rPr>
                <w:rFonts w:ascii="Arial" w:hAnsi="Arial" w:cs="Arial"/>
              </w:rPr>
            </w:pPr>
            <w:r w:rsidRPr="00C06E05">
              <w:rPr>
                <w:rFonts w:ascii="Arial" w:hAnsi="Arial" w:cs="Arial"/>
              </w:rPr>
              <w:t>Excellent</w:t>
            </w:r>
          </w:p>
        </w:tc>
      </w:tr>
      <w:tr w:rsidR="001B225E" w:rsidRPr="00C06E05" w14:paraId="47689BAE" w14:textId="77777777" w:rsidTr="00146DF8">
        <w:trPr>
          <w:trHeight w:val="44"/>
        </w:trPr>
        <w:tc>
          <w:tcPr>
            <w:tcW w:w="2552"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FB686F3" w14:textId="77777777" w:rsidR="001B225E" w:rsidRPr="00C06E05" w:rsidRDefault="001B225E" w:rsidP="00146DF8">
            <w:pPr>
              <w:spacing w:after="0" w:line="240" w:lineRule="auto"/>
              <w:rPr>
                <w:rFonts w:ascii="Arial" w:hAnsi="Arial" w:cs="Arial"/>
              </w:rPr>
            </w:pPr>
            <w:r w:rsidRPr="00C06E05">
              <w:rPr>
                <w:rFonts w:ascii="Arial" w:hAnsi="Arial" w:cs="Arial"/>
              </w:rPr>
              <w:t>1.51 – 2.00</w:t>
            </w:r>
          </w:p>
        </w:tc>
        <w:tc>
          <w:tcPr>
            <w:tcW w:w="1572"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863E262" w14:textId="77777777" w:rsidR="001B225E" w:rsidRPr="00C06E05" w:rsidRDefault="001B225E" w:rsidP="00146DF8">
            <w:pPr>
              <w:spacing w:after="0" w:line="240" w:lineRule="auto"/>
              <w:jc w:val="center"/>
              <w:rPr>
                <w:rFonts w:ascii="Arial" w:hAnsi="Arial" w:cs="Arial"/>
              </w:rPr>
            </w:pPr>
            <w:r w:rsidRPr="00C06E05">
              <w:rPr>
                <w:rFonts w:ascii="Arial" w:hAnsi="Arial" w:cs="Arial"/>
              </w:rPr>
              <w:t>103</w:t>
            </w:r>
          </w:p>
        </w:tc>
        <w:tc>
          <w:tcPr>
            <w:tcW w:w="175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AF095BA" w14:textId="77777777" w:rsidR="001B225E" w:rsidRPr="00C06E05" w:rsidRDefault="001B225E" w:rsidP="00146DF8">
            <w:pPr>
              <w:spacing w:after="0" w:line="240" w:lineRule="auto"/>
              <w:jc w:val="center"/>
              <w:rPr>
                <w:rFonts w:ascii="Arial" w:hAnsi="Arial" w:cs="Arial"/>
              </w:rPr>
            </w:pPr>
            <w:r w:rsidRPr="00C06E05">
              <w:rPr>
                <w:rFonts w:ascii="Arial" w:hAnsi="Arial" w:cs="Arial"/>
              </w:rPr>
              <w:t>89</w:t>
            </w:r>
          </w:p>
        </w:tc>
        <w:tc>
          <w:tcPr>
            <w:tcW w:w="2774"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AACEF64" w14:textId="77777777" w:rsidR="001B225E" w:rsidRPr="00C06E05" w:rsidRDefault="001B225E" w:rsidP="00146DF8">
            <w:pPr>
              <w:spacing w:after="0" w:line="240" w:lineRule="auto"/>
              <w:jc w:val="center"/>
              <w:rPr>
                <w:rFonts w:ascii="Arial" w:hAnsi="Arial" w:cs="Arial"/>
              </w:rPr>
            </w:pPr>
            <w:r w:rsidRPr="00C06E05">
              <w:rPr>
                <w:rFonts w:ascii="Arial" w:hAnsi="Arial" w:cs="Arial"/>
              </w:rPr>
              <w:t>Very Satisfactory</w:t>
            </w:r>
          </w:p>
        </w:tc>
      </w:tr>
      <w:tr w:rsidR="001B225E" w:rsidRPr="00C06E05" w14:paraId="53CF1AA7" w14:textId="77777777" w:rsidTr="00146DF8">
        <w:trPr>
          <w:trHeight w:val="44"/>
        </w:trPr>
        <w:tc>
          <w:tcPr>
            <w:tcW w:w="2552"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13293F93" w14:textId="77777777" w:rsidR="001B225E" w:rsidRPr="00C06E05" w:rsidRDefault="001B225E" w:rsidP="00146DF8">
            <w:pPr>
              <w:spacing w:after="0" w:line="240" w:lineRule="auto"/>
              <w:rPr>
                <w:rFonts w:ascii="Arial" w:hAnsi="Arial" w:cs="Arial"/>
              </w:rPr>
            </w:pPr>
            <w:r w:rsidRPr="00C06E05">
              <w:rPr>
                <w:rFonts w:ascii="Arial" w:hAnsi="Arial" w:cs="Arial"/>
              </w:rPr>
              <w:t>2.01 – 2.50</w:t>
            </w:r>
          </w:p>
        </w:tc>
        <w:tc>
          <w:tcPr>
            <w:tcW w:w="1572"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3078AA51" w14:textId="77777777" w:rsidR="001B225E" w:rsidRPr="00C06E05" w:rsidRDefault="001B225E" w:rsidP="00146DF8">
            <w:pPr>
              <w:spacing w:after="0" w:line="240" w:lineRule="auto"/>
              <w:jc w:val="center"/>
              <w:rPr>
                <w:rFonts w:ascii="Arial" w:hAnsi="Arial" w:cs="Arial"/>
              </w:rPr>
            </w:pPr>
            <w:r w:rsidRPr="00C06E05">
              <w:rPr>
                <w:rFonts w:ascii="Arial" w:hAnsi="Arial" w:cs="Arial"/>
              </w:rPr>
              <w:t>9</w:t>
            </w:r>
          </w:p>
        </w:tc>
        <w:tc>
          <w:tcPr>
            <w:tcW w:w="1757"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202ABCF2" w14:textId="77777777" w:rsidR="001B225E" w:rsidRPr="00C06E05" w:rsidRDefault="001B225E" w:rsidP="00146DF8">
            <w:pPr>
              <w:spacing w:after="0" w:line="240" w:lineRule="auto"/>
              <w:jc w:val="center"/>
              <w:rPr>
                <w:rFonts w:ascii="Arial" w:hAnsi="Arial" w:cs="Arial"/>
              </w:rPr>
            </w:pPr>
            <w:r w:rsidRPr="00C06E05">
              <w:rPr>
                <w:rFonts w:ascii="Arial" w:hAnsi="Arial" w:cs="Arial"/>
              </w:rPr>
              <w:t>8</w:t>
            </w:r>
          </w:p>
        </w:tc>
        <w:tc>
          <w:tcPr>
            <w:tcW w:w="2774"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229F4963" w14:textId="77777777" w:rsidR="001B225E" w:rsidRPr="00C06E05" w:rsidRDefault="001B225E" w:rsidP="00146DF8">
            <w:pPr>
              <w:spacing w:after="0" w:line="240" w:lineRule="auto"/>
              <w:jc w:val="center"/>
              <w:rPr>
                <w:rFonts w:ascii="Arial" w:hAnsi="Arial" w:cs="Arial"/>
              </w:rPr>
            </w:pPr>
            <w:r w:rsidRPr="00C06E05">
              <w:rPr>
                <w:rFonts w:ascii="Arial" w:hAnsi="Arial" w:cs="Arial"/>
              </w:rPr>
              <w:t>Satisfactory</w:t>
            </w:r>
          </w:p>
        </w:tc>
      </w:tr>
      <w:tr w:rsidR="001B225E" w:rsidRPr="00C06E05" w14:paraId="3237B119" w14:textId="77777777" w:rsidTr="00146DF8">
        <w:trPr>
          <w:trHeight w:val="44"/>
        </w:trPr>
        <w:tc>
          <w:tcPr>
            <w:tcW w:w="4124" w:type="dxa"/>
            <w:gridSpan w:val="2"/>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tcPr>
          <w:p w14:paraId="4B3E61A4" w14:textId="77777777" w:rsidR="001B225E" w:rsidRPr="00C06E05" w:rsidRDefault="001B225E" w:rsidP="00146DF8">
            <w:pPr>
              <w:spacing w:after="0" w:line="240" w:lineRule="auto"/>
              <w:rPr>
                <w:rFonts w:ascii="Arial" w:hAnsi="Arial" w:cs="Arial"/>
              </w:rPr>
            </w:pPr>
            <w:r w:rsidRPr="00C06E05">
              <w:rPr>
                <w:rFonts w:ascii="Arial" w:hAnsi="Arial" w:cs="Arial"/>
                <w:b/>
                <w:bCs/>
              </w:rPr>
              <w:t>Mean Major Average</w:t>
            </w:r>
          </w:p>
        </w:tc>
        <w:tc>
          <w:tcPr>
            <w:tcW w:w="1757"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tcPr>
          <w:p w14:paraId="3334BCC7"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1.84</w:t>
            </w:r>
          </w:p>
        </w:tc>
        <w:tc>
          <w:tcPr>
            <w:tcW w:w="2774"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tcPr>
          <w:p w14:paraId="093ADCDD"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Very Satisfactory</w:t>
            </w:r>
          </w:p>
        </w:tc>
      </w:tr>
    </w:tbl>
    <w:p w14:paraId="1D91E95F" w14:textId="77777777" w:rsidR="001B225E" w:rsidRPr="00424A36" w:rsidRDefault="001B225E" w:rsidP="001B225E">
      <w:pPr>
        <w:spacing w:line="480" w:lineRule="auto"/>
        <w:jc w:val="both"/>
        <w:rPr>
          <w:rFonts w:ascii="Arial" w:hAnsi="Arial" w:cs="Arial"/>
          <w:sz w:val="4"/>
          <w:szCs w:val="4"/>
        </w:rPr>
      </w:pPr>
    </w:p>
    <w:p w14:paraId="01B29A76" w14:textId="77777777" w:rsidR="001B225E" w:rsidRDefault="001B225E" w:rsidP="001B225E">
      <w:pPr>
        <w:spacing w:after="0" w:line="480" w:lineRule="auto"/>
        <w:ind w:firstLine="720"/>
        <w:jc w:val="both"/>
        <w:rPr>
          <w:rFonts w:ascii="Arial" w:hAnsi="Arial" w:cs="Arial"/>
        </w:rPr>
      </w:pPr>
      <w:r w:rsidRPr="00C06E05">
        <w:rPr>
          <w:rFonts w:ascii="Arial" w:hAnsi="Arial" w:cs="Arial"/>
        </w:rPr>
        <w:t xml:space="preserve">Table </w:t>
      </w:r>
      <w:r>
        <w:rPr>
          <w:rFonts w:ascii="Arial" w:hAnsi="Arial" w:cs="Arial"/>
        </w:rPr>
        <w:t>15</w:t>
      </w:r>
      <w:r w:rsidRPr="00C06E05">
        <w:rPr>
          <w:rFonts w:ascii="Arial" w:hAnsi="Arial" w:cs="Arial"/>
        </w:rPr>
        <w:t xml:space="preserve"> presen</w:t>
      </w:r>
      <w:r>
        <w:rPr>
          <w:rFonts w:ascii="Arial" w:hAnsi="Arial" w:cs="Arial"/>
        </w:rPr>
        <w:t>ts t</w:t>
      </w:r>
      <w:r w:rsidRPr="00C06E05">
        <w:rPr>
          <w:rFonts w:ascii="Arial" w:hAnsi="Arial" w:cs="Arial"/>
        </w:rPr>
        <w:t>he academic performance of the respondents in their major or specialization area. Three respondents or 3 percent obtained an Excellent average, the majority comprising 103 respondents or 89 percent fell within the Very Satisfactory range, and 9 respondents or 8 percent fell within the Satisfactory range. The mean major or specialization average was 1.84, interpreted as Very Satisfactory.</w:t>
      </w:r>
    </w:p>
    <w:p w14:paraId="3BDC5624" w14:textId="77777777" w:rsidR="001B225E" w:rsidRDefault="001B225E" w:rsidP="001B225E">
      <w:pPr>
        <w:spacing w:after="0" w:line="480" w:lineRule="auto"/>
        <w:ind w:firstLine="720"/>
        <w:jc w:val="both"/>
        <w:rPr>
          <w:rFonts w:ascii="Arial" w:hAnsi="Arial" w:cs="Arial"/>
        </w:rPr>
      </w:pPr>
      <w:r w:rsidRPr="00C06E05">
        <w:rPr>
          <w:rFonts w:ascii="Arial" w:hAnsi="Arial" w:cs="Arial"/>
        </w:rPr>
        <w:t xml:space="preserve">The data showed that the majority of the respondents had Very Satisfactory averages in their major or specialization which means that there is a generally high </w:t>
      </w:r>
      <w:r w:rsidRPr="00C06E05">
        <w:rPr>
          <w:rFonts w:ascii="Arial" w:hAnsi="Arial" w:cs="Arial"/>
        </w:rPr>
        <w:lastRenderedPageBreak/>
        <w:t xml:space="preserve">level of mastery of the subject matter. This finding was congruent with the previous finding that the Major or Specialization component received the highest LET ratings among the three examination components. Ferrer (2024) pointed out that performance in the major or specialization subjects is a major predictor of the LET specialization component because greater content expertise directly translates to better performance in the domain-specific portion of the examination. </w:t>
      </w:r>
    </w:p>
    <w:p w14:paraId="0EE1828B" w14:textId="77777777" w:rsidR="001B225E" w:rsidRDefault="001B225E" w:rsidP="001B225E">
      <w:pPr>
        <w:spacing w:after="0" w:line="480" w:lineRule="auto"/>
        <w:ind w:firstLine="720"/>
        <w:jc w:val="both"/>
        <w:rPr>
          <w:rFonts w:ascii="Arial" w:hAnsi="Arial" w:cs="Arial"/>
        </w:rPr>
      </w:pPr>
      <w:r w:rsidRPr="00C06E05">
        <w:rPr>
          <w:rFonts w:ascii="Arial" w:hAnsi="Arial" w:cs="Arial"/>
        </w:rPr>
        <w:t>Orlanda-</w:t>
      </w:r>
      <w:proofErr w:type="spellStart"/>
      <w:r w:rsidRPr="00C06E05">
        <w:rPr>
          <w:rFonts w:ascii="Arial" w:hAnsi="Arial" w:cs="Arial"/>
        </w:rPr>
        <w:t>Ventayen</w:t>
      </w:r>
      <w:proofErr w:type="spellEnd"/>
      <w:r w:rsidRPr="00C06E05">
        <w:rPr>
          <w:rFonts w:ascii="Arial" w:hAnsi="Arial" w:cs="Arial"/>
        </w:rPr>
        <w:t xml:space="preserve"> (2019) noted that subject-matter mastery is a reliable indicator of licensure success and highlighted the value of ongoing academic monitoring at the specialization level. Ingersoll (2018) likewise found that teacher preparation programs offering sustained and coherent major coursework produce graduates with a stronger command of the content knowledge required for licensure. The mean specialization average of 1.84 therefore implied that the specialization curriculum of the community college was generally well aligned with the content domains tested in the LET.</w:t>
      </w:r>
    </w:p>
    <w:p w14:paraId="7C59C258" w14:textId="77777777" w:rsidR="001B225E" w:rsidRPr="001324D9" w:rsidRDefault="001B225E" w:rsidP="001B225E">
      <w:pPr>
        <w:pStyle w:val="NoSpacing"/>
        <w:jc w:val="center"/>
        <w:rPr>
          <w:rFonts w:ascii="Arial" w:hAnsi="Arial" w:cs="Arial"/>
          <w:sz w:val="24"/>
          <w:szCs w:val="24"/>
        </w:rPr>
      </w:pPr>
      <w:r w:rsidRPr="001324D9">
        <w:rPr>
          <w:rFonts w:ascii="Arial" w:hAnsi="Arial" w:cs="Arial"/>
          <w:sz w:val="24"/>
          <w:szCs w:val="24"/>
        </w:rPr>
        <w:t>Table 16</w:t>
      </w:r>
    </w:p>
    <w:p w14:paraId="1A819E7C" w14:textId="77777777" w:rsidR="001B225E" w:rsidRPr="001324D9" w:rsidRDefault="001B225E" w:rsidP="001B225E">
      <w:pPr>
        <w:pStyle w:val="NoSpacing"/>
        <w:jc w:val="center"/>
        <w:rPr>
          <w:rFonts w:ascii="Arial" w:hAnsi="Arial" w:cs="Arial"/>
          <w:b/>
          <w:bCs/>
          <w:sz w:val="24"/>
          <w:szCs w:val="24"/>
        </w:rPr>
      </w:pPr>
      <w:r w:rsidRPr="001324D9">
        <w:rPr>
          <w:rFonts w:ascii="Arial" w:hAnsi="Arial" w:cs="Arial"/>
          <w:b/>
          <w:bCs/>
          <w:sz w:val="24"/>
          <w:szCs w:val="24"/>
        </w:rPr>
        <w:t>Teaching Internship</w:t>
      </w:r>
    </w:p>
    <w:p w14:paraId="79A9BFE7" w14:textId="77777777" w:rsidR="001B225E" w:rsidRPr="001324D9" w:rsidRDefault="001B225E" w:rsidP="001B225E">
      <w:pPr>
        <w:pStyle w:val="NoSpacing"/>
        <w:jc w:val="center"/>
        <w:rPr>
          <w:rFonts w:ascii="Arial" w:hAnsi="Arial" w:cs="Arial"/>
          <w:sz w:val="24"/>
          <w:szCs w:val="24"/>
        </w:rPr>
      </w:pP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47"/>
        <w:gridCol w:w="1569"/>
        <w:gridCol w:w="1753"/>
        <w:gridCol w:w="2768"/>
      </w:tblGrid>
      <w:tr w:rsidR="001B225E" w:rsidRPr="00C06E05" w14:paraId="5F857885" w14:textId="77777777" w:rsidTr="00146DF8">
        <w:trPr>
          <w:trHeight w:val="291"/>
          <w:tblHeader/>
        </w:trPr>
        <w:tc>
          <w:tcPr>
            <w:tcW w:w="2547"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0033FE5A" w14:textId="77777777" w:rsidR="001B225E" w:rsidRPr="00C06E05" w:rsidRDefault="001B225E" w:rsidP="00146DF8">
            <w:pPr>
              <w:spacing w:after="0" w:line="240" w:lineRule="auto"/>
              <w:rPr>
                <w:rFonts w:ascii="Arial" w:hAnsi="Arial" w:cs="Arial"/>
              </w:rPr>
            </w:pPr>
            <w:r w:rsidRPr="00C06E05">
              <w:rPr>
                <w:rFonts w:ascii="Arial" w:hAnsi="Arial" w:cs="Arial"/>
                <w:b/>
                <w:bCs/>
              </w:rPr>
              <w:t>Range</w:t>
            </w:r>
          </w:p>
        </w:tc>
        <w:tc>
          <w:tcPr>
            <w:tcW w:w="1569"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65B178B7"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Frequency</w:t>
            </w:r>
          </w:p>
        </w:tc>
        <w:tc>
          <w:tcPr>
            <w:tcW w:w="1753"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64710342"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Percentage</w:t>
            </w:r>
          </w:p>
        </w:tc>
        <w:tc>
          <w:tcPr>
            <w:tcW w:w="2768"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5E96F017"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Interpretation</w:t>
            </w:r>
          </w:p>
        </w:tc>
      </w:tr>
      <w:tr w:rsidR="001B225E" w:rsidRPr="00C06E05" w14:paraId="138DD8E2" w14:textId="77777777" w:rsidTr="00146DF8">
        <w:trPr>
          <w:trHeight w:val="291"/>
        </w:trPr>
        <w:tc>
          <w:tcPr>
            <w:tcW w:w="254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E6D822D" w14:textId="77777777" w:rsidR="001B225E" w:rsidRPr="00C06E05" w:rsidRDefault="001B225E" w:rsidP="00146DF8">
            <w:pPr>
              <w:spacing w:after="0" w:line="240" w:lineRule="auto"/>
              <w:rPr>
                <w:rFonts w:ascii="Arial" w:hAnsi="Arial" w:cs="Arial"/>
              </w:rPr>
            </w:pPr>
            <w:r w:rsidRPr="00C06E05">
              <w:rPr>
                <w:rFonts w:ascii="Arial" w:hAnsi="Arial" w:cs="Arial"/>
              </w:rPr>
              <w:t>1.00 – 1.50</w:t>
            </w:r>
          </w:p>
        </w:tc>
        <w:tc>
          <w:tcPr>
            <w:tcW w:w="1569"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A27B57D" w14:textId="77777777" w:rsidR="001B225E" w:rsidRPr="00C06E05" w:rsidRDefault="001B225E" w:rsidP="00146DF8">
            <w:pPr>
              <w:spacing w:after="0" w:line="240" w:lineRule="auto"/>
              <w:jc w:val="center"/>
              <w:rPr>
                <w:rFonts w:ascii="Arial" w:hAnsi="Arial" w:cs="Arial"/>
              </w:rPr>
            </w:pPr>
            <w:r w:rsidRPr="00C06E05">
              <w:rPr>
                <w:rFonts w:ascii="Arial" w:hAnsi="Arial" w:cs="Arial"/>
              </w:rPr>
              <w:t>73</w:t>
            </w:r>
          </w:p>
        </w:tc>
        <w:tc>
          <w:tcPr>
            <w:tcW w:w="175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06A5EA5" w14:textId="77777777" w:rsidR="001B225E" w:rsidRPr="00C06E05" w:rsidRDefault="001B225E" w:rsidP="00146DF8">
            <w:pPr>
              <w:spacing w:after="0" w:line="240" w:lineRule="auto"/>
              <w:jc w:val="center"/>
              <w:rPr>
                <w:rFonts w:ascii="Arial" w:hAnsi="Arial" w:cs="Arial"/>
              </w:rPr>
            </w:pPr>
            <w:r w:rsidRPr="00C06E05">
              <w:rPr>
                <w:rFonts w:ascii="Arial" w:hAnsi="Arial" w:cs="Arial"/>
              </w:rPr>
              <w:t>63</w:t>
            </w:r>
          </w:p>
        </w:tc>
        <w:tc>
          <w:tcPr>
            <w:tcW w:w="276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BBD9870" w14:textId="77777777" w:rsidR="001B225E" w:rsidRPr="00C06E05" w:rsidRDefault="001B225E" w:rsidP="00146DF8">
            <w:pPr>
              <w:spacing w:after="0" w:line="240" w:lineRule="auto"/>
              <w:jc w:val="center"/>
              <w:rPr>
                <w:rFonts w:ascii="Arial" w:hAnsi="Arial" w:cs="Arial"/>
              </w:rPr>
            </w:pPr>
            <w:r w:rsidRPr="00C06E05">
              <w:rPr>
                <w:rFonts w:ascii="Arial" w:hAnsi="Arial" w:cs="Arial"/>
              </w:rPr>
              <w:t>Excellent</w:t>
            </w:r>
          </w:p>
        </w:tc>
      </w:tr>
      <w:tr w:rsidR="001B225E" w:rsidRPr="00C06E05" w14:paraId="3A22A80B" w14:textId="77777777" w:rsidTr="00146DF8">
        <w:trPr>
          <w:trHeight w:val="312"/>
        </w:trPr>
        <w:tc>
          <w:tcPr>
            <w:tcW w:w="254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3C6018F" w14:textId="77777777" w:rsidR="001B225E" w:rsidRPr="00C06E05" w:rsidRDefault="001B225E" w:rsidP="00146DF8">
            <w:pPr>
              <w:spacing w:after="0" w:line="240" w:lineRule="auto"/>
              <w:rPr>
                <w:rFonts w:ascii="Arial" w:hAnsi="Arial" w:cs="Arial"/>
              </w:rPr>
            </w:pPr>
            <w:r w:rsidRPr="00C06E05">
              <w:rPr>
                <w:rFonts w:ascii="Arial" w:hAnsi="Arial" w:cs="Arial"/>
              </w:rPr>
              <w:t>1.51 – 2.00</w:t>
            </w:r>
          </w:p>
        </w:tc>
        <w:tc>
          <w:tcPr>
            <w:tcW w:w="1569"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E36B247" w14:textId="77777777" w:rsidR="001B225E" w:rsidRPr="00C06E05" w:rsidRDefault="001B225E" w:rsidP="00146DF8">
            <w:pPr>
              <w:spacing w:after="0" w:line="240" w:lineRule="auto"/>
              <w:jc w:val="center"/>
              <w:rPr>
                <w:rFonts w:ascii="Arial" w:hAnsi="Arial" w:cs="Arial"/>
              </w:rPr>
            </w:pPr>
            <w:r w:rsidRPr="00C06E05">
              <w:rPr>
                <w:rFonts w:ascii="Arial" w:hAnsi="Arial" w:cs="Arial"/>
              </w:rPr>
              <w:t>43</w:t>
            </w:r>
          </w:p>
        </w:tc>
        <w:tc>
          <w:tcPr>
            <w:tcW w:w="175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36213C7" w14:textId="77777777" w:rsidR="001B225E" w:rsidRPr="00C06E05" w:rsidRDefault="001B225E" w:rsidP="00146DF8">
            <w:pPr>
              <w:spacing w:after="0" w:line="240" w:lineRule="auto"/>
              <w:jc w:val="center"/>
              <w:rPr>
                <w:rFonts w:ascii="Arial" w:hAnsi="Arial" w:cs="Arial"/>
              </w:rPr>
            </w:pPr>
            <w:r w:rsidRPr="00C06E05">
              <w:rPr>
                <w:rFonts w:ascii="Arial" w:hAnsi="Arial" w:cs="Arial"/>
              </w:rPr>
              <w:t>37</w:t>
            </w:r>
          </w:p>
        </w:tc>
        <w:tc>
          <w:tcPr>
            <w:tcW w:w="276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49D85CB" w14:textId="77777777" w:rsidR="001B225E" w:rsidRPr="00C06E05" w:rsidRDefault="001B225E" w:rsidP="00146DF8">
            <w:pPr>
              <w:spacing w:after="0" w:line="240" w:lineRule="auto"/>
              <w:jc w:val="center"/>
              <w:rPr>
                <w:rFonts w:ascii="Arial" w:hAnsi="Arial" w:cs="Arial"/>
              </w:rPr>
            </w:pPr>
            <w:r w:rsidRPr="00C06E05">
              <w:rPr>
                <w:rFonts w:ascii="Arial" w:hAnsi="Arial" w:cs="Arial"/>
              </w:rPr>
              <w:t>Very Satisfactory</w:t>
            </w:r>
          </w:p>
        </w:tc>
      </w:tr>
      <w:tr w:rsidR="001B225E" w:rsidRPr="00C06E05" w14:paraId="6AFE6B12" w14:textId="77777777" w:rsidTr="00146DF8">
        <w:trPr>
          <w:trHeight w:val="291"/>
        </w:trPr>
        <w:tc>
          <w:tcPr>
            <w:tcW w:w="2547"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5E958C08" w14:textId="77777777" w:rsidR="001B225E" w:rsidRPr="00C06E05" w:rsidRDefault="001B225E" w:rsidP="00146DF8">
            <w:pPr>
              <w:spacing w:after="0" w:line="240" w:lineRule="auto"/>
              <w:rPr>
                <w:rFonts w:ascii="Arial" w:hAnsi="Arial" w:cs="Arial"/>
              </w:rPr>
            </w:pPr>
            <w:r w:rsidRPr="00C06E05">
              <w:rPr>
                <w:rFonts w:ascii="Arial" w:hAnsi="Arial" w:cs="Arial"/>
              </w:rPr>
              <w:t>2.01 – 2.50</w:t>
            </w:r>
          </w:p>
        </w:tc>
        <w:tc>
          <w:tcPr>
            <w:tcW w:w="1569"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2A29E72C" w14:textId="77777777" w:rsidR="001B225E" w:rsidRPr="00C06E05" w:rsidRDefault="001B225E" w:rsidP="00146DF8">
            <w:pPr>
              <w:spacing w:after="0" w:line="240" w:lineRule="auto"/>
              <w:jc w:val="center"/>
              <w:rPr>
                <w:rFonts w:ascii="Arial" w:hAnsi="Arial" w:cs="Arial"/>
              </w:rPr>
            </w:pPr>
            <w:r w:rsidRPr="00C06E05">
              <w:rPr>
                <w:rFonts w:ascii="Arial" w:hAnsi="Arial" w:cs="Arial"/>
              </w:rPr>
              <w:t>0</w:t>
            </w:r>
          </w:p>
        </w:tc>
        <w:tc>
          <w:tcPr>
            <w:tcW w:w="1753"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24965BC7" w14:textId="77777777" w:rsidR="001B225E" w:rsidRPr="00C06E05" w:rsidRDefault="001B225E" w:rsidP="00146DF8">
            <w:pPr>
              <w:spacing w:after="0" w:line="240" w:lineRule="auto"/>
              <w:jc w:val="center"/>
              <w:rPr>
                <w:rFonts w:ascii="Arial" w:hAnsi="Arial" w:cs="Arial"/>
              </w:rPr>
            </w:pPr>
            <w:r w:rsidRPr="00C06E05">
              <w:rPr>
                <w:rFonts w:ascii="Arial" w:hAnsi="Arial" w:cs="Arial"/>
              </w:rPr>
              <w:t>0</w:t>
            </w:r>
          </w:p>
        </w:tc>
        <w:tc>
          <w:tcPr>
            <w:tcW w:w="2768"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374B9E23" w14:textId="77777777" w:rsidR="001B225E" w:rsidRPr="00C06E05" w:rsidRDefault="001B225E" w:rsidP="00146DF8">
            <w:pPr>
              <w:spacing w:after="0" w:line="240" w:lineRule="auto"/>
              <w:jc w:val="center"/>
              <w:rPr>
                <w:rFonts w:ascii="Arial" w:hAnsi="Arial" w:cs="Arial"/>
              </w:rPr>
            </w:pPr>
            <w:r w:rsidRPr="00C06E05">
              <w:rPr>
                <w:rFonts w:ascii="Arial" w:hAnsi="Arial" w:cs="Arial"/>
              </w:rPr>
              <w:t>Satisfactory</w:t>
            </w:r>
          </w:p>
        </w:tc>
      </w:tr>
      <w:tr w:rsidR="001B225E" w:rsidRPr="00C06E05" w14:paraId="0C6A06B1" w14:textId="77777777" w:rsidTr="00146DF8">
        <w:trPr>
          <w:trHeight w:val="291"/>
        </w:trPr>
        <w:tc>
          <w:tcPr>
            <w:tcW w:w="4116" w:type="dxa"/>
            <w:gridSpan w:val="2"/>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tcPr>
          <w:p w14:paraId="3D5E80E2" w14:textId="77777777" w:rsidR="001B225E" w:rsidRPr="00C06E05" w:rsidRDefault="001B225E" w:rsidP="00146DF8">
            <w:pPr>
              <w:spacing w:after="0" w:line="240" w:lineRule="auto"/>
              <w:rPr>
                <w:rFonts w:ascii="Arial" w:hAnsi="Arial" w:cs="Arial"/>
              </w:rPr>
            </w:pPr>
            <w:r w:rsidRPr="00C06E05">
              <w:rPr>
                <w:rFonts w:ascii="Arial" w:hAnsi="Arial" w:cs="Arial"/>
                <w:b/>
                <w:bCs/>
              </w:rPr>
              <w:t>Mean Teaching Internship Grade</w:t>
            </w:r>
          </w:p>
        </w:tc>
        <w:tc>
          <w:tcPr>
            <w:tcW w:w="1753"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tcPr>
          <w:p w14:paraId="6D8334CB"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1.37</w:t>
            </w:r>
          </w:p>
        </w:tc>
        <w:tc>
          <w:tcPr>
            <w:tcW w:w="2768"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tcPr>
          <w:p w14:paraId="5D8D2FA7"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Excellent</w:t>
            </w:r>
          </w:p>
        </w:tc>
      </w:tr>
    </w:tbl>
    <w:p w14:paraId="5A8F72CA"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t xml:space="preserve">Table </w:t>
      </w:r>
      <w:r>
        <w:rPr>
          <w:rFonts w:ascii="Arial" w:hAnsi="Arial" w:cs="Arial"/>
        </w:rPr>
        <w:t>16</w:t>
      </w:r>
      <w:r w:rsidRPr="00C06E05">
        <w:rPr>
          <w:rFonts w:ascii="Arial" w:hAnsi="Arial" w:cs="Arial"/>
        </w:rPr>
        <w:t xml:space="preserve"> </w:t>
      </w:r>
      <w:r>
        <w:rPr>
          <w:rFonts w:ascii="Arial" w:hAnsi="Arial" w:cs="Arial"/>
        </w:rPr>
        <w:t>shows</w:t>
      </w:r>
      <w:r w:rsidRPr="00C06E05">
        <w:rPr>
          <w:rFonts w:ascii="Arial" w:hAnsi="Arial" w:cs="Arial"/>
        </w:rPr>
        <w:t xml:space="preserve"> the distribution of the teaching internship grades of the respondents. The majority, 73 respondents or 63 percent, obtained grades in the</w:t>
      </w:r>
      <w:r>
        <w:rPr>
          <w:rFonts w:ascii="Arial" w:hAnsi="Arial" w:cs="Arial"/>
        </w:rPr>
        <w:t xml:space="preserve"> </w:t>
      </w:r>
      <w:r w:rsidRPr="00C06E05">
        <w:rPr>
          <w:rFonts w:ascii="Arial" w:hAnsi="Arial" w:cs="Arial"/>
        </w:rPr>
        <w:t>Excellent range of 1.00 to 1.50, which signified a high level of field-based</w:t>
      </w:r>
      <w:r>
        <w:rPr>
          <w:rFonts w:ascii="Arial" w:hAnsi="Arial" w:cs="Arial"/>
        </w:rPr>
        <w:t xml:space="preserve"> </w:t>
      </w:r>
      <w:r w:rsidRPr="00C06E05">
        <w:rPr>
          <w:rFonts w:ascii="Arial" w:hAnsi="Arial" w:cs="Arial"/>
        </w:rPr>
        <w:t>performance during the supervised teaching practicum. Forty-three</w:t>
      </w:r>
      <w:r>
        <w:rPr>
          <w:rFonts w:ascii="Arial" w:hAnsi="Arial" w:cs="Arial"/>
        </w:rPr>
        <w:t xml:space="preserve"> </w:t>
      </w:r>
      <w:r w:rsidRPr="00C06E05">
        <w:rPr>
          <w:rFonts w:ascii="Arial" w:hAnsi="Arial" w:cs="Arial"/>
        </w:rPr>
        <w:t xml:space="preserve">respondents </w:t>
      </w:r>
    </w:p>
    <w:p w14:paraId="4C339BF4" w14:textId="77777777" w:rsidR="001B225E" w:rsidRPr="00C06E05" w:rsidRDefault="001B225E" w:rsidP="001B225E">
      <w:pPr>
        <w:spacing w:before="240" w:line="480" w:lineRule="auto"/>
        <w:jc w:val="both"/>
        <w:rPr>
          <w:rFonts w:ascii="Arial" w:hAnsi="Arial" w:cs="Arial"/>
        </w:rPr>
      </w:pPr>
      <w:r w:rsidRPr="00C06E05">
        <w:rPr>
          <w:rFonts w:ascii="Arial" w:hAnsi="Arial" w:cs="Arial"/>
        </w:rPr>
        <w:lastRenderedPageBreak/>
        <w:t>or 37</w:t>
      </w:r>
      <w:r>
        <w:rPr>
          <w:rFonts w:ascii="Arial" w:hAnsi="Arial" w:cs="Arial"/>
        </w:rPr>
        <w:t xml:space="preserve"> </w:t>
      </w:r>
      <w:r w:rsidRPr="00C06E05">
        <w:rPr>
          <w:rFonts w:ascii="Arial" w:hAnsi="Arial" w:cs="Arial"/>
        </w:rPr>
        <w:t>percent fell within the Very Satisfactory range, and no respondent obtained a Satisfactory grade. The mean teaching internship grade was 1.37, interpreted as Excellent, the best academic performance result among all five areas studied.</w:t>
      </w:r>
    </w:p>
    <w:p w14:paraId="72F2C10B"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t>The data showed that the teaching internship was the best area of academic performance among the respondents with the mean grade falling in the Excellent range and distinctly above the other academic components which were all within the Very Satisfactory range. The result showed a high level of applied pedagogical preparedness of the LET takers and identified supervised field teaching as a particular institutional strength. The teaching internship grade is a strong predictor of LET readiness in terms of academics since the teaching skills performed in the practicum period are associated with the professional competencies assessed in the licensure examination (</w:t>
      </w:r>
      <w:proofErr w:type="spellStart"/>
      <w:r w:rsidRPr="00C06E05">
        <w:rPr>
          <w:rFonts w:ascii="Arial" w:hAnsi="Arial" w:cs="Arial"/>
        </w:rPr>
        <w:t>Dionio</w:t>
      </w:r>
      <w:proofErr w:type="spellEnd"/>
      <w:r w:rsidRPr="00C06E05">
        <w:rPr>
          <w:rFonts w:ascii="Arial" w:hAnsi="Arial" w:cs="Arial"/>
        </w:rPr>
        <w:t xml:space="preserve"> et al., 2025). A well-structured and well-supervised practicum experiences lead to increased confidence and competence in carrying out classroom responsibilities. </w:t>
      </w:r>
      <w:proofErr w:type="spellStart"/>
      <w:r w:rsidRPr="00C06E05">
        <w:rPr>
          <w:rFonts w:ascii="Arial" w:hAnsi="Arial" w:cs="Arial"/>
        </w:rPr>
        <w:t>Rogayan</w:t>
      </w:r>
      <w:proofErr w:type="spellEnd"/>
      <w:r w:rsidRPr="00C06E05">
        <w:rPr>
          <w:rFonts w:ascii="Arial" w:hAnsi="Arial" w:cs="Arial"/>
        </w:rPr>
        <w:t xml:space="preserve"> and </w:t>
      </w:r>
      <w:proofErr w:type="spellStart"/>
      <w:r w:rsidRPr="00C06E05">
        <w:rPr>
          <w:rFonts w:ascii="Arial" w:hAnsi="Arial" w:cs="Arial"/>
        </w:rPr>
        <w:t>Reusia</w:t>
      </w:r>
      <w:proofErr w:type="spellEnd"/>
      <w:r w:rsidRPr="00C06E05">
        <w:rPr>
          <w:rFonts w:ascii="Arial" w:hAnsi="Arial" w:cs="Arial"/>
        </w:rPr>
        <w:t xml:space="preserve"> (2021) observed that the quality of the teaching internship experience is important for the development of professional identity and readiness for licensure. The quality of practicum experiences significantly influenced the licensure preparation of education graduates in Bicol colleges (Villafuerte, 2017) which is very relevant since the community college is located in the same regional setting. A more extended practicum with scaffolded mentoring was also found to be among the most significant predictors of licensure success (Anderson, 2021). Thus,</w:t>
      </w:r>
      <w:r>
        <w:rPr>
          <w:rFonts w:ascii="Arial" w:hAnsi="Arial" w:cs="Arial"/>
        </w:rPr>
        <w:t xml:space="preserve"> </w:t>
      </w:r>
      <w:r w:rsidRPr="00C06E05">
        <w:rPr>
          <w:rFonts w:ascii="Arial" w:hAnsi="Arial" w:cs="Arial"/>
        </w:rPr>
        <w:t>the</w:t>
      </w:r>
      <w:r>
        <w:rPr>
          <w:rFonts w:ascii="Arial" w:hAnsi="Arial" w:cs="Arial"/>
        </w:rPr>
        <w:t xml:space="preserve"> </w:t>
      </w:r>
      <w:r w:rsidRPr="00C06E05">
        <w:rPr>
          <w:rFonts w:ascii="Arial" w:hAnsi="Arial" w:cs="Arial"/>
        </w:rPr>
        <w:lastRenderedPageBreak/>
        <w:t>Excellent mean internship grade of 1.37 confirmed that supervised field teaching was a salient strength of the community college.</w:t>
      </w:r>
    </w:p>
    <w:p w14:paraId="65E4C84B" w14:textId="77777777" w:rsidR="001B225E" w:rsidRPr="002C0F40" w:rsidRDefault="001B225E" w:rsidP="001B225E">
      <w:pPr>
        <w:pStyle w:val="Heading2"/>
        <w:spacing w:before="0" w:after="0" w:line="240" w:lineRule="auto"/>
        <w:jc w:val="both"/>
        <w:rPr>
          <w:rFonts w:ascii="Arial" w:hAnsi="Arial" w:cs="Arial"/>
          <w:b/>
          <w:bCs/>
          <w:color w:val="000000" w:themeColor="text1"/>
          <w:sz w:val="24"/>
          <w:szCs w:val="24"/>
        </w:rPr>
      </w:pPr>
      <w:r w:rsidRPr="001324D9">
        <w:rPr>
          <w:rFonts w:ascii="Arial" w:hAnsi="Arial" w:cs="Arial"/>
          <w:b/>
          <w:bCs/>
          <w:color w:val="000000" w:themeColor="text1"/>
          <w:sz w:val="24"/>
          <w:szCs w:val="24"/>
        </w:rPr>
        <w:t>Level of Study Habits, Review Preparation Practices, and Institutional Support</w:t>
      </w:r>
    </w:p>
    <w:p w14:paraId="14E4C47C" w14:textId="77777777" w:rsidR="001B225E" w:rsidRDefault="001B225E" w:rsidP="001B225E">
      <w:pPr>
        <w:spacing w:after="0" w:line="480" w:lineRule="auto"/>
        <w:ind w:firstLine="720"/>
        <w:jc w:val="both"/>
        <w:rPr>
          <w:rFonts w:ascii="Arial" w:hAnsi="Arial" w:cs="Arial"/>
        </w:rPr>
      </w:pPr>
    </w:p>
    <w:p w14:paraId="2752775B" w14:textId="77777777" w:rsidR="001B225E" w:rsidRDefault="001B225E" w:rsidP="001B225E">
      <w:pPr>
        <w:spacing w:after="0" w:line="480" w:lineRule="auto"/>
        <w:ind w:firstLine="720"/>
        <w:jc w:val="both"/>
        <w:rPr>
          <w:rFonts w:ascii="Arial" w:hAnsi="Arial" w:cs="Arial"/>
        </w:rPr>
      </w:pPr>
      <w:r w:rsidRPr="00C06E05">
        <w:rPr>
          <w:rFonts w:ascii="Arial" w:hAnsi="Arial" w:cs="Arial"/>
        </w:rPr>
        <w:t>The level of study habits in preparation for the LET, review preparation practices, and institutional support received from the community college were assessed using a five-point Likert-type scale. These variables constituted the Environment block of the I-E-O framework. The weighted mean scores for each indicator were computed and interpreted using the following scale: 4.21 to 5.00 as Always, 3.41 to 4.20 as Often, 2.61 to 3.40 as Sometimes, 1.81 to 2.60 as Rarely, and 1.00 to 1.80 as Never. The indicators presented were those retained after item analysis from the pilot testing.</w:t>
      </w:r>
    </w:p>
    <w:p w14:paraId="21B99B47" w14:textId="77777777" w:rsidR="001B225E" w:rsidRDefault="001B225E" w:rsidP="001B225E">
      <w:pPr>
        <w:spacing w:line="480" w:lineRule="auto"/>
        <w:ind w:firstLine="720"/>
        <w:jc w:val="both"/>
        <w:rPr>
          <w:rFonts w:ascii="Arial" w:hAnsi="Arial" w:cs="Arial"/>
        </w:rPr>
      </w:pPr>
      <w:r w:rsidRPr="00C06E05">
        <w:rPr>
          <w:rFonts w:ascii="Arial" w:hAnsi="Arial" w:cs="Arial"/>
        </w:rPr>
        <w:t xml:space="preserve">Table </w:t>
      </w:r>
      <w:r>
        <w:rPr>
          <w:rFonts w:ascii="Arial" w:hAnsi="Arial" w:cs="Arial"/>
        </w:rPr>
        <w:t>17</w:t>
      </w:r>
      <w:r w:rsidRPr="00C06E05">
        <w:rPr>
          <w:rFonts w:ascii="Arial" w:hAnsi="Arial" w:cs="Arial"/>
        </w:rPr>
        <w:t xml:space="preserve"> presents the Level of Study Habits of the LET Takers in Preparation for the Licensure Examination. The general weighted mean was 3.75 interpreted as Often which indicated that the respondents </w:t>
      </w:r>
      <w:r>
        <w:rPr>
          <w:rFonts w:ascii="Arial" w:hAnsi="Arial" w:cs="Arial"/>
        </w:rPr>
        <w:t xml:space="preserve">are </w:t>
      </w:r>
      <w:r w:rsidRPr="00C06E05">
        <w:rPr>
          <w:rFonts w:ascii="Arial" w:hAnsi="Arial" w:cs="Arial"/>
        </w:rPr>
        <w:t>often engaged in</w:t>
      </w:r>
      <w:r>
        <w:rPr>
          <w:rFonts w:ascii="Arial" w:hAnsi="Arial" w:cs="Arial"/>
        </w:rPr>
        <w:t xml:space="preserve"> </w:t>
      </w:r>
      <w:r w:rsidRPr="00C06E05">
        <w:rPr>
          <w:rFonts w:ascii="Arial" w:hAnsi="Arial" w:cs="Arial"/>
        </w:rPr>
        <w:t>study behaviors in their preparation for the LET. The most highly rated indicator was Statement 05 with a weighted mean of 4.16 followed by Statement 06 with 4.12 and Statement 04 with 4.04 all interpreted as Often. The lowest rated indicator was Statement 07 with a weighted mean of 3.05 which was interpreted as Sometimes.</w:t>
      </w:r>
    </w:p>
    <w:p w14:paraId="6886B5A0" w14:textId="77777777" w:rsidR="001B225E" w:rsidRPr="00C06E05" w:rsidRDefault="001B225E" w:rsidP="001B225E">
      <w:pPr>
        <w:spacing w:line="480" w:lineRule="auto"/>
        <w:ind w:firstLine="720"/>
        <w:jc w:val="both"/>
        <w:rPr>
          <w:rFonts w:ascii="Arial" w:hAnsi="Arial" w:cs="Arial"/>
        </w:rPr>
      </w:pPr>
      <w:r w:rsidRPr="00C06E05">
        <w:rPr>
          <w:rFonts w:ascii="Arial" w:hAnsi="Arial" w:cs="Arial"/>
        </w:rPr>
        <w:t xml:space="preserve">The data suggested that respondents frequently engaged in disciplined and structured study behaviors and that the most highly rated indicators represented active and intentional study strategies. This pattern was a sign that the LET takers </w:t>
      </w:r>
    </w:p>
    <w:p w14:paraId="12F2BC3B" w14:textId="77777777" w:rsidR="001B225E" w:rsidRPr="001324D9" w:rsidRDefault="001B225E" w:rsidP="001B225E">
      <w:pPr>
        <w:pStyle w:val="NoSpacing"/>
        <w:jc w:val="center"/>
        <w:rPr>
          <w:rFonts w:ascii="Arial" w:hAnsi="Arial" w:cs="Arial"/>
          <w:sz w:val="24"/>
          <w:szCs w:val="24"/>
        </w:rPr>
      </w:pPr>
      <w:r w:rsidRPr="001324D9">
        <w:rPr>
          <w:rFonts w:ascii="Arial" w:hAnsi="Arial" w:cs="Arial"/>
          <w:sz w:val="24"/>
          <w:szCs w:val="24"/>
        </w:rPr>
        <w:lastRenderedPageBreak/>
        <w:t>Table 17</w:t>
      </w:r>
    </w:p>
    <w:p w14:paraId="052BD5A4" w14:textId="77777777" w:rsidR="001B225E" w:rsidRDefault="001B225E" w:rsidP="001B225E">
      <w:pPr>
        <w:pStyle w:val="NoSpacing"/>
        <w:jc w:val="center"/>
        <w:rPr>
          <w:rFonts w:ascii="Arial" w:hAnsi="Arial" w:cs="Arial"/>
          <w:b/>
          <w:bCs/>
          <w:sz w:val="24"/>
          <w:szCs w:val="24"/>
        </w:rPr>
      </w:pPr>
      <w:r w:rsidRPr="001324D9">
        <w:rPr>
          <w:rFonts w:ascii="Arial" w:hAnsi="Arial" w:cs="Arial"/>
          <w:b/>
          <w:bCs/>
          <w:sz w:val="24"/>
          <w:szCs w:val="24"/>
        </w:rPr>
        <w:t>Study Habits</w:t>
      </w:r>
    </w:p>
    <w:p w14:paraId="7DAF9C83" w14:textId="77777777" w:rsidR="001B225E" w:rsidRPr="001324D9" w:rsidRDefault="001B225E" w:rsidP="001B225E">
      <w:pPr>
        <w:pStyle w:val="NoSpacing"/>
        <w:jc w:val="center"/>
        <w:rPr>
          <w:rFonts w:ascii="Arial" w:hAnsi="Arial" w:cs="Arial"/>
          <w:b/>
          <w:bCs/>
          <w:sz w:val="24"/>
          <w:szCs w:val="24"/>
        </w:rPr>
      </w:pPr>
    </w:p>
    <w:tbl>
      <w:tblPr>
        <w:tblW w:w="8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27"/>
        <w:gridCol w:w="1375"/>
        <w:gridCol w:w="1767"/>
      </w:tblGrid>
      <w:tr w:rsidR="001B225E" w:rsidRPr="00C06E05" w14:paraId="4558954D" w14:textId="77777777" w:rsidTr="00146DF8">
        <w:trPr>
          <w:trHeight w:val="290"/>
          <w:tblHeader/>
        </w:trPr>
        <w:tc>
          <w:tcPr>
            <w:tcW w:w="5383"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551446AC" w14:textId="77777777" w:rsidR="001B225E" w:rsidRPr="00C06E05" w:rsidRDefault="001B225E" w:rsidP="00146DF8">
            <w:pPr>
              <w:spacing w:after="0" w:line="240" w:lineRule="auto"/>
              <w:rPr>
                <w:rFonts w:ascii="Arial" w:hAnsi="Arial" w:cs="Arial"/>
              </w:rPr>
            </w:pPr>
            <w:r w:rsidRPr="00C06E05">
              <w:rPr>
                <w:rFonts w:ascii="Arial" w:hAnsi="Arial" w:cs="Arial"/>
                <w:b/>
                <w:bCs/>
              </w:rPr>
              <w:t>Indicators</w:t>
            </w:r>
          </w:p>
        </w:tc>
        <w:tc>
          <w:tcPr>
            <w:tcW w:w="1406"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05E822B5"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WM</w:t>
            </w:r>
          </w:p>
        </w:tc>
        <w:tc>
          <w:tcPr>
            <w:tcW w:w="1580"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358834A6"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Interpretation</w:t>
            </w:r>
          </w:p>
        </w:tc>
      </w:tr>
      <w:tr w:rsidR="001B225E" w:rsidRPr="00C06E05" w14:paraId="264DE83C" w14:textId="77777777" w:rsidTr="00146DF8">
        <w:trPr>
          <w:trHeight w:val="290"/>
        </w:trPr>
        <w:tc>
          <w:tcPr>
            <w:tcW w:w="53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264925F" w14:textId="77777777" w:rsidR="001B225E" w:rsidRPr="00C06E05" w:rsidRDefault="001B225E" w:rsidP="00146DF8">
            <w:pPr>
              <w:spacing w:after="0" w:line="240" w:lineRule="auto"/>
              <w:jc w:val="both"/>
              <w:rPr>
                <w:rFonts w:ascii="Arial" w:hAnsi="Arial" w:cs="Arial"/>
              </w:rPr>
            </w:pPr>
            <w:r>
              <w:rPr>
                <w:rFonts w:ascii="Arial" w:hAnsi="Arial" w:cs="Arial"/>
              </w:rPr>
              <w:t xml:space="preserve">1. </w:t>
            </w:r>
            <w:r w:rsidRPr="00F136C6">
              <w:rPr>
                <w:rFonts w:ascii="Arial" w:hAnsi="Arial" w:cs="Arial"/>
              </w:rPr>
              <w:t>Set a regular and consistent study schedule in preparation for the LET.</w:t>
            </w:r>
          </w:p>
        </w:tc>
        <w:tc>
          <w:tcPr>
            <w:tcW w:w="140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75039D4" w14:textId="77777777" w:rsidR="001B225E" w:rsidRPr="00C06E05" w:rsidRDefault="001B225E" w:rsidP="00146DF8">
            <w:pPr>
              <w:spacing w:after="0" w:line="240" w:lineRule="auto"/>
              <w:jc w:val="center"/>
              <w:rPr>
                <w:rFonts w:ascii="Arial" w:hAnsi="Arial" w:cs="Arial"/>
              </w:rPr>
            </w:pPr>
            <w:r w:rsidRPr="00C06E05">
              <w:rPr>
                <w:rFonts w:ascii="Arial" w:hAnsi="Arial" w:cs="Arial"/>
              </w:rPr>
              <w:t>3.69</w:t>
            </w:r>
          </w:p>
        </w:tc>
        <w:tc>
          <w:tcPr>
            <w:tcW w:w="15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BC74278" w14:textId="77777777" w:rsidR="001B225E" w:rsidRPr="00C06E05" w:rsidRDefault="001B225E" w:rsidP="00146DF8">
            <w:pPr>
              <w:spacing w:after="0" w:line="240" w:lineRule="auto"/>
              <w:jc w:val="center"/>
              <w:rPr>
                <w:rFonts w:ascii="Arial" w:hAnsi="Arial" w:cs="Arial"/>
              </w:rPr>
            </w:pPr>
            <w:r w:rsidRPr="00C06E05">
              <w:rPr>
                <w:rFonts w:ascii="Arial" w:hAnsi="Arial" w:cs="Arial"/>
              </w:rPr>
              <w:t>Often</w:t>
            </w:r>
          </w:p>
        </w:tc>
      </w:tr>
      <w:tr w:rsidR="001B225E" w:rsidRPr="00C06E05" w14:paraId="53A6C875" w14:textId="77777777" w:rsidTr="00146DF8">
        <w:trPr>
          <w:trHeight w:val="311"/>
        </w:trPr>
        <w:tc>
          <w:tcPr>
            <w:tcW w:w="53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5D31C31" w14:textId="77777777" w:rsidR="001B225E" w:rsidRPr="00C06E05" w:rsidRDefault="001B225E" w:rsidP="00146DF8">
            <w:pPr>
              <w:spacing w:after="0" w:line="240" w:lineRule="auto"/>
              <w:jc w:val="both"/>
              <w:rPr>
                <w:rFonts w:ascii="Arial" w:hAnsi="Arial" w:cs="Arial"/>
              </w:rPr>
            </w:pPr>
            <w:r>
              <w:rPr>
                <w:rFonts w:ascii="Arial" w:hAnsi="Arial" w:cs="Arial"/>
              </w:rPr>
              <w:t xml:space="preserve">2. </w:t>
            </w:r>
            <w:r w:rsidRPr="00F136C6">
              <w:rPr>
                <w:rFonts w:ascii="Arial" w:hAnsi="Arial" w:cs="Arial"/>
              </w:rPr>
              <w:t>Allocate sufficient time each day for reviewing LET-related topics and subject areas.</w:t>
            </w:r>
          </w:p>
        </w:tc>
        <w:tc>
          <w:tcPr>
            <w:tcW w:w="140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EED47D6" w14:textId="77777777" w:rsidR="001B225E" w:rsidRPr="00C06E05" w:rsidRDefault="001B225E" w:rsidP="00146DF8">
            <w:pPr>
              <w:spacing w:after="0" w:line="240" w:lineRule="auto"/>
              <w:jc w:val="center"/>
              <w:rPr>
                <w:rFonts w:ascii="Arial" w:hAnsi="Arial" w:cs="Arial"/>
              </w:rPr>
            </w:pPr>
            <w:r w:rsidRPr="00C06E05">
              <w:rPr>
                <w:rFonts w:ascii="Arial" w:hAnsi="Arial" w:cs="Arial"/>
              </w:rPr>
              <w:t>3.60</w:t>
            </w:r>
          </w:p>
        </w:tc>
        <w:tc>
          <w:tcPr>
            <w:tcW w:w="15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FE9B3E2" w14:textId="77777777" w:rsidR="001B225E" w:rsidRPr="00C06E05" w:rsidRDefault="001B225E" w:rsidP="00146DF8">
            <w:pPr>
              <w:spacing w:after="0" w:line="240" w:lineRule="auto"/>
              <w:jc w:val="center"/>
              <w:rPr>
                <w:rFonts w:ascii="Arial" w:hAnsi="Arial" w:cs="Arial"/>
              </w:rPr>
            </w:pPr>
            <w:r w:rsidRPr="00C06E05">
              <w:rPr>
                <w:rFonts w:ascii="Arial" w:hAnsi="Arial" w:cs="Arial"/>
              </w:rPr>
              <w:t>Often</w:t>
            </w:r>
          </w:p>
        </w:tc>
      </w:tr>
      <w:tr w:rsidR="001B225E" w:rsidRPr="00C06E05" w14:paraId="3AB40064" w14:textId="77777777" w:rsidTr="00146DF8">
        <w:trPr>
          <w:trHeight w:val="290"/>
        </w:trPr>
        <w:tc>
          <w:tcPr>
            <w:tcW w:w="53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06504CC" w14:textId="77777777" w:rsidR="001B225E" w:rsidRPr="00C06E05" w:rsidRDefault="001B225E" w:rsidP="00146DF8">
            <w:pPr>
              <w:spacing w:after="0" w:line="240" w:lineRule="auto"/>
              <w:jc w:val="both"/>
              <w:rPr>
                <w:rFonts w:ascii="Arial" w:hAnsi="Arial" w:cs="Arial"/>
              </w:rPr>
            </w:pPr>
            <w:r>
              <w:rPr>
                <w:rFonts w:ascii="Arial" w:hAnsi="Arial" w:cs="Arial"/>
              </w:rPr>
              <w:t xml:space="preserve">3. </w:t>
            </w:r>
            <w:r w:rsidRPr="00F136C6">
              <w:rPr>
                <w:rFonts w:ascii="Arial" w:hAnsi="Arial" w:cs="Arial"/>
              </w:rPr>
              <w:t>Prioritize reviewing subject areas where I feel least confident.</w:t>
            </w:r>
          </w:p>
        </w:tc>
        <w:tc>
          <w:tcPr>
            <w:tcW w:w="140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E75ED35" w14:textId="77777777" w:rsidR="001B225E" w:rsidRPr="00C06E05" w:rsidRDefault="001B225E" w:rsidP="00146DF8">
            <w:pPr>
              <w:spacing w:after="0" w:line="240" w:lineRule="auto"/>
              <w:jc w:val="center"/>
              <w:rPr>
                <w:rFonts w:ascii="Arial" w:hAnsi="Arial" w:cs="Arial"/>
              </w:rPr>
            </w:pPr>
            <w:r w:rsidRPr="00C06E05">
              <w:rPr>
                <w:rFonts w:ascii="Arial" w:hAnsi="Arial" w:cs="Arial"/>
              </w:rPr>
              <w:t>3.85</w:t>
            </w:r>
          </w:p>
        </w:tc>
        <w:tc>
          <w:tcPr>
            <w:tcW w:w="15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D1A0810" w14:textId="77777777" w:rsidR="001B225E" w:rsidRPr="00C06E05" w:rsidRDefault="001B225E" w:rsidP="00146DF8">
            <w:pPr>
              <w:spacing w:after="0" w:line="240" w:lineRule="auto"/>
              <w:jc w:val="center"/>
              <w:rPr>
                <w:rFonts w:ascii="Arial" w:hAnsi="Arial" w:cs="Arial"/>
              </w:rPr>
            </w:pPr>
            <w:r w:rsidRPr="00C06E05">
              <w:rPr>
                <w:rFonts w:ascii="Arial" w:hAnsi="Arial" w:cs="Arial"/>
              </w:rPr>
              <w:t>Often</w:t>
            </w:r>
          </w:p>
        </w:tc>
      </w:tr>
      <w:tr w:rsidR="001B225E" w:rsidRPr="00C06E05" w14:paraId="688409AF" w14:textId="77777777" w:rsidTr="00146DF8">
        <w:trPr>
          <w:trHeight w:val="290"/>
        </w:trPr>
        <w:tc>
          <w:tcPr>
            <w:tcW w:w="53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67FC71C" w14:textId="77777777" w:rsidR="001B225E" w:rsidRPr="00C06E05" w:rsidRDefault="001B225E" w:rsidP="00146DF8">
            <w:pPr>
              <w:spacing w:after="0" w:line="240" w:lineRule="auto"/>
              <w:jc w:val="both"/>
              <w:rPr>
                <w:rFonts w:ascii="Arial" w:hAnsi="Arial" w:cs="Arial"/>
              </w:rPr>
            </w:pPr>
            <w:r>
              <w:rPr>
                <w:rFonts w:ascii="Arial" w:hAnsi="Arial" w:cs="Arial"/>
              </w:rPr>
              <w:t xml:space="preserve">4. </w:t>
            </w:r>
            <w:r w:rsidRPr="00F136C6">
              <w:rPr>
                <w:rFonts w:ascii="Arial" w:hAnsi="Arial" w:cs="Arial"/>
              </w:rPr>
              <w:t>Use various study materials such as LET reviewers, textbooks, and past board exam questions.</w:t>
            </w:r>
          </w:p>
        </w:tc>
        <w:tc>
          <w:tcPr>
            <w:tcW w:w="140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F063B4A" w14:textId="77777777" w:rsidR="001B225E" w:rsidRPr="00C06E05" w:rsidRDefault="001B225E" w:rsidP="00146DF8">
            <w:pPr>
              <w:spacing w:after="0" w:line="240" w:lineRule="auto"/>
              <w:jc w:val="center"/>
              <w:rPr>
                <w:rFonts w:ascii="Arial" w:hAnsi="Arial" w:cs="Arial"/>
              </w:rPr>
            </w:pPr>
            <w:r w:rsidRPr="00C06E05">
              <w:rPr>
                <w:rFonts w:ascii="Arial" w:hAnsi="Arial" w:cs="Arial"/>
              </w:rPr>
              <w:t>4.04</w:t>
            </w:r>
          </w:p>
        </w:tc>
        <w:tc>
          <w:tcPr>
            <w:tcW w:w="15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D1D4F9C" w14:textId="77777777" w:rsidR="001B225E" w:rsidRPr="00C06E05" w:rsidRDefault="001B225E" w:rsidP="00146DF8">
            <w:pPr>
              <w:spacing w:after="0" w:line="240" w:lineRule="auto"/>
              <w:jc w:val="center"/>
              <w:rPr>
                <w:rFonts w:ascii="Arial" w:hAnsi="Arial" w:cs="Arial"/>
              </w:rPr>
            </w:pPr>
            <w:r w:rsidRPr="00C06E05">
              <w:rPr>
                <w:rFonts w:ascii="Arial" w:hAnsi="Arial" w:cs="Arial"/>
              </w:rPr>
              <w:t>Often</w:t>
            </w:r>
          </w:p>
        </w:tc>
      </w:tr>
      <w:tr w:rsidR="001B225E" w:rsidRPr="00C06E05" w14:paraId="02018E99" w14:textId="77777777" w:rsidTr="00146DF8">
        <w:trPr>
          <w:trHeight w:val="290"/>
        </w:trPr>
        <w:tc>
          <w:tcPr>
            <w:tcW w:w="53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C745BB6" w14:textId="77777777" w:rsidR="001B225E" w:rsidRPr="00C06E05" w:rsidRDefault="001B225E" w:rsidP="00146DF8">
            <w:pPr>
              <w:spacing w:after="0" w:line="240" w:lineRule="auto"/>
              <w:jc w:val="both"/>
              <w:rPr>
                <w:rFonts w:ascii="Arial" w:hAnsi="Arial" w:cs="Arial"/>
              </w:rPr>
            </w:pPr>
            <w:r>
              <w:rPr>
                <w:rFonts w:ascii="Arial" w:hAnsi="Arial" w:cs="Arial"/>
              </w:rPr>
              <w:t xml:space="preserve">5. </w:t>
            </w:r>
            <w:r w:rsidRPr="00F136C6">
              <w:rPr>
                <w:rFonts w:ascii="Arial" w:hAnsi="Arial" w:cs="Arial"/>
              </w:rPr>
              <w:t>Take down notes and summarize key concepts while studying for the LET.</w:t>
            </w:r>
          </w:p>
        </w:tc>
        <w:tc>
          <w:tcPr>
            <w:tcW w:w="140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6EF267E" w14:textId="77777777" w:rsidR="001B225E" w:rsidRPr="00C06E05" w:rsidRDefault="001B225E" w:rsidP="00146DF8">
            <w:pPr>
              <w:spacing w:after="0" w:line="240" w:lineRule="auto"/>
              <w:jc w:val="center"/>
              <w:rPr>
                <w:rFonts w:ascii="Arial" w:hAnsi="Arial" w:cs="Arial"/>
              </w:rPr>
            </w:pPr>
            <w:r w:rsidRPr="00C06E05">
              <w:rPr>
                <w:rFonts w:ascii="Arial" w:hAnsi="Arial" w:cs="Arial"/>
              </w:rPr>
              <w:t>4.16</w:t>
            </w:r>
          </w:p>
        </w:tc>
        <w:tc>
          <w:tcPr>
            <w:tcW w:w="15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FA46D4B" w14:textId="77777777" w:rsidR="001B225E" w:rsidRPr="00C06E05" w:rsidRDefault="001B225E" w:rsidP="00146DF8">
            <w:pPr>
              <w:spacing w:after="0" w:line="240" w:lineRule="auto"/>
              <w:jc w:val="center"/>
              <w:rPr>
                <w:rFonts w:ascii="Arial" w:hAnsi="Arial" w:cs="Arial"/>
              </w:rPr>
            </w:pPr>
            <w:r w:rsidRPr="00C06E05">
              <w:rPr>
                <w:rFonts w:ascii="Arial" w:hAnsi="Arial" w:cs="Arial"/>
              </w:rPr>
              <w:t>Often</w:t>
            </w:r>
          </w:p>
        </w:tc>
      </w:tr>
      <w:tr w:rsidR="001B225E" w:rsidRPr="00C06E05" w14:paraId="7FE85503" w14:textId="77777777" w:rsidTr="00146DF8">
        <w:trPr>
          <w:trHeight w:val="311"/>
        </w:trPr>
        <w:tc>
          <w:tcPr>
            <w:tcW w:w="53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0C8277A" w14:textId="77777777" w:rsidR="001B225E" w:rsidRPr="00C06E05" w:rsidRDefault="001B225E" w:rsidP="00146DF8">
            <w:pPr>
              <w:spacing w:after="0" w:line="240" w:lineRule="auto"/>
              <w:jc w:val="both"/>
              <w:rPr>
                <w:rFonts w:ascii="Arial" w:hAnsi="Arial" w:cs="Arial"/>
              </w:rPr>
            </w:pPr>
            <w:r>
              <w:rPr>
                <w:rFonts w:ascii="Arial" w:hAnsi="Arial" w:cs="Arial"/>
              </w:rPr>
              <w:t xml:space="preserve">6. </w:t>
            </w:r>
            <w:r w:rsidRPr="00F136C6">
              <w:rPr>
                <w:rFonts w:ascii="Arial" w:hAnsi="Arial" w:cs="Arial"/>
              </w:rPr>
              <w:t>Answer practice tests and mock examinations to assess my readiness for the LET.</w:t>
            </w:r>
          </w:p>
        </w:tc>
        <w:tc>
          <w:tcPr>
            <w:tcW w:w="140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99F2705" w14:textId="77777777" w:rsidR="001B225E" w:rsidRPr="00C06E05" w:rsidRDefault="001B225E" w:rsidP="00146DF8">
            <w:pPr>
              <w:spacing w:after="0" w:line="240" w:lineRule="auto"/>
              <w:jc w:val="center"/>
              <w:rPr>
                <w:rFonts w:ascii="Arial" w:hAnsi="Arial" w:cs="Arial"/>
              </w:rPr>
            </w:pPr>
            <w:r w:rsidRPr="00C06E05">
              <w:rPr>
                <w:rFonts w:ascii="Arial" w:hAnsi="Arial" w:cs="Arial"/>
              </w:rPr>
              <w:t>4.12</w:t>
            </w:r>
          </w:p>
        </w:tc>
        <w:tc>
          <w:tcPr>
            <w:tcW w:w="15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9A8E866" w14:textId="77777777" w:rsidR="001B225E" w:rsidRPr="00C06E05" w:rsidRDefault="001B225E" w:rsidP="00146DF8">
            <w:pPr>
              <w:spacing w:after="0" w:line="240" w:lineRule="auto"/>
              <w:jc w:val="center"/>
              <w:rPr>
                <w:rFonts w:ascii="Arial" w:hAnsi="Arial" w:cs="Arial"/>
              </w:rPr>
            </w:pPr>
            <w:r w:rsidRPr="00C06E05">
              <w:rPr>
                <w:rFonts w:ascii="Arial" w:hAnsi="Arial" w:cs="Arial"/>
              </w:rPr>
              <w:t>Often</w:t>
            </w:r>
          </w:p>
        </w:tc>
      </w:tr>
      <w:tr w:rsidR="001B225E" w:rsidRPr="00C06E05" w14:paraId="47C00EE8" w14:textId="77777777" w:rsidTr="00146DF8">
        <w:trPr>
          <w:trHeight w:val="290"/>
        </w:trPr>
        <w:tc>
          <w:tcPr>
            <w:tcW w:w="53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F124AA1" w14:textId="77777777" w:rsidR="001B225E" w:rsidRPr="00C06E05" w:rsidRDefault="001B225E" w:rsidP="00146DF8">
            <w:pPr>
              <w:spacing w:after="0" w:line="240" w:lineRule="auto"/>
              <w:jc w:val="both"/>
              <w:rPr>
                <w:rFonts w:ascii="Arial" w:hAnsi="Arial" w:cs="Arial"/>
              </w:rPr>
            </w:pPr>
            <w:r>
              <w:rPr>
                <w:rFonts w:ascii="Arial" w:hAnsi="Arial" w:cs="Arial"/>
              </w:rPr>
              <w:t xml:space="preserve">7. </w:t>
            </w:r>
            <w:r w:rsidRPr="00F136C6">
              <w:rPr>
                <w:rFonts w:ascii="Arial" w:hAnsi="Arial" w:cs="Arial"/>
              </w:rPr>
              <w:t>Review with classmates or study groups to strengthen understanding of LET topics.</w:t>
            </w:r>
          </w:p>
        </w:tc>
        <w:tc>
          <w:tcPr>
            <w:tcW w:w="140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BC5C39A" w14:textId="77777777" w:rsidR="001B225E" w:rsidRPr="00C06E05" w:rsidRDefault="001B225E" w:rsidP="00146DF8">
            <w:pPr>
              <w:spacing w:after="0" w:line="240" w:lineRule="auto"/>
              <w:jc w:val="center"/>
              <w:rPr>
                <w:rFonts w:ascii="Arial" w:hAnsi="Arial" w:cs="Arial"/>
              </w:rPr>
            </w:pPr>
            <w:r w:rsidRPr="00C06E05">
              <w:rPr>
                <w:rFonts w:ascii="Arial" w:hAnsi="Arial" w:cs="Arial"/>
              </w:rPr>
              <w:t>3.05</w:t>
            </w:r>
          </w:p>
        </w:tc>
        <w:tc>
          <w:tcPr>
            <w:tcW w:w="15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CEDBEDD" w14:textId="77777777" w:rsidR="001B225E" w:rsidRPr="00C06E05" w:rsidRDefault="001B225E" w:rsidP="00146DF8">
            <w:pPr>
              <w:spacing w:after="0" w:line="240" w:lineRule="auto"/>
              <w:jc w:val="center"/>
              <w:rPr>
                <w:rFonts w:ascii="Arial" w:hAnsi="Arial" w:cs="Arial"/>
              </w:rPr>
            </w:pPr>
            <w:r w:rsidRPr="00C06E05">
              <w:rPr>
                <w:rFonts w:ascii="Arial" w:hAnsi="Arial" w:cs="Arial"/>
              </w:rPr>
              <w:t>Sometimes</w:t>
            </w:r>
          </w:p>
        </w:tc>
      </w:tr>
      <w:tr w:rsidR="001B225E" w:rsidRPr="00C06E05" w14:paraId="175A69AF" w14:textId="77777777" w:rsidTr="00146DF8">
        <w:trPr>
          <w:trHeight w:val="290"/>
        </w:trPr>
        <w:tc>
          <w:tcPr>
            <w:tcW w:w="53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E08C667" w14:textId="77777777" w:rsidR="001B225E" w:rsidRPr="00C06E05" w:rsidRDefault="001B225E" w:rsidP="00146DF8">
            <w:pPr>
              <w:spacing w:after="0" w:line="240" w:lineRule="auto"/>
              <w:jc w:val="both"/>
              <w:rPr>
                <w:rFonts w:ascii="Arial" w:hAnsi="Arial" w:cs="Arial"/>
              </w:rPr>
            </w:pPr>
            <w:r>
              <w:rPr>
                <w:rFonts w:ascii="Arial" w:hAnsi="Arial" w:cs="Arial"/>
              </w:rPr>
              <w:t xml:space="preserve">8. </w:t>
            </w:r>
            <w:r w:rsidRPr="00F136C6">
              <w:rPr>
                <w:rFonts w:ascii="Arial" w:hAnsi="Arial" w:cs="Arial"/>
              </w:rPr>
              <w:t>Manage distractions effectively during my study sessions.</w:t>
            </w:r>
          </w:p>
        </w:tc>
        <w:tc>
          <w:tcPr>
            <w:tcW w:w="140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1B03B61" w14:textId="77777777" w:rsidR="001B225E" w:rsidRPr="00C06E05" w:rsidRDefault="001B225E" w:rsidP="00146DF8">
            <w:pPr>
              <w:spacing w:after="0" w:line="240" w:lineRule="auto"/>
              <w:jc w:val="center"/>
              <w:rPr>
                <w:rFonts w:ascii="Arial" w:hAnsi="Arial" w:cs="Arial"/>
              </w:rPr>
            </w:pPr>
            <w:r w:rsidRPr="00C06E05">
              <w:rPr>
                <w:rFonts w:ascii="Arial" w:hAnsi="Arial" w:cs="Arial"/>
              </w:rPr>
              <w:t>3.61</w:t>
            </w:r>
          </w:p>
        </w:tc>
        <w:tc>
          <w:tcPr>
            <w:tcW w:w="15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0E2C98A" w14:textId="77777777" w:rsidR="001B225E" w:rsidRPr="00C06E05" w:rsidRDefault="001B225E" w:rsidP="00146DF8">
            <w:pPr>
              <w:spacing w:after="0" w:line="240" w:lineRule="auto"/>
              <w:jc w:val="center"/>
              <w:rPr>
                <w:rFonts w:ascii="Arial" w:hAnsi="Arial" w:cs="Arial"/>
              </w:rPr>
            </w:pPr>
            <w:r w:rsidRPr="00C06E05">
              <w:rPr>
                <w:rFonts w:ascii="Arial" w:hAnsi="Arial" w:cs="Arial"/>
              </w:rPr>
              <w:t>Often</w:t>
            </w:r>
          </w:p>
        </w:tc>
      </w:tr>
      <w:tr w:rsidR="001B225E" w:rsidRPr="00C06E05" w14:paraId="00E5EB69" w14:textId="77777777" w:rsidTr="00146DF8">
        <w:trPr>
          <w:trHeight w:val="290"/>
        </w:trPr>
        <w:tc>
          <w:tcPr>
            <w:tcW w:w="53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2951B0C" w14:textId="77777777" w:rsidR="001B225E" w:rsidRPr="00C06E05" w:rsidRDefault="001B225E" w:rsidP="00146DF8">
            <w:pPr>
              <w:spacing w:after="0" w:line="240" w:lineRule="auto"/>
              <w:jc w:val="both"/>
              <w:rPr>
                <w:rFonts w:ascii="Arial" w:hAnsi="Arial" w:cs="Arial"/>
              </w:rPr>
            </w:pPr>
            <w:r>
              <w:rPr>
                <w:rFonts w:ascii="Arial" w:hAnsi="Arial" w:cs="Arial"/>
              </w:rPr>
              <w:t xml:space="preserve">9. </w:t>
            </w:r>
            <w:r w:rsidRPr="00F136C6">
              <w:rPr>
                <w:rFonts w:ascii="Arial" w:hAnsi="Arial" w:cs="Arial"/>
              </w:rPr>
              <w:t>Monitor my own progress by keeping track of topics I have already reviewed.</w:t>
            </w:r>
          </w:p>
        </w:tc>
        <w:tc>
          <w:tcPr>
            <w:tcW w:w="140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D3B4A61" w14:textId="77777777" w:rsidR="001B225E" w:rsidRPr="00C06E05" w:rsidRDefault="001B225E" w:rsidP="00146DF8">
            <w:pPr>
              <w:spacing w:after="0" w:line="240" w:lineRule="auto"/>
              <w:jc w:val="center"/>
              <w:rPr>
                <w:rFonts w:ascii="Arial" w:hAnsi="Arial" w:cs="Arial"/>
              </w:rPr>
            </w:pPr>
            <w:r w:rsidRPr="00C06E05">
              <w:rPr>
                <w:rFonts w:ascii="Arial" w:hAnsi="Arial" w:cs="Arial"/>
              </w:rPr>
              <w:t>3.82</w:t>
            </w:r>
          </w:p>
        </w:tc>
        <w:tc>
          <w:tcPr>
            <w:tcW w:w="15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6A1311C" w14:textId="77777777" w:rsidR="001B225E" w:rsidRPr="00C06E05" w:rsidRDefault="001B225E" w:rsidP="00146DF8">
            <w:pPr>
              <w:spacing w:after="0" w:line="240" w:lineRule="auto"/>
              <w:jc w:val="center"/>
              <w:rPr>
                <w:rFonts w:ascii="Arial" w:hAnsi="Arial" w:cs="Arial"/>
              </w:rPr>
            </w:pPr>
            <w:r w:rsidRPr="00C06E05">
              <w:rPr>
                <w:rFonts w:ascii="Arial" w:hAnsi="Arial" w:cs="Arial"/>
              </w:rPr>
              <w:t>Often</w:t>
            </w:r>
          </w:p>
        </w:tc>
      </w:tr>
      <w:tr w:rsidR="001B225E" w:rsidRPr="00C06E05" w14:paraId="5EC89C85" w14:textId="77777777" w:rsidTr="00146DF8">
        <w:trPr>
          <w:trHeight w:val="311"/>
        </w:trPr>
        <w:tc>
          <w:tcPr>
            <w:tcW w:w="5383"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0F84CA0E" w14:textId="77777777" w:rsidR="001B225E" w:rsidRPr="00C06E05" w:rsidRDefault="001B225E" w:rsidP="00146DF8">
            <w:pPr>
              <w:spacing w:after="0" w:line="240" w:lineRule="auto"/>
              <w:jc w:val="both"/>
              <w:rPr>
                <w:rFonts w:ascii="Arial" w:hAnsi="Arial" w:cs="Arial"/>
              </w:rPr>
            </w:pPr>
            <w:r>
              <w:rPr>
                <w:rFonts w:ascii="Arial" w:hAnsi="Arial" w:cs="Arial"/>
              </w:rPr>
              <w:t xml:space="preserve">10. </w:t>
            </w:r>
            <w:r w:rsidRPr="00F136C6">
              <w:rPr>
                <w:rFonts w:ascii="Arial" w:hAnsi="Arial" w:cs="Arial"/>
              </w:rPr>
              <w:t>Maintain a healthy lifestyle (adequate sleep, proper diet, exercise) to support my LET preparation.</w:t>
            </w:r>
          </w:p>
        </w:tc>
        <w:tc>
          <w:tcPr>
            <w:tcW w:w="1406"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74482352" w14:textId="77777777" w:rsidR="001B225E" w:rsidRPr="00C06E05" w:rsidRDefault="001B225E" w:rsidP="00146DF8">
            <w:pPr>
              <w:spacing w:after="0" w:line="240" w:lineRule="auto"/>
              <w:jc w:val="center"/>
              <w:rPr>
                <w:rFonts w:ascii="Arial" w:hAnsi="Arial" w:cs="Arial"/>
              </w:rPr>
            </w:pPr>
            <w:r w:rsidRPr="00C06E05">
              <w:rPr>
                <w:rFonts w:ascii="Arial" w:hAnsi="Arial" w:cs="Arial"/>
              </w:rPr>
              <w:t>3.58</w:t>
            </w:r>
          </w:p>
        </w:tc>
        <w:tc>
          <w:tcPr>
            <w:tcW w:w="1580"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0E7FFAE3" w14:textId="77777777" w:rsidR="001B225E" w:rsidRPr="00C06E05" w:rsidRDefault="001B225E" w:rsidP="00146DF8">
            <w:pPr>
              <w:spacing w:after="0" w:line="240" w:lineRule="auto"/>
              <w:jc w:val="center"/>
              <w:rPr>
                <w:rFonts w:ascii="Arial" w:hAnsi="Arial" w:cs="Arial"/>
              </w:rPr>
            </w:pPr>
            <w:r w:rsidRPr="00C06E05">
              <w:rPr>
                <w:rFonts w:ascii="Arial" w:hAnsi="Arial" w:cs="Arial"/>
              </w:rPr>
              <w:t>Often</w:t>
            </w:r>
          </w:p>
        </w:tc>
      </w:tr>
      <w:tr w:rsidR="001B225E" w:rsidRPr="00C06E05" w14:paraId="6BFD86F6" w14:textId="77777777" w:rsidTr="00146DF8">
        <w:trPr>
          <w:trHeight w:val="290"/>
        </w:trPr>
        <w:tc>
          <w:tcPr>
            <w:tcW w:w="5383"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51299426" w14:textId="77777777" w:rsidR="001B225E" w:rsidRPr="00C06E05" w:rsidRDefault="001B225E" w:rsidP="00146DF8">
            <w:pPr>
              <w:spacing w:after="0" w:line="240" w:lineRule="auto"/>
              <w:rPr>
                <w:rFonts w:ascii="Arial" w:hAnsi="Arial" w:cs="Arial"/>
              </w:rPr>
            </w:pPr>
            <w:r w:rsidRPr="00C06E05">
              <w:rPr>
                <w:rFonts w:ascii="Arial" w:hAnsi="Arial" w:cs="Arial"/>
                <w:b/>
                <w:bCs/>
              </w:rPr>
              <w:t>General Weighted Mean</w:t>
            </w:r>
          </w:p>
        </w:tc>
        <w:tc>
          <w:tcPr>
            <w:tcW w:w="1406"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43255CFB"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3.75</w:t>
            </w:r>
          </w:p>
        </w:tc>
        <w:tc>
          <w:tcPr>
            <w:tcW w:w="1580"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0B6CE799"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Often</w:t>
            </w:r>
          </w:p>
        </w:tc>
      </w:tr>
    </w:tbl>
    <w:p w14:paraId="782F75EA" w14:textId="77777777" w:rsidR="001B225E" w:rsidRDefault="001B225E" w:rsidP="001B225E">
      <w:pPr>
        <w:spacing w:before="40" w:line="240" w:lineRule="auto"/>
        <w:rPr>
          <w:rFonts w:ascii="Arial" w:hAnsi="Arial" w:cs="Arial"/>
          <w:i/>
          <w:iCs/>
          <w:sz w:val="18"/>
          <w:szCs w:val="18"/>
        </w:rPr>
      </w:pPr>
      <w:r w:rsidRPr="001324D9">
        <w:rPr>
          <w:rFonts w:ascii="Arial" w:hAnsi="Arial" w:cs="Arial"/>
          <w:b/>
          <w:bCs/>
          <w:i/>
          <w:iCs/>
          <w:sz w:val="18"/>
          <w:szCs w:val="18"/>
        </w:rPr>
        <w:t xml:space="preserve">Legend: </w:t>
      </w:r>
      <w:r w:rsidRPr="001324D9">
        <w:rPr>
          <w:rFonts w:ascii="Arial" w:hAnsi="Arial" w:cs="Arial"/>
          <w:i/>
          <w:iCs/>
          <w:sz w:val="18"/>
          <w:szCs w:val="18"/>
        </w:rPr>
        <w:t>1.00–1.80 Never; 1.81–2.60 Rarely; 2.61–3.40 Sometimes; 3.41–4.20 Often; 4.21–5.00 Always.</w:t>
      </w:r>
    </w:p>
    <w:p w14:paraId="4FCB7716" w14:textId="77777777" w:rsidR="001B225E" w:rsidRPr="001324D9" w:rsidRDefault="001B225E" w:rsidP="001B225E">
      <w:pPr>
        <w:spacing w:before="40" w:line="240" w:lineRule="auto"/>
        <w:rPr>
          <w:rFonts w:ascii="Arial" w:hAnsi="Arial" w:cs="Arial"/>
          <w:i/>
          <w:iCs/>
          <w:sz w:val="10"/>
          <w:szCs w:val="10"/>
        </w:rPr>
      </w:pPr>
    </w:p>
    <w:p w14:paraId="4BA4622E" w14:textId="77777777" w:rsidR="001B225E" w:rsidRDefault="001B225E" w:rsidP="001B225E">
      <w:pPr>
        <w:spacing w:after="0" w:line="480" w:lineRule="auto"/>
        <w:jc w:val="both"/>
        <w:rPr>
          <w:rFonts w:ascii="Arial" w:hAnsi="Arial" w:cs="Arial"/>
        </w:rPr>
      </w:pPr>
      <w:r w:rsidRPr="00C06E05">
        <w:rPr>
          <w:rFonts w:ascii="Arial" w:hAnsi="Arial" w:cs="Arial"/>
        </w:rPr>
        <w:t>prepared systematically and independently. Students who had a plan for their study time, took structured notes and self-tested scored higher than students with less structured study habits (Islam, 2021). Good study habits are directly linked to</w:t>
      </w:r>
      <w:r>
        <w:rPr>
          <w:rFonts w:ascii="Arial" w:hAnsi="Arial" w:cs="Arial"/>
        </w:rPr>
        <w:t xml:space="preserve"> </w:t>
      </w:r>
      <w:r w:rsidRPr="00C06E05">
        <w:rPr>
          <w:rFonts w:ascii="Arial" w:hAnsi="Arial" w:cs="Arial"/>
        </w:rPr>
        <w:t xml:space="preserve">better examination results. According to Alvarez (2018), the disciplined and structured study habits of LET takers help them perform better in the licensure </w:t>
      </w:r>
      <w:r w:rsidRPr="00C06E05">
        <w:rPr>
          <w:rFonts w:ascii="Arial" w:hAnsi="Arial" w:cs="Arial"/>
        </w:rPr>
        <w:lastRenderedPageBreak/>
        <w:t xml:space="preserve">examination because it reduces examination stress and keeps the learners academically motivated during the review period. Johnson (2016) likewise found, in an experimental study, that practice examinations and active note-taking contributed to licensure performance by reinforcing content knowledge and building psychological readiness. The lower rating on the collaborative study indicator suggested that the respondents relied more on individual study strategies than on group review, a pattern that </w:t>
      </w:r>
      <w:proofErr w:type="spellStart"/>
      <w:r w:rsidRPr="00C06E05">
        <w:rPr>
          <w:rFonts w:ascii="Arial" w:hAnsi="Arial" w:cs="Arial"/>
        </w:rPr>
        <w:t>Gardoce</w:t>
      </w:r>
      <w:proofErr w:type="spellEnd"/>
      <w:r w:rsidRPr="00C06E05">
        <w:rPr>
          <w:rFonts w:ascii="Arial" w:hAnsi="Arial" w:cs="Arial"/>
        </w:rPr>
        <w:t xml:space="preserve"> and Sangalang (2020) noted could be strengthened, as collaborative review activities combined with structured institutional programs constitute an effective strategy for holistic licensure preparation.</w:t>
      </w:r>
    </w:p>
    <w:p w14:paraId="7C575AB8" w14:textId="77777777" w:rsidR="001B225E" w:rsidRDefault="001B225E" w:rsidP="001B225E">
      <w:pPr>
        <w:spacing w:after="0" w:line="480" w:lineRule="auto"/>
        <w:jc w:val="both"/>
        <w:rPr>
          <w:rFonts w:ascii="Arial" w:hAnsi="Arial" w:cs="Arial"/>
        </w:rPr>
      </w:pPr>
      <w:r w:rsidRPr="00C06E05">
        <w:rPr>
          <w:rFonts w:ascii="Arial" w:hAnsi="Arial" w:cs="Arial"/>
        </w:rPr>
        <w:t xml:space="preserve">Table </w:t>
      </w:r>
      <w:r>
        <w:rPr>
          <w:rFonts w:ascii="Arial" w:hAnsi="Arial" w:cs="Arial"/>
        </w:rPr>
        <w:t xml:space="preserve">18 </w:t>
      </w:r>
      <w:r w:rsidRPr="00C06E05">
        <w:rPr>
          <w:rFonts w:ascii="Arial" w:hAnsi="Arial" w:cs="Arial"/>
        </w:rPr>
        <w:t>sho</w:t>
      </w:r>
      <w:r>
        <w:rPr>
          <w:rFonts w:ascii="Arial" w:hAnsi="Arial" w:cs="Arial"/>
        </w:rPr>
        <w:t>ws</w:t>
      </w:r>
      <w:r w:rsidRPr="00C06E05">
        <w:rPr>
          <w:rFonts w:ascii="Arial" w:hAnsi="Arial" w:cs="Arial"/>
        </w:rPr>
        <w:t xml:space="preserve"> the level of review preparation practices of the LET takers. The overall weighted mean was 3.71, interpreted as Often, meaning that the respondents usually engaged in purposeful and structured review activities in preparing for the licensure examination. The highest rated indicator was Statement 03 with a weighted mean of 4.38 interpreted as Always, followed by Statement 07</w:t>
      </w:r>
      <w:r w:rsidRPr="00680465">
        <w:rPr>
          <w:rFonts w:ascii="Arial" w:hAnsi="Arial" w:cs="Arial"/>
        </w:rPr>
        <w:t xml:space="preserve"> </w:t>
      </w:r>
      <w:r w:rsidRPr="00C06E05">
        <w:rPr>
          <w:rFonts w:ascii="Arial" w:hAnsi="Arial" w:cs="Arial"/>
        </w:rPr>
        <w:t>with 4.17 interpreted as Often. The lowest rated indicators were Statement</w:t>
      </w:r>
      <w:r>
        <w:rPr>
          <w:rFonts w:ascii="Arial" w:hAnsi="Arial" w:cs="Arial"/>
        </w:rPr>
        <w:t xml:space="preserve"> </w:t>
      </w:r>
      <w:r w:rsidRPr="00C06E05">
        <w:rPr>
          <w:rFonts w:ascii="Arial" w:hAnsi="Arial" w:cs="Arial"/>
        </w:rPr>
        <w:t>09</w:t>
      </w:r>
      <w:r>
        <w:rPr>
          <w:rFonts w:ascii="Arial" w:hAnsi="Arial" w:cs="Arial"/>
        </w:rPr>
        <w:t xml:space="preserve"> </w:t>
      </w:r>
      <w:r w:rsidRPr="00C06E05">
        <w:rPr>
          <w:rFonts w:ascii="Arial" w:hAnsi="Arial" w:cs="Arial"/>
        </w:rPr>
        <w:t>(weighted mean=3.07) and Statement 01 (weighted mean=3.34)</w:t>
      </w:r>
      <w:r>
        <w:rPr>
          <w:rFonts w:ascii="Arial" w:hAnsi="Arial" w:cs="Arial"/>
        </w:rPr>
        <w:t>,</w:t>
      </w:r>
      <w:r w:rsidRPr="00C06E05">
        <w:rPr>
          <w:rFonts w:ascii="Arial" w:hAnsi="Arial" w:cs="Arial"/>
        </w:rPr>
        <w:t xml:space="preserve"> both interpreted as Sometimes.</w:t>
      </w:r>
    </w:p>
    <w:p w14:paraId="3E404725"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t xml:space="preserve">The data indicated that the respondents heavily employed review strategies that were accessible and format-specific. The highest ratings were for use of </w:t>
      </w:r>
      <w:proofErr w:type="spellStart"/>
      <w:r w:rsidRPr="00C06E05">
        <w:rPr>
          <w:rFonts w:ascii="Arial" w:hAnsi="Arial" w:cs="Arial"/>
        </w:rPr>
        <w:t>digitalreview</w:t>
      </w:r>
      <w:proofErr w:type="spellEnd"/>
      <w:r w:rsidRPr="00C06E05">
        <w:rPr>
          <w:rFonts w:ascii="Arial" w:hAnsi="Arial" w:cs="Arial"/>
        </w:rPr>
        <w:t xml:space="preserve"> resources and practice answering examination-type questions. This pattern indicated that the consumers preferred self-directed and technology-</w:t>
      </w:r>
      <w:r w:rsidRPr="000447F2">
        <w:rPr>
          <w:rFonts w:ascii="Arial" w:hAnsi="Arial" w:cs="Arial"/>
        </w:rPr>
        <w:t xml:space="preserve"> </w:t>
      </w:r>
    </w:p>
    <w:p w14:paraId="42F62B7C" w14:textId="77777777" w:rsidR="001B225E" w:rsidRDefault="001B225E" w:rsidP="001B225E">
      <w:pPr>
        <w:spacing w:line="480" w:lineRule="auto"/>
        <w:ind w:firstLine="720"/>
        <w:jc w:val="both"/>
        <w:rPr>
          <w:rFonts w:ascii="Arial" w:hAnsi="Arial" w:cs="Arial"/>
        </w:rPr>
      </w:pPr>
    </w:p>
    <w:p w14:paraId="78EF141A" w14:textId="77777777" w:rsidR="001B225E" w:rsidRPr="001324D9" w:rsidRDefault="001B225E" w:rsidP="001B225E">
      <w:pPr>
        <w:pStyle w:val="NoSpacing"/>
        <w:jc w:val="center"/>
        <w:rPr>
          <w:rFonts w:ascii="Arial" w:hAnsi="Arial" w:cs="Arial"/>
          <w:sz w:val="24"/>
          <w:szCs w:val="24"/>
        </w:rPr>
      </w:pPr>
      <w:r w:rsidRPr="001324D9">
        <w:rPr>
          <w:rFonts w:ascii="Arial" w:hAnsi="Arial" w:cs="Arial"/>
          <w:sz w:val="24"/>
          <w:szCs w:val="24"/>
        </w:rPr>
        <w:lastRenderedPageBreak/>
        <w:t>Table18</w:t>
      </w:r>
    </w:p>
    <w:p w14:paraId="06E32468" w14:textId="77777777" w:rsidR="001B225E" w:rsidRDefault="001B225E" w:rsidP="001B225E">
      <w:pPr>
        <w:pStyle w:val="NoSpacing"/>
        <w:jc w:val="center"/>
        <w:rPr>
          <w:rFonts w:ascii="Arial" w:hAnsi="Arial" w:cs="Arial"/>
          <w:b/>
          <w:bCs/>
          <w:sz w:val="24"/>
          <w:szCs w:val="24"/>
        </w:rPr>
      </w:pPr>
      <w:r w:rsidRPr="001324D9">
        <w:rPr>
          <w:rFonts w:ascii="Arial" w:hAnsi="Arial" w:cs="Arial"/>
          <w:b/>
          <w:bCs/>
          <w:sz w:val="24"/>
          <w:szCs w:val="24"/>
        </w:rPr>
        <w:t>Review Preparation Practices</w:t>
      </w:r>
    </w:p>
    <w:p w14:paraId="52F8601A" w14:textId="77777777" w:rsidR="001B225E" w:rsidRPr="001324D9" w:rsidRDefault="001B225E" w:rsidP="001B225E">
      <w:pPr>
        <w:pStyle w:val="NoSpacing"/>
        <w:rPr>
          <w:rFonts w:ascii="Arial" w:hAnsi="Arial" w:cs="Arial"/>
          <w:b/>
          <w:bCs/>
          <w:sz w:val="24"/>
          <w:szCs w:val="24"/>
        </w:rPr>
      </w:pPr>
    </w:p>
    <w:tbl>
      <w:tblPr>
        <w:tblW w:w="8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27"/>
        <w:gridCol w:w="1375"/>
        <w:gridCol w:w="1767"/>
      </w:tblGrid>
      <w:tr w:rsidR="001B225E" w:rsidRPr="00C06E05" w14:paraId="3FBDF79A" w14:textId="77777777" w:rsidTr="00146DF8">
        <w:trPr>
          <w:trHeight w:val="288"/>
          <w:tblHeader/>
        </w:trPr>
        <w:tc>
          <w:tcPr>
            <w:tcW w:w="5383"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1D8BB9BD" w14:textId="77777777" w:rsidR="001B225E" w:rsidRPr="00C06E05" w:rsidRDefault="001B225E" w:rsidP="00146DF8">
            <w:pPr>
              <w:spacing w:after="0" w:line="240" w:lineRule="auto"/>
              <w:rPr>
                <w:rFonts w:ascii="Arial" w:hAnsi="Arial" w:cs="Arial"/>
              </w:rPr>
            </w:pPr>
            <w:r w:rsidRPr="00C06E05">
              <w:rPr>
                <w:rFonts w:ascii="Arial" w:hAnsi="Arial" w:cs="Arial"/>
                <w:b/>
                <w:bCs/>
              </w:rPr>
              <w:t>Indicators</w:t>
            </w:r>
          </w:p>
        </w:tc>
        <w:tc>
          <w:tcPr>
            <w:tcW w:w="1406"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1461378B"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WM</w:t>
            </w:r>
          </w:p>
        </w:tc>
        <w:tc>
          <w:tcPr>
            <w:tcW w:w="1580"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709C8597"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Interpretation</w:t>
            </w:r>
          </w:p>
        </w:tc>
      </w:tr>
      <w:tr w:rsidR="001B225E" w:rsidRPr="00C06E05" w14:paraId="35F58774" w14:textId="77777777" w:rsidTr="00146DF8">
        <w:trPr>
          <w:trHeight w:val="288"/>
        </w:trPr>
        <w:tc>
          <w:tcPr>
            <w:tcW w:w="53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5D0B19F" w14:textId="77777777" w:rsidR="001B225E" w:rsidRPr="00C06E05" w:rsidRDefault="001B225E" w:rsidP="00146DF8">
            <w:pPr>
              <w:spacing w:after="0" w:line="240" w:lineRule="auto"/>
              <w:jc w:val="both"/>
              <w:rPr>
                <w:rFonts w:ascii="Arial" w:hAnsi="Arial" w:cs="Arial"/>
              </w:rPr>
            </w:pPr>
            <w:r w:rsidRPr="00F136C6">
              <w:rPr>
                <w:rFonts w:ascii="Arial" w:hAnsi="Arial" w:cs="Arial"/>
              </w:rPr>
              <w:t>1. Enroll in or attend a formal LET review program or review center.</w:t>
            </w:r>
          </w:p>
        </w:tc>
        <w:tc>
          <w:tcPr>
            <w:tcW w:w="140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23B296E" w14:textId="77777777" w:rsidR="001B225E" w:rsidRPr="00C06E05" w:rsidRDefault="001B225E" w:rsidP="00146DF8">
            <w:pPr>
              <w:spacing w:after="0" w:line="240" w:lineRule="auto"/>
              <w:jc w:val="center"/>
              <w:rPr>
                <w:rFonts w:ascii="Arial" w:hAnsi="Arial" w:cs="Arial"/>
              </w:rPr>
            </w:pPr>
            <w:r w:rsidRPr="00C06E05">
              <w:rPr>
                <w:rFonts w:ascii="Arial" w:hAnsi="Arial" w:cs="Arial"/>
              </w:rPr>
              <w:t>3.34</w:t>
            </w:r>
          </w:p>
        </w:tc>
        <w:tc>
          <w:tcPr>
            <w:tcW w:w="15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2B146CB" w14:textId="77777777" w:rsidR="001B225E" w:rsidRPr="00C06E05" w:rsidRDefault="001B225E" w:rsidP="00146DF8">
            <w:pPr>
              <w:spacing w:after="0" w:line="240" w:lineRule="auto"/>
              <w:jc w:val="center"/>
              <w:rPr>
                <w:rFonts w:ascii="Arial" w:hAnsi="Arial" w:cs="Arial"/>
              </w:rPr>
            </w:pPr>
            <w:r w:rsidRPr="00C06E05">
              <w:rPr>
                <w:rFonts w:ascii="Arial" w:hAnsi="Arial" w:cs="Arial"/>
              </w:rPr>
              <w:t>Sometimes</w:t>
            </w:r>
          </w:p>
        </w:tc>
      </w:tr>
      <w:tr w:rsidR="001B225E" w:rsidRPr="00C06E05" w14:paraId="16DDC1D3" w14:textId="77777777" w:rsidTr="00146DF8">
        <w:trPr>
          <w:trHeight w:val="309"/>
        </w:trPr>
        <w:tc>
          <w:tcPr>
            <w:tcW w:w="53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75A3F57" w14:textId="77777777" w:rsidR="001B225E" w:rsidRPr="00C06E05" w:rsidRDefault="001B225E" w:rsidP="00146DF8">
            <w:pPr>
              <w:spacing w:after="0" w:line="240" w:lineRule="auto"/>
              <w:jc w:val="both"/>
              <w:rPr>
                <w:rFonts w:ascii="Arial" w:hAnsi="Arial" w:cs="Arial"/>
              </w:rPr>
            </w:pPr>
            <w:r w:rsidRPr="00F136C6">
              <w:rPr>
                <w:rFonts w:ascii="Arial" w:hAnsi="Arial" w:cs="Arial"/>
              </w:rPr>
              <w:t xml:space="preserve">2. Participate in institutional review sessions organized by </w:t>
            </w:r>
            <w:proofErr w:type="spellStart"/>
            <w:r w:rsidRPr="00F136C6">
              <w:rPr>
                <w:rFonts w:ascii="Arial" w:hAnsi="Arial" w:cs="Arial"/>
              </w:rPr>
              <w:t>Polangui</w:t>
            </w:r>
            <w:proofErr w:type="spellEnd"/>
            <w:r w:rsidRPr="00F136C6">
              <w:rPr>
                <w:rFonts w:ascii="Arial" w:hAnsi="Arial" w:cs="Arial"/>
              </w:rPr>
              <w:t xml:space="preserve"> Community College.</w:t>
            </w:r>
          </w:p>
        </w:tc>
        <w:tc>
          <w:tcPr>
            <w:tcW w:w="140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C3CAA0C" w14:textId="77777777" w:rsidR="001B225E" w:rsidRPr="00C06E05" w:rsidRDefault="001B225E" w:rsidP="00146DF8">
            <w:pPr>
              <w:spacing w:after="0" w:line="240" w:lineRule="auto"/>
              <w:jc w:val="center"/>
              <w:rPr>
                <w:rFonts w:ascii="Arial" w:hAnsi="Arial" w:cs="Arial"/>
              </w:rPr>
            </w:pPr>
            <w:r w:rsidRPr="00C06E05">
              <w:rPr>
                <w:rFonts w:ascii="Arial" w:hAnsi="Arial" w:cs="Arial"/>
              </w:rPr>
              <w:t>3.57</w:t>
            </w:r>
          </w:p>
        </w:tc>
        <w:tc>
          <w:tcPr>
            <w:tcW w:w="15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E54661A" w14:textId="77777777" w:rsidR="001B225E" w:rsidRPr="00C06E05" w:rsidRDefault="001B225E" w:rsidP="00146DF8">
            <w:pPr>
              <w:spacing w:after="0" w:line="240" w:lineRule="auto"/>
              <w:jc w:val="center"/>
              <w:rPr>
                <w:rFonts w:ascii="Arial" w:hAnsi="Arial" w:cs="Arial"/>
              </w:rPr>
            </w:pPr>
            <w:r w:rsidRPr="00C06E05">
              <w:rPr>
                <w:rFonts w:ascii="Arial" w:hAnsi="Arial" w:cs="Arial"/>
              </w:rPr>
              <w:t>Often</w:t>
            </w:r>
          </w:p>
        </w:tc>
      </w:tr>
      <w:tr w:rsidR="001B225E" w:rsidRPr="00C06E05" w14:paraId="38808ED7" w14:textId="77777777" w:rsidTr="00146DF8">
        <w:trPr>
          <w:trHeight w:val="288"/>
        </w:trPr>
        <w:tc>
          <w:tcPr>
            <w:tcW w:w="53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4616EFA" w14:textId="77777777" w:rsidR="001B225E" w:rsidRPr="00C06E05" w:rsidRDefault="001B225E" w:rsidP="00146DF8">
            <w:pPr>
              <w:spacing w:after="0" w:line="240" w:lineRule="auto"/>
              <w:jc w:val="both"/>
              <w:rPr>
                <w:rFonts w:ascii="Arial" w:hAnsi="Arial" w:cs="Arial"/>
              </w:rPr>
            </w:pPr>
            <w:r w:rsidRPr="00F136C6">
              <w:rPr>
                <w:rFonts w:ascii="Arial" w:hAnsi="Arial" w:cs="Arial"/>
              </w:rPr>
              <w:t>3. Use online review materials, video lectures, and digital resources to prepare for the LET.</w:t>
            </w:r>
          </w:p>
        </w:tc>
        <w:tc>
          <w:tcPr>
            <w:tcW w:w="140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8EB56EB" w14:textId="77777777" w:rsidR="001B225E" w:rsidRPr="00C06E05" w:rsidRDefault="001B225E" w:rsidP="00146DF8">
            <w:pPr>
              <w:spacing w:after="0" w:line="240" w:lineRule="auto"/>
              <w:jc w:val="center"/>
              <w:rPr>
                <w:rFonts w:ascii="Arial" w:hAnsi="Arial" w:cs="Arial"/>
              </w:rPr>
            </w:pPr>
            <w:r w:rsidRPr="00C06E05">
              <w:rPr>
                <w:rFonts w:ascii="Arial" w:hAnsi="Arial" w:cs="Arial"/>
              </w:rPr>
              <w:t>4.38</w:t>
            </w:r>
          </w:p>
        </w:tc>
        <w:tc>
          <w:tcPr>
            <w:tcW w:w="15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7725701" w14:textId="77777777" w:rsidR="001B225E" w:rsidRPr="00C06E05" w:rsidRDefault="001B225E" w:rsidP="00146DF8">
            <w:pPr>
              <w:spacing w:after="0" w:line="240" w:lineRule="auto"/>
              <w:jc w:val="center"/>
              <w:rPr>
                <w:rFonts w:ascii="Arial" w:hAnsi="Arial" w:cs="Arial"/>
              </w:rPr>
            </w:pPr>
            <w:r w:rsidRPr="00C06E05">
              <w:rPr>
                <w:rFonts w:ascii="Arial" w:hAnsi="Arial" w:cs="Arial"/>
              </w:rPr>
              <w:t>Always</w:t>
            </w:r>
          </w:p>
        </w:tc>
      </w:tr>
      <w:tr w:rsidR="001B225E" w:rsidRPr="00C06E05" w14:paraId="1A9A2045" w14:textId="77777777" w:rsidTr="00146DF8">
        <w:trPr>
          <w:trHeight w:val="288"/>
        </w:trPr>
        <w:tc>
          <w:tcPr>
            <w:tcW w:w="53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6F4A0E7" w14:textId="77777777" w:rsidR="001B225E" w:rsidRPr="00C06E05" w:rsidRDefault="001B225E" w:rsidP="00146DF8">
            <w:pPr>
              <w:spacing w:after="0" w:line="240" w:lineRule="auto"/>
              <w:jc w:val="both"/>
              <w:rPr>
                <w:rFonts w:ascii="Arial" w:hAnsi="Arial" w:cs="Arial"/>
              </w:rPr>
            </w:pPr>
            <w:r w:rsidRPr="00F136C6">
              <w:rPr>
                <w:rFonts w:ascii="Arial" w:hAnsi="Arial" w:cs="Arial"/>
              </w:rPr>
              <w:t>4. Take full-length mock LET examinations under timed conditions to simulate the actual exam.</w:t>
            </w:r>
          </w:p>
        </w:tc>
        <w:tc>
          <w:tcPr>
            <w:tcW w:w="140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1CD8CBE" w14:textId="77777777" w:rsidR="001B225E" w:rsidRPr="00C06E05" w:rsidRDefault="001B225E" w:rsidP="00146DF8">
            <w:pPr>
              <w:spacing w:after="0" w:line="240" w:lineRule="auto"/>
              <w:jc w:val="center"/>
              <w:rPr>
                <w:rFonts w:ascii="Arial" w:hAnsi="Arial" w:cs="Arial"/>
              </w:rPr>
            </w:pPr>
            <w:r w:rsidRPr="00C06E05">
              <w:rPr>
                <w:rFonts w:ascii="Arial" w:hAnsi="Arial" w:cs="Arial"/>
              </w:rPr>
              <w:t>3.67</w:t>
            </w:r>
          </w:p>
        </w:tc>
        <w:tc>
          <w:tcPr>
            <w:tcW w:w="15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59D3229" w14:textId="77777777" w:rsidR="001B225E" w:rsidRPr="00C06E05" w:rsidRDefault="001B225E" w:rsidP="00146DF8">
            <w:pPr>
              <w:spacing w:after="0" w:line="240" w:lineRule="auto"/>
              <w:jc w:val="center"/>
              <w:rPr>
                <w:rFonts w:ascii="Arial" w:hAnsi="Arial" w:cs="Arial"/>
              </w:rPr>
            </w:pPr>
            <w:r w:rsidRPr="00C06E05">
              <w:rPr>
                <w:rFonts w:ascii="Arial" w:hAnsi="Arial" w:cs="Arial"/>
              </w:rPr>
              <w:t>Often</w:t>
            </w:r>
          </w:p>
        </w:tc>
      </w:tr>
      <w:tr w:rsidR="001B225E" w:rsidRPr="00C06E05" w14:paraId="07142390" w14:textId="77777777" w:rsidTr="00146DF8">
        <w:trPr>
          <w:trHeight w:val="288"/>
        </w:trPr>
        <w:tc>
          <w:tcPr>
            <w:tcW w:w="53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5D4B496" w14:textId="77777777" w:rsidR="001B225E" w:rsidRPr="00C06E05" w:rsidRDefault="001B225E" w:rsidP="00146DF8">
            <w:pPr>
              <w:spacing w:after="0" w:line="240" w:lineRule="auto"/>
              <w:jc w:val="both"/>
              <w:rPr>
                <w:rFonts w:ascii="Arial" w:hAnsi="Arial" w:cs="Arial"/>
              </w:rPr>
            </w:pPr>
            <w:r w:rsidRPr="00F136C6">
              <w:rPr>
                <w:rFonts w:ascii="Arial" w:hAnsi="Arial" w:cs="Arial"/>
              </w:rPr>
              <w:t>5. Analyze my performance in mock exams to identify areas that need further review.</w:t>
            </w:r>
          </w:p>
        </w:tc>
        <w:tc>
          <w:tcPr>
            <w:tcW w:w="140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C2096D6" w14:textId="77777777" w:rsidR="001B225E" w:rsidRPr="00C06E05" w:rsidRDefault="001B225E" w:rsidP="00146DF8">
            <w:pPr>
              <w:spacing w:after="0" w:line="240" w:lineRule="auto"/>
              <w:jc w:val="center"/>
              <w:rPr>
                <w:rFonts w:ascii="Arial" w:hAnsi="Arial" w:cs="Arial"/>
              </w:rPr>
            </w:pPr>
            <w:r w:rsidRPr="00C06E05">
              <w:rPr>
                <w:rFonts w:ascii="Arial" w:hAnsi="Arial" w:cs="Arial"/>
              </w:rPr>
              <w:t>3.84</w:t>
            </w:r>
          </w:p>
        </w:tc>
        <w:tc>
          <w:tcPr>
            <w:tcW w:w="15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947805C" w14:textId="77777777" w:rsidR="001B225E" w:rsidRPr="00C06E05" w:rsidRDefault="001B225E" w:rsidP="00146DF8">
            <w:pPr>
              <w:spacing w:after="0" w:line="240" w:lineRule="auto"/>
              <w:jc w:val="center"/>
              <w:rPr>
                <w:rFonts w:ascii="Arial" w:hAnsi="Arial" w:cs="Arial"/>
              </w:rPr>
            </w:pPr>
            <w:r w:rsidRPr="00C06E05">
              <w:rPr>
                <w:rFonts w:ascii="Arial" w:hAnsi="Arial" w:cs="Arial"/>
              </w:rPr>
              <w:t>Often</w:t>
            </w:r>
          </w:p>
        </w:tc>
      </w:tr>
      <w:tr w:rsidR="001B225E" w:rsidRPr="00C06E05" w14:paraId="6E586ADF" w14:textId="77777777" w:rsidTr="00146DF8">
        <w:trPr>
          <w:trHeight w:val="309"/>
        </w:trPr>
        <w:tc>
          <w:tcPr>
            <w:tcW w:w="53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AA5127F" w14:textId="77777777" w:rsidR="001B225E" w:rsidRPr="00C06E05" w:rsidRDefault="001B225E" w:rsidP="00146DF8">
            <w:pPr>
              <w:spacing w:after="0" w:line="240" w:lineRule="auto"/>
              <w:jc w:val="both"/>
              <w:rPr>
                <w:rFonts w:ascii="Arial" w:hAnsi="Arial" w:cs="Arial"/>
              </w:rPr>
            </w:pPr>
            <w:r w:rsidRPr="00F136C6">
              <w:rPr>
                <w:rFonts w:ascii="Arial" w:hAnsi="Arial" w:cs="Arial"/>
              </w:rPr>
              <w:t>6. Focus my review on LET content domains where I previously scored low.</w:t>
            </w:r>
          </w:p>
        </w:tc>
        <w:tc>
          <w:tcPr>
            <w:tcW w:w="140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9C35B0B" w14:textId="77777777" w:rsidR="001B225E" w:rsidRPr="00C06E05" w:rsidRDefault="001B225E" w:rsidP="00146DF8">
            <w:pPr>
              <w:spacing w:after="0" w:line="240" w:lineRule="auto"/>
              <w:jc w:val="center"/>
              <w:rPr>
                <w:rFonts w:ascii="Arial" w:hAnsi="Arial" w:cs="Arial"/>
              </w:rPr>
            </w:pPr>
            <w:r w:rsidRPr="00C06E05">
              <w:rPr>
                <w:rFonts w:ascii="Arial" w:hAnsi="Arial" w:cs="Arial"/>
              </w:rPr>
              <w:t>3.84</w:t>
            </w:r>
          </w:p>
        </w:tc>
        <w:tc>
          <w:tcPr>
            <w:tcW w:w="15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68884B7" w14:textId="77777777" w:rsidR="001B225E" w:rsidRPr="00C06E05" w:rsidRDefault="001B225E" w:rsidP="00146DF8">
            <w:pPr>
              <w:spacing w:after="0" w:line="240" w:lineRule="auto"/>
              <w:jc w:val="center"/>
              <w:rPr>
                <w:rFonts w:ascii="Arial" w:hAnsi="Arial" w:cs="Arial"/>
              </w:rPr>
            </w:pPr>
            <w:r w:rsidRPr="00C06E05">
              <w:rPr>
                <w:rFonts w:ascii="Arial" w:hAnsi="Arial" w:cs="Arial"/>
              </w:rPr>
              <w:t>Often</w:t>
            </w:r>
          </w:p>
        </w:tc>
      </w:tr>
      <w:tr w:rsidR="001B225E" w:rsidRPr="00C06E05" w14:paraId="11C6CAD9" w14:textId="77777777" w:rsidTr="00146DF8">
        <w:trPr>
          <w:trHeight w:val="288"/>
        </w:trPr>
        <w:tc>
          <w:tcPr>
            <w:tcW w:w="53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108D9BB" w14:textId="77777777" w:rsidR="001B225E" w:rsidRPr="00C06E05" w:rsidRDefault="001B225E" w:rsidP="00146DF8">
            <w:pPr>
              <w:spacing w:after="0" w:line="240" w:lineRule="auto"/>
              <w:jc w:val="both"/>
              <w:rPr>
                <w:rFonts w:ascii="Arial" w:hAnsi="Arial" w:cs="Arial"/>
              </w:rPr>
            </w:pPr>
            <w:r w:rsidRPr="00F136C6">
              <w:rPr>
                <w:rFonts w:ascii="Arial" w:hAnsi="Arial" w:cs="Arial"/>
              </w:rPr>
              <w:t>7. Practice answering multiple-choice questions to improve test-taking speed and accuracy.</w:t>
            </w:r>
          </w:p>
        </w:tc>
        <w:tc>
          <w:tcPr>
            <w:tcW w:w="140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B95CA5A" w14:textId="77777777" w:rsidR="001B225E" w:rsidRPr="00C06E05" w:rsidRDefault="001B225E" w:rsidP="00146DF8">
            <w:pPr>
              <w:spacing w:after="0" w:line="240" w:lineRule="auto"/>
              <w:jc w:val="center"/>
              <w:rPr>
                <w:rFonts w:ascii="Arial" w:hAnsi="Arial" w:cs="Arial"/>
              </w:rPr>
            </w:pPr>
            <w:r w:rsidRPr="00C06E05">
              <w:rPr>
                <w:rFonts w:ascii="Arial" w:hAnsi="Arial" w:cs="Arial"/>
              </w:rPr>
              <w:t>4.17</w:t>
            </w:r>
          </w:p>
        </w:tc>
        <w:tc>
          <w:tcPr>
            <w:tcW w:w="15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C80BC5C" w14:textId="77777777" w:rsidR="001B225E" w:rsidRPr="00C06E05" w:rsidRDefault="001B225E" w:rsidP="00146DF8">
            <w:pPr>
              <w:spacing w:after="0" w:line="240" w:lineRule="auto"/>
              <w:jc w:val="center"/>
              <w:rPr>
                <w:rFonts w:ascii="Arial" w:hAnsi="Arial" w:cs="Arial"/>
              </w:rPr>
            </w:pPr>
            <w:r w:rsidRPr="00C06E05">
              <w:rPr>
                <w:rFonts w:ascii="Arial" w:hAnsi="Arial" w:cs="Arial"/>
              </w:rPr>
              <w:t>Often</w:t>
            </w:r>
          </w:p>
        </w:tc>
      </w:tr>
      <w:tr w:rsidR="001B225E" w:rsidRPr="00C06E05" w14:paraId="6A88BC10" w14:textId="77777777" w:rsidTr="00146DF8">
        <w:trPr>
          <w:trHeight w:val="288"/>
        </w:trPr>
        <w:tc>
          <w:tcPr>
            <w:tcW w:w="53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260ADDE" w14:textId="77777777" w:rsidR="001B225E" w:rsidRPr="00C06E05" w:rsidRDefault="001B225E" w:rsidP="00146DF8">
            <w:pPr>
              <w:spacing w:after="0" w:line="240" w:lineRule="auto"/>
              <w:jc w:val="both"/>
              <w:rPr>
                <w:rFonts w:ascii="Arial" w:hAnsi="Arial" w:cs="Arial"/>
              </w:rPr>
            </w:pPr>
            <w:r w:rsidRPr="00F136C6">
              <w:rPr>
                <w:rFonts w:ascii="Arial" w:hAnsi="Arial" w:cs="Arial"/>
              </w:rPr>
              <w:t>8. Review the Table of Specifications (TOS) and LET competencies as a guide for preparation.</w:t>
            </w:r>
          </w:p>
        </w:tc>
        <w:tc>
          <w:tcPr>
            <w:tcW w:w="140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1FAD89F" w14:textId="77777777" w:rsidR="001B225E" w:rsidRPr="00C06E05" w:rsidRDefault="001B225E" w:rsidP="00146DF8">
            <w:pPr>
              <w:spacing w:after="0" w:line="240" w:lineRule="auto"/>
              <w:jc w:val="center"/>
              <w:rPr>
                <w:rFonts w:ascii="Arial" w:hAnsi="Arial" w:cs="Arial"/>
              </w:rPr>
            </w:pPr>
            <w:r w:rsidRPr="00C06E05">
              <w:rPr>
                <w:rFonts w:ascii="Arial" w:hAnsi="Arial" w:cs="Arial"/>
              </w:rPr>
              <w:t>3.66</w:t>
            </w:r>
          </w:p>
        </w:tc>
        <w:tc>
          <w:tcPr>
            <w:tcW w:w="15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F54FD5E" w14:textId="77777777" w:rsidR="001B225E" w:rsidRPr="00C06E05" w:rsidRDefault="001B225E" w:rsidP="00146DF8">
            <w:pPr>
              <w:spacing w:after="0" w:line="240" w:lineRule="auto"/>
              <w:jc w:val="center"/>
              <w:rPr>
                <w:rFonts w:ascii="Arial" w:hAnsi="Arial" w:cs="Arial"/>
              </w:rPr>
            </w:pPr>
            <w:r w:rsidRPr="00C06E05">
              <w:rPr>
                <w:rFonts w:ascii="Arial" w:hAnsi="Arial" w:cs="Arial"/>
              </w:rPr>
              <w:t>Often</w:t>
            </w:r>
          </w:p>
        </w:tc>
      </w:tr>
      <w:tr w:rsidR="001B225E" w:rsidRPr="00C06E05" w14:paraId="00F683D2" w14:textId="77777777" w:rsidTr="00146DF8">
        <w:trPr>
          <w:trHeight w:val="288"/>
        </w:trPr>
        <w:tc>
          <w:tcPr>
            <w:tcW w:w="53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AA3A581" w14:textId="77777777" w:rsidR="001B225E" w:rsidRPr="00C06E05" w:rsidRDefault="001B225E" w:rsidP="00146DF8">
            <w:pPr>
              <w:spacing w:after="0" w:line="240" w:lineRule="auto"/>
              <w:jc w:val="both"/>
              <w:rPr>
                <w:rFonts w:ascii="Arial" w:hAnsi="Arial" w:cs="Arial"/>
              </w:rPr>
            </w:pPr>
            <w:r w:rsidRPr="00F136C6">
              <w:rPr>
                <w:rFonts w:ascii="Arial" w:hAnsi="Arial" w:cs="Arial"/>
              </w:rPr>
              <w:t>9. Seek guidance from faculty members or mentors regarding effective LET review strategies.</w:t>
            </w:r>
          </w:p>
        </w:tc>
        <w:tc>
          <w:tcPr>
            <w:tcW w:w="140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3110ABA" w14:textId="77777777" w:rsidR="001B225E" w:rsidRPr="00C06E05" w:rsidRDefault="001B225E" w:rsidP="00146DF8">
            <w:pPr>
              <w:spacing w:after="0" w:line="240" w:lineRule="auto"/>
              <w:jc w:val="center"/>
              <w:rPr>
                <w:rFonts w:ascii="Arial" w:hAnsi="Arial" w:cs="Arial"/>
              </w:rPr>
            </w:pPr>
            <w:r w:rsidRPr="00C06E05">
              <w:rPr>
                <w:rFonts w:ascii="Arial" w:hAnsi="Arial" w:cs="Arial"/>
              </w:rPr>
              <w:t>3.07</w:t>
            </w:r>
          </w:p>
        </w:tc>
        <w:tc>
          <w:tcPr>
            <w:tcW w:w="158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FD53247" w14:textId="77777777" w:rsidR="001B225E" w:rsidRPr="00C06E05" w:rsidRDefault="001B225E" w:rsidP="00146DF8">
            <w:pPr>
              <w:spacing w:after="0" w:line="240" w:lineRule="auto"/>
              <w:jc w:val="center"/>
              <w:rPr>
                <w:rFonts w:ascii="Arial" w:hAnsi="Arial" w:cs="Arial"/>
              </w:rPr>
            </w:pPr>
            <w:r w:rsidRPr="00C06E05">
              <w:rPr>
                <w:rFonts w:ascii="Arial" w:hAnsi="Arial" w:cs="Arial"/>
              </w:rPr>
              <w:t>Sometimes</w:t>
            </w:r>
          </w:p>
        </w:tc>
      </w:tr>
      <w:tr w:rsidR="001B225E" w:rsidRPr="00C06E05" w14:paraId="3DCC71BA" w14:textId="77777777" w:rsidTr="00146DF8">
        <w:trPr>
          <w:trHeight w:val="309"/>
        </w:trPr>
        <w:tc>
          <w:tcPr>
            <w:tcW w:w="5383"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0C2BC158" w14:textId="77777777" w:rsidR="001B225E" w:rsidRPr="00C06E05" w:rsidRDefault="001B225E" w:rsidP="00146DF8">
            <w:pPr>
              <w:spacing w:after="0" w:line="240" w:lineRule="auto"/>
              <w:jc w:val="both"/>
              <w:rPr>
                <w:rFonts w:ascii="Arial" w:hAnsi="Arial" w:cs="Arial"/>
              </w:rPr>
            </w:pPr>
            <w:r w:rsidRPr="00F136C6">
              <w:rPr>
                <w:rFonts w:ascii="Arial" w:hAnsi="Arial" w:cs="Arial"/>
              </w:rPr>
              <w:t>10. Begin the LET review well in advance rather than cramming close to the examination date.</w:t>
            </w:r>
          </w:p>
        </w:tc>
        <w:tc>
          <w:tcPr>
            <w:tcW w:w="1406"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05A50D56" w14:textId="77777777" w:rsidR="001B225E" w:rsidRPr="00C06E05" w:rsidRDefault="001B225E" w:rsidP="00146DF8">
            <w:pPr>
              <w:spacing w:after="0" w:line="240" w:lineRule="auto"/>
              <w:jc w:val="center"/>
              <w:rPr>
                <w:rFonts w:ascii="Arial" w:hAnsi="Arial" w:cs="Arial"/>
              </w:rPr>
            </w:pPr>
            <w:r w:rsidRPr="00C06E05">
              <w:rPr>
                <w:rFonts w:ascii="Arial" w:hAnsi="Arial" w:cs="Arial"/>
              </w:rPr>
              <w:t>3.52</w:t>
            </w:r>
          </w:p>
        </w:tc>
        <w:tc>
          <w:tcPr>
            <w:tcW w:w="1580"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27FD5C58" w14:textId="77777777" w:rsidR="001B225E" w:rsidRPr="00C06E05" w:rsidRDefault="001B225E" w:rsidP="00146DF8">
            <w:pPr>
              <w:spacing w:after="0" w:line="240" w:lineRule="auto"/>
              <w:jc w:val="center"/>
              <w:rPr>
                <w:rFonts w:ascii="Arial" w:hAnsi="Arial" w:cs="Arial"/>
              </w:rPr>
            </w:pPr>
            <w:r w:rsidRPr="00C06E05">
              <w:rPr>
                <w:rFonts w:ascii="Arial" w:hAnsi="Arial" w:cs="Arial"/>
              </w:rPr>
              <w:t>Often</w:t>
            </w:r>
          </w:p>
        </w:tc>
      </w:tr>
      <w:tr w:rsidR="001B225E" w:rsidRPr="00C06E05" w14:paraId="2EEC2108" w14:textId="77777777" w:rsidTr="00146DF8">
        <w:trPr>
          <w:trHeight w:val="288"/>
        </w:trPr>
        <w:tc>
          <w:tcPr>
            <w:tcW w:w="5383"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6733AEEB" w14:textId="77777777" w:rsidR="001B225E" w:rsidRPr="00C06E05" w:rsidRDefault="001B225E" w:rsidP="00146DF8">
            <w:pPr>
              <w:spacing w:after="0" w:line="240" w:lineRule="auto"/>
              <w:rPr>
                <w:rFonts w:ascii="Arial" w:hAnsi="Arial" w:cs="Arial"/>
              </w:rPr>
            </w:pPr>
            <w:r w:rsidRPr="00C06E05">
              <w:rPr>
                <w:rFonts w:ascii="Arial" w:hAnsi="Arial" w:cs="Arial"/>
                <w:b/>
                <w:bCs/>
              </w:rPr>
              <w:t>General Weighted Mean</w:t>
            </w:r>
          </w:p>
        </w:tc>
        <w:tc>
          <w:tcPr>
            <w:tcW w:w="1406"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44CA5466"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3.71</w:t>
            </w:r>
          </w:p>
        </w:tc>
        <w:tc>
          <w:tcPr>
            <w:tcW w:w="1580"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21149D88"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Often</w:t>
            </w:r>
          </w:p>
        </w:tc>
      </w:tr>
    </w:tbl>
    <w:p w14:paraId="33BBF358" w14:textId="77777777" w:rsidR="001B225E" w:rsidRDefault="001B225E" w:rsidP="001B225E">
      <w:pPr>
        <w:spacing w:after="0" w:line="480" w:lineRule="auto"/>
        <w:jc w:val="both"/>
        <w:rPr>
          <w:rFonts w:ascii="Arial" w:hAnsi="Arial" w:cs="Arial"/>
        </w:rPr>
      </w:pPr>
    </w:p>
    <w:p w14:paraId="4C733CBA" w14:textId="77777777" w:rsidR="001B225E" w:rsidRDefault="001B225E" w:rsidP="001B225E">
      <w:pPr>
        <w:spacing w:line="480" w:lineRule="auto"/>
        <w:jc w:val="both"/>
        <w:rPr>
          <w:rFonts w:ascii="Arial" w:hAnsi="Arial" w:cs="Arial"/>
        </w:rPr>
      </w:pPr>
      <w:r w:rsidRPr="00C06E05">
        <w:rPr>
          <w:rFonts w:ascii="Arial" w:hAnsi="Arial" w:cs="Arial"/>
        </w:rPr>
        <w:t xml:space="preserve">assisted review options. Preparation for the licensure examination should be up-to-date and relevant to the competency requirements of today which include digital modalities that provide accessible and flexible options for review (Professional Regulation Commission, 2025). Fiscal and Roman (2022) revealed that structured pre-licensure review activities in the format and content of the actual LET are </w:t>
      </w:r>
      <w:r w:rsidRPr="00C06E05">
        <w:rPr>
          <w:rFonts w:ascii="Arial" w:hAnsi="Arial" w:cs="Arial"/>
        </w:rPr>
        <w:lastRenderedPageBreak/>
        <w:t xml:space="preserve">significant predictors of licensure performance and that the quality and consistency of the review preparation are key determinants of examination readiness. </w:t>
      </w:r>
    </w:p>
    <w:p w14:paraId="7BED8987" w14:textId="77777777" w:rsidR="001B225E" w:rsidRDefault="001B225E" w:rsidP="001B225E">
      <w:pPr>
        <w:spacing w:after="0" w:line="480" w:lineRule="auto"/>
        <w:ind w:firstLine="720"/>
        <w:jc w:val="both"/>
        <w:rPr>
          <w:rFonts w:ascii="Arial" w:hAnsi="Arial" w:cs="Arial"/>
        </w:rPr>
      </w:pPr>
      <w:r w:rsidRPr="00C06E05">
        <w:rPr>
          <w:rFonts w:ascii="Arial" w:hAnsi="Arial" w:cs="Arial"/>
        </w:rPr>
        <w:t xml:space="preserve">The lower scores on the indicators of formal review enrollment and faculty consultation suggested that the respondents were relying mainly on self-directed and institutionally organized review rather than commercial review programs. Cruz (2017) found that review programs integrated into the academic calendar and anchored on LET competencies are more effective than ad hoc preparation, and that faculty-supported review programs yield more sustained learning gains. </w:t>
      </w:r>
      <w:proofErr w:type="spellStart"/>
      <w:r w:rsidRPr="00C06E05">
        <w:rPr>
          <w:rFonts w:ascii="Arial" w:hAnsi="Arial" w:cs="Arial"/>
        </w:rPr>
        <w:t>Gardoce</w:t>
      </w:r>
      <w:proofErr w:type="spellEnd"/>
      <w:r w:rsidRPr="00C06E05">
        <w:rPr>
          <w:rFonts w:ascii="Arial" w:hAnsi="Arial" w:cs="Arial"/>
        </w:rPr>
        <w:t xml:space="preserve"> and Sangalang (2020) likewise observed, through structural equation modeling, that structured review preparation had both direct and indirect effects on licensure outcomes, supporting the systematic inclusion of review activities in the curriculum.</w:t>
      </w:r>
    </w:p>
    <w:p w14:paraId="62C1F7B4" w14:textId="77777777" w:rsidR="001B225E" w:rsidRDefault="001B225E" w:rsidP="001B225E">
      <w:pPr>
        <w:spacing w:before="240" w:after="0" w:line="480" w:lineRule="auto"/>
        <w:ind w:firstLine="720"/>
        <w:jc w:val="both"/>
        <w:rPr>
          <w:rFonts w:ascii="Arial" w:hAnsi="Arial" w:cs="Arial"/>
        </w:rPr>
      </w:pPr>
      <w:r w:rsidRPr="00C06E05">
        <w:rPr>
          <w:rFonts w:ascii="Arial" w:hAnsi="Arial" w:cs="Arial"/>
        </w:rPr>
        <w:t xml:space="preserve">Table </w:t>
      </w:r>
      <w:r>
        <w:rPr>
          <w:rFonts w:ascii="Arial" w:hAnsi="Arial" w:cs="Arial"/>
        </w:rPr>
        <w:t>19</w:t>
      </w:r>
      <w:r w:rsidRPr="00C06E05">
        <w:rPr>
          <w:rFonts w:ascii="Arial" w:hAnsi="Arial" w:cs="Arial"/>
        </w:rPr>
        <w:t xml:space="preserve"> present</w:t>
      </w:r>
      <w:r>
        <w:rPr>
          <w:rFonts w:ascii="Arial" w:hAnsi="Arial" w:cs="Arial"/>
        </w:rPr>
        <w:t>s</w:t>
      </w:r>
      <w:r w:rsidRPr="00C06E05">
        <w:rPr>
          <w:rFonts w:ascii="Arial" w:hAnsi="Arial" w:cs="Arial"/>
        </w:rPr>
        <w:t xml:space="preserve"> the level of institutional support received by the LET takers from the community college. The overall weighted mean was 3.57 which interpreted as Often which meant that the institution, in general, provided a consistent level of support for the licensure preparation of its graduates. Statement 08 had the highest weighted mean of 3.76 interpreted as Often, Statement 07 with 3.70 interpreted as Often and Statement 02 with 3.66 interpreted as Often. Statement 04 had the lowest rating with a weighted mean of 3.08 interpreted as Sometimes.</w:t>
      </w:r>
      <w:r>
        <w:rPr>
          <w:rFonts w:ascii="Arial" w:hAnsi="Arial" w:cs="Arial"/>
        </w:rPr>
        <w:t xml:space="preserve"> </w:t>
      </w:r>
    </w:p>
    <w:p w14:paraId="46489160" w14:textId="77777777" w:rsidR="001B225E" w:rsidRPr="00C06E05" w:rsidRDefault="001B225E" w:rsidP="001B225E">
      <w:pPr>
        <w:spacing w:before="240" w:after="0" w:line="480" w:lineRule="auto"/>
        <w:ind w:firstLine="720"/>
        <w:jc w:val="both"/>
        <w:rPr>
          <w:rFonts w:ascii="Arial" w:hAnsi="Arial" w:cs="Arial"/>
        </w:rPr>
      </w:pPr>
      <w:r>
        <w:rPr>
          <w:rFonts w:ascii="Arial" w:hAnsi="Arial" w:cs="Arial"/>
        </w:rPr>
        <w:t xml:space="preserve">The </w:t>
      </w:r>
      <w:r w:rsidRPr="00C06E05">
        <w:rPr>
          <w:rFonts w:ascii="Arial" w:hAnsi="Arial" w:cs="Arial"/>
        </w:rPr>
        <w:t>data indicated that the respondents perceived the institutional</w:t>
      </w:r>
      <w:r>
        <w:rPr>
          <w:rFonts w:ascii="Arial" w:hAnsi="Arial" w:cs="Arial"/>
        </w:rPr>
        <w:t xml:space="preserve"> support of the community college to be generally present and consistent, although some </w:t>
      </w:r>
    </w:p>
    <w:p w14:paraId="68FDF9AC" w14:textId="77777777" w:rsidR="001B225E" w:rsidRPr="001324D9" w:rsidRDefault="001B225E" w:rsidP="001B225E">
      <w:pPr>
        <w:pStyle w:val="NoSpacing"/>
        <w:jc w:val="center"/>
        <w:rPr>
          <w:rFonts w:ascii="Arial" w:hAnsi="Arial" w:cs="Arial"/>
          <w:sz w:val="24"/>
          <w:szCs w:val="24"/>
        </w:rPr>
      </w:pPr>
      <w:r w:rsidRPr="001324D9">
        <w:rPr>
          <w:rFonts w:ascii="Arial" w:hAnsi="Arial" w:cs="Arial"/>
          <w:sz w:val="24"/>
          <w:szCs w:val="24"/>
        </w:rPr>
        <w:lastRenderedPageBreak/>
        <w:t>Table 19</w:t>
      </w:r>
    </w:p>
    <w:p w14:paraId="7260279A" w14:textId="77777777" w:rsidR="001B225E" w:rsidRPr="001324D9" w:rsidRDefault="001B225E" w:rsidP="001B225E">
      <w:pPr>
        <w:pStyle w:val="NoSpacing"/>
        <w:jc w:val="center"/>
        <w:rPr>
          <w:rFonts w:ascii="Arial" w:hAnsi="Arial" w:cs="Arial"/>
          <w:b/>
          <w:bCs/>
          <w:sz w:val="24"/>
          <w:szCs w:val="24"/>
        </w:rPr>
      </w:pPr>
      <w:r w:rsidRPr="001324D9">
        <w:rPr>
          <w:rFonts w:ascii="Arial" w:hAnsi="Arial" w:cs="Arial"/>
          <w:b/>
          <w:bCs/>
          <w:sz w:val="24"/>
          <w:szCs w:val="24"/>
        </w:rPr>
        <w:t>Institutional Support</w:t>
      </w:r>
    </w:p>
    <w:p w14:paraId="6DDC4344" w14:textId="77777777" w:rsidR="001B225E" w:rsidRPr="001324D9" w:rsidRDefault="001B225E" w:rsidP="001B225E">
      <w:pPr>
        <w:pStyle w:val="NoSpacing"/>
        <w:jc w:val="center"/>
        <w:rPr>
          <w:rFonts w:ascii="Arial" w:hAnsi="Arial" w:cs="Arial"/>
          <w:sz w:val="24"/>
          <w:szCs w:val="24"/>
        </w:rPr>
      </w:pPr>
    </w:p>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391"/>
        <w:gridCol w:w="1418"/>
        <w:gridCol w:w="1767"/>
      </w:tblGrid>
      <w:tr w:rsidR="001B225E" w:rsidRPr="00C06E05" w14:paraId="5120D5E8" w14:textId="77777777" w:rsidTr="00146DF8">
        <w:trPr>
          <w:trHeight w:val="286"/>
          <w:tblHeader/>
        </w:trPr>
        <w:tc>
          <w:tcPr>
            <w:tcW w:w="5391"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360D7F5D" w14:textId="77777777" w:rsidR="001B225E" w:rsidRPr="00C06E05" w:rsidRDefault="001B225E" w:rsidP="00146DF8">
            <w:pPr>
              <w:spacing w:after="0" w:line="240" w:lineRule="auto"/>
              <w:rPr>
                <w:rFonts w:ascii="Arial" w:hAnsi="Arial" w:cs="Arial"/>
              </w:rPr>
            </w:pPr>
            <w:r w:rsidRPr="00C06E05">
              <w:rPr>
                <w:rFonts w:ascii="Arial" w:hAnsi="Arial" w:cs="Arial"/>
                <w:b/>
                <w:bCs/>
              </w:rPr>
              <w:t>Indicators</w:t>
            </w:r>
          </w:p>
        </w:tc>
        <w:tc>
          <w:tcPr>
            <w:tcW w:w="1418"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3EDBEFC6"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WM</w:t>
            </w:r>
          </w:p>
        </w:tc>
        <w:tc>
          <w:tcPr>
            <w:tcW w:w="1767"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168A425E"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Interpretation</w:t>
            </w:r>
          </w:p>
        </w:tc>
      </w:tr>
      <w:tr w:rsidR="001B225E" w:rsidRPr="00C06E05" w14:paraId="20198A3B" w14:textId="77777777" w:rsidTr="00146DF8">
        <w:trPr>
          <w:trHeight w:val="286"/>
        </w:trPr>
        <w:tc>
          <w:tcPr>
            <w:tcW w:w="5391"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3BB033D" w14:textId="77777777" w:rsidR="001B225E" w:rsidRPr="00C06E05" w:rsidRDefault="001B225E" w:rsidP="00146DF8">
            <w:pPr>
              <w:spacing w:after="0" w:line="240" w:lineRule="auto"/>
              <w:jc w:val="both"/>
              <w:rPr>
                <w:rFonts w:ascii="Arial" w:hAnsi="Arial" w:cs="Arial"/>
              </w:rPr>
            </w:pPr>
            <w:r w:rsidRPr="00F136C6">
              <w:rPr>
                <w:rFonts w:ascii="Arial" w:hAnsi="Arial" w:cs="Arial"/>
              </w:rPr>
              <w:t xml:space="preserve">1. </w:t>
            </w:r>
            <w:proofErr w:type="spellStart"/>
            <w:r w:rsidRPr="00F136C6">
              <w:rPr>
                <w:rFonts w:ascii="Arial" w:hAnsi="Arial" w:cs="Arial"/>
              </w:rPr>
              <w:t>Polangui</w:t>
            </w:r>
            <w:proofErr w:type="spellEnd"/>
            <w:r w:rsidRPr="00F136C6">
              <w:rPr>
                <w:rFonts w:ascii="Arial" w:hAnsi="Arial" w:cs="Arial"/>
              </w:rPr>
              <w:t xml:space="preserve"> Community College provided structured and curriculum-integrated LET review programs.</w:t>
            </w:r>
          </w:p>
        </w:tc>
        <w:tc>
          <w:tcPr>
            <w:tcW w:w="141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87832D2" w14:textId="77777777" w:rsidR="001B225E" w:rsidRPr="00C06E05" w:rsidRDefault="001B225E" w:rsidP="00146DF8">
            <w:pPr>
              <w:spacing w:after="0" w:line="240" w:lineRule="auto"/>
              <w:jc w:val="center"/>
              <w:rPr>
                <w:rFonts w:ascii="Arial" w:hAnsi="Arial" w:cs="Arial"/>
              </w:rPr>
            </w:pPr>
            <w:r w:rsidRPr="00C06E05">
              <w:rPr>
                <w:rFonts w:ascii="Arial" w:hAnsi="Arial" w:cs="Arial"/>
              </w:rPr>
              <w:t>3.61</w:t>
            </w:r>
          </w:p>
        </w:tc>
        <w:tc>
          <w:tcPr>
            <w:tcW w:w="176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6427F46" w14:textId="77777777" w:rsidR="001B225E" w:rsidRPr="00C06E05" w:rsidRDefault="001B225E" w:rsidP="00146DF8">
            <w:pPr>
              <w:spacing w:after="0" w:line="240" w:lineRule="auto"/>
              <w:jc w:val="center"/>
              <w:rPr>
                <w:rFonts w:ascii="Arial" w:hAnsi="Arial" w:cs="Arial"/>
              </w:rPr>
            </w:pPr>
            <w:r w:rsidRPr="00C06E05">
              <w:rPr>
                <w:rFonts w:ascii="Arial" w:hAnsi="Arial" w:cs="Arial"/>
              </w:rPr>
              <w:t>Often</w:t>
            </w:r>
          </w:p>
        </w:tc>
      </w:tr>
      <w:tr w:rsidR="001B225E" w:rsidRPr="00C06E05" w14:paraId="7C46159F" w14:textId="77777777" w:rsidTr="00146DF8">
        <w:trPr>
          <w:trHeight w:val="307"/>
        </w:trPr>
        <w:tc>
          <w:tcPr>
            <w:tcW w:w="5391"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ED8BF32" w14:textId="77777777" w:rsidR="001B225E" w:rsidRPr="00C06E05" w:rsidRDefault="001B225E" w:rsidP="00146DF8">
            <w:pPr>
              <w:spacing w:after="0" w:line="240" w:lineRule="auto"/>
              <w:jc w:val="both"/>
              <w:rPr>
                <w:rFonts w:ascii="Arial" w:hAnsi="Arial" w:cs="Arial"/>
              </w:rPr>
            </w:pPr>
            <w:r w:rsidRPr="00F136C6">
              <w:rPr>
                <w:rFonts w:ascii="Arial" w:hAnsi="Arial" w:cs="Arial"/>
              </w:rPr>
              <w:t>2. Faculty members conducted mock LET examinations as part of our academic preparation.</w:t>
            </w:r>
          </w:p>
        </w:tc>
        <w:tc>
          <w:tcPr>
            <w:tcW w:w="141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C2B98C3" w14:textId="77777777" w:rsidR="001B225E" w:rsidRPr="00C06E05" w:rsidRDefault="001B225E" w:rsidP="00146DF8">
            <w:pPr>
              <w:spacing w:after="0" w:line="240" w:lineRule="auto"/>
              <w:jc w:val="center"/>
              <w:rPr>
                <w:rFonts w:ascii="Arial" w:hAnsi="Arial" w:cs="Arial"/>
              </w:rPr>
            </w:pPr>
            <w:r w:rsidRPr="00C06E05">
              <w:rPr>
                <w:rFonts w:ascii="Arial" w:hAnsi="Arial" w:cs="Arial"/>
              </w:rPr>
              <w:t>3.66</w:t>
            </w:r>
          </w:p>
        </w:tc>
        <w:tc>
          <w:tcPr>
            <w:tcW w:w="176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F904224" w14:textId="77777777" w:rsidR="001B225E" w:rsidRPr="00C06E05" w:rsidRDefault="001B225E" w:rsidP="00146DF8">
            <w:pPr>
              <w:spacing w:after="0" w:line="240" w:lineRule="auto"/>
              <w:jc w:val="center"/>
              <w:rPr>
                <w:rFonts w:ascii="Arial" w:hAnsi="Arial" w:cs="Arial"/>
              </w:rPr>
            </w:pPr>
            <w:r w:rsidRPr="00C06E05">
              <w:rPr>
                <w:rFonts w:ascii="Arial" w:hAnsi="Arial" w:cs="Arial"/>
              </w:rPr>
              <w:t>Often</w:t>
            </w:r>
          </w:p>
        </w:tc>
      </w:tr>
      <w:tr w:rsidR="001B225E" w:rsidRPr="00C06E05" w14:paraId="2DC97EA6" w14:textId="77777777" w:rsidTr="00146DF8">
        <w:trPr>
          <w:trHeight w:val="286"/>
        </w:trPr>
        <w:tc>
          <w:tcPr>
            <w:tcW w:w="5391"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7B87DF5" w14:textId="77777777" w:rsidR="001B225E" w:rsidRPr="00C06E05" w:rsidRDefault="001B225E" w:rsidP="00146DF8">
            <w:pPr>
              <w:spacing w:after="0" w:line="240" w:lineRule="auto"/>
              <w:jc w:val="both"/>
              <w:rPr>
                <w:rFonts w:ascii="Arial" w:hAnsi="Arial" w:cs="Arial"/>
              </w:rPr>
            </w:pPr>
            <w:r w:rsidRPr="00F136C6">
              <w:rPr>
                <w:rFonts w:ascii="Arial" w:hAnsi="Arial" w:cs="Arial"/>
              </w:rPr>
              <w:t>3. The institution offered mentoring and academic advising services to help prepare for the LET.</w:t>
            </w:r>
          </w:p>
        </w:tc>
        <w:tc>
          <w:tcPr>
            <w:tcW w:w="141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BC4E9F5" w14:textId="77777777" w:rsidR="001B225E" w:rsidRPr="00C06E05" w:rsidRDefault="001B225E" w:rsidP="00146DF8">
            <w:pPr>
              <w:spacing w:after="0" w:line="240" w:lineRule="auto"/>
              <w:jc w:val="center"/>
              <w:rPr>
                <w:rFonts w:ascii="Arial" w:hAnsi="Arial" w:cs="Arial"/>
              </w:rPr>
            </w:pPr>
            <w:r w:rsidRPr="00C06E05">
              <w:rPr>
                <w:rFonts w:ascii="Arial" w:hAnsi="Arial" w:cs="Arial"/>
              </w:rPr>
              <w:t>3.59</w:t>
            </w:r>
          </w:p>
        </w:tc>
        <w:tc>
          <w:tcPr>
            <w:tcW w:w="176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C50408E" w14:textId="77777777" w:rsidR="001B225E" w:rsidRPr="00C06E05" w:rsidRDefault="001B225E" w:rsidP="00146DF8">
            <w:pPr>
              <w:spacing w:after="0" w:line="240" w:lineRule="auto"/>
              <w:jc w:val="center"/>
              <w:rPr>
                <w:rFonts w:ascii="Arial" w:hAnsi="Arial" w:cs="Arial"/>
              </w:rPr>
            </w:pPr>
            <w:r w:rsidRPr="00C06E05">
              <w:rPr>
                <w:rFonts w:ascii="Arial" w:hAnsi="Arial" w:cs="Arial"/>
              </w:rPr>
              <w:t>Often</w:t>
            </w:r>
          </w:p>
        </w:tc>
      </w:tr>
      <w:tr w:rsidR="001B225E" w:rsidRPr="00C06E05" w14:paraId="40641DCC" w14:textId="77777777" w:rsidTr="00146DF8">
        <w:trPr>
          <w:trHeight w:val="286"/>
        </w:trPr>
        <w:tc>
          <w:tcPr>
            <w:tcW w:w="5391"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60C71E9" w14:textId="77777777" w:rsidR="001B225E" w:rsidRPr="00C06E05" w:rsidRDefault="001B225E" w:rsidP="00146DF8">
            <w:pPr>
              <w:spacing w:after="0" w:line="240" w:lineRule="auto"/>
              <w:jc w:val="both"/>
              <w:rPr>
                <w:rFonts w:ascii="Arial" w:hAnsi="Arial" w:cs="Arial"/>
              </w:rPr>
            </w:pPr>
            <w:r w:rsidRPr="00F136C6">
              <w:rPr>
                <w:rFonts w:ascii="Arial" w:hAnsi="Arial" w:cs="Arial"/>
              </w:rPr>
              <w:t>4. Counseling services were available to help manage test anxiety and examination-related stress.</w:t>
            </w:r>
          </w:p>
        </w:tc>
        <w:tc>
          <w:tcPr>
            <w:tcW w:w="141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67AB5AF" w14:textId="77777777" w:rsidR="001B225E" w:rsidRPr="00C06E05" w:rsidRDefault="001B225E" w:rsidP="00146DF8">
            <w:pPr>
              <w:spacing w:after="0" w:line="240" w:lineRule="auto"/>
              <w:jc w:val="center"/>
              <w:rPr>
                <w:rFonts w:ascii="Arial" w:hAnsi="Arial" w:cs="Arial"/>
              </w:rPr>
            </w:pPr>
            <w:r w:rsidRPr="00C06E05">
              <w:rPr>
                <w:rFonts w:ascii="Arial" w:hAnsi="Arial" w:cs="Arial"/>
              </w:rPr>
              <w:t>3.08</w:t>
            </w:r>
          </w:p>
        </w:tc>
        <w:tc>
          <w:tcPr>
            <w:tcW w:w="176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C98E3B2" w14:textId="77777777" w:rsidR="001B225E" w:rsidRPr="00C06E05" w:rsidRDefault="001B225E" w:rsidP="00146DF8">
            <w:pPr>
              <w:spacing w:after="0" w:line="240" w:lineRule="auto"/>
              <w:jc w:val="center"/>
              <w:rPr>
                <w:rFonts w:ascii="Arial" w:hAnsi="Arial" w:cs="Arial"/>
              </w:rPr>
            </w:pPr>
            <w:r w:rsidRPr="00C06E05">
              <w:rPr>
                <w:rFonts w:ascii="Arial" w:hAnsi="Arial" w:cs="Arial"/>
              </w:rPr>
              <w:t>Sometimes</w:t>
            </w:r>
          </w:p>
        </w:tc>
      </w:tr>
      <w:tr w:rsidR="001B225E" w:rsidRPr="00C06E05" w14:paraId="1E5FC40E" w14:textId="77777777" w:rsidTr="00146DF8">
        <w:trPr>
          <w:trHeight w:val="286"/>
        </w:trPr>
        <w:tc>
          <w:tcPr>
            <w:tcW w:w="5391"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BD7F7CB" w14:textId="77777777" w:rsidR="001B225E" w:rsidRPr="00C06E05" w:rsidRDefault="001B225E" w:rsidP="00146DF8">
            <w:pPr>
              <w:spacing w:after="0" w:line="240" w:lineRule="auto"/>
              <w:jc w:val="both"/>
              <w:rPr>
                <w:rFonts w:ascii="Arial" w:hAnsi="Arial" w:cs="Arial"/>
              </w:rPr>
            </w:pPr>
            <w:r w:rsidRPr="00F136C6">
              <w:rPr>
                <w:rFonts w:ascii="Arial" w:hAnsi="Arial" w:cs="Arial"/>
              </w:rPr>
              <w:t>5. The institution provided access to LET reviewers, past board examination materials, and practice tests.</w:t>
            </w:r>
          </w:p>
        </w:tc>
        <w:tc>
          <w:tcPr>
            <w:tcW w:w="141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74A1B0A" w14:textId="77777777" w:rsidR="001B225E" w:rsidRPr="00C06E05" w:rsidRDefault="001B225E" w:rsidP="00146DF8">
            <w:pPr>
              <w:spacing w:after="0" w:line="240" w:lineRule="auto"/>
              <w:jc w:val="center"/>
              <w:rPr>
                <w:rFonts w:ascii="Arial" w:hAnsi="Arial" w:cs="Arial"/>
              </w:rPr>
            </w:pPr>
            <w:r w:rsidRPr="00C06E05">
              <w:rPr>
                <w:rFonts w:ascii="Arial" w:hAnsi="Arial" w:cs="Arial"/>
              </w:rPr>
              <w:t>3.52</w:t>
            </w:r>
          </w:p>
        </w:tc>
        <w:tc>
          <w:tcPr>
            <w:tcW w:w="176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0FBFE83" w14:textId="77777777" w:rsidR="001B225E" w:rsidRPr="00C06E05" w:rsidRDefault="001B225E" w:rsidP="00146DF8">
            <w:pPr>
              <w:spacing w:after="0" w:line="240" w:lineRule="auto"/>
              <w:jc w:val="center"/>
              <w:rPr>
                <w:rFonts w:ascii="Arial" w:hAnsi="Arial" w:cs="Arial"/>
              </w:rPr>
            </w:pPr>
            <w:r w:rsidRPr="00C06E05">
              <w:rPr>
                <w:rFonts w:ascii="Arial" w:hAnsi="Arial" w:cs="Arial"/>
              </w:rPr>
              <w:t>Often</w:t>
            </w:r>
          </w:p>
        </w:tc>
      </w:tr>
      <w:tr w:rsidR="001B225E" w:rsidRPr="00C06E05" w14:paraId="1011ED7F" w14:textId="77777777" w:rsidTr="00146DF8">
        <w:trPr>
          <w:trHeight w:val="307"/>
        </w:trPr>
        <w:tc>
          <w:tcPr>
            <w:tcW w:w="5391"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AF1061B" w14:textId="77777777" w:rsidR="001B225E" w:rsidRPr="00C06E05" w:rsidRDefault="001B225E" w:rsidP="00146DF8">
            <w:pPr>
              <w:spacing w:after="0" w:line="240" w:lineRule="auto"/>
              <w:jc w:val="both"/>
              <w:rPr>
                <w:rFonts w:ascii="Arial" w:hAnsi="Arial" w:cs="Arial"/>
              </w:rPr>
            </w:pPr>
            <w:r w:rsidRPr="00F136C6">
              <w:rPr>
                <w:rFonts w:ascii="Arial" w:hAnsi="Arial" w:cs="Arial"/>
              </w:rPr>
              <w:t>6. Faculty members aligned their instruction with the competencies and content domains assessed in the LET.</w:t>
            </w:r>
          </w:p>
        </w:tc>
        <w:tc>
          <w:tcPr>
            <w:tcW w:w="141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B841C69" w14:textId="77777777" w:rsidR="001B225E" w:rsidRPr="00C06E05" w:rsidRDefault="001B225E" w:rsidP="00146DF8">
            <w:pPr>
              <w:spacing w:after="0" w:line="240" w:lineRule="auto"/>
              <w:jc w:val="center"/>
              <w:rPr>
                <w:rFonts w:ascii="Arial" w:hAnsi="Arial" w:cs="Arial"/>
              </w:rPr>
            </w:pPr>
            <w:r w:rsidRPr="00C06E05">
              <w:rPr>
                <w:rFonts w:ascii="Arial" w:hAnsi="Arial" w:cs="Arial"/>
              </w:rPr>
              <w:t>3.62</w:t>
            </w:r>
          </w:p>
        </w:tc>
        <w:tc>
          <w:tcPr>
            <w:tcW w:w="176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642E9D8" w14:textId="77777777" w:rsidR="001B225E" w:rsidRPr="00C06E05" w:rsidRDefault="001B225E" w:rsidP="00146DF8">
            <w:pPr>
              <w:spacing w:after="0" w:line="240" w:lineRule="auto"/>
              <w:jc w:val="center"/>
              <w:rPr>
                <w:rFonts w:ascii="Arial" w:hAnsi="Arial" w:cs="Arial"/>
              </w:rPr>
            </w:pPr>
            <w:r w:rsidRPr="00C06E05">
              <w:rPr>
                <w:rFonts w:ascii="Arial" w:hAnsi="Arial" w:cs="Arial"/>
              </w:rPr>
              <w:t>Often</w:t>
            </w:r>
          </w:p>
        </w:tc>
      </w:tr>
      <w:tr w:rsidR="001B225E" w:rsidRPr="00C06E05" w14:paraId="400A7CE6" w14:textId="77777777" w:rsidTr="00146DF8">
        <w:trPr>
          <w:trHeight w:val="286"/>
        </w:trPr>
        <w:tc>
          <w:tcPr>
            <w:tcW w:w="5391"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AD0D570" w14:textId="77777777" w:rsidR="001B225E" w:rsidRPr="00C06E05" w:rsidRDefault="001B225E" w:rsidP="00146DF8">
            <w:pPr>
              <w:spacing w:after="0" w:line="240" w:lineRule="auto"/>
              <w:rPr>
                <w:rFonts w:ascii="Arial" w:hAnsi="Arial" w:cs="Arial"/>
              </w:rPr>
            </w:pPr>
            <w:r w:rsidRPr="00F136C6">
              <w:rPr>
                <w:rFonts w:ascii="Arial" w:hAnsi="Arial" w:cs="Arial"/>
              </w:rPr>
              <w:t>7. The institution conducted orientations and seminars specifically designed to prepare students for the LET.</w:t>
            </w:r>
          </w:p>
        </w:tc>
        <w:tc>
          <w:tcPr>
            <w:tcW w:w="141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898FB49" w14:textId="77777777" w:rsidR="001B225E" w:rsidRPr="00C06E05" w:rsidRDefault="001B225E" w:rsidP="00146DF8">
            <w:pPr>
              <w:spacing w:after="0" w:line="240" w:lineRule="auto"/>
              <w:jc w:val="center"/>
              <w:rPr>
                <w:rFonts w:ascii="Arial" w:hAnsi="Arial" w:cs="Arial"/>
              </w:rPr>
            </w:pPr>
            <w:r w:rsidRPr="00C06E05">
              <w:rPr>
                <w:rFonts w:ascii="Arial" w:hAnsi="Arial" w:cs="Arial"/>
              </w:rPr>
              <w:t>3.70</w:t>
            </w:r>
          </w:p>
        </w:tc>
        <w:tc>
          <w:tcPr>
            <w:tcW w:w="176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FECF1F0" w14:textId="77777777" w:rsidR="001B225E" w:rsidRPr="00C06E05" w:rsidRDefault="001B225E" w:rsidP="00146DF8">
            <w:pPr>
              <w:spacing w:after="0" w:line="240" w:lineRule="auto"/>
              <w:jc w:val="center"/>
              <w:rPr>
                <w:rFonts w:ascii="Arial" w:hAnsi="Arial" w:cs="Arial"/>
              </w:rPr>
            </w:pPr>
            <w:r w:rsidRPr="00C06E05">
              <w:rPr>
                <w:rFonts w:ascii="Arial" w:hAnsi="Arial" w:cs="Arial"/>
              </w:rPr>
              <w:t>Often</w:t>
            </w:r>
          </w:p>
        </w:tc>
      </w:tr>
      <w:tr w:rsidR="001B225E" w:rsidRPr="00C06E05" w14:paraId="2F26CFA5" w14:textId="77777777" w:rsidTr="00146DF8">
        <w:trPr>
          <w:trHeight w:val="286"/>
        </w:trPr>
        <w:tc>
          <w:tcPr>
            <w:tcW w:w="5391"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6D664F01" w14:textId="77777777" w:rsidR="001B225E" w:rsidRPr="00C06E05" w:rsidRDefault="001B225E" w:rsidP="00146DF8">
            <w:pPr>
              <w:spacing w:after="0" w:line="240" w:lineRule="auto"/>
              <w:rPr>
                <w:rFonts w:ascii="Arial" w:hAnsi="Arial" w:cs="Arial"/>
              </w:rPr>
            </w:pPr>
            <w:r>
              <w:rPr>
                <w:rFonts w:ascii="Arial" w:hAnsi="Arial" w:cs="Arial"/>
              </w:rPr>
              <w:t>8</w:t>
            </w:r>
            <w:r w:rsidRPr="00F136C6">
              <w:rPr>
                <w:rFonts w:ascii="Arial" w:hAnsi="Arial" w:cs="Arial"/>
              </w:rPr>
              <w:t xml:space="preserve">. Overall, the institutional support received from </w:t>
            </w:r>
            <w:proofErr w:type="spellStart"/>
            <w:r w:rsidRPr="00F136C6">
              <w:rPr>
                <w:rFonts w:ascii="Arial" w:hAnsi="Arial" w:cs="Arial"/>
              </w:rPr>
              <w:t>Polangui</w:t>
            </w:r>
            <w:proofErr w:type="spellEnd"/>
            <w:r w:rsidRPr="00F136C6">
              <w:rPr>
                <w:rFonts w:ascii="Arial" w:hAnsi="Arial" w:cs="Arial"/>
              </w:rPr>
              <w:t xml:space="preserve"> Community College significantly contributed to my LET preparation.</w:t>
            </w:r>
          </w:p>
        </w:tc>
        <w:tc>
          <w:tcPr>
            <w:tcW w:w="1418"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08F1D633" w14:textId="77777777" w:rsidR="001B225E" w:rsidRPr="00C06E05" w:rsidRDefault="001B225E" w:rsidP="00146DF8">
            <w:pPr>
              <w:spacing w:after="0" w:line="240" w:lineRule="auto"/>
              <w:jc w:val="center"/>
              <w:rPr>
                <w:rFonts w:ascii="Arial" w:hAnsi="Arial" w:cs="Arial"/>
              </w:rPr>
            </w:pPr>
            <w:r w:rsidRPr="00C06E05">
              <w:rPr>
                <w:rFonts w:ascii="Arial" w:hAnsi="Arial" w:cs="Arial"/>
              </w:rPr>
              <w:t>3.76</w:t>
            </w:r>
          </w:p>
        </w:tc>
        <w:tc>
          <w:tcPr>
            <w:tcW w:w="1767"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40B3072B" w14:textId="77777777" w:rsidR="001B225E" w:rsidRPr="00C06E05" w:rsidRDefault="001B225E" w:rsidP="00146DF8">
            <w:pPr>
              <w:spacing w:after="0" w:line="240" w:lineRule="auto"/>
              <w:jc w:val="center"/>
              <w:rPr>
                <w:rFonts w:ascii="Arial" w:hAnsi="Arial" w:cs="Arial"/>
              </w:rPr>
            </w:pPr>
            <w:r w:rsidRPr="00C06E05">
              <w:rPr>
                <w:rFonts w:ascii="Arial" w:hAnsi="Arial" w:cs="Arial"/>
              </w:rPr>
              <w:t>Often</w:t>
            </w:r>
          </w:p>
        </w:tc>
      </w:tr>
      <w:tr w:rsidR="001B225E" w:rsidRPr="00C06E05" w14:paraId="7DE65074" w14:textId="77777777" w:rsidTr="00146DF8">
        <w:trPr>
          <w:trHeight w:val="286"/>
        </w:trPr>
        <w:tc>
          <w:tcPr>
            <w:tcW w:w="5391"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7EF8AA4E" w14:textId="77777777" w:rsidR="001B225E" w:rsidRPr="00C06E05" w:rsidRDefault="001B225E" w:rsidP="00146DF8">
            <w:pPr>
              <w:spacing w:after="0" w:line="240" w:lineRule="auto"/>
              <w:rPr>
                <w:rFonts w:ascii="Arial" w:hAnsi="Arial" w:cs="Arial"/>
              </w:rPr>
            </w:pPr>
            <w:r w:rsidRPr="00C06E05">
              <w:rPr>
                <w:rFonts w:ascii="Arial" w:hAnsi="Arial" w:cs="Arial"/>
                <w:b/>
                <w:bCs/>
              </w:rPr>
              <w:t>General Weighted Mean</w:t>
            </w:r>
          </w:p>
        </w:tc>
        <w:tc>
          <w:tcPr>
            <w:tcW w:w="1418"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24AA6979"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3.57</w:t>
            </w:r>
          </w:p>
        </w:tc>
        <w:tc>
          <w:tcPr>
            <w:tcW w:w="1767" w:type="dxa"/>
            <w:tcBorders>
              <w:top w:val="double" w:sz="4" w:space="0" w:color="000000"/>
              <w:left w:val="none" w:sz="0" w:space="0" w:color="FFFFFF"/>
              <w:bottom w:val="double" w:sz="4" w:space="0" w:color="000000"/>
              <w:right w:val="none" w:sz="0" w:space="0" w:color="FFFFFF"/>
            </w:tcBorders>
            <w:tcMar>
              <w:top w:w="50" w:type="dxa"/>
              <w:left w:w="110" w:type="dxa"/>
              <w:bottom w:w="50" w:type="dxa"/>
              <w:right w:w="110" w:type="dxa"/>
            </w:tcMar>
            <w:vAlign w:val="center"/>
          </w:tcPr>
          <w:p w14:paraId="389D1974"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Often</w:t>
            </w:r>
          </w:p>
        </w:tc>
      </w:tr>
    </w:tbl>
    <w:p w14:paraId="07A95FC4" w14:textId="77777777" w:rsidR="001B225E" w:rsidRDefault="001B225E" w:rsidP="001B225E">
      <w:pPr>
        <w:spacing w:before="240" w:after="0" w:line="480" w:lineRule="auto"/>
        <w:jc w:val="both"/>
        <w:rPr>
          <w:rFonts w:ascii="Arial" w:hAnsi="Arial" w:cs="Arial"/>
        </w:rPr>
      </w:pPr>
      <w:r w:rsidRPr="00C06E05">
        <w:rPr>
          <w:rFonts w:ascii="Arial" w:hAnsi="Arial" w:cs="Arial"/>
        </w:rPr>
        <w:t>of the support mechanisms were rated lower than others, indicating uneven</w:t>
      </w:r>
      <w:r>
        <w:rPr>
          <w:rFonts w:ascii="Arial" w:hAnsi="Arial" w:cs="Arial"/>
        </w:rPr>
        <w:t xml:space="preserve"> </w:t>
      </w:r>
      <w:r w:rsidRPr="00C06E05">
        <w:rPr>
          <w:rFonts w:ascii="Arial" w:hAnsi="Arial" w:cs="Arial"/>
        </w:rPr>
        <w:t xml:space="preserve">implementation across the different forms of support. The pattern indicated that the overall level of support was adequate but some areas needed to strengthen. Mentoring, academic advising, and test anxiety counseling are important factors in increasing the readiness of students in the LET (De Guzman, 2018). The continued provision of these services helps build the confidence and preparedness of </w:t>
      </w:r>
      <w:r w:rsidRPr="00C06E05">
        <w:rPr>
          <w:rFonts w:ascii="Arial" w:hAnsi="Arial" w:cs="Arial"/>
        </w:rPr>
        <w:lastRenderedPageBreak/>
        <w:t xml:space="preserve">examinees. Mendoza (2019) also said psychosocial support, such as counseling and time-management workshops, are just as important as academic preparation, especially for students with limited resources, as community college students often are. According to the OECD (2019), high-performing systems intentionally invest in institutional support structures for aspiring teachers and the quality and consistency of institutional support are linked to better licensure outcomes. </w:t>
      </w:r>
    </w:p>
    <w:p w14:paraId="07CB8BCB" w14:textId="77777777" w:rsidR="001B225E" w:rsidRPr="00C06E05" w:rsidRDefault="001B225E" w:rsidP="001B225E">
      <w:pPr>
        <w:spacing w:line="480" w:lineRule="auto"/>
        <w:ind w:firstLine="720"/>
        <w:jc w:val="both"/>
        <w:rPr>
          <w:rFonts w:ascii="Arial" w:hAnsi="Arial" w:cs="Arial"/>
        </w:rPr>
      </w:pPr>
      <w:r w:rsidRPr="00C06E05">
        <w:rPr>
          <w:rFonts w:ascii="Arial" w:hAnsi="Arial" w:cs="Arial"/>
        </w:rPr>
        <w:t xml:space="preserve">Similarly, </w:t>
      </w:r>
      <w:proofErr w:type="spellStart"/>
      <w:r w:rsidRPr="00C06E05">
        <w:rPr>
          <w:rFonts w:ascii="Arial" w:hAnsi="Arial" w:cs="Arial"/>
        </w:rPr>
        <w:t>Guardario</w:t>
      </w:r>
      <w:proofErr w:type="spellEnd"/>
      <w:r w:rsidRPr="00C06E05">
        <w:rPr>
          <w:rFonts w:ascii="Arial" w:hAnsi="Arial" w:cs="Arial"/>
        </w:rPr>
        <w:t xml:space="preserve"> et al. (2024) found a significant relationship between the level of institutional support given to LET takers and their performance in the examination. These findings indicated that the community college should continue to strengthen its support systems as an essential element of the proposed intervention program.</w:t>
      </w:r>
    </w:p>
    <w:p w14:paraId="26BE96F5" w14:textId="77777777" w:rsidR="001B225E" w:rsidRPr="001324D9" w:rsidRDefault="001B225E" w:rsidP="001B225E">
      <w:pPr>
        <w:pStyle w:val="Heading2"/>
        <w:spacing w:before="0" w:after="0" w:line="240" w:lineRule="auto"/>
        <w:jc w:val="both"/>
        <w:rPr>
          <w:rFonts w:ascii="Arial" w:hAnsi="Arial" w:cs="Arial"/>
          <w:b/>
          <w:bCs/>
          <w:color w:val="000000" w:themeColor="text1"/>
          <w:sz w:val="24"/>
          <w:szCs w:val="24"/>
        </w:rPr>
      </w:pPr>
      <w:r w:rsidRPr="001324D9">
        <w:rPr>
          <w:rFonts w:ascii="Arial" w:hAnsi="Arial" w:cs="Arial"/>
          <w:b/>
          <w:bCs/>
          <w:color w:val="000000" w:themeColor="text1"/>
          <w:sz w:val="24"/>
          <w:szCs w:val="24"/>
        </w:rPr>
        <w:t>Significant Predictors of Performance in the Licensure Examination for Teachers</w:t>
      </w:r>
    </w:p>
    <w:p w14:paraId="78B1EEEC" w14:textId="77777777" w:rsidR="001B225E" w:rsidRDefault="001B225E" w:rsidP="001B225E">
      <w:pPr>
        <w:spacing w:after="0" w:line="480" w:lineRule="auto"/>
        <w:jc w:val="both"/>
        <w:rPr>
          <w:rFonts w:ascii="Arial" w:hAnsi="Arial" w:cs="Arial"/>
        </w:rPr>
      </w:pPr>
    </w:p>
    <w:p w14:paraId="5D27BD3B" w14:textId="77777777" w:rsidR="001B225E" w:rsidRDefault="001B225E" w:rsidP="001B225E">
      <w:pPr>
        <w:spacing w:line="480" w:lineRule="auto"/>
        <w:ind w:firstLine="720"/>
        <w:jc w:val="both"/>
        <w:rPr>
          <w:rFonts w:ascii="Arial" w:hAnsi="Arial" w:cs="Arial"/>
        </w:rPr>
      </w:pPr>
      <w:r w:rsidRPr="00C06E05">
        <w:rPr>
          <w:rFonts w:ascii="Arial" w:hAnsi="Arial" w:cs="Arial"/>
        </w:rPr>
        <w:t xml:space="preserve">To address the fourth specific problem of the study, regression analysis was conducted to determine which among the profile variables, academic performance, study habits, review preparation practices, and institutional support significantly predicted performance in the Licensure Examination for Teachers among the LET takers of the community college. In accordance with the requirement to present the licensure rating separately by examination component, the regression analysis was conducted not only for the overall LET rating but also separately for the General Education, Professional Education, and Major or Specialization ratings. The null hypothesis stated that none of the identified variables significantly </w:t>
      </w:r>
      <w:r w:rsidRPr="00C06E05">
        <w:rPr>
          <w:rFonts w:ascii="Arial" w:hAnsi="Arial" w:cs="Arial"/>
        </w:rPr>
        <w:lastRenderedPageBreak/>
        <w:t>predicted LET performance among the respondents. The results are summarized in the following tables, with the detailed regression outputs presented in the Appendix.</w:t>
      </w:r>
    </w:p>
    <w:p w14:paraId="5893770B" w14:textId="77777777" w:rsidR="001B225E" w:rsidRPr="001324D9" w:rsidRDefault="001B225E" w:rsidP="001B225E">
      <w:pPr>
        <w:pStyle w:val="NoSpacing"/>
        <w:jc w:val="center"/>
        <w:rPr>
          <w:rFonts w:ascii="Arial" w:hAnsi="Arial" w:cs="Arial"/>
          <w:sz w:val="24"/>
          <w:szCs w:val="24"/>
        </w:rPr>
      </w:pPr>
      <w:r w:rsidRPr="001324D9">
        <w:rPr>
          <w:rFonts w:ascii="Arial" w:hAnsi="Arial" w:cs="Arial"/>
          <w:sz w:val="24"/>
          <w:szCs w:val="24"/>
        </w:rPr>
        <w:t>Table 20</w:t>
      </w:r>
    </w:p>
    <w:p w14:paraId="2C4ACF71" w14:textId="77777777" w:rsidR="001B225E" w:rsidRDefault="001B225E" w:rsidP="001B225E">
      <w:pPr>
        <w:pStyle w:val="NoSpacing"/>
        <w:jc w:val="center"/>
        <w:rPr>
          <w:rFonts w:ascii="Arial" w:hAnsi="Arial" w:cs="Arial"/>
          <w:b/>
          <w:bCs/>
          <w:sz w:val="24"/>
          <w:szCs w:val="24"/>
        </w:rPr>
      </w:pPr>
      <w:r w:rsidRPr="001324D9">
        <w:rPr>
          <w:rFonts w:ascii="Arial" w:hAnsi="Arial" w:cs="Arial"/>
          <w:b/>
          <w:bCs/>
          <w:sz w:val="24"/>
          <w:szCs w:val="24"/>
        </w:rPr>
        <w:t>Regression Analysis Predicting Overall LET Rating in Terms of the Different Predictors</w:t>
      </w:r>
    </w:p>
    <w:p w14:paraId="4D04F1D9" w14:textId="77777777" w:rsidR="001B225E" w:rsidRPr="001324D9" w:rsidRDefault="001B225E" w:rsidP="001B225E">
      <w:pPr>
        <w:pStyle w:val="NoSpacing"/>
        <w:jc w:val="center"/>
        <w:rPr>
          <w:rFonts w:ascii="Arial" w:hAnsi="Arial" w:cs="Arial"/>
          <w:b/>
          <w:bCs/>
          <w:sz w:val="24"/>
          <w:szCs w:val="24"/>
        </w:rPr>
      </w:pP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70"/>
        <w:gridCol w:w="877"/>
        <w:gridCol w:w="877"/>
        <w:gridCol w:w="1059"/>
        <w:gridCol w:w="983"/>
        <w:gridCol w:w="1222"/>
        <w:gridCol w:w="1447"/>
      </w:tblGrid>
      <w:tr w:rsidR="001B225E" w:rsidRPr="00C06E05" w14:paraId="005945E9" w14:textId="77777777" w:rsidTr="00146DF8">
        <w:trPr>
          <w:trHeight w:val="288"/>
          <w:tblHeader/>
        </w:trPr>
        <w:tc>
          <w:tcPr>
            <w:tcW w:w="2285"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51BEFCD4" w14:textId="77777777" w:rsidR="001B225E" w:rsidRPr="00C06E05" w:rsidRDefault="001B225E" w:rsidP="00146DF8">
            <w:pPr>
              <w:spacing w:after="0" w:line="240" w:lineRule="auto"/>
              <w:rPr>
                <w:rFonts w:ascii="Arial" w:hAnsi="Arial" w:cs="Arial"/>
              </w:rPr>
            </w:pPr>
            <w:r w:rsidRPr="00C06E05">
              <w:rPr>
                <w:rFonts w:ascii="Arial" w:hAnsi="Arial" w:cs="Arial"/>
                <w:b/>
                <w:bCs/>
              </w:rPr>
              <w:t>Predictors</w:t>
            </w:r>
          </w:p>
        </w:tc>
        <w:tc>
          <w:tcPr>
            <w:tcW w:w="891"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26F6398B"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R</w:t>
            </w:r>
          </w:p>
        </w:tc>
        <w:tc>
          <w:tcPr>
            <w:tcW w:w="891"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4F0A4BE2"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R²</w:t>
            </w:r>
          </w:p>
        </w:tc>
        <w:tc>
          <w:tcPr>
            <w:tcW w:w="1116"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590DF464"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Adj. R²</w:t>
            </w:r>
          </w:p>
        </w:tc>
        <w:tc>
          <w:tcPr>
            <w:tcW w:w="990"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076591A0"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F</w:t>
            </w:r>
          </w:p>
        </w:tc>
        <w:tc>
          <w:tcPr>
            <w:tcW w:w="1127"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5E904CD0"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p</w:t>
            </w:r>
          </w:p>
        </w:tc>
        <w:tc>
          <w:tcPr>
            <w:tcW w:w="1335"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60DFAF69"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Result</w:t>
            </w:r>
          </w:p>
        </w:tc>
      </w:tr>
      <w:tr w:rsidR="001B225E" w:rsidRPr="00C06E05" w14:paraId="64AC9400" w14:textId="77777777" w:rsidTr="00146DF8">
        <w:trPr>
          <w:trHeight w:val="288"/>
        </w:trPr>
        <w:tc>
          <w:tcPr>
            <w:tcW w:w="228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BDBAB4C" w14:textId="77777777" w:rsidR="001B225E" w:rsidRPr="00C06E05" w:rsidRDefault="001B225E" w:rsidP="00146DF8">
            <w:pPr>
              <w:spacing w:after="0" w:line="240" w:lineRule="auto"/>
              <w:rPr>
                <w:rFonts w:ascii="Arial" w:hAnsi="Arial" w:cs="Arial"/>
              </w:rPr>
            </w:pPr>
            <w:r w:rsidRPr="00C06E05">
              <w:rPr>
                <w:rFonts w:ascii="Arial" w:hAnsi="Arial" w:cs="Arial"/>
                <w:b/>
                <w:bCs/>
              </w:rPr>
              <w:t>Profile Variables</w:t>
            </w:r>
          </w:p>
        </w:tc>
        <w:tc>
          <w:tcPr>
            <w:tcW w:w="891"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5477088"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0.338</w:t>
            </w:r>
          </w:p>
        </w:tc>
        <w:tc>
          <w:tcPr>
            <w:tcW w:w="891"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0B4E51B"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0.114</w:t>
            </w:r>
          </w:p>
        </w:tc>
        <w:tc>
          <w:tcPr>
            <w:tcW w:w="111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6C5EC2B"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0.065</w:t>
            </w:r>
          </w:p>
        </w:tc>
        <w:tc>
          <w:tcPr>
            <w:tcW w:w="99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201D94D"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2.343</w:t>
            </w:r>
          </w:p>
        </w:tc>
        <w:tc>
          <w:tcPr>
            <w:tcW w:w="112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BFA5B34"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0.036</w:t>
            </w:r>
          </w:p>
        </w:tc>
        <w:tc>
          <w:tcPr>
            <w:tcW w:w="133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E89B9DF"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Significant</w:t>
            </w:r>
          </w:p>
        </w:tc>
      </w:tr>
      <w:tr w:rsidR="001B225E" w:rsidRPr="00C06E05" w14:paraId="3EC29E0B" w14:textId="77777777" w:rsidTr="00146DF8">
        <w:trPr>
          <w:trHeight w:val="576"/>
        </w:trPr>
        <w:tc>
          <w:tcPr>
            <w:tcW w:w="228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BB6A4BB" w14:textId="77777777" w:rsidR="001B225E" w:rsidRPr="00C06E05" w:rsidRDefault="001B225E" w:rsidP="00146DF8">
            <w:pPr>
              <w:spacing w:after="0" w:line="240" w:lineRule="auto"/>
              <w:rPr>
                <w:rFonts w:ascii="Arial" w:hAnsi="Arial" w:cs="Arial"/>
              </w:rPr>
            </w:pPr>
            <w:r w:rsidRPr="00C06E05">
              <w:rPr>
                <w:rFonts w:ascii="Arial" w:hAnsi="Arial" w:cs="Arial"/>
                <w:b/>
                <w:bCs/>
              </w:rPr>
              <w:t>Academic Performance</w:t>
            </w:r>
          </w:p>
        </w:tc>
        <w:tc>
          <w:tcPr>
            <w:tcW w:w="891"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8DA86E1"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0.486</w:t>
            </w:r>
          </w:p>
        </w:tc>
        <w:tc>
          <w:tcPr>
            <w:tcW w:w="891"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27543A0"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0.237</w:t>
            </w:r>
          </w:p>
        </w:tc>
        <w:tc>
          <w:tcPr>
            <w:tcW w:w="111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7B01B74"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0.202</w:t>
            </w:r>
          </w:p>
        </w:tc>
        <w:tc>
          <w:tcPr>
            <w:tcW w:w="99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A1A122D"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6.815</w:t>
            </w:r>
          </w:p>
        </w:tc>
        <w:tc>
          <w:tcPr>
            <w:tcW w:w="112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5380470"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0.000014</w:t>
            </w:r>
          </w:p>
        </w:tc>
        <w:tc>
          <w:tcPr>
            <w:tcW w:w="133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10F3075"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Significant</w:t>
            </w:r>
          </w:p>
        </w:tc>
      </w:tr>
      <w:tr w:rsidR="001B225E" w:rsidRPr="00C06E05" w14:paraId="39634DC2" w14:textId="77777777" w:rsidTr="00146DF8">
        <w:trPr>
          <w:trHeight w:val="576"/>
        </w:trPr>
        <w:tc>
          <w:tcPr>
            <w:tcW w:w="228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B35E5E9" w14:textId="77777777" w:rsidR="001B225E" w:rsidRPr="00C06E05" w:rsidRDefault="001B225E" w:rsidP="00146DF8">
            <w:pPr>
              <w:spacing w:after="0" w:line="240" w:lineRule="auto"/>
              <w:rPr>
                <w:rFonts w:ascii="Arial" w:hAnsi="Arial" w:cs="Arial"/>
              </w:rPr>
            </w:pPr>
            <w:r w:rsidRPr="00C06E05">
              <w:rPr>
                <w:rFonts w:ascii="Arial" w:hAnsi="Arial" w:cs="Arial"/>
              </w:rPr>
              <w:t>Study Habits</w:t>
            </w:r>
          </w:p>
        </w:tc>
        <w:tc>
          <w:tcPr>
            <w:tcW w:w="891"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DC1FFBF" w14:textId="77777777" w:rsidR="001B225E" w:rsidRPr="00C06E05" w:rsidRDefault="001B225E" w:rsidP="00146DF8">
            <w:pPr>
              <w:spacing w:after="0" w:line="240" w:lineRule="auto"/>
              <w:jc w:val="center"/>
              <w:rPr>
                <w:rFonts w:ascii="Arial" w:hAnsi="Arial" w:cs="Arial"/>
              </w:rPr>
            </w:pPr>
            <w:r w:rsidRPr="00C06E05">
              <w:rPr>
                <w:rFonts w:ascii="Arial" w:hAnsi="Arial" w:cs="Arial"/>
              </w:rPr>
              <w:t>0.170</w:t>
            </w:r>
          </w:p>
        </w:tc>
        <w:tc>
          <w:tcPr>
            <w:tcW w:w="891"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67D3600" w14:textId="77777777" w:rsidR="001B225E" w:rsidRPr="00C06E05" w:rsidRDefault="001B225E" w:rsidP="00146DF8">
            <w:pPr>
              <w:spacing w:after="0" w:line="240" w:lineRule="auto"/>
              <w:jc w:val="center"/>
              <w:rPr>
                <w:rFonts w:ascii="Arial" w:hAnsi="Arial" w:cs="Arial"/>
              </w:rPr>
            </w:pPr>
            <w:r w:rsidRPr="00C06E05">
              <w:rPr>
                <w:rFonts w:ascii="Arial" w:hAnsi="Arial" w:cs="Arial"/>
              </w:rPr>
              <w:t>0.029</w:t>
            </w:r>
          </w:p>
        </w:tc>
        <w:tc>
          <w:tcPr>
            <w:tcW w:w="111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C8D8254" w14:textId="77777777" w:rsidR="001B225E" w:rsidRPr="00C06E05" w:rsidRDefault="001B225E" w:rsidP="00146DF8">
            <w:pPr>
              <w:spacing w:after="0" w:line="240" w:lineRule="auto"/>
              <w:jc w:val="center"/>
              <w:rPr>
                <w:rFonts w:ascii="Arial" w:hAnsi="Arial" w:cs="Arial"/>
              </w:rPr>
            </w:pPr>
            <w:r w:rsidRPr="00C06E05">
              <w:rPr>
                <w:rFonts w:ascii="Arial" w:hAnsi="Arial" w:cs="Arial"/>
              </w:rPr>
              <w:t>0.020</w:t>
            </w:r>
          </w:p>
        </w:tc>
        <w:tc>
          <w:tcPr>
            <w:tcW w:w="99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BCDB2AB" w14:textId="77777777" w:rsidR="001B225E" w:rsidRPr="00C06E05" w:rsidRDefault="001B225E" w:rsidP="00146DF8">
            <w:pPr>
              <w:spacing w:after="0" w:line="240" w:lineRule="auto"/>
              <w:jc w:val="center"/>
              <w:rPr>
                <w:rFonts w:ascii="Arial" w:hAnsi="Arial" w:cs="Arial"/>
              </w:rPr>
            </w:pPr>
            <w:r w:rsidRPr="00C06E05">
              <w:rPr>
                <w:rFonts w:ascii="Arial" w:hAnsi="Arial" w:cs="Arial"/>
              </w:rPr>
              <w:t>3.393</w:t>
            </w:r>
          </w:p>
        </w:tc>
        <w:tc>
          <w:tcPr>
            <w:tcW w:w="112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D4C4860" w14:textId="77777777" w:rsidR="001B225E" w:rsidRPr="00C06E05" w:rsidRDefault="001B225E" w:rsidP="00146DF8">
            <w:pPr>
              <w:spacing w:after="0" w:line="240" w:lineRule="auto"/>
              <w:jc w:val="center"/>
              <w:rPr>
                <w:rFonts w:ascii="Arial" w:hAnsi="Arial" w:cs="Arial"/>
              </w:rPr>
            </w:pPr>
            <w:r w:rsidRPr="00C06E05">
              <w:rPr>
                <w:rFonts w:ascii="Arial" w:hAnsi="Arial" w:cs="Arial"/>
              </w:rPr>
              <w:t>0.068</w:t>
            </w:r>
          </w:p>
        </w:tc>
        <w:tc>
          <w:tcPr>
            <w:tcW w:w="133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2816744" w14:textId="77777777" w:rsidR="001B225E" w:rsidRPr="00C06E05" w:rsidRDefault="001B225E" w:rsidP="00146DF8">
            <w:pPr>
              <w:spacing w:after="0" w:line="240" w:lineRule="auto"/>
              <w:jc w:val="center"/>
              <w:rPr>
                <w:rFonts w:ascii="Arial" w:hAnsi="Arial" w:cs="Arial"/>
              </w:rPr>
            </w:pPr>
            <w:r w:rsidRPr="00C06E05">
              <w:rPr>
                <w:rFonts w:ascii="Arial" w:hAnsi="Arial" w:cs="Arial"/>
              </w:rPr>
              <w:t>Not Significant</w:t>
            </w:r>
          </w:p>
        </w:tc>
      </w:tr>
      <w:tr w:rsidR="001B225E" w:rsidRPr="00C06E05" w14:paraId="2D85F40C" w14:textId="77777777" w:rsidTr="00146DF8">
        <w:trPr>
          <w:trHeight w:val="555"/>
        </w:trPr>
        <w:tc>
          <w:tcPr>
            <w:tcW w:w="228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1AACBD8" w14:textId="77777777" w:rsidR="001B225E" w:rsidRPr="00C06E05" w:rsidRDefault="001B225E" w:rsidP="00146DF8">
            <w:pPr>
              <w:spacing w:after="0" w:line="240" w:lineRule="auto"/>
              <w:rPr>
                <w:rFonts w:ascii="Arial" w:hAnsi="Arial" w:cs="Arial"/>
              </w:rPr>
            </w:pPr>
            <w:r w:rsidRPr="00C06E05">
              <w:rPr>
                <w:rFonts w:ascii="Arial" w:hAnsi="Arial" w:cs="Arial"/>
                <w:b/>
                <w:bCs/>
              </w:rPr>
              <w:t>Review Preparation Practices</w:t>
            </w:r>
          </w:p>
        </w:tc>
        <w:tc>
          <w:tcPr>
            <w:tcW w:w="891"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05AE913"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0.325</w:t>
            </w:r>
          </w:p>
        </w:tc>
        <w:tc>
          <w:tcPr>
            <w:tcW w:w="891"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AAC3BF2"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0.105</w:t>
            </w:r>
          </w:p>
        </w:tc>
        <w:tc>
          <w:tcPr>
            <w:tcW w:w="111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C8475AC"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0.098</w:t>
            </w:r>
          </w:p>
        </w:tc>
        <w:tc>
          <w:tcPr>
            <w:tcW w:w="99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0A35002"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13.440</w:t>
            </w:r>
          </w:p>
        </w:tc>
        <w:tc>
          <w:tcPr>
            <w:tcW w:w="112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4410E42"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0.000376</w:t>
            </w:r>
          </w:p>
        </w:tc>
        <w:tc>
          <w:tcPr>
            <w:tcW w:w="133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ECCAFEE"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Significant</w:t>
            </w:r>
          </w:p>
        </w:tc>
      </w:tr>
      <w:tr w:rsidR="001B225E" w:rsidRPr="00C06E05" w14:paraId="5FADC7DB" w14:textId="77777777" w:rsidTr="00146DF8">
        <w:trPr>
          <w:trHeight w:val="576"/>
        </w:trPr>
        <w:tc>
          <w:tcPr>
            <w:tcW w:w="2285"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06F0437F" w14:textId="77777777" w:rsidR="001B225E" w:rsidRPr="00C06E05" w:rsidRDefault="001B225E" w:rsidP="00146DF8">
            <w:pPr>
              <w:spacing w:after="0" w:line="240" w:lineRule="auto"/>
              <w:rPr>
                <w:rFonts w:ascii="Arial" w:hAnsi="Arial" w:cs="Arial"/>
              </w:rPr>
            </w:pPr>
            <w:r w:rsidRPr="00C06E05">
              <w:rPr>
                <w:rFonts w:ascii="Arial" w:hAnsi="Arial" w:cs="Arial"/>
                <w:b/>
                <w:bCs/>
              </w:rPr>
              <w:t>Institutional Support</w:t>
            </w:r>
          </w:p>
        </w:tc>
        <w:tc>
          <w:tcPr>
            <w:tcW w:w="891"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4A5A13C6"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0.199</w:t>
            </w:r>
          </w:p>
        </w:tc>
        <w:tc>
          <w:tcPr>
            <w:tcW w:w="891"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7CB570B3"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0.040</w:t>
            </w:r>
          </w:p>
        </w:tc>
        <w:tc>
          <w:tcPr>
            <w:tcW w:w="1116"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57B17C7C"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0.031</w:t>
            </w:r>
          </w:p>
        </w:tc>
        <w:tc>
          <w:tcPr>
            <w:tcW w:w="990"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4F018BD2"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4.692</w:t>
            </w:r>
          </w:p>
        </w:tc>
        <w:tc>
          <w:tcPr>
            <w:tcW w:w="1127"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095DCAEA"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0.032</w:t>
            </w:r>
          </w:p>
        </w:tc>
        <w:tc>
          <w:tcPr>
            <w:tcW w:w="1335"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6E3E1B64"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Significant</w:t>
            </w:r>
          </w:p>
        </w:tc>
      </w:tr>
    </w:tbl>
    <w:p w14:paraId="28D9186B" w14:textId="77777777" w:rsidR="001B225E" w:rsidRPr="001324D9" w:rsidRDefault="001B225E" w:rsidP="001B225E">
      <w:pPr>
        <w:spacing w:before="60" w:after="120" w:line="480" w:lineRule="auto"/>
        <w:rPr>
          <w:rFonts w:ascii="Arial" w:hAnsi="Arial" w:cs="Arial"/>
          <w:i/>
          <w:iCs/>
        </w:rPr>
      </w:pPr>
      <w:r w:rsidRPr="001324D9">
        <w:rPr>
          <w:rFonts w:ascii="Arial" w:hAnsi="Arial" w:cs="Arial"/>
          <w:i/>
          <w:iCs/>
        </w:rPr>
        <w:t>Note. Significance level set at p &lt; 0.05.</w:t>
      </w:r>
    </w:p>
    <w:p w14:paraId="2B8A7E04" w14:textId="77777777" w:rsidR="001B225E" w:rsidRDefault="001B225E" w:rsidP="001B225E">
      <w:pPr>
        <w:spacing w:before="240" w:line="480" w:lineRule="auto"/>
        <w:ind w:firstLine="720"/>
        <w:jc w:val="both"/>
        <w:rPr>
          <w:rFonts w:ascii="Arial" w:hAnsi="Arial" w:cs="Arial"/>
        </w:rPr>
      </w:pPr>
      <w:r w:rsidRPr="00C06E05">
        <w:rPr>
          <w:rFonts w:ascii="Arial" w:hAnsi="Arial" w:cs="Arial"/>
        </w:rPr>
        <w:t xml:space="preserve">Table </w:t>
      </w:r>
      <w:r>
        <w:rPr>
          <w:rFonts w:ascii="Arial" w:hAnsi="Arial" w:cs="Arial"/>
        </w:rPr>
        <w:t>20</w:t>
      </w:r>
      <w:r w:rsidRPr="00C06E05">
        <w:rPr>
          <w:rFonts w:ascii="Arial" w:hAnsi="Arial" w:cs="Arial"/>
        </w:rPr>
        <w:t xml:space="preserve"> present</w:t>
      </w:r>
      <w:r>
        <w:rPr>
          <w:rFonts w:ascii="Arial" w:hAnsi="Arial" w:cs="Arial"/>
        </w:rPr>
        <w:t>s</w:t>
      </w:r>
      <w:r w:rsidRPr="00C06E05">
        <w:rPr>
          <w:rFonts w:ascii="Arial" w:hAnsi="Arial" w:cs="Arial"/>
        </w:rPr>
        <w:t xml:space="preserve"> the regression analysis predicting the overall LET rating. Among the five predictor groups, four were found to significantly predict the overall LET rating, namely Academic Performance (F = 6.815, p &lt; 0.001), Review</w:t>
      </w:r>
      <w:r>
        <w:rPr>
          <w:rFonts w:ascii="Arial" w:hAnsi="Arial" w:cs="Arial"/>
        </w:rPr>
        <w:t xml:space="preserve"> </w:t>
      </w:r>
      <w:r w:rsidRPr="00C06E05">
        <w:rPr>
          <w:rFonts w:ascii="Arial" w:hAnsi="Arial" w:cs="Arial"/>
        </w:rPr>
        <w:t>Preparation Practices (F = 13.440, p &lt; 0.001), Profile Variables (F = 2.343, p = 0.036), and Institutional Support (F = 4.692, p = 0.032). Study Habits did not reach statistical significance (F = 3.393, p = 0.068).</w:t>
      </w:r>
    </w:p>
    <w:p w14:paraId="7B111B51" w14:textId="77777777" w:rsidR="001B225E" w:rsidRDefault="001B225E" w:rsidP="001B225E">
      <w:pPr>
        <w:spacing w:before="240" w:line="480" w:lineRule="auto"/>
        <w:ind w:firstLine="720"/>
        <w:jc w:val="both"/>
        <w:rPr>
          <w:rFonts w:ascii="Arial" w:hAnsi="Arial" w:cs="Arial"/>
        </w:rPr>
      </w:pPr>
      <w:r w:rsidRPr="00C06E05">
        <w:rPr>
          <w:rFonts w:ascii="Arial" w:hAnsi="Arial" w:cs="Arial"/>
        </w:rPr>
        <w:t>The results showed that Academic Performance was the most significant predictor of the overall rating in the LET with a contribution of 23.7 percent,</w:t>
      </w:r>
      <w:r>
        <w:rPr>
          <w:rFonts w:ascii="Arial" w:hAnsi="Arial" w:cs="Arial"/>
        </w:rPr>
        <w:t xml:space="preserve"> </w:t>
      </w:r>
      <w:r w:rsidRPr="00C06E05">
        <w:rPr>
          <w:rFonts w:ascii="Arial" w:hAnsi="Arial" w:cs="Arial"/>
        </w:rPr>
        <w:lastRenderedPageBreak/>
        <w:t>f</w:t>
      </w:r>
      <w:r>
        <w:rPr>
          <w:rFonts w:ascii="Arial" w:hAnsi="Arial" w:cs="Arial"/>
        </w:rPr>
        <w:t>ollowed</w:t>
      </w:r>
      <w:r w:rsidRPr="00C06E05">
        <w:rPr>
          <w:rFonts w:ascii="Arial" w:hAnsi="Arial" w:cs="Arial"/>
        </w:rPr>
        <w:t xml:space="preserve"> by Review Preparation Practices, Profile Variables, and Institutional Support. Study Habits was slightly below the significant level. </w:t>
      </w:r>
    </w:p>
    <w:p w14:paraId="5A51F7A6" w14:textId="77777777" w:rsidR="001B225E" w:rsidRDefault="001B225E" w:rsidP="001B225E">
      <w:pPr>
        <w:spacing w:line="480" w:lineRule="auto"/>
        <w:ind w:firstLine="720"/>
        <w:jc w:val="both"/>
        <w:rPr>
          <w:rFonts w:ascii="Arial" w:hAnsi="Arial" w:cs="Arial"/>
        </w:rPr>
      </w:pPr>
      <w:r w:rsidRPr="00C06E05">
        <w:rPr>
          <w:rFonts w:ascii="Arial" w:hAnsi="Arial" w:cs="Arial"/>
        </w:rPr>
        <w:t xml:space="preserve">The pattern suggests that for the respondents, licensure performance was most influenced by the takers’ cumulative academic preparation, supported by structured review and institutional support. The importance of academic performance validated the results of </w:t>
      </w:r>
      <w:proofErr w:type="spellStart"/>
      <w:r w:rsidRPr="00C06E05">
        <w:rPr>
          <w:rFonts w:ascii="Arial" w:hAnsi="Arial" w:cs="Arial"/>
        </w:rPr>
        <w:t>Amanonce</w:t>
      </w:r>
      <w:proofErr w:type="spellEnd"/>
      <w:r w:rsidRPr="00C06E05">
        <w:rPr>
          <w:rFonts w:ascii="Arial" w:hAnsi="Arial" w:cs="Arial"/>
        </w:rPr>
        <w:t xml:space="preserve"> and Maramag (2020) who considered cumulative academic records to be one of the most accurate predictors of LET performance and </w:t>
      </w:r>
      <w:proofErr w:type="spellStart"/>
      <w:r w:rsidRPr="00C06E05">
        <w:rPr>
          <w:rFonts w:ascii="Arial" w:hAnsi="Arial" w:cs="Arial"/>
        </w:rPr>
        <w:t>Camarista</w:t>
      </w:r>
      <w:proofErr w:type="spellEnd"/>
      <w:r w:rsidRPr="00C06E05">
        <w:rPr>
          <w:rFonts w:ascii="Arial" w:hAnsi="Arial" w:cs="Arial"/>
        </w:rPr>
        <w:t xml:space="preserve"> et al. (2025) who found the GWA to be one of the strongest predictors of board performance. The importance of review preparation practices was consistent with Fiscal and Roman (2022) who found that structured pre-licensure review aligned with the actual examination significantly predicts licensure performance, and </w:t>
      </w:r>
      <w:proofErr w:type="spellStart"/>
      <w:r w:rsidRPr="00C06E05">
        <w:rPr>
          <w:rFonts w:ascii="Arial" w:hAnsi="Arial" w:cs="Arial"/>
        </w:rPr>
        <w:t>Gardoce</w:t>
      </w:r>
      <w:proofErr w:type="spellEnd"/>
      <w:r w:rsidRPr="00C06E05">
        <w:rPr>
          <w:rFonts w:ascii="Arial" w:hAnsi="Arial" w:cs="Arial"/>
        </w:rPr>
        <w:t xml:space="preserve"> and Sangalang (2020) who established the direct and indirect effects of structured review on licensure outcomes. The importance of institutional support supported </w:t>
      </w:r>
      <w:proofErr w:type="spellStart"/>
      <w:r w:rsidRPr="00C06E05">
        <w:rPr>
          <w:rFonts w:ascii="Arial" w:hAnsi="Arial" w:cs="Arial"/>
        </w:rPr>
        <w:t>Guardario</w:t>
      </w:r>
      <w:proofErr w:type="spellEnd"/>
      <w:r w:rsidRPr="00C06E05">
        <w:rPr>
          <w:rFonts w:ascii="Arial" w:hAnsi="Arial" w:cs="Arial"/>
        </w:rPr>
        <w:t xml:space="preserve"> et al. (2024) who observed a significant relation between institutional support and licensure performance. Hence, the null hypothesis was rejected for academic performance, review preparation practices, profile variables and institutional support and retained for study habits.</w:t>
      </w:r>
    </w:p>
    <w:p w14:paraId="15967380" w14:textId="77777777" w:rsidR="001B225E" w:rsidRPr="00C06E05" w:rsidRDefault="001B225E" w:rsidP="001B225E">
      <w:pPr>
        <w:spacing w:line="480" w:lineRule="auto"/>
        <w:ind w:firstLine="720"/>
        <w:jc w:val="both"/>
        <w:rPr>
          <w:rFonts w:ascii="Arial" w:hAnsi="Arial" w:cs="Arial"/>
        </w:rPr>
      </w:pPr>
      <w:r w:rsidRPr="00C06E05">
        <w:rPr>
          <w:rFonts w:ascii="Arial" w:hAnsi="Arial" w:cs="Arial"/>
        </w:rPr>
        <w:t xml:space="preserve">Table </w:t>
      </w:r>
      <w:r>
        <w:rPr>
          <w:rFonts w:ascii="Arial" w:hAnsi="Arial" w:cs="Arial"/>
        </w:rPr>
        <w:t>21</w:t>
      </w:r>
      <w:r w:rsidRPr="00C06E05">
        <w:rPr>
          <w:rFonts w:ascii="Arial" w:hAnsi="Arial" w:cs="Arial"/>
        </w:rPr>
        <w:t xml:space="preserve"> presents the regression analysis predicting the General Education rating. Four predictor groups significantly predicted the General Education rating, including Academic Performance (F = 12.504, p &lt; 0.001), Profile Variables (F =5.762, p &lt; 0.001), Review Preparation Practices (F = 12.709, p = 0.001),</w:t>
      </w:r>
      <w:r>
        <w:rPr>
          <w:rFonts w:ascii="Arial" w:hAnsi="Arial" w:cs="Arial"/>
        </w:rPr>
        <w:t xml:space="preserve"> and </w:t>
      </w:r>
    </w:p>
    <w:p w14:paraId="47D9A0F5" w14:textId="77777777" w:rsidR="001B225E" w:rsidRPr="001324D9" w:rsidRDefault="001B225E" w:rsidP="001B225E">
      <w:pPr>
        <w:pStyle w:val="NoSpacing"/>
        <w:jc w:val="center"/>
        <w:rPr>
          <w:rFonts w:ascii="Arial" w:hAnsi="Arial" w:cs="Arial"/>
          <w:sz w:val="24"/>
          <w:szCs w:val="24"/>
        </w:rPr>
      </w:pPr>
      <w:r w:rsidRPr="001324D9">
        <w:rPr>
          <w:rFonts w:ascii="Arial" w:hAnsi="Arial" w:cs="Arial"/>
          <w:sz w:val="24"/>
          <w:szCs w:val="24"/>
        </w:rPr>
        <w:lastRenderedPageBreak/>
        <w:t>Table 21</w:t>
      </w:r>
    </w:p>
    <w:p w14:paraId="0300BE56" w14:textId="77777777" w:rsidR="001B225E" w:rsidRDefault="001B225E" w:rsidP="001B225E">
      <w:pPr>
        <w:pStyle w:val="NoSpacing"/>
        <w:jc w:val="center"/>
        <w:rPr>
          <w:rFonts w:ascii="Arial" w:hAnsi="Arial" w:cs="Arial"/>
          <w:b/>
          <w:bCs/>
          <w:sz w:val="24"/>
          <w:szCs w:val="24"/>
        </w:rPr>
      </w:pPr>
      <w:r w:rsidRPr="001324D9">
        <w:rPr>
          <w:rFonts w:ascii="Arial" w:hAnsi="Arial" w:cs="Arial"/>
          <w:b/>
          <w:bCs/>
          <w:sz w:val="24"/>
          <w:szCs w:val="24"/>
        </w:rPr>
        <w:t>Regression Analysis Predicting General Education Rating in Terms of the Different Predictors</w:t>
      </w:r>
    </w:p>
    <w:p w14:paraId="4E9288DD" w14:textId="77777777" w:rsidR="001B225E" w:rsidRPr="001324D9" w:rsidRDefault="001B225E" w:rsidP="001B225E">
      <w:pPr>
        <w:pStyle w:val="NoSpacing"/>
        <w:jc w:val="center"/>
        <w:rPr>
          <w:rFonts w:ascii="Arial" w:hAnsi="Arial" w:cs="Arial"/>
          <w:b/>
          <w:bCs/>
          <w:sz w:val="24"/>
          <w:szCs w:val="24"/>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9"/>
        <w:gridCol w:w="883"/>
        <w:gridCol w:w="883"/>
        <w:gridCol w:w="1080"/>
        <w:gridCol w:w="985"/>
        <w:gridCol w:w="1088"/>
        <w:gridCol w:w="1447"/>
      </w:tblGrid>
      <w:tr w:rsidR="001B225E" w:rsidRPr="00C06E05" w14:paraId="322B2323" w14:textId="77777777" w:rsidTr="00146DF8">
        <w:trPr>
          <w:trHeight w:val="288"/>
          <w:tblHeader/>
        </w:trPr>
        <w:tc>
          <w:tcPr>
            <w:tcW w:w="2324"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669952CA" w14:textId="77777777" w:rsidR="001B225E" w:rsidRPr="00C06E05" w:rsidRDefault="001B225E" w:rsidP="00146DF8">
            <w:pPr>
              <w:spacing w:after="0" w:line="240" w:lineRule="auto"/>
              <w:rPr>
                <w:rFonts w:ascii="Arial" w:hAnsi="Arial" w:cs="Arial"/>
              </w:rPr>
            </w:pPr>
            <w:r w:rsidRPr="00C06E05">
              <w:rPr>
                <w:rFonts w:ascii="Arial" w:hAnsi="Arial" w:cs="Arial"/>
                <w:b/>
                <w:bCs/>
              </w:rPr>
              <w:t>Predictors</w:t>
            </w:r>
          </w:p>
        </w:tc>
        <w:tc>
          <w:tcPr>
            <w:tcW w:w="896"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2309EB52"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R</w:t>
            </w:r>
          </w:p>
        </w:tc>
        <w:tc>
          <w:tcPr>
            <w:tcW w:w="896"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4E957DC2"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R²</w:t>
            </w:r>
          </w:p>
        </w:tc>
        <w:tc>
          <w:tcPr>
            <w:tcW w:w="1136"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58065491"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Adj. R²</w:t>
            </w:r>
          </w:p>
        </w:tc>
        <w:tc>
          <w:tcPr>
            <w:tcW w:w="991"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05E71765"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F</w:t>
            </w:r>
          </w:p>
        </w:tc>
        <w:tc>
          <w:tcPr>
            <w:tcW w:w="1006"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0D793391"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p</w:t>
            </w:r>
          </w:p>
        </w:tc>
        <w:tc>
          <w:tcPr>
            <w:tcW w:w="1326"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7DBC0C27"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Result</w:t>
            </w:r>
          </w:p>
        </w:tc>
      </w:tr>
      <w:tr w:rsidR="001B225E" w:rsidRPr="00C06E05" w14:paraId="13A7EAF7" w14:textId="77777777" w:rsidTr="00146DF8">
        <w:trPr>
          <w:trHeight w:val="288"/>
        </w:trPr>
        <w:tc>
          <w:tcPr>
            <w:tcW w:w="2324"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BEFD001" w14:textId="77777777" w:rsidR="001B225E" w:rsidRPr="00C06E05" w:rsidRDefault="001B225E" w:rsidP="00146DF8">
            <w:pPr>
              <w:spacing w:after="0" w:line="240" w:lineRule="auto"/>
              <w:rPr>
                <w:rFonts w:ascii="Arial" w:hAnsi="Arial" w:cs="Arial"/>
              </w:rPr>
            </w:pPr>
            <w:r w:rsidRPr="00C06E05">
              <w:rPr>
                <w:rFonts w:ascii="Arial" w:hAnsi="Arial" w:cs="Arial"/>
                <w:b/>
                <w:bCs/>
              </w:rPr>
              <w:t>Profile Variables</w:t>
            </w:r>
          </w:p>
        </w:tc>
        <w:tc>
          <w:tcPr>
            <w:tcW w:w="89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A0B8B7B"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0.491</w:t>
            </w:r>
          </w:p>
        </w:tc>
        <w:tc>
          <w:tcPr>
            <w:tcW w:w="89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7F2D4B6"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0.241</w:t>
            </w:r>
          </w:p>
        </w:tc>
        <w:tc>
          <w:tcPr>
            <w:tcW w:w="113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9D71AAB"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0.199</w:t>
            </w:r>
          </w:p>
        </w:tc>
        <w:tc>
          <w:tcPr>
            <w:tcW w:w="991"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C26CFB6"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5.762</w:t>
            </w:r>
          </w:p>
        </w:tc>
        <w:tc>
          <w:tcPr>
            <w:tcW w:w="100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7FB5ECC"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0.00003</w:t>
            </w:r>
          </w:p>
        </w:tc>
        <w:tc>
          <w:tcPr>
            <w:tcW w:w="132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1707E3E"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Significant</w:t>
            </w:r>
          </w:p>
        </w:tc>
      </w:tr>
      <w:tr w:rsidR="001B225E" w:rsidRPr="00C06E05" w14:paraId="789FCF4B" w14:textId="77777777" w:rsidTr="00146DF8">
        <w:trPr>
          <w:trHeight w:val="576"/>
        </w:trPr>
        <w:tc>
          <w:tcPr>
            <w:tcW w:w="2324"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BEDC26D" w14:textId="77777777" w:rsidR="001B225E" w:rsidRPr="00C06E05" w:rsidRDefault="001B225E" w:rsidP="00146DF8">
            <w:pPr>
              <w:spacing w:after="0" w:line="240" w:lineRule="auto"/>
              <w:rPr>
                <w:rFonts w:ascii="Arial" w:hAnsi="Arial" w:cs="Arial"/>
              </w:rPr>
            </w:pPr>
            <w:r w:rsidRPr="00C06E05">
              <w:rPr>
                <w:rFonts w:ascii="Arial" w:hAnsi="Arial" w:cs="Arial"/>
                <w:b/>
                <w:bCs/>
              </w:rPr>
              <w:t>Academic Performance</w:t>
            </w:r>
          </w:p>
        </w:tc>
        <w:tc>
          <w:tcPr>
            <w:tcW w:w="89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B488804"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0.602</w:t>
            </w:r>
          </w:p>
        </w:tc>
        <w:tc>
          <w:tcPr>
            <w:tcW w:w="89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896F90B"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0.362</w:t>
            </w:r>
          </w:p>
        </w:tc>
        <w:tc>
          <w:tcPr>
            <w:tcW w:w="113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2DCCA94"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0.333</w:t>
            </w:r>
          </w:p>
        </w:tc>
        <w:tc>
          <w:tcPr>
            <w:tcW w:w="991"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B54505B"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12.504</w:t>
            </w:r>
          </w:p>
        </w:tc>
        <w:tc>
          <w:tcPr>
            <w:tcW w:w="100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C9B7C90"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1.29E-09</w:t>
            </w:r>
          </w:p>
        </w:tc>
        <w:tc>
          <w:tcPr>
            <w:tcW w:w="132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406816C"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Significant</w:t>
            </w:r>
          </w:p>
        </w:tc>
      </w:tr>
      <w:tr w:rsidR="001B225E" w:rsidRPr="00C06E05" w14:paraId="10049BD6" w14:textId="77777777" w:rsidTr="00146DF8">
        <w:trPr>
          <w:trHeight w:val="288"/>
        </w:trPr>
        <w:tc>
          <w:tcPr>
            <w:tcW w:w="2324"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5E05FE4" w14:textId="77777777" w:rsidR="001B225E" w:rsidRPr="00C06E05" w:rsidRDefault="001B225E" w:rsidP="00146DF8">
            <w:pPr>
              <w:spacing w:after="0" w:line="240" w:lineRule="auto"/>
              <w:rPr>
                <w:rFonts w:ascii="Arial" w:hAnsi="Arial" w:cs="Arial"/>
              </w:rPr>
            </w:pPr>
            <w:r w:rsidRPr="00C06E05">
              <w:rPr>
                <w:rFonts w:ascii="Arial" w:hAnsi="Arial" w:cs="Arial"/>
                <w:b/>
                <w:bCs/>
              </w:rPr>
              <w:t>Study Habits</w:t>
            </w:r>
          </w:p>
        </w:tc>
        <w:tc>
          <w:tcPr>
            <w:tcW w:w="89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BCB7A08"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0.271</w:t>
            </w:r>
          </w:p>
        </w:tc>
        <w:tc>
          <w:tcPr>
            <w:tcW w:w="89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8155455"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0.073</w:t>
            </w:r>
          </w:p>
        </w:tc>
        <w:tc>
          <w:tcPr>
            <w:tcW w:w="113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5510909"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0.065</w:t>
            </w:r>
          </w:p>
        </w:tc>
        <w:tc>
          <w:tcPr>
            <w:tcW w:w="991"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0D4750A"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9.000</w:t>
            </w:r>
          </w:p>
        </w:tc>
        <w:tc>
          <w:tcPr>
            <w:tcW w:w="100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19AC125"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0.003</w:t>
            </w:r>
          </w:p>
        </w:tc>
        <w:tc>
          <w:tcPr>
            <w:tcW w:w="132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8F09158"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Significant</w:t>
            </w:r>
          </w:p>
        </w:tc>
      </w:tr>
      <w:tr w:rsidR="001B225E" w:rsidRPr="00C06E05" w14:paraId="57943D63" w14:textId="77777777" w:rsidTr="00146DF8">
        <w:trPr>
          <w:trHeight w:val="576"/>
        </w:trPr>
        <w:tc>
          <w:tcPr>
            <w:tcW w:w="2324"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BDB236E" w14:textId="77777777" w:rsidR="001B225E" w:rsidRPr="00C06E05" w:rsidRDefault="001B225E" w:rsidP="00146DF8">
            <w:pPr>
              <w:spacing w:after="0" w:line="240" w:lineRule="auto"/>
              <w:rPr>
                <w:rFonts w:ascii="Arial" w:hAnsi="Arial" w:cs="Arial"/>
              </w:rPr>
            </w:pPr>
            <w:r w:rsidRPr="00C06E05">
              <w:rPr>
                <w:rFonts w:ascii="Arial" w:hAnsi="Arial" w:cs="Arial"/>
                <w:b/>
                <w:bCs/>
              </w:rPr>
              <w:t>Review Preparation Practices</w:t>
            </w:r>
          </w:p>
        </w:tc>
        <w:tc>
          <w:tcPr>
            <w:tcW w:w="89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0EAFFC3"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0.317</w:t>
            </w:r>
          </w:p>
        </w:tc>
        <w:tc>
          <w:tcPr>
            <w:tcW w:w="89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262BCA6"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0.100</w:t>
            </w:r>
          </w:p>
        </w:tc>
        <w:tc>
          <w:tcPr>
            <w:tcW w:w="113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0EBF9DA"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0.092</w:t>
            </w:r>
          </w:p>
        </w:tc>
        <w:tc>
          <w:tcPr>
            <w:tcW w:w="991"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7DD2053"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12.709</w:t>
            </w:r>
          </w:p>
        </w:tc>
        <w:tc>
          <w:tcPr>
            <w:tcW w:w="100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92DDADB"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0.001</w:t>
            </w:r>
          </w:p>
        </w:tc>
        <w:tc>
          <w:tcPr>
            <w:tcW w:w="132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F31E112"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Significant</w:t>
            </w:r>
          </w:p>
        </w:tc>
      </w:tr>
      <w:tr w:rsidR="001B225E" w:rsidRPr="00C06E05" w14:paraId="704665AE" w14:textId="77777777" w:rsidTr="00146DF8">
        <w:trPr>
          <w:trHeight w:val="555"/>
        </w:trPr>
        <w:tc>
          <w:tcPr>
            <w:tcW w:w="2324"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6D03F49A" w14:textId="77777777" w:rsidR="001B225E" w:rsidRPr="00C06E05" w:rsidRDefault="001B225E" w:rsidP="00146DF8">
            <w:pPr>
              <w:spacing w:after="0" w:line="240" w:lineRule="auto"/>
              <w:rPr>
                <w:rFonts w:ascii="Arial" w:hAnsi="Arial" w:cs="Arial"/>
              </w:rPr>
            </w:pPr>
            <w:r w:rsidRPr="00C06E05">
              <w:rPr>
                <w:rFonts w:ascii="Arial" w:hAnsi="Arial" w:cs="Arial"/>
              </w:rPr>
              <w:t>Institutional Support</w:t>
            </w:r>
          </w:p>
        </w:tc>
        <w:tc>
          <w:tcPr>
            <w:tcW w:w="896"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4BCB9887" w14:textId="77777777" w:rsidR="001B225E" w:rsidRPr="00C06E05" w:rsidRDefault="001B225E" w:rsidP="00146DF8">
            <w:pPr>
              <w:spacing w:after="0" w:line="240" w:lineRule="auto"/>
              <w:jc w:val="center"/>
              <w:rPr>
                <w:rFonts w:ascii="Arial" w:hAnsi="Arial" w:cs="Arial"/>
              </w:rPr>
            </w:pPr>
            <w:r w:rsidRPr="00C06E05">
              <w:rPr>
                <w:rFonts w:ascii="Arial" w:hAnsi="Arial" w:cs="Arial"/>
              </w:rPr>
              <w:t>0.112</w:t>
            </w:r>
          </w:p>
        </w:tc>
        <w:tc>
          <w:tcPr>
            <w:tcW w:w="896"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5CA75220" w14:textId="77777777" w:rsidR="001B225E" w:rsidRPr="00C06E05" w:rsidRDefault="001B225E" w:rsidP="00146DF8">
            <w:pPr>
              <w:spacing w:after="0" w:line="240" w:lineRule="auto"/>
              <w:jc w:val="center"/>
              <w:rPr>
                <w:rFonts w:ascii="Arial" w:hAnsi="Arial" w:cs="Arial"/>
              </w:rPr>
            </w:pPr>
            <w:r w:rsidRPr="00C06E05">
              <w:rPr>
                <w:rFonts w:ascii="Arial" w:hAnsi="Arial" w:cs="Arial"/>
              </w:rPr>
              <w:t>0.013</w:t>
            </w:r>
          </w:p>
        </w:tc>
        <w:tc>
          <w:tcPr>
            <w:tcW w:w="1136"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1A0682B9" w14:textId="77777777" w:rsidR="001B225E" w:rsidRPr="00C06E05" w:rsidRDefault="001B225E" w:rsidP="00146DF8">
            <w:pPr>
              <w:spacing w:after="0" w:line="240" w:lineRule="auto"/>
              <w:jc w:val="center"/>
              <w:rPr>
                <w:rFonts w:ascii="Arial" w:hAnsi="Arial" w:cs="Arial"/>
              </w:rPr>
            </w:pPr>
            <w:r w:rsidRPr="00C06E05">
              <w:rPr>
                <w:rFonts w:ascii="Arial" w:hAnsi="Arial" w:cs="Arial"/>
              </w:rPr>
              <w:t>0.004</w:t>
            </w:r>
          </w:p>
        </w:tc>
        <w:tc>
          <w:tcPr>
            <w:tcW w:w="991"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06D1B8AB" w14:textId="77777777" w:rsidR="001B225E" w:rsidRPr="00C06E05" w:rsidRDefault="001B225E" w:rsidP="00146DF8">
            <w:pPr>
              <w:spacing w:after="0" w:line="240" w:lineRule="auto"/>
              <w:jc w:val="center"/>
              <w:rPr>
                <w:rFonts w:ascii="Arial" w:hAnsi="Arial" w:cs="Arial"/>
              </w:rPr>
            </w:pPr>
            <w:r w:rsidRPr="00C06E05">
              <w:rPr>
                <w:rFonts w:ascii="Arial" w:hAnsi="Arial" w:cs="Arial"/>
              </w:rPr>
              <w:t>1.447</w:t>
            </w:r>
          </w:p>
        </w:tc>
        <w:tc>
          <w:tcPr>
            <w:tcW w:w="1006"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36A63A35" w14:textId="77777777" w:rsidR="001B225E" w:rsidRPr="00C06E05" w:rsidRDefault="001B225E" w:rsidP="00146DF8">
            <w:pPr>
              <w:spacing w:after="0" w:line="240" w:lineRule="auto"/>
              <w:jc w:val="center"/>
              <w:rPr>
                <w:rFonts w:ascii="Arial" w:hAnsi="Arial" w:cs="Arial"/>
              </w:rPr>
            </w:pPr>
            <w:r w:rsidRPr="00C06E05">
              <w:rPr>
                <w:rFonts w:ascii="Arial" w:hAnsi="Arial" w:cs="Arial"/>
              </w:rPr>
              <w:t>0.232</w:t>
            </w:r>
          </w:p>
        </w:tc>
        <w:tc>
          <w:tcPr>
            <w:tcW w:w="1326"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2213E50A" w14:textId="77777777" w:rsidR="001B225E" w:rsidRPr="00C06E05" w:rsidRDefault="001B225E" w:rsidP="00146DF8">
            <w:pPr>
              <w:spacing w:after="0" w:line="240" w:lineRule="auto"/>
              <w:jc w:val="center"/>
              <w:rPr>
                <w:rFonts w:ascii="Arial" w:hAnsi="Arial" w:cs="Arial"/>
              </w:rPr>
            </w:pPr>
            <w:r w:rsidRPr="00C06E05">
              <w:rPr>
                <w:rFonts w:ascii="Arial" w:hAnsi="Arial" w:cs="Arial"/>
              </w:rPr>
              <w:t>Not Significant</w:t>
            </w:r>
          </w:p>
        </w:tc>
      </w:tr>
    </w:tbl>
    <w:p w14:paraId="57B7B520" w14:textId="77777777" w:rsidR="001B225E" w:rsidRPr="001324D9" w:rsidRDefault="001B225E" w:rsidP="001B225E">
      <w:pPr>
        <w:spacing w:before="60" w:after="120" w:line="480" w:lineRule="auto"/>
        <w:rPr>
          <w:rFonts w:ascii="Arial" w:hAnsi="Arial" w:cs="Arial"/>
          <w:i/>
          <w:iCs/>
        </w:rPr>
      </w:pPr>
      <w:r w:rsidRPr="001324D9">
        <w:rPr>
          <w:rFonts w:ascii="Arial" w:hAnsi="Arial" w:cs="Arial"/>
          <w:i/>
          <w:iCs/>
        </w:rPr>
        <w:t>Note. Significance level set at p &lt; 0.05.</w:t>
      </w:r>
    </w:p>
    <w:p w14:paraId="3DAC82A3" w14:textId="77777777" w:rsidR="001B225E" w:rsidRPr="00C06E05" w:rsidRDefault="001B225E" w:rsidP="001B225E">
      <w:pPr>
        <w:spacing w:after="0" w:line="480" w:lineRule="auto"/>
        <w:jc w:val="both"/>
        <w:rPr>
          <w:rFonts w:ascii="Arial" w:hAnsi="Arial" w:cs="Arial"/>
        </w:rPr>
      </w:pPr>
      <w:r w:rsidRPr="00C06E05">
        <w:rPr>
          <w:rFonts w:ascii="Arial" w:hAnsi="Arial" w:cs="Arial"/>
        </w:rPr>
        <w:t>Study Habits (F = 9.000, p = 0.003). Institutional Support was not a significant predictor of the General Education rating (F = 1.447, p = 0.232).</w:t>
      </w:r>
    </w:p>
    <w:p w14:paraId="1E1C8447" w14:textId="77777777" w:rsidR="001B225E" w:rsidRDefault="001B225E" w:rsidP="001B225E">
      <w:pPr>
        <w:spacing w:after="0" w:line="480" w:lineRule="auto"/>
        <w:ind w:firstLine="720"/>
        <w:jc w:val="both"/>
        <w:rPr>
          <w:rFonts w:ascii="Arial" w:hAnsi="Arial" w:cs="Arial"/>
        </w:rPr>
      </w:pPr>
      <w:r w:rsidRPr="00C06E05">
        <w:rPr>
          <w:rFonts w:ascii="Arial" w:hAnsi="Arial" w:cs="Arial"/>
        </w:rPr>
        <w:t xml:space="preserve">The data indicated that Academic Performance was once more the strongest predictor of the General Education rating, explaining approximately 36.2 percent of the variance, and study habits was a significant predictor for this component although it was not significant for the overall rating. The results indicate that the accumulation of academic foundational knowledge and the strengthening of disciplined study behaviors had a significant impact on performance in the General Education domain. The findings validated the results of </w:t>
      </w:r>
      <w:proofErr w:type="spellStart"/>
      <w:r w:rsidRPr="00C06E05">
        <w:rPr>
          <w:rFonts w:ascii="Arial" w:hAnsi="Arial" w:cs="Arial"/>
        </w:rPr>
        <w:t>Balinario</w:t>
      </w:r>
      <w:proofErr w:type="spellEnd"/>
      <w:r w:rsidRPr="00C06E05">
        <w:rPr>
          <w:rFonts w:ascii="Arial" w:hAnsi="Arial" w:cs="Arial"/>
        </w:rPr>
        <w:t xml:space="preserve"> et al. (2023) and Delos Angeles (2020) that the effectivity of the general education curriculum is largely influenced by the level of alignment to the LET competencies and Darling-Hammond and Bransford (2005) who argued that graduates who are more aligned with the licensure demands are products of coherent academic </w:t>
      </w:r>
      <w:r w:rsidRPr="00C06E05">
        <w:rPr>
          <w:rFonts w:ascii="Arial" w:hAnsi="Arial" w:cs="Arial"/>
        </w:rPr>
        <w:lastRenderedPageBreak/>
        <w:t>preparation. The emergence of study habits as significant in this component was consistent with Islam (2021) who linked structured study behaviors to improved examination results. The null hypothesis was therefore rejected for academic performance, profile variables, review preparation practices, and study habits, and retained for institutional support in the General Education component.</w:t>
      </w:r>
    </w:p>
    <w:p w14:paraId="470B6232" w14:textId="77777777" w:rsidR="001B225E" w:rsidRPr="001324D9" w:rsidRDefault="001B225E" w:rsidP="001B225E">
      <w:pPr>
        <w:pStyle w:val="NoSpacing"/>
        <w:jc w:val="center"/>
        <w:rPr>
          <w:rFonts w:ascii="Arial" w:hAnsi="Arial" w:cs="Arial"/>
          <w:sz w:val="24"/>
          <w:szCs w:val="24"/>
        </w:rPr>
      </w:pPr>
      <w:r w:rsidRPr="001324D9">
        <w:rPr>
          <w:rFonts w:ascii="Arial" w:hAnsi="Arial" w:cs="Arial"/>
          <w:sz w:val="24"/>
          <w:szCs w:val="24"/>
        </w:rPr>
        <w:t>Table 22</w:t>
      </w:r>
    </w:p>
    <w:p w14:paraId="1AC3002B" w14:textId="77777777" w:rsidR="001B225E" w:rsidRDefault="001B225E" w:rsidP="001B225E">
      <w:pPr>
        <w:pStyle w:val="NoSpacing"/>
        <w:jc w:val="center"/>
        <w:rPr>
          <w:rFonts w:ascii="Arial" w:hAnsi="Arial" w:cs="Arial"/>
          <w:b/>
          <w:bCs/>
          <w:sz w:val="24"/>
          <w:szCs w:val="24"/>
        </w:rPr>
      </w:pPr>
      <w:r w:rsidRPr="001324D9">
        <w:rPr>
          <w:rFonts w:ascii="Arial" w:hAnsi="Arial" w:cs="Arial"/>
          <w:b/>
          <w:bCs/>
          <w:sz w:val="24"/>
          <w:szCs w:val="24"/>
        </w:rPr>
        <w:t>Regression Analysis Predicting Professional Education Rating in Terms of the Different Predictors</w:t>
      </w:r>
    </w:p>
    <w:p w14:paraId="45EA2998" w14:textId="77777777" w:rsidR="001B225E" w:rsidRPr="001324D9" w:rsidRDefault="001B225E" w:rsidP="001B225E">
      <w:pPr>
        <w:pStyle w:val="NoSpacing"/>
        <w:jc w:val="center"/>
        <w:rPr>
          <w:rFonts w:ascii="Arial" w:hAnsi="Arial" w:cs="Arial"/>
          <w:b/>
          <w:bCs/>
          <w:sz w:val="24"/>
          <w:szCs w:val="24"/>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93"/>
        <w:gridCol w:w="864"/>
        <w:gridCol w:w="864"/>
        <w:gridCol w:w="1020"/>
        <w:gridCol w:w="972"/>
        <w:gridCol w:w="1355"/>
        <w:gridCol w:w="1447"/>
      </w:tblGrid>
      <w:tr w:rsidR="001B225E" w:rsidRPr="00C06E05" w14:paraId="18100D05" w14:textId="77777777" w:rsidTr="00146DF8">
        <w:trPr>
          <w:trHeight w:val="289"/>
          <w:tblHeader/>
        </w:trPr>
        <w:tc>
          <w:tcPr>
            <w:tcW w:w="2219"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434A79FF" w14:textId="77777777" w:rsidR="001B225E" w:rsidRPr="00C06E05" w:rsidRDefault="001B225E" w:rsidP="00146DF8">
            <w:pPr>
              <w:spacing w:after="0" w:line="240" w:lineRule="auto"/>
              <w:rPr>
                <w:rFonts w:ascii="Arial" w:hAnsi="Arial" w:cs="Arial"/>
              </w:rPr>
            </w:pPr>
            <w:r w:rsidRPr="00C06E05">
              <w:rPr>
                <w:rFonts w:ascii="Arial" w:hAnsi="Arial" w:cs="Arial"/>
                <w:b/>
                <w:bCs/>
              </w:rPr>
              <w:t>Predictors</w:t>
            </w:r>
          </w:p>
        </w:tc>
        <w:tc>
          <w:tcPr>
            <w:tcW w:w="878"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1B36F3F2"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R</w:t>
            </w:r>
          </w:p>
        </w:tc>
        <w:tc>
          <w:tcPr>
            <w:tcW w:w="878"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26394942"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R²</w:t>
            </w:r>
          </w:p>
        </w:tc>
        <w:tc>
          <w:tcPr>
            <w:tcW w:w="1083"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7EBC213F"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Adj. R²</w:t>
            </w:r>
          </w:p>
        </w:tc>
        <w:tc>
          <w:tcPr>
            <w:tcW w:w="978"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1254578A"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F</w:t>
            </w:r>
          </w:p>
        </w:tc>
        <w:tc>
          <w:tcPr>
            <w:tcW w:w="1247"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48AF00F4"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p</w:t>
            </w:r>
          </w:p>
        </w:tc>
        <w:tc>
          <w:tcPr>
            <w:tcW w:w="1332"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7CC476D7"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Result</w:t>
            </w:r>
          </w:p>
        </w:tc>
      </w:tr>
      <w:tr w:rsidR="001B225E" w:rsidRPr="00C06E05" w14:paraId="7382D219" w14:textId="77777777" w:rsidTr="00146DF8">
        <w:trPr>
          <w:trHeight w:val="289"/>
        </w:trPr>
        <w:tc>
          <w:tcPr>
            <w:tcW w:w="2219"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AD0367C" w14:textId="77777777" w:rsidR="001B225E" w:rsidRPr="00C06E05" w:rsidRDefault="001B225E" w:rsidP="00146DF8">
            <w:pPr>
              <w:spacing w:after="0" w:line="240" w:lineRule="auto"/>
              <w:rPr>
                <w:rFonts w:ascii="Arial" w:hAnsi="Arial" w:cs="Arial"/>
              </w:rPr>
            </w:pPr>
            <w:r w:rsidRPr="00C06E05">
              <w:rPr>
                <w:rFonts w:ascii="Arial" w:hAnsi="Arial" w:cs="Arial"/>
                <w:b/>
                <w:bCs/>
              </w:rPr>
              <w:t>Profile Variables</w:t>
            </w:r>
          </w:p>
        </w:tc>
        <w:tc>
          <w:tcPr>
            <w:tcW w:w="87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0C6F954"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0.511</w:t>
            </w:r>
          </w:p>
        </w:tc>
        <w:tc>
          <w:tcPr>
            <w:tcW w:w="87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C57F3E4"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0.261</w:t>
            </w:r>
          </w:p>
        </w:tc>
        <w:tc>
          <w:tcPr>
            <w:tcW w:w="10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5344CA4"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0.220</w:t>
            </w:r>
          </w:p>
        </w:tc>
        <w:tc>
          <w:tcPr>
            <w:tcW w:w="97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26D0F1D"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6.410</w:t>
            </w:r>
          </w:p>
        </w:tc>
        <w:tc>
          <w:tcPr>
            <w:tcW w:w="124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CE995B7"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0.000008</w:t>
            </w:r>
          </w:p>
        </w:tc>
        <w:tc>
          <w:tcPr>
            <w:tcW w:w="1332"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8216094"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Significant</w:t>
            </w:r>
          </w:p>
        </w:tc>
      </w:tr>
      <w:tr w:rsidR="001B225E" w:rsidRPr="00C06E05" w14:paraId="440197FD" w14:textId="77777777" w:rsidTr="00146DF8">
        <w:trPr>
          <w:trHeight w:val="579"/>
        </w:trPr>
        <w:tc>
          <w:tcPr>
            <w:tcW w:w="2219"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CC2FC18" w14:textId="77777777" w:rsidR="001B225E" w:rsidRPr="00C06E05" w:rsidRDefault="001B225E" w:rsidP="00146DF8">
            <w:pPr>
              <w:spacing w:after="0" w:line="240" w:lineRule="auto"/>
              <w:rPr>
                <w:rFonts w:ascii="Arial" w:hAnsi="Arial" w:cs="Arial"/>
              </w:rPr>
            </w:pPr>
            <w:r w:rsidRPr="00C06E05">
              <w:rPr>
                <w:rFonts w:ascii="Arial" w:hAnsi="Arial" w:cs="Arial"/>
                <w:b/>
                <w:bCs/>
              </w:rPr>
              <w:t>Academic Performance</w:t>
            </w:r>
          </w:p>
        </w:tc>
        <w:tc>
          <w:tcPr>
            <w:tcW w:w="87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F4E1E07"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0.611</w:t>
            </w:r>
          </w:p>
        </w:tc>
        <w:tc>
          <w:tcPr>
            <w:tcW w:w="87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2E2CF61"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0.374</w:t>
            </w:r>
          </w:p>
        </w:tc>
        <w:tc>
          <w:tcPr>
            <w:tcW w:w="10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23A9819"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0.345</w:t>
            </w:r>
          </w:p>
        </w:tc>
        <w:tc>
          <w:tcPr>
            <w:tcW w:w="97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CE9EB71"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13.134</w:t>
            </w:r>
          </w:p>
        </w:tc>
        <w:tc>
          <w:tcPr>
            <w:tcW w:w="124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4FA51A0"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4.99E-10</w:t>
            </w:r>
          </w:p>
        </w:tc>
        <w:tc>
          <w:tcPr>
            <w:tcW w:w="1332"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21A3F78"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Significant</w:t>
            </w:r>
          </w:p>
        </w:tc>
      </w:tr>
      <w:tr w:rsidR="001B225E" w:rsidRPr="00C06E05" w14:paraId="1B162B32" w14:textId="77777777" w:rsidTr="00146DF8">
        <w:trPr>
          <w:trHeight w:val="289"/>
        </w:trPr>
        <w:tc>
          <w:tcPr>
            <w:tcW w:w="2219"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C30A400" w14:textId="77777777" w:rsidR="001B225E" w:rsidRPr="00C06E05" w:rsidRDefault="001B225E" w:rsidP="00146DF8">
            <w:pPr>
              <w:spacing w:after="0" w:line="240" w:lineRule="auto"/>
              <w:rPr>
                <w:rFonts w:ascii="Arial" w:hAnsi="Arial" w:cs="Arial"/>
              </w:rPr>
            </w:pPr>
            <w:r w:rsidRPr="00C06E05">
              <w:rPr>
                <w:rFonts w:ascii="Arial" w:hAnsi="Arial" w:cs="Arial"/>
                <w:b/>
                <w:bCs/>
              </w:rPr>
              <w:t>Study Habits</w:t>
            </w:r>
          </w:p>
        </w:tc>
        <w:tc>
          <w:tcPr>
            <w:tcW w:w="87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1104B5F"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0.340</w:t>
            </w:r>
          </w:p>
        </w:tc>
        <w:tc>
          <w:tcPr>
            <w:tcW w:w="87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9285E45"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0.115</w:t>
            </w:r>
          </w:p>
        </w:tc>
        <w:tc>
          <w:tcPr>
            <w:tcW w:w="10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CB53FFB"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0.108</w:t>
            </w:r>
          </w:p>
        </w:tc>
        <w:tc>
          <w:tcPr>
            <w:tcW w:w="97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0643B87"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14.884</w:t>
            </w:r>
          </w:p>
        </w:tc>
        <w:tc>
          <w:tcPr>
            <w:tcW w:w="124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04C7E7D"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0.000190</w:t>
            </w:r>
          </w:p>
        </w:tc>
        <w:tc>
          <w:tcPr>
            <w:tcW w:w="1332"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19D5016"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Significant</w:t>
            </w:r>
          </w:p>
        </w:tc>
      </w:tr>
      <w:tr w:rsidR="001B225E" w:rsidRPr="00C06E05" w14:paraId="32F3E017" w14:textId="77777777" w:rsidTr="00146DF8">
        <w:trPr>
          <w:trHeight w:val="847"/>
        </w:trPr>
        <w:tc>
          <w:tcPr>
            <w:tcW w:w="2219"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C83D06A" w14:textId="77777777" w:rsidR="001B225E" w:rsidRPr="00C06E05" w:rsidRDefault="001B225E" w:rsidP="00146DF8">
            <w:pPr>
              <w:spacing w:after="0" w:line="240" w:lineRule="auto"/>
              <w:rPr>
                <w:rFonts w:ascii="Arial" w:hAnsi="Arial" w:cs="Arial"/>
              </w:rPr>
            </w:pPr>
            <w:r w:rsidRPr="00C06E05">
              <w:rPr>
                <w:rFonts w:ascii="Arial" w:hAnsi="Arial" w:cs="Arial"/>
                <w:b/>
                <w:bCs/>
              </w:rPr>
              <w:t>Review Preparation Practices</w:t>
            </w:r>
          </w:p>
        </w:tc>
        <w:tc>
          <w:tcPr>
            <w:tcW w:w="87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7DF55A4"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0.379</w:t>
            </w:r>
          </w:p>
        </w:tc>
        <w:tc>
          <w:tcPr>
            <w:tcW w:w="87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DE533F8"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0.144</w:t>
            </w:r>
          </w:p>
        </w:tc>
        <w:tc>
          <w:tcPr>
            <w:tcW w:w="10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D077E33"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0.136</w:t>
            </w:r>
          </w:p>
        </w:tc>
        <w:tc>
          <w:tcPr>
            <w:tcW w:w="978"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3811A7B"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19.141</w:t>
            </w:r>
          </w:p>
        </w:tc>
        <w:tc>
          <w:tcPr>
            <w:tcW w:w="1247"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AE1C41D"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0.0000270</w:t>
            </w:r>
          </w:p>
        </w:tc>
        <w:tc>
          <w:tcPr>
            <w:tcW w:w="1332"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22D67CC"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Significant</w:t>
            </w:r>
          </w:p>
        </w:tc>
      </w:tr>
      <w:tr w:rsidR="001B225E" w:rsidRPr="00C06E05" w14:paraId="7DCECEC8" w14:textId="77777777" w:rsidTr="00146DF8">
        <w:trPr>
          <w:trHeight w:val="579"/>
        </w:trPr>
        <w:tc>
          <w:tcPr>
            <w:tcW w:w="2219"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50E8AA2C" w14:textId="77777777" w:rsidR="001B225E" w:rsidRPr="00C06E05" w:rsidRDefault="001B225E" w:rsidP="00146DF8">
            <w:pPr>
              <w:spacing w:after="0" w:line="240" w:lineRule="auto"/>
              <w:rPr>
                <w:rFonts w:ascii="Arial" w:hAnsi="Arial" w:cs="Arial"/>
              </w:rPr>
            </w:pPr>
            <w:r w:rsidRPr="00C06E05">
              <w:rPr>
                <w:rFonts w:ascii="Arial" w:hAnsi="Arial" w:cs="Arial"/>
                <w:b/>
                <w:bCs/>
              </w:rPr>
              <w:t>Institutional Support</w:t>
            </w:r>
          </w:p>
        </w:tc>
        <w:tc>
          <w:tcPr>
            <w:tcW w:w="878"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08D52F55"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0.215</w:t>
            </w:r>
          </w:p>
        </w:tc>
        <w:tc>
          <w:tcPr>
            <w:tcW w:w="878"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75857F15"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0.046</w:t>
            </w:r>
          </w:p>
        </w:tc>
        <w:tc>
          <w:tcPr>
            <w:tcW w:w="1083"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1D69331B"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0.038</w:t>
            </w:r>
          </w:p>
        </w:tc>
        <w:tc>
          <w:tcPr>
            <w:tcW w:w="978"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67DA4AA1"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5.537</w:t>
            </w:r>
          </w:p>
        </w:tc>
        <w:tc>
          <w:tcPr>
            <w:tcW w:w="1247"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3C6DE8B1"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0.020</w:t>
            </w:r>
          </w:p>
        </w:tc>
        <w:tc>
          <w:tcPr>
            <w:tcW w:w="1332"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5F849ED9"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Significant</w:t>
            </w:r>
          </w:p>
        </w:tc>
      </w:tr>
    </w:tbl>
    <w:p w14:paraId="01DFDAB4" w14:textId="77777777" w:rsidR="001B225E" w:rsidRPr="001324D9" w:rsidRDefault="001B225E" w:rsidP="001B225E">
      <w:pPr>
        <w:spacing w:after="0" w:line="480" w:lineRule="auto"/>
        <w:rPr>
          <w:rFonts w:ascii="Arial" w:hAnsi="Arial" w:cs="Arial"/>
          <w:i/>
          <w:iCs/>
        </w:rPr>
      </w:pPr>
      <w:r w:rsidRPr="001324D9">
        <w:rPr>
          <w:rFonts w:ascii="Arial" w:hAnsi="Arial" w:cs="Arial"/>
          <w:i/>
          <w:iCs/>
        </w:rPr>
        <w:t>Note. Significance level set at p &lt; 0.05.</w:t>
      </w:r>
    </w:p>
    <w:p w14:paraId="03D5CB3D" w14:textId="77777777" w:rsidR="001B225E" w:rsidRDefault="001B225E" w:rsidP="001B225E">
      <w:pPr>
        <w:spacing w:after="0" w:line="480" w:lineRule="auto"/>
        <w:ind w:firstLine="720"/>
        <w:jc w:val="both"/>
        <w:rPr>
          <w:rFonts w:ascii="Arial" w:hAnsi="Arial" w:cs="Arial"/>
        </w:rPr>
      </w:pPr>
      <w:r w:rsidRPr="00C06E05">
        <w:rPr>
          <w:rFonts w:ascii="Arial" w:hAnsi="Arial" w:cs="Arial"/>
        </w:rPr>
        <w:t xml:space="preserve">Table </w:t>
      </w:r>
      <w:r>
        <w:rPr>
          <w:rFonts w:ascii="Arial" w:hAnsi="Arial" w:cs="Arial"/>
        </w:rPr>
        <w:t xml:space="preserve">22 </w:t>
      </w:r>
      <w:r w:rsidRPr="00C06E05">
        <w:rPr>
          <w:rFonts w:ascii="Arial" w:hAnsi="Arial" w:cs="Arial"/>
        </w:rPr>
        <w:t>presented the regression analysis predicting the Professional Education rating. All five predictor groups significantly predicted the Professional Education rating, namely Academic Performance (F = 13.134, p &lt; 0.001), Review Preparation Practices (F = 19.141, p &lt; 0.001), Profile Variables (F = 6.410, p &lt; 0.001), Study Habits (F = 14.884, p &lt; 0.001), and Institutional Support (F = 5.537,</w:t>
      </w:r>
      <w:r>
        <w:rPr>
          <w:rFonts w:ascii="Arial" w:hAnsi="Arial" w:cs="Arial"/>
        </w:rPr>
        <w:t xml:space="preserve"> </w:t>
      </w:r>
      <w:r w:rsidRPr="00C06E05">
        <w:rPr>
          <w:rFonts w:ascii="Arial" w:hAnsi="Arial" w:cs="Arial"/>
        </w:rPr>
        <w:t>p = 0.020).The data revealed that the Professional Education component was the</w:t>
      </w:r>
      <w:r>
        <w:rPr>
          <w:rFonts w:ascii="Arial" w:hAnsi="Arial" w:cs="Arial"/>
        </w:rPr>
        <w:t xml:space="preserve">  </w:t>
      </w:r>
      <w:r w:rsidRPr="00C06E05">
        <w:rPr>
          <w:rFonts w:ascii="Arial" w:hAnsi="Arial" w:cs="Arial"/>
        </w:rPr>
        <w:t>only domain in which all five predictor groups reached significance, with Academic</w:t>
      </w:r>
      <w:r>
        <w:rPr>
          <w:rFonts w:ascii="Arial" w:hAnsi="Arial" w:cs="Arial"/>
        </w:rPr>
        <w:t xml:space="preserve"> </w:t>
      </w:r>
      <w:r w:rsidRPr="00C06E05">
        <w:rPr>
          <w:rFonts w:ascii="Arial" w:hAnsi="Arial" w:cs="Arial"/>
        </w:rPr>
        <w:lastRenderedPageBreak/>
        <w:t xml:space="preserve">Performance again the strongest, explaining approximately 37.4 percent of the variance. </w:t>
      </w:r>
    </w:p>
    <w:p w14:paraId="3BE29E35" w14:textId="77777777" w:rsidR="001B225E" w:rsidRDefault="001B225E" w:rsidP="001B225E">
      <w:pPr>
        <w:spacing w:after="0" w:line="480" w:lineRule="auto"/>
        <w:ind w:firstLine="720"/>
        <w:jc w:val="both"/>
        <w:rPr>
          <w:rFonts w:ascii="Arial" w:hAnsi="Arial" w:cs="Arial"/>
        </w:rPr>
      </w:pPr>
      <w:r w:rsidRPr="00C06E05">
        <w:rPr>
          <w:rFonts w:ascii="Arial" w:hAnsi="Arial" w:cs="Arial"/>
        </w:rPr>
        <w:t xml:space="preserve">This finding pointed out that the pedagogical performance in the LET was the most completely determined of all the components, using all dimensions of the takers' preparation.  The result is in agreement with the findings of </w:t>
      </w:r>
      <w:proofErr w:type="spellStart"/>
      <w:r w:rsidRPr="00C06E05">
        <w:rPr>
          <w:rFonts w:ascii="Arial" w:hAnsi="Arial" w:cs="Arial"/>
        </w:rPr>
        <w:t>Amanonce</w:t>
      </w:r>
      <w:proofErr w:type="spellEnd"/>
      <w:r w:rsidRPr="00C06E05">
        <w:rPr>
          <w:rFonts w:ascii="Arial" w:hAnsi="Arial" w:cs="Arial"/>
        </w:rPr>
        <w:t xml:space="preserve"> and Maramag (2020) and Lao (2021) who reported that the professional education grades were among the strongest academic predictors of LET performance and the Professional Regulation Commission (2025) that highlighted the need to align the preparation with the coverage of the professional education examination. </w:t>
      </w:r>
    </w:p>
    <w:p w14:paraId="7FDC26D2" w14:textId="77777777" w:rsidR="001B225E" w:rsidRDefault="001B225E" w:rsidP="001B225E">
      <w:pPr>
        <w:spacing w:after="0" w:line="480" w:lineRule="auto"/>
        <w:ind w:firstLine="720"/>
        <w:jc w:val="both"/>
        <w:rPr>
          <w:rFonts w:ascii="Arial" w:hAnsi="Arial" w:cs="Arial"/>
        </w:rPr>
      </w:pPr>
      <w:r w:rsidRPr="00C06E05">
        <w:rPr>
          <w:rFonts w:ascii="Arial" w:hAnsi="Arial" w:cs="Arial"/>
        </w:rPr>
        <w:t>The significance of all predictor groups in this component underscored the integrated nature of pedagogical readiness, where academic foundations, review, institutional support, study habits, and profile characteristics jointly contributed to performance. The null hypothesis was therefore rejected for all five predictor groups in the Professional Education component.</w:t>
      </w:r>
    </w:p>
    <w:p w14:paraId="3BCA3B1A" w14:textId="77777777" w:rsidR="001B225E" w:rsidRDefault="001B225E" w:rsidP="001B225E">
      <w:pPr>
        <w:spacing w:after="0" w:line="480" w:lineRule="auto"/>
        <w:ind w:firstLine="720"/>
        <w:jc w:val="both"/>
        <w:rPr>
          <w:rFonts w:ascii="Arial" w:hAnsi="Arial" w:cs="Arial"/>
        </w:rPr>
      </w:pPr>
      <w:r w:rsidRPr="00C06E05">
        <w:rPr>
          <w:rFonts w:ascii="Arial" w:hAnsi="Arial" w:cs="Arial"/>
        </w:rPr>
        <w:t xml:space="preserve">Table </w:t>
      </w:r>
      <w:r>
        <w:rPr>
          <w:rFonts w:ascii="Arial" w:hAnsi="Arial" w:cs="Arial"/>
        </w:rPr>
        <w:t>22</w:t>
      </w:r>
      <w:r w:rsidRPr="00C06E05">
        <w:rPr>
          <w:rFonts w:ascii="Arial" w:hAnsi="Arial" w:cs="Arial"/>
        </w:rPr>
        <w:t xml:space="preserve"> presented the regression analysis predicting the Major or</w:t>
      </w:r>
      <w:r>
        <w:rPr>
          <w:rFonts w:ascii="Arial" w:hAnsi="Arial" w:cs="Arial"/>
        </w:rPr>
        <w:t xml:space="preserve"> </w:t>
      </w:r>
      <w:r w:rsidRPr="00C06E05">
        <w:rPr>
          <w:rFonts w:ascii="Arial" w:hAnsi="Arial" w:cs="Arial"/>
        </w:rPr>
        <w:t>Specialization rating. Two predictor groups significantly predicted the Major or Specialization rating, namely Academic Performance (F = 13.134, p &lt; 0.001) and Profile Variables (F = 4.245, p = 0.001). Study Habits (p = 0.068), Review Preparation Practices (p = 0.146) and Institutional Support (p = 0.081) were not significant statistically.</w:t>
      </w:r>
    </w:p>
    <w:p w14:paraId="584A352D"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t>The results showed that Academic Performance and Profile Variables were strong predictors of performance in the Major or Specialization component,</w:t>
      </w:r>
      <w:r>
        <w:rPr>
          <w:rFonts w:ascii="Arial" w:hAnsi="Arial" w:cs="Arial"/>
        </w:rPr>
        <w:t xml:space="preserve"> </w:t>
      </w:r>
      <w:r w:rsidRPr="00C06E05">
        <w:rPr>
          <w:rFonts w:ascii="Arial" w:hAnsi="Arial" w:cs="Arial"/>
        </w:rPr>
        <w:t>whereas the</w:t>
      </w:r>
      <w:r>
        <w:rPr>
          <w:rFonts w:ascii="Arial" w:hAnsi="Arial" w:cs="Arial"/>
        </w:rPr>
        <w:t xml:space="preserve"> </w:t>
      </w:r>
      <w:r w:rsidRPr="00C06E05">
        <w:rPr>
          <w:rFonts w:ascii="Arial" w:hAnsi="Arial" w:cs="Arial"/>
        </w:rPr>
        <w:t>environmental predictors were not significant. This pattern suggested</w:t>
      </w:r>
    </w:p>
    <w:p w14:paraId="31E6EC4B" w14:textId="77777777" w:rsidR="001B225E" w:rsidRPr="00C06E05" w:rsidRDefault="001B225E" w:rsidP="001B225E">
      <w:pPr>
        <w:spacing w:after="0" w:line="480" w:lineRule="auto"/>
        <w:ind w:firstLine="720"/>
        <w:jc w:val="both"/>
        <w:rPr>
          <w:rFonts w:ascii="Arial" w:hAnsi="Arial" w:cs="Arial"/>
        </w:rPr>
      </w:pPr>
    </w:p>
    <w:p w14:paraId="0303D723" w14:textId="77777777" w:rsidR="001B225E" w:rsidRDefault="001B225E" w:rsidP="001B225E">
      <w:pPr>
        <w:pStyle w:val="NoSpacing"/>
        <w:jc w:val="center"/>
        <w:rPr>
          <w:rFonts w:ascii="Arial" w:hAnsi="Arial" w:cs="Arial"/>
          <w:sz w:val="24"/>
          <w:szCs w:val="24"/>
        </w:rPr>
      </w:pPr>
    </w:p>
    <w:p w14:paraId="4560FDAE" w14:textId="77777777" w:rsidR="001B225E" w:rsidRPr="001324D9" w:rsidRDefault="001B225E" w:rsidP="001B225E">
      <w:pPr>
        <w:pStyle w:val="NoSpacing"/>
        <w:jc w:val="center"/>
        <w:rPr>
          <w:rFonts w:ascii="Arial" w:hAnsi="Arial" w:cs="Arial"/>
          <w:sz w:val="24"/>
          <w:szCs w:val="24"/>
        </w:rPr>
      </w:pPr>
      <w:r w:rsidRPr="001324D9">
        <w:rPr>
          <w:rFonts w:ascii="Arial" w:hAnsi="Arial" w:cs="Arial"/>
          <w:sz w:val="24"/>
          <w:szCs w:val="24"/>
        </w:rPr>
        <w:t>Table 2</w:t>
      </w:r>
      <w:r>
        <w:rPr>
          <w:rFonts w:ascii="Arial" w:hAnsi="Arial" w:cs="Arial"/>
          <w:sz w:val="24"/>
          <w:szCs w:val="24"/>
        </w:rPr>
        <w:t>3</w:t>
      </w:r>
    </w:p>
    <w:p w14:paraId="34F0DD3F" w14:textId="77777777" w:rsidR="001B225E" w:rsidRDefault="001B225E" w:rsidP="001B225E">
      <w:pPr>
        <w:pStyle w:val="NoSpacing"/>
        <w:jc w:val="center"/>
        <w:rPr>
          <w:rFonts w:ascii="Arial" w:hAnsi="Arial" w:cs="Arial"/>
          <w:b/>
          <w:bCs/>
          <w:i/>
          <w:iCs/>
          <w:sz w:val="24"/>
          <w:szCs w:val="24"/>
        </w:rPr>
      </w:pPr>
      <w:r w:rsidRPr="001324D9">
        <w:rPr>
          <w:rFonts w:ascii="Arial" w:hAnsi="Arial" w:cs="Arial"/>
          <w:b/>
          <w:bCs/>
          <w:i/>
          <w:iCs/>
          <w:sz w:val="24"/>
          <w:szCs w:val="24"/>
        </w:rPr>
        <w:t>Regression Analysis Predicting Major/Specialization Rating in Terms of the Different Predictors</w:t>
      </w:r>
    </w:p>
    <w:p w14:paraId="17648CFC" w14:textId="77777777" w:rsidR="001B225E" w:rsidRPr="001324D9" w:rsidRDefault="001B225E" w:rsidP="001B225E">
      <w:pPr>
        <w:pStyle w:val="NoSpacing"/>
        <w:jc w:val="center"/>
        <w:rPr>
          <w:rFonts w:ascii="Arial" w:hAnsi="Arial" w:cs="Arial"/>
          <w:b/>
          <w:bCs/>
          <w:sz w:val="24"/>
          <w:szCs w:val="24"/>
        </w:rPr>
      </w:pP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51"/>
        <w:gridCol w:w="872"/>
        <w:gridCol w:w="872"/>
        <w:gridCol w:w="1050"/>
        <w:gridCol w:w="977"/>
        <w:gridCol w:w="1208"/>
        <w:gridCol w:w="1447"/>
      </w:tblGrid>
      <w:tr w:rsidR="001B225E" w:rsidRPr="00C06E05" w14:paraId="51F1D298" w14:textId="77777777" w:rsidTr="00146DF8">
        <w:trPr>
          <w:trHeight w:val="288"/>
          <w:tblHeader/>
        </w:trPr>
        <w:tc>
          <w:tcPr>
            <w:tcW w:w="2269"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078163E3" w14:textId="77777777" w:rsidR="001B225E" w:rsidRPr="00C06E05" w:rsidRDefault="001B225E" w:rsidP="00146DF8">
            <w:pPr>
              <w:spacing w:after="0" w:line="240" w:lineRule="auto"/>
              <w:rPr>
                <w:rFonts w:ascii="Arial" w:hAnsi="Arial" w:cs="Arial"/>
              </w:rPr>
            </w:pPr>
            <w:r w:rsidRPr="00C06E05">
              <w:rPr>
                <w:rFonts w:ascii="Arial" w:hAnsi="Arial" w:cs="Arial"/>
                <w:b/>
                <w:bCs/>
              </w:rPr>
              <w:t>Predictors</w:t>
            </w:r>
          </w:p>
        </w:tc>
        <w:tc>
          <w:tcPr>
            <w:tcW w:w="885"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09E1A1C2"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R</w:t>
            </w:r>
          </w:p>
        </w:tc>
        <w:tc>
          <w:tcPr>
            <w:tcW w:w="885"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30073BFC"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R²</w:t>
            </w:r>
          </w:p>
        </w:tc>
        <w:tc>
          <w:tcPr>
            <w:tcW w:w="1109"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20950858"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Adj. R²</w:t>
            </w:r>
          </w:p>
        </w:tc>
        <w:tc>
          <w:tcPr>
            <w:tcW w:w="983"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106DCAA0"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F</w:t>
            </w:r>
          </w:p>
        </w:tc>
        <w:tc>
          <w:tcPr>
            <w:tcW w:w="1120"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5F030782"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p</w:t>
            </w:r>
          </w:p>
        </w:tc>
        <w:tc>
          <w:tcPr>
            <w:tcW w:w="1326" w:type="dxa"/>
            <w:tcBorders>
              <w:top w:val="single" w:sz="6" w:space="0" w:color="000000"/>
              <w:left w:val="none" w:sz="0" w:space="0" w:color="FFFFFF"/>
              <w:bottom w:val="single" w:sz="6" w:space="0" w:color="000000"/>
              <w:right w:val="none" w:sz="0" w:space="0" w:color="FFFFFF"/>
            </w:tcBorders>
            <w:tcMar>
              <w:top w:w="50" w:type="dxa"/>
              <w:left w:w="110" w:type="dxa"/>
              <w:bottom w:w="50" w:type="dxa"/>
              <w:right w:w="110" w:type="dxa"/>
            </w:tcMar>
            <w:vAlign w:val="center"/>
          </w:tcPr>
          <w:p w14:paraId="1243E696"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Result</w:t>
            </w:r>
          </w:p>
        </w:tc>
      </w:tr>
      <w:tr w:rsidR="001B225E" w:rsidRPr="00C06E05" w14:paraId="0C7A5257" w14:textId="77777777" w:rsidTr="00146DF8">
        <w:trPr>
          <w:trHeight w:val="288"/>
        </w:trPr>
        <w:tc>
          <w:tcPr>
            <w:tcW w:w="2269"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52903B6" w14:textId="77777777" w:rsidR="001B225E" w:rsidRPr="00C06E05" w:rsidRDefault="001B225E" w:rsidP="00146DF8">
            <w:pPr>
              <w:spacing w:after="0" w:line="240" w:lineRule="auto"/>
              <w:rPr>
                <w:rFonts w:ascii="Arial" w:hAnsi="Arial" w:cs="Arial"/>
              </w:rPr>
            </w:pPr>
            <w:r w:rsidRPr="00C06E05">
              <w:rPr>
                <w:rFonts w:ascii="Arial" w:hAnsi="Arial" w:cs="Arial"/>
                <w:b/>
                <w:bCs/>
              </w:rPr>
              <w:t>Profile Variables</w:t>
            </w:r>
          </w:p>
        </w:tc>
        <w:tc>
          <w:tcPr>
            <w:tcW w:w="88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1802592"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0.435</w:t>
            </w:r>
          </w:p>
        </w:tc>
        <w:tc>
          <w:tcPr>
            <w:tcW w:w="88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C2E44AE"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0.189</w:t>
            </w:r>
          </w:p>
        </w:tc>
        <w:tc>
          <w:tcPr>
            <w:tcW w:w="1109"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60D9D9A"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0.145</w:t>
            </w:r>
          </w:p>
        </w:tc>
        <w:tc>
          <w:tcPr>
            <w:tcW w:w="9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3640757"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4.245</w:t>
            </w:r>
          </w:p>
        </w:tc>
        <w:tc>
          <w:tcPr>
            <w:tcW w:w="112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F7A921D"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0.001</w:t>
            </w:r>
          </w:p>
        </w:tc>
        <w:tc>
          <w:tcPr>
            <w:tcW w:w="132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C441F86"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Significant</w:t>
            </w:r>
          </w:p>
        </w:tc>
      </w:tr>
      <w:tr w:rsidR="001B225E" w:rsidRPr="00C06E05" w14:paraId="2CE9F971" w14:textId="77777777" w:rsidTr="00146DF8">
        <w:trPr>
          <w:trHeight w:val="576"/>
        </w:trPr>
        <w:tc>
          <w:tcPr>
            <w:tcW w:w="2269"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BB5946B" w14:textId="77777777" w:rsidR="001B225E" w:rsidRPr="00C06E05" w:rsidRDefault="001B225E" w:rsidP="00146DF8">
            <w:pPr>
              <w:spacing w:after="0" w:line="240" w:lineRule="auto"/>
              <w:rPr>
                <w:rFonts w:ascii="Arial" w:hAnsi="Arial" w:cs="Arial"/>
              </w:rPr>
            </w:pPr>
            <w:r w:rsidRPr="00C06E05">
              <w:rPr>
                <w:rFonts w:ascii="Arial" w:hAnsi="Arial" w:cs="Arial"/>
                <w:b/>
                <w:bCs/>
              </w:rPr>
              <w:t>Academic Performance</w:t>
            </w:r>
          </w:p>
        </w:tc>
        <w:tc>
          <w:tcPr>
            <w:tcW w:w="88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100BAB49"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0.490</w:t>
            </w:r>
          </w:p>
        </w:tc>
        <w:tc>
          <w:tcPr>
            <w:tcW w:w="88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AB6BDE7"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0.240</w:t>
            </w:r>
          </w:p>
        </w:tc>
        <w:tc>
          <w:tcPr>
            <w:tcW w:w="1109"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FA00B1A"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0.205</w:t>
            </w:r>
          </w:p>
        </w:tc>
        <w:tc>
          <w:tcPr>
            <w:tcW w:w="9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9D6C985"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13.134</w:t>
            </w:r>
          </w:p>
        </w:tc>
        <w:tc>
          <w:tcPr>
            <w:tcW w:w="112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FFDF4CB"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0.000011</w:t>
            </w:r>
          </w:p>
        </w:tc>
        <w:tc>
          <w:tcPr>
            <w:tcW w:w="132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CA4E4CB" w14:textId="77777777" w:rsidR="001B225E" w:rsidRPr="00C06E05" w:rsidRDefault="001B225E" w:rsidP="00146DF8">
            <w:pPr>
              <w:spacing w:after="0" w:line="240" w:lineRule="auto"/>
              <w:jc w:val="center"/>
              <w:rPr>
                <w:rFonts w:ascii="Arial" w:hAnsi="Arial" w:cs="Arial"/>
              </w:rPr>
            </w:pPr>
            <w:r w:rsidRPr="00C06E05">
              <w:rPr>
                <w:rFonts w:ascii="Arial" w:hAnsi="Arial" w:cs="Arial"/>
                <w:b/>
                <w:bCs/>
              </w:rPr>
              <w:t>Significant</w:t>
            </w:r>
          </w:p>
        </w:tc>
      </w:tr>
      <w:tr w:rsidR="001B225E" w:rsidRPr="00C06E05" w14:paraId="5C9ABE62" w14:textId="77777777" w:rsidTr="00146DF8">
        <w:trPr>
          <w:trHeight w:val="576"/>
        </w:trPr>
        <w:tc>
          <w:tcPr>
            <w:tcW w:w="2269"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71338A6" w14:textId="77777777" w:rsidR="001B225E" w:rsidRPr="00C06E05" w:rsidRDefault="001B225E" w:rsidP="00146DF8">
            <w:pPr>
              <w:spacing w:after="0" w:line="240" w:lineRule="auto"/>
              <w:rPr>
                <w:rFonts w:ascii="Arial" w:hAnsi="Arial" w:cs="Arial"/>
              </w:rPr>
            </w:pPr>
            <w:r w:rsidRPr="00C06E05">
              <w:rPr>
                <w:rFonts w:ascii="Arial" w:hAnsi="Arial" w:cs="Arial"/>
              </w:rPr>
              <w:t>Study Habits</w:t>
            </w:r>
          </w:p>
        </w:tc>
        <w:tc>
          <w:tcPr>
            <w:tcW w:w="88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770EE8E" w14:textId="77777777" w:rsidR="001B225E" w:rsidRPr="00C06E05" w:rsidRDefault="001B225E" w:rsidP="00146DF8">
            <w:pPr>
              <w:spacing w:after="0" w:line="240" w:lineRule="auto"/>
              <w:jc w:val="center"/>
              <w:rPr>
                <w:rFonts w:ascii="Arial" w:hAnsi="Arial" w:cs="Arial"/>
              </w:rPr>
            </w:pPr>
            <w:r w:rsidRPr="00C06E05">
              <w:rPr>
                <w:rFonts w:ascii="Arial" w:hAnsi="Arial" w:cs="Arial"/>
              </w:rPr>
              <w:t>0.170</w:t>
            </w:r>
          </w:p>
        </w:tc>
        <w:tc>
          <w:tcPr>
            <w:tcW w:w="88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27C848B" w14:textId="77777777" w:rsidR="001B225E" w:rsidRPr="00C06E05" w:rsidRDefault="001B225E" w:rsidP="00146DF8">
            <w:pPr>
              <w:spacing w:after="0" w:line="240" w:lineRule="auto"/>
              <w:jc w:val="center"/>
              <w:rPr>
                <w:rFonts w:ascii="Arial" w:hAnsi="Arial" w:cs="Arial"/>
              </w:rPr>
            </w:pPr>
            <w:r w:rsidRPr="00C06E05">
              <w:rPr>
                <w:rFonts w:ascii="Arial" w:hAnsi="Arial" w:cs="Arial"/>
              </w:rPr>
              <w:t>0.029</w:t>
            </w:r>
          </w:p>
        </w:tc>
        <w:tc>
          <w:tcPr>
            <w:tcW w:w="1109"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6DF5A2DB" w14:textId="77777777" w:rsidR="001B225E" w:rsidRPr="00C06E05" w:rsidRDefault="001B225E" w:rsidP="00146DF8">
            <w:pPr>
              <w:spacing w:after="0" w:line="240" w:lineRule="auto"/>
              <w:jc w:val="center"/>
              <w:rPr>
                <w:rFonts w:ascii="Arial" w:hAnsi="Arial" w:cs="Arial"/>
              </w:rPr>
            </w:pPr>
            <w:r w:rsidRPr="00C06E05">
              <w:rPr>
                <w:rFonts w:ascii="Arial" w:hAnsi="Arial" w:cs="Arial"/>
              </w:rPr>
              <w:t>0.020</w:t>
            </w:r>
          </w:p>
        </w:tc>
        <w:tc>
          <w:tcPr>
            <w:tcW w:w="9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375AE03" w14:textId="77777777" w:rsidR="001B225E" w:rsidRPr="00C06E05" w:rsidRDefault="001B225E" w:rsidP="00146DF8">
            <w:pPr>
              <w:spacing w:after="0" w:line="240" w:lineRule="auto"/>
              <w:jc w:val="center"/>
              <w:rPr>
                <w:rFonts w:ascii="Arial" w:hAnsi="Arial" w:cs="Arial"/>
              </w:rPr>
            </w:pPr>
            <w:r w:rsidRPr="00C06E05">
              <w:rPr>
                <w:rFonts w:ascii="Arial" w:hAnsi="Arial" w:cs="Arial"/>
              </w:rPr>
              <w:t>3.393</w:t>
            </w:r>
          </w:p>
        </w:tc>
        <w:tc>
          <w:tcPr>
            <w:tcW w:w="112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4A165B5" w14:textId="77777777" w:rsidR="001B225E" w:rsidRPr="00C06E05" w:rsidRDefault="001B225E" w:rsidP="00146DF8">
            <w:pPr>
              <w:spacing w:after="0" w:line="240" w:lineRule="auto"/>
              <w:jc w:val="center"/>
              <w:rPr>
                <w:rFonts w:ascii="Arial" w:hAnsi="Arial" w:cs="Arial"/>
              </w:rPr>
            </w:pPr>
            <w:r w:rsidRPr="00C06E05">
              <w:rPr>
                <w:rFonts w:ascii="Arial" w:hAnsi="Arial" w:cs="Arial"/>
              </w:rPr>
              <w:t>0.068</w:t>
            </w:r>
          </w:p>
        </w:tc>
        <w:tc>
          <w:tcPr>
            <w:tcW w:w="132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4EC7A892" w14:textId="77777777" w:rsidR="001B225E" w:rsidRPr="00C06E05" w:rsidRDefault="001B225E" w:rsidP="00146DF8">
            <w:pPr>
              <w:spacing w:after="0" w:line="240" w:lineRule="auto"/>
              <w:jc w:val="center"/>
              <w:rPr>
                <w:rFonts w:ascii="Arial" w:hAnsi="Arial" w:cs="Arial"/>
              </w:rPr>
            </w:pPr>
            <w:r w:rsidRPr="00C06E05">
              <w:rPr>
                <w:rFonts w:ascii="Arial" w:hAnsi="Arial" w:cs="Arial"/>
              </w:rPr>
              <w:t>Not Significant</w:t>
            </w:r>
          </w:p>
        </w:tc>
      </w:tr>
      <w:tr w:rsidR="001B225E" w:rsidRPr="00C06E05" w14:paraId="0C8CA044" w14:textId="77777777" w:rsidTr="00146DF8">
        <w:trPr>
          <w:trHeight w:val="555"/>
        </w:trPr>
        <w:tc>
          <w:tcPr>
            <w:tcW w:w="2269"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7868B2C" w14:textId="77777777" w:rsidR="001B225E" w:rsidRPr="00C06E05" w:rsidRDefault="001B225E" w:rsidP="00146DF8">
            <w:pPr>
              <w:spacing w:after="0" w:line="240" w:lineRule="auto"/>
              <w:rPr>
                <w:rFonts w:ascii="Arial" w:hAnsi="Arial" w:cs="Arial"/>
              </w:rPr>
            </w:pPr>
            <w:r w:rsidRPr="00C06E05">
              <w:rPr>
                <w:rFonts w:ascii="Arial" w:hAnsi="Arial" w:cs="Arial"/>
              </w:rPr>
              <w:t>Review Preparation Practices</w:t>
            </w:r>
          </w:p>
        </w:tc>
        <w:tc>
          <w:tcPr>
            <w:tcW w:w="88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3F95DB18" w14:textId="77777777" w:rsidR="001B225E" w:rsidRPr="00C06E05" w:rsidRDefault="001B225E" w:rsidP="00146DF8">
            <w:pPr>
              <w:spacing w:after="0" w:line="240" w:lineRule="auto"/>
              <w:jc w:val="center"/>
              <w:rPr>
                <w:rFonts w:ascii="Arial" w:hAnsi="Arial" w:cs="Arial"/>
              </w:rPr>
            </w:pPr>
            <w:r w:rsidRPr="00C06E05">
              <w:rPr>
                <w:rFonts w:ascii="Arial" w:hAnsi="Arial" w:cs="Arial"/>
              </w:rPr>
              <w:t>0.136</w:t>
            </w:r>
          </w:p>
        </w:tc>
        <w:tc>
          <w:tcPr>
            <w:tcW w:w="885"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730305D3" w14:textId="77777777" w:rsidR="001B225E" w:rsidRPr="00C06E05" w:rsidRDefault="001B225E" w:rsidP="00146DF8">
            <w:pPr>
              <w:spacing w:after="0" w:line="240" w:lineRule="auto"/>
              <w:jc w:val="center"/>
              <w:rPr>
                <w:rFonts w:ascii="Arial" w:hAnsi="Arial" w:cs="Arial"/>
              </w:rPr>
            </w:pPr>
            <w:r w:rsidRPr="00C06E05">
              <w:rPr>
                <w:rFonts w:ascii="Arial" w:hAnsi="Arial" w:cs="Arial"/>
              </w:rPr>
              <w:t>0.018</w:t>
            </w:r>
          </w:p>
        </w:tc>
        <w:tc>
          <w:tcPr>
            <w:tcW w:w="1109"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6037540" w14:textId="77777777" w:rsidR="001B225E" w:rsidRPr="00C06E05" w:rsidRDefault="001B225E" w:rsidP="00146DF8">
            <w:pPr>
              <w:spacing w:after="0" w:line="240" w:lineRule="auto"/>
              <w:jc w:val="center"/>
              <w:rPr>
                <w:rFonts w:ascii="Arial" w:hAnsi="Arial" w:cs="Arial"/>
              </w:rPr>
            </w:pPr>
            <w:r w:rsidRPr="00C06E05">
              <w:rPr>
                <w:rFonts w:ascii="Arial" w:hAnsi="Arial" w:cs="Arial"/>
              </w:rPr>
              <w:t>0.010</w:t>
            </w:r>
          </w:p>
        </w:tc>
        <w:tc>
          <w:tcPr>
            <w:tcW w:w="983"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5DB5ECFE" w14:textId="77777777" w:rsidR="001B225E" w:rsidRPr="00C06E05" w:rsidRDefault="001B225E" w:rsidP="00146DF8">
            <w:pPr>
              <w:spacing w:after="0" w:line="240" w:lineRule="auto"/>
              <w:jc w:val="center"/>
              <w:rPr>
                <w:rFonts w:ascii="Arial" w:hAnsi="Arial" w:cs="Arial"/>
              </w:rPr>
            </w:pPr>
            <w:r w:rsidRPr="00C06E05">
              <w:rPr>
                <w:rFonts w:ascii="Arial" w:hAnsi="Arial" w:cs="Arial"/>
              </w:rPr>
              <w:t>2.143</w:t>
            </w:r>
          </w:p>
        </w:tc>
        <w:tc>
          <w:tcPr>
            <w:tcW w:w="1120"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2751B6D3" w14:textId="77777777" w:rsidR="001B225E" w:rsidRPr="00C06E05" w:rsidRDefault="001B225E" w:rsidP="00146DF8">
            <w:pPr>
              <w:spacing w:after="0" w:line="240" w:lineRule="auto"/>
              <w:jc w:val="center"/>
              <w:rPr>
                <w:rFonts w:ascii="Arial" w:hAnsi="Arial" w:cs="Arial"/>
              </w:rPr>
            </w:pPr>
            <w:r w:rsidRPr="00C06E05">
              <w:rPr>
                <w:rFonts w:ascii="Arial" w:hAnsi="Arial" w:cs="Arial"/>
              </w:rPr>
              <w:t>0.146</w:t>
            </w:r>
          </w:p>
        </w:tc>
        <w:tc>
          <w:tcPr>
            <w:tcW w:w="1326" w:type="dxa"/>
            <w:tcBorders>
              <w:top w:val="none" w:sz="0" w:space="0" w:color="FFFFFF"/>
              <w:left w:val="none" w:sz="0" w:space="0" w:color="FFFFFF"/>
              <w:bottom w:val="none" w:sz="0" w:space="0" w:color="FFFFFF"/>
              <w:right w:val="none" w:sz="0" w:space="0" w:color="FFFFFF"/>
            </w:tcBorders>
            <w:tcMar>
              <w:top w:w="50" w:type="dxa"/>
              <w:left w:w="110" w:type="dxa"/>
              <w:bottom w:w="50" w:type="dxa"/>
              <w:right w:w="110" w:type="dxa"/>
            </w:tcMar>
            <w:vAlign w:val="center"/>
          </w:tcPr>
          <w:p w14:paraId="04DF7B5F" w14:textId="77777777" w:rsidR="001B225E" w:rsidRPr="00C06E05" w:rsidRDefault="001B225E" w:rsidP="00146DF8">
            <w:pPr>
              <w:spacing w:after="0" w:line="240" w:lineRule="auto"/>
              <w:jc w:val="center"/>
              <w:rPr>
                <w:rFonts w:ascii="Arial" w:hAnsi="Arial" w:cs="Arial"/>
              </w:rPr>
            </w:pPr>
            <w:r w:rsidRPr="00C06E05">
              <w:rPr>
                <w:rFonts w:ascii="Arial" w:hAnsi="Arial" w:cs="Arial"/>
              </w:rPr>
              <w:t>Not Significant</w:t>
            </w:r>
          </w:p>
        </w:tc>
      </w:tr>
      <w:tr w:rsidR="001B225E" w:rsidRPr="00C06E05" w14:paraId="6E06E5FD" w14:textId="77777777" w:rsidTr="00146DF8">
        <w:trPr>
          <w:trHeight w:val="576"/>
        </w:trPr>
        <w:tc>
          <w:tcPr>
            <w:tcW w:w="2269"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09ECFF63" w14:textId="77777777" w:rsidR="001B225E" w:rsidRPr="00C06E05" w:rsidRDefault="001B225E" w:rsidP="00146DF8">
            <w:pPr>
              <w:spacing w:after="0" w:line="240" w:lineRule="auto"/>
              <w:rPr>
                <w:rFonts w:ascii="Arial" w:hAnsi="Arial" w:cs="Arial"/>
              </w:rPr>
            </w:pPr>
            <w:r w:rsidRPr="00C06E05">
              <w:rPr>
                <w:rFonts w:ascii="Arial" w:hAnsi="Arial" w:cs="Arial"/>
              </w:rPr>
              <w:t>Institutional Support</w:t>
            </w:r>
          </w:p>
        </w:tc>
        <w:tc>
          <w:tcPr>
            <w:tcW w:w="885"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640E32A8" w14:textId="77777777" w:rsidR="001B225E" w:rsidRPr="00C06E05" w:rsidRDefault="001B225E" w:rsidP="00146DF8">
            <w:pPr>
              <w:spacing w:after="0" w:line="240" w:lineRule="auto"/>
              <w:jc w:val="center"/>
              <w:rPr>
                <w:rFonts w:ascii="Arial" w:hAnsi="Arial" w:cs="Arial"/>
              </w:rPr>
            </w:pPr>
            <w:r w:rsidRPr="00C06E05">
              <w:rPr>
                <w:rFonts w:ascii="Arial" w:hAnsi="Arial" w:cs="Arial"/>
              </w:rPr>
              <w:t>0.163</w:t>
            </w:r>
          </w:p>
        </w:tc>
        <w:tc>
          <w:tcPr>
            <w:tcW w:w="885"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0FBA51FE" w14:textId="77777777" w:rsidR="001B225E" w:rsidRPr="00C06E05" w:rsidRDefault="001B225E" w:rsidP="00146DF8">
            <w:pPr>
              <w:spacing w:after="0" w:line="240" w:lineRule="auto"/>
              <w:jc w:val="center"/>
              <w:rPr>
                <w:rFonts w:ascii="Arial" w:hAnsi="Arial" w:cs="Arial"/>
              </w:rPr>
            </w:pPr>
            <w:r w:rsidRPr="00C06E05">
              <w:rPr>
                <w:rFonts w:ascii="Arial" w:hAnsi="Arial" w:cs="Arial"/>
              </w:rPr>
              <w:t>0.027</w:t>
            </w:r>
          </w:p>
        </w:tc>
        <w:tc>
          <w:tcPr>
            <w:tcW w:w="1109"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79E83385" w14:textId="77777777" w:rsidR="001B225E" w:rsidRPr="00C06E05" w:rsidRDefault="001B225E" w:rsidP="00146DF8">
            <w:pPr>
              <w:spacing w:after="0" w:line="240" w:lineRule="auto"/>
              <w:jc w:val="center"/>
              <w:rPr>
                <w:rFonts w:ascii="Arial" w:hAnsi="Arial" w:cs="Arial"/>
              </w:rPr>
            </w:pPr>
            <w:r w:rsidRPr="00C06E05">
              <w:rPr>
                <w:rFonts w:ascii="Arial" w:hAnsi="Arial" w:cs="Arial"/>
              </w:rPr>
              <w:t>0.018</w:t>
            </w:r>
          </w:p>
        </w:tc>
        <w:tc>
          <w:tcPr>
            <w:tcW w:w="983"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5C0D62A3" w14:textId="77777777" w:rsidR="001B225E" w:rsidRPr="00C06E05" w:rsidRDefault="001B225E" w:rsidP="00146DF8">
            <w:pPr>
              <w:spacing w:after="0" w:line="240" w:lineRule="auto"/>
              <w:jc w:val="center"/>
              <w:rPr>
                <w:rFonts w:ascii="Arial" w:hAnsi="Arial" w:cs="Arial"/>
              </w:rPr>
            </w:pPr>
            <w:r w:rsidRPr="00C06E05">
              <w:rPr>
                <w:rFonts w:ascii="Arial" w:hAnsi="Arial" w:cs="Arial"/>
              </w:rPr>
              <w:t>3.108</w:t>
            </w:r>
          </w:p>
        </w:tc>
        <w:tc>
          <w:tcPr>
            <w:tcW w:w="1120"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088DE1A8" w14:textId="77777777" w:rsidR="001B225E" w:rsidRPr="00C06E05" w:rsidRDefault="001B225E" w:rsidP="00146DF8">
            <w:pPr>
              <w:spacing w:after="0" w:line="240" w:lineRule="auto"/>
              <w:jc w:val="center"/>
              <w:rPr>
                <w:rFonts w:ascii="Arial" w:hAnsi="Arial" w:cs="Arial"/>
              </w:rPr>
            </w:pPr>
            <w:r w:rsidRPr="00C06E05">
              <w:rPr>
                <w:rFonts w:ascii="Arial" w:hAnsi="Arial" w:cs="Arial"/>
              </w:rPr>
              <w:t>0.081</w:t>
            </w:r>
          </w:p>
        </w:tc>
        <w:tc>
          <w:tcPr>
            <w:tcW w:w="1326" w:type="dxa"/>
            <w:tcBorders>
              <w:top w:val="none" w:sz="0" w:space="0" w:color="FFFFFF"/>
              <w:left w:val="none" w:sz="0" w:space="0" w:color="FFFFFF"/>
              <w:bottom w:val="double" w:sz="4" w:space="0" w:color="000000"/>
              <w:right w:val="none" w:sz="0" w:space="0" w:color="FFFFFF"/>
            </w:tcBorders>
            <w:tcMar>
              <w:top w:w="50" w:type="dxa"/>
              <w:left w:w="110" w:type="dxa"/>
              <w:bottom w:w="50" w:type="dxa"/>
              <w:right w:w="110" w:type="dxa"/>
            </w:tcMar>
            <w:vAlign w:val="center"/>
          </w:tcPr>
          <w:p w14:paraId="4616A6B9" w14:textId="77777777" w:rsidR="001B225E" w:rsidRPr="00C06E05" w:rsidRDefault="001B225E" w:rsidP="00146DF8">
            <w:pPr>
              <w:spacing w:after="0" w:line="240" w:lineRule="auto"/>
              <w:jc w:val="center"/>
              <w:rPr>
                <w:rFonts w:ascii="Arial" w:hAnsi="Arial" w:cs="Arial"/>
              </w:rPr>
            </w:pPr>
            <w:r w:rsidRPr="00C06E05">
              <w:rPr>
                <w:rFonts w:ascii="Arial" w:hAnsi="Arial" w:cs="Arial"/>
              </w:rPr>
              <w:t>Not Significant</w:t>
            </w:r>
          </w:p>
        </w:tc>
      </w:tr>
    </w:tbl>
    <w:p w14:paraId="19B21280" w14:textId="77777777" w:rsidR="001B225E" w:rsidRPr="001324D9" w:rsidRDefault="001B225E" w:rsidP="001B225E">
      <w:pPr>
        <w:spacing w:before="60" w:after="120" w:line="480" w:lineRule="auto"/>
        <w:rPr>
          <w:rFonts w:ascii="Arial" w:hAnsi="Arial" w:cs="Arial"/>
          <w:i/>
          <w:iCs/>
        </w:rPr>
      </w:pPr>
      <w:r w:rsidRPr="001324D9">
        <w:rPr>
          <w:rFonts w:ascii="Arial" w:hAnsi="Arial" w:cs="Arial"/>
          <w:i/>
          <w:iCs/>
        </w:rPr>
        <w:t>Note. Significance level set at p &lt; 0.05.</w:t>
      </w:r>
    </w:p>
    <w:p w14:paraId="5F7C6814" w14:textId="77777777" w:rsidR="001B225E" w:rsidRPr="00091BAD" w:rsidRDefault="001B225E" w:rsidP="001B225E">
      <w:pPr>
        <w:spacing w:after="0" w:line="480" w:lineRule="auto"/>
        <w:jc w:val="both"/>
        <w:rPr>
          <w:rFonts w:ascii="Arial" w:hAnsi="Arial" w:cs="Arial"/>
          <w:color w:val="000000" w:themeColor="text1"/>
        </w:rPr>
      </w:pPr>
      <w:r w:rsidRPr="00C06E05">
        <w:rPr>
          <w:rFonts w:ascii="Arial" w:hAnsi="Arial" w:cs="Arial"/>
        </w:rPr>
        <w:t>students’ success in the specialization field was most related to their content understanding as reflected in their academic records and not on general review and support tools. This finding supported Ferrer (2024) who found that performance in the major subjects significantly predicts LET specialization component and Orlanda-</w:t>
      </w:r>
      <w:proofErr w:type="spellStart"/>
      <w:r w:rsidRPr="00C06E05">
        <w:rPr>
          <w:rFonts w:ascii="Arial" w:hAnsi="Arial" w:cs="Arial"/>
        </w:rPr>
        <w:t>Ventayen</w:t>
      </w:r>
      <w:proofErr w:type="spellEnd"/>
      <w:r w:rsidRPr="00C06E05">
        <w:rPr>
          <w:rFonts w:ascii="Arial" w:hAnsi="Arial" w:cs="Arial"/>
        </w:rPr>
        <w:t xml:space="preserve"> (2019) and Ingersoll (2018) who emphasized that sustained subject-matter mastery is the key determinant of specialization performance. The limited role of the environmental predictors in this component suggested that specialization success is rooted in deep, discipline-specific academic preparation that general review activities cannot easily substitute for. The null hypothesis was therefore rejected for academic performance and profile</w:t>
      </w:r>
      <w:r>
        <w:rPr>
          <w:rFonts w:ascii="Arial" w:hAnsi="Arial" w:cs="Arial"/>
        </w:rPr>
        <w:t xml:space="preserve">  </w:t>
      </w:r>
      <w:r w:rsidRPr="00C06E05">
        <w:rPr>
          <w:rFonts w:ascii="Arial" w:hAnsi="Arial" w:cs="Arial"/>
        </w:rPr>
        <w:t xml:space="preserve"> </w:t>
      </w:r>
      <w:r w:rsidRPr="00C06E05">
        <w:rPr>
          <w:rFonts w:ascii="Arial" w:hAnsi="Arial" w:cs="Arial"/>
        </w:rPr>
        <w:lastRenderedPageBreak/>
        <w:t xml:space="preserve">variables, and retained for study habits, review preparation practices, and </w:t>
      </w:r>
      <w:r w:rsidRPr="00091BAD">
        <w:rPr>
          <w:rFonts w:ascii="Arial" w:hAnsi="Arial" w:cs="Arial"/>
          <w:color w:val="000000" w:themeColor="text1"/>
        </w:rPr>
        <w:t>institutional support in the Major or Specialization component.</w:t>
      </w:r>
    </w:p>
    <w:p w14:paraId="42B1AE38"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t xml:space="preserve">The regression results across the overall rating and the three examination components revealed a consistent and substantively important pattern: Academic Performance was the most stable and powerful predictor of LET performance, reaching significance in every model and registering the highest explained variance in each. This finding revalidated the critical function of cumulative academic preparation in licensure success and was highly congruent with the findings of </w:t>
      </w:r>
      <w:proofErr w:type="spellStart"/>
      <w:r w:rsidRPr="00C06E05">
        <w:rPr>
          <w:rFonts w:ascii="Arial" w:hAnsi="Arial" w:cs="Arial"/>
        </w:rPr>
        <w:t>Amanonce</w:t>
      </w:r>
      <w:proofErr w:type="spellEnd"/>
      <w:r w:rsidRPr="00C06E05">
        <w:rPr>
          <w:rFonts w:ascii="Arial" w:hAnsi="Arial" w:cs="Arial"/>
        </w:rPr>
        <w:t xml:space="preserve"> and Maramag (2020), Ferrer (2024), and Lao (2021) who identified academic achievement as a major factor for LET outcomes and </w:t>
      </w:r>
      <w:proofErr w:type="spellStart"/>
      <w:r w:rsidRPr="00C06E05">
        <w:rPr>
          <w:rFonts w:ascii="Arial" w:hAnsi="Arial" w:cs="Arial"/>
        </w:rPr>
        <w:t>Camarista</w:t>
      </w:r>
      <w:proofErr w:type="spellEnd"/>
      <w:r w:rsidRPr="00C06E05">
        <w:rPr>
          <w:rFonts w:ascii="Arial" w:hAnsi="Arial" w:cs="Arial"/>
        </w:rPr>
        <w:t xml:space="preserve"> et al. (2025) who validated the GWA as a strong predictor of the board performance. The consistency of this result among the four models suggested that the academic foundation built in the teacher education program was the most reliable foundation for licensure readiness for the respondents. </w:t>
      </w:r>
    </w:p>
    <w:p w14:paraId="357563D9"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t xml:space="preserve">The emphasis on Review Preparation Practices across the general, General Education, and Professional Education models reinforced the value of structured and format-specific review in preparing for licensure. This finding is consistent with the findings of Fiscal and Roman (2022) who found that structured pre-licensure review aligned with the actual examination significantly predicts performance, and with Cruz (2017) and </w:t>
      </w:r>
      <w:proofErr w:type="spellStart"/>
      <w:r w:rsidRPr="00C06E05">
        <w:rPr>
          <w:rFonts w:ascii="Arial" w:hAnsi="Arial" w:cs="Arial"/>
        </w:rPr>
        <w:t>Gardoce</w:t>
      </w:r>
      <w:proofErr w:type="spellEnd"/>
      <w:r w:rsidRPr="00C06E05">
        <w:rPr>
          <w:rFonts w:ascii="Arial" w:hAnsi="Arial" w:cs="Arial"/>
        </w:rPr>
        <w:t xml:space="preserve"> and Sangalang (2020) who established that curriculum-integrated, systematically organized review yields stronger licensure outcomes than ad hoc preparation. The preparation of the </w:t>
      </w:r>
      <w:r w:rsidRPr="00C06E05">
        <w:rPr>
          <w:rFonts w:ascii="Arial" w:hAnsi="Arial" w:cs="Arial"/>
        </w:rPr>
        <w:lastRenderedPageBreak/>
        <w:t>review reinforced the importance of embedding review within the academic program, rather than relying on individual or commercial initiatives.</w:t>
      </w:r>
    </w:p>
    <w:p w14:paraId="73845CF0"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t>The behavior of Study Habits across the models was given special attention. Study habits were not significant predictors of the overall rating (p = 0.068) or the Major or Specialization rating. However, they were significant predictors of the General Education rating (p = 0.003) and the Professional Education rating (p &lt; 0.001). The pattern suggested that disciplined study behaviors had the strongest effects on the broad content domains of General Education and the pedagogical domain of Professional Education, where sustained and structured study are most consequential, but less so on the specialization domain that depends more on deep content mastery. This nuanced result was in line with Islam (2021), Alvarez (2018) and Johnson (2016) linking structured study behaviors with improved examination performance, while also demonstrating the varied predictive role of study habits by examination component.</w:t>
      </w:r>
    </w:p>
    <w:p w14:paraId="37EE4C9D" w14:textId="77777777" w:rsidR="001B225E" w:rsidRPr="00C06E05" w:rsidRDefault="001B225E" w:rsidP="001B225E">
      <w:pPr>
        <w:spacing w:after="0" w:line="480" w:lineRule="auto"/>
        <w:ind w:firstLine="720"/>
        <w:jc w:val="both"/>
        <w:rPr>
          <w:rFonts w:ascii="Arial" w:hAnsi="Arial" w:cs="Arial"/>
        </w:rPr>
      </w:pPr>
      <w:r w:rsidRPr="00C06E05">
        <w:rPr>
          <w:rFonts w:ascii="Arial" w:hAnsi="Arial" w:cs="Arial"/>
        </w:rPr>
        <w:t xml:space="preserve">The role of Institutional Support, which was meaningful in the overall and Professional Education models, but not in the General Education or Major or Specialization components, suggests that institutional mechanisms served as a meaningful but component-specific facilitator of licensure performance. This finding is in line with De Guzman (2018), Mendoza (2019), and </w:t>
      </w:r>
      <w:proofErr w:type="spellStart"/>
      <w:r w:rsidRPr="00C06E05">
        <w:rPr>
          <w:rFonts w:ascii="Arial" w:hAnsi="Arial" w:cs="Arial"/>
        </w:rPr>
        <w:t>Guardario</w:t>
      </w:r>
      <w:proofErr w:type="spellEnd"/>
      <w:r w:rsidRPr="00C06E05">
        <w:rPr>
          <w:rFonts w:ascii="Arial" w:hAnsi="Arial" w:cs="Arial"/>
        </w:rPr>
        <w:t xml:space="preserve"> et al. (2024) who found the contribution of mentoring, advising, and psychosocial support to licensure readiness, and it also echoes the observation of Kim (2019) and Smith and Brown (2018) that institutional factors often work through the </w:t>
      </w:r>
      <w:r w:rsidRPr="00C06E05">
        <w:rPr>
          <w:rFonts w:ascii="Arial" w:hAnsi="Arial" w:cs="Arial"/>
        </w:rPr>
        <w:lastRenderedPageBreak/>
        <w:t>learning behaviors and preparation processes they facilitate. The significance of institutional support in the Professional Education component, in particular, suggested that institutionally organized pedagogical preparation had a direct bearing on performance in that domain.</w:t>
      </w:r>
    </w:p>
    <w:p w14:paraId="4BFDEC64" w14:textId="77777777" w:rsidR="001B225E" w:rsidRDefault="001B225E" w:rsidP="001B225E">
      <w:pPr>
        <w:spacing w:after="0" w:line="480" w:lineRule="auto"/>
        <w:ind w:firstLine="720"/>
        <w:jc w:val="both"/>
        <w:rPr>
          <w:rFonts w:ascii="Arial" w:hAnsi="Arial" w:cs="Arial"/>
        </w:rPr>
      </w:pPr>
      <w:r w:rsidRPr="00C06E05">
        <w:rPr>
          <w:rFonts w:ascii="Arial" w:hAnsi="Arial" w:cs="Arial"/>
        </w:rPr>
        <w:t>Taken together, the disaggregated results represented a substantive refinement of the understanding of LET performance at the community college. Unlike a homogeneous sample of passers, which would restrict the range of both predictors and outcomes and obscure significant relationships, the present sample of first-time takers spanning a broader range of ratings restored sufficient variance for multiple predictors to emerge as significant. This refinement directly addressed the restriction-of-range consideration, since the inclusion of the full range of takers, rather than passers alone, allowed academic performance and the other predictors to demonstrate their genuine predictive contributions. The observation that academic achievement indicators are more predictive of licensure outcomes when the sample includes a broader range of achievement levels, as noted by Orlanda-</w:t>
      </w:r>
      <w:proofErr w:type="spellStart"/>
      <w:r w:rsidRPr="00C06E05">
        <w:rPr>
          <w:rFonts w:ascii="Arial" w:hAnsi="Arial" w:cs="Arial"/>
        </w:rPr>
        <w:t>Ventayen</w:t>
      </w:r>
      <w:proofErr w:type="spellEnd"/>
      <w:r w:rsidRPr="00C06E05">
        <w:rPr>
          <w:rFonts w:ascii="Arial" w:hAnsi="Arial" w:cs="Arial"/>
        </w:rPr>
        <w:t xml:space="preserve"> (2019), </w:t>
      </w:r>
      <w:proofErr w:type="spellStart"/>
      <w:r w:rsidRPr="00C06E05">
        <w:rPr>
          <w:rFonts w:ascii="Arial" w:hAnsi="Arial" w:cs="Arial"/>
        </w:rPr>
        <w:t>Repayo</w:t>
      </w:r>
      <w:proofErr w:type="spellEnd"/>
      <w:r w:rsidRPr="00C06E05">
        <w:rPr>
          <w:rFonts w:ascii="Arial" w:hAnsi="Arial" w:cs="Arial"/>
        </w:rPr>
        <w:t xml:space="preserve"> et al. (2025), and Wang and Lin (2017), was therefore borne out by the present results. </w:t>
      </w:r>
    </w:p>
    <w:p w14:paraId="67628B7F" w14:textId="77777777" w:rsidR="001B225E" w:rsidRPr="00C5090E" w:rsidRDefault="001B225E" w:rsidP="001B225E">
      <w:pPr>
        <w:spacing w:after="0" w:line="480" w:lineRule="auto"/>
        <w:ind w:firstLine="720"/>
        <w:jc w:val="both"/>
        <w:rPr>
          <w:rFonts w:ascii="Arial" w:hAnsi="Arial" w:cs="Arial"/>
        </w:rPr>
      </w:pPr>
      <w:r w:rsidRPr="00C5090E">
        <w:rPr>
          <w:rFonts w:ascii="Arial" w:hAnsi="Arial" w:cs="Arial"/>
        </w:rPr>
        <w:t xml:space="preserve">Overall, the regression analysis provided strong evidence that academic performance was the most important predictor of LET performance among the LET takers of the community college, supported by review preparation practices, institutional support, profile variables, and component-specific contributions of study habits. Darling-Hammond and Bransford (2005) argued that coherent teacher preparation programs that integrate academic content with practical </w:t>
      </w:r>
      <w:r w:rsidRPr="00C5090E">
        <w:rPr>
          <w:rFonts w:ascii="Arial" w:hAnsi="Arial" w:cs="Arial"/>
        </w:rPr>
        <w:lastRenderedPageBreak/>
        <w:t>behavioral preparation produce graduates better positioned for licensure success, and the findings of the present study affirmed this position by identifying academic performance, reinforced by structured review and institutional support, as the variables most directly predictive of LET performance outcomes. These findings collectively informed the proposed intervention program.</w:t>
      </w:r>
    </w:p>
    <w:p w14:paraId="4A8E78CD" w14:textId="77777777" w:rsidR="001B225E" w:rsidRPr="00C5090E" w:rsidRDefault="001B225E" w:rsidP="001B225E">
      <w:pPr>
        <w:pStyle w:val="NoSpacing"/>
        <w:rPr>
          <w:rFonts w:ascii="Arial" w:hAnsi="Arial" w:cs="Arial"/>
          <w:b/>
          <w:bCs/>
          <w:sz w:val="24"/>
          <w:szCs w:val="24"/>
        </w:rPr>
      </w:pPr>
      <w:r w:rsidRPr="00C5090E">
        <w:rPr>
          <w:rFonts w:ascii="Arial" w:hAnsi="Arial" w:cs="Arial"/>
          <w:b/>
          <w:bCs/>
          <w:sz w:val="24"/>
          <w:szCs w:val="24"/>
        </w:rPr>
        <w:t xml:space="preserve">Proposed Intervention Program to Enhance LET Performance Among </w:t>
      </w:r>
    </w:p>
    <w:p w14:paraId="56BD3F5E" w14:textId="77777777" w:rsidR="001B225E" w:rsidRPr="00C5090E" w:rsidRDefault="001B225E" w:rsidP="001B225E">
      <w:pPr>
        <w:pStyle w:val="NoSpacing"/>
        <w:spacing w:line="480" w:lineRule="auto"/>
        <w:rPr>
          <w:rFonts w:ascii="Arial" w:hAnsi="Arial" w:cs="Arial"/>
          <w:b/>
          <w:bCs/>
          <w:sz w:val="24"/>
          <w:szCs w:val="24"/>
        </w:rPr>
      </w:pPr>
      <w:r w:rsidRPr="00C5090E">
        <w:rPr>
          <w:rFonts w:ascii="Arial" w:hAnsi="Arial" w:cs="Arial"/>
          <w:b/>
          <w:bCs/>
          <w:sz w:val="24"/>
          <w:szCs w:val="24"/>
        </w:rPr>
        <w:t>Education Graduates of the Community College in Albay</w:t>
      </w:r>
    </w:p>
    <w:p w14:paraId="3534CC65" w14:textId="77777777" w:rsidR="001B225E" w:rsidRPr="00C5090E" w:rsidRDefault="001B225E" w:rsidP="001B225E">
      <w:pPr>
        <w:spacing w:after="0" w:line="480" w:lineRule="auto"/>
        <w:ind w:firstLine="720"/>
        <w:jc w:val="both"/>
        <w:rPr>
          <w:rFonts w:ascii="Arial" w:hAnsi="Arial" w:cs="Arial"/>
        </w:rPr>
      </w:pPr>
      <w:r w:rsidRPr="00C5090E">
        <w:rPr>
          <w:rFonts w:ascii="Arial" w:hAnsi="Arial" w:cs="Arial"/>
        </w:rPr>
        <w:t>Based on the findings of the study, the following intervention program is proposed to address the identified areas for improvement in the LET preparation of education graduates of the community college in Albay. The program is anchored on the significant predictors identified through regression analysis, namely academic performance, review preparation practices, profile variables, and institutional support, as well as the component-specific contribution of study habits. Each objective and its corresponding strategies are directly grounded in the data gathered from the 116 LET takers who served as the respondents of the study.</w:t>
      </w:r>
    </w:p>
    <w:p w14:paraId="459210F6" w14:textId="77777777" w:rsidR="001B225E" w:rsidRPr="00C5090E" w:rsidRDefault="001B225E" w:rsidP="001B225E">
      <w:pPr>
        <w:spacing w:after="0" w:line="480" w:lineRule="auto"/>
        <w:ind w:firstLine="720"/>
        <w:jc w:val="both"/>
        <w:rPr>
          <w:rFonts w:ascii="Arial" w:hAnsi="Arial" w:cs="Arial"/>
        </w:rPr>
      </w:pPr>
      <w:r w:rsidRPr="00C5090E">
        <w:rPr>
          <w:rFonts w:ascii="Arial" w:hAnsi="Arial" w:cs="Arial"/>
        </w:rPr>
        <w:t>The program follows the SMART framework, that is, Specific, Measurable, Achievable, Relevant, and Time-bound, and is designed for implementation by the teacher education faculty and administration of the community college over the course of one academic year.</w:t>
      </w:r>
    </w:p>
    <w:p w14:paraId="0FA19825" w14:textId="77777777" w:rsidR="001B225E" w:rsidRPr="00C5090E" w:rsidRDefault="001B225E" w:rsidP="001B225E">
      <w:pPr>
        <w:spacing w:after="0" w:line="480" w:lineRule="auto"/>
        <w:ind w:firstLine="720"/>
        <w:jc w:val="both"/>
        <w:rPr>
          <w:rFonts w:ascii="Arial" w:hAnsi="Arial" w:cs="Arial"/>
        </w:rPr>
      </w:pPr>
      <w:r w:rsidRPr="00C5090E">
        <w:rPr>
          <w:rFonts w:ascii="Arial" w:hAnsi="Arial" w:cs="Arial"/>
        </w:rPr>
        <w:t xml:space="preserve">The proposed intervention program entitled “Proposed Intervention Program to Enhance LET Performance Among Education Students and Graduates” was formulated as the culminating output of this study. It directly translates the important predictors of LET performance identified in the regression </w:t>
      </w:r>
      <w:r w:rsidRPr="00C5090E">
        <w:rPr>
          <w:rFonts w:ascii="Arial" w:hAnsi="Arial" w:cs="Arial"/>
        </w:rPr>
        <w:lastRenderedPageBreak/>
        <w:t>analysis into a systematic, actionable, and institutionally-based plan that the community college can use to improve the licensure readiness of its education graduates. Each of the five program areas comes from a specific finding of the study, so the program is based on empirical evidence and not on general assumptions about licensure preparation.</w:t>
      </w:r>
    </w:p>
    <w:p w14:paraId="455670B3" w14:textId="77777777" w:rsidR="001B225E" w:rsidRDefault="001B225E" w:rsidP="001B225E">
      <w:pPr>
        <w:spacing w:after="0" w:line="480" w:lineRule="auto"/>
        <w:ind w:firstLine="720"/>
        <w:jc w:val="both"/>
        <w:rPr>
          <w:rFonts w:ascii="Arial" w:hAnsi="Arial" w:cs="Arial"/>
        </w:rPr>
      </w:pPr>
      <w:r w:rsidRPr="00C5090E">
        <w:rPr>
          <w:rFonts w:ascii="Arial" w:hAnsi="Arial" w:cs="Arial"/>
        </w:rPr>
        <w:t>Area 1, Strengthening Academic Performance, addresses the finding that academic performance was the strongest and most consistent predictor of LET performance across the overall rating and all three examination components, with General Education average identified as the weakest academic area at a mean of 2.02, interpreted as Satisfactory. Thus, the program highlights curriculum audit, incorporation of LET-aligned formative assessments, and continuing academic monitoring to enhance cumulative academic preparation, particularly in the General Education domain.</w:t>
      </w:r>
    </w:p>
    <w:p w14:paraId="202E51C7" w14:textId="77777777" w:rsidR="001B225E" w:rsidRDefault="001B225E" w:rsidP="001B225E">
      <w:pPr>
        <w:spacing w:after="0" w:line="480" w:lineRule="auto"/>
        <w:ind w:firstLine="720"/>
        <w:jc w:val="both"/>
        <w:rPr>
          <w:rFonts w:ascii="Arial" w:hAnsi="Arial" w:cs="Arial"/>
        </w:rPr>
      </w:pPr>
      <w:r w:rsidRPr="00C5090E">
        <w:rPr>
          <w:rFonts w:ascii="Arial" w:hAnsi="Arial" w:cs="Arial"/>
        </w:rPr>
        <w:t xml:space="preserve">Area 2, </w:t>
      </w:r>
      <w:r>
        <w:rPr>
          <w:rFonts w:ascii="Arial" w:hAnsi="Arial" w:cs="Arial"/>
        </w:rPr>
        <w:t xml:space="preserve"> </w:t>
      </w:r>
      <w:r w:rsidRPr="00C5090E">
        <w:rPr>
          <w:rFonts w:ascii="Arial" w:hAnsi="Arial" w:cs="Arial"/>
        </w:rPr>
        <w:t xml:space="preserve">Strengthening Review Preparation Practices, responds to the </w:t>
      </w:r>
    </w:p>
    <w:p w14:paraId="2C041576" w14:textId="77777777" w:rsidR="001B225E" w:rsidRPr="00C5090E" w:rsidRDefault="001B225E" w:rsidP="001B225E">
      <w:pPr>
        <w:spacing w:after="0" w:line="480" w:lineRule="auto"/>
        <w:jc w:val="both"/>
        <w:rPr>
          <w:rFonts w:ascii="Arial" w:hAnsi="Arial" w:cs="Arial"/>
        </w:rPr>
      </w:pPr>
      <w:r w:rsidRPr="00C5090E">
        <w:rPr>
          <w:rFonts w:ascii="Arial" w:hAnsi="Arial" w:cs="Arial"/>
        </w:rPr>
        <w:t>finding that review preparation practices significantly predicted the overall, General Education, and Professional Education ratings. The program institutionalizes a structured, curriculum-integrated pre-LET review course, regular full-length mock examinations, performance analysis sessions, and the expanded use of digital and self-directed review resources, so that review preparation becomes a systematic and sustained institutional practice rather than an individual undertaking.</w:t>
      </w:r>
    </w:p>
    <w:p w14:paraId="33B8255D" w14:textId="77777777" w:rsidR="001B225E" w:rsidRPr="00C5090E" w:rsidRDefault="001B225E" w:rsidP="001B225E">
      <w:pPr>
        <w:spacing w:after="0" w:line="480" w:lineRule="auto"/>
        <w:ind w:firstLine="720"/>
        <w:jc w:val="both"/>
        <w:rPr>
          <w:rFonts w:ascii="Arial" w:hAnsi="Arial" w:cs="Arial"/>
        </w:rPr>
      </w:pPr>
      <w:r w:rsidRPr="00C5090E">
        <w:rPr>
          <w:rFonts w:ascii="Arial" w:hAnsi="Arial" w:cs="Arial"/>
        </w:rPr>
        <w:t xml:space="preserve">Area 3, Enhancing Institutional Support, is grounded on the finding that the institutional support significantly predicted the overall and Professional Education ratings and got a general weighted mean of 3.57, interpreted as Often, with some </w:t>
      </w:r>
      <w:r w:rsidRPr="00C5090E">
        <w:rPr>
          <w:rFonts w:ascii="Arial" w:hAnsi="Arial" w:cs="Arial"/>
        </w:rPr>
        <w:lastRenderedPageBreak/>
        <w:t>support mechanism found to be unevenly implemented. The program improves psychosocial and academic support services such as workshops on test anxiety management, individual counseling and wellness components, and improvements in adequacy and accessibility of learning resources for licensure preparation.</w:t>
      </w:r>
    </w:p>
    <w:p w14:paraId="3A7E1DED" w14:textId="77777777" w:rsidR="001B225E" w:rsidRPr="00C5090E" w:rsidRDefault="001B225E" w:rsidP="001B225E">
      <w:pPr>
        <w:spacing w:after="0" w:line="480" w:lineRule="auto"/>
        <w:ind w:firstLine="720"/>
        <w:jc w:val="both"/>
        <w:rPr>
          <w:rFonts w:ascii="Arial" w:hAnsi="Arial" w:cs="Arial"/>
        </w:rPr>
      </w:pPr>
      <w:r w:rsidRPr="00C5090E">
        <w:rPr>
          <w:rFonts w:ascii="Arial" w:hAnsi="Arial" w:cs="Arial"/>
        </w:rPr>
        <w:t>Area 4, Reinforcing Study Habits addresses the finding that study habits were a significant predictor only in the General Education and Professional Education components. Seminar-workshops on effective study habits and time management, distribution of personalized study planners, organization of peer-led review circles, and integration of LET-type assessment items in regular classroom instruction encourage organized and uniform study habits.</w:t>
      </w:r>
    </w:p>
    <w:p w14:paraId="134EEF55" w14:textId="77777777" w:rsidR="001B225E" w:rsidRPr="00C5090E" w:rsidRDefault="001B225E" w:rsidP="001B225E">
      <w:pPr>
        <w:spacing w:after="0" w:line="480" w:lineRule="auto"/>
        <w:ind w:firstLine="720"/>
        <w:jc w:val="both"/>
        <w:rPr>
          <w:rFonts w:ascii="Arial" w:hAnsi="Arial" w:cs="Arial"/>
        </w:rPr>
      </w:pPr>
      <w:r w:rsidRPr="00C5090E">
        <w:rPr>
          <w:rFonts w:ascii="Arial" w:hAnsi="Arial" w:cs="Arial"/>
        </w:rPr>
        <w:t>Area 5, Program Monitoring, Evaluation, and Continuous Improvement, ensures the sustainability and accountability of the entire program. It establishes a monitoring and evaluation system that tracks LET performance against the baseline established by the present study, administers pre- and post-intervention assessments, and institutionalizes annual evaluation and the dissemination of best practices, thereby allowing the program to be refined continuously on the basis of evidence.</w:t>
      </w:r>
    </w:p>
    <w:p w14:paraId="7B256310" w14:textId="310945C9" w:rsidR="001B225E" w:rsidRDefault="001B225E" w:rsidP="001B225E">
      <w:pPr>
        <w:spacing w:after="0" w:line="480" w:lineRule="auto"/>
        <w:ind w:firstLine="720"/>
        <w:jc w:val="both"/>
        <w:rPr>
          <w:rFonts w:ascii="Arial" w:hAnsi="Arial" w:cs="Arial"/>
        </w:rPr>
      </w:pPr>
      <w:r w:rsidRPr="00C5090E">
        <w:rPr>
          <w:rFonts w:ascii="Arial" w:hAnsi="Arial" w:cs="Arial"/>
        </w:rPr>
        <w:t xml:space="preserve">Taken together, the five areas form a coherent and integrated intervention anchored on the Input-Environment-Outcome framework that guided this study, with the Input represented by academic performance and profile-related preparation, the Environment represented by review preparation practices, institutional support, and study habits, and the Outcome represented by improved LET performance. </w:t>
      </w:r>
    </w:p>
    <w:p w14:paraId="4A009ECD" w14:textId="77777777" w:rsidR="001B225E" w:rsidRPr="00C2272F" w:rsidRDefault="001B225E" w:rsidP="001B225E">
      <w:pPr>
        <w:spacing w:after="60"/>
        <w:jc w:val="center"/>
        <w:rPr>
          <w:rFonts w:ascii="Arial" w:hAnsi="Arial" w:cs="Arial"/>
          <w:sz w:val="22"/>
          <w:szCs w:val="22"/>
        </w:rPr>
      </w:pPr>
      <w:r w:rsidRPr="00C2272F">
        <w:rPr>
          <w:rFonts w:ascii="Arial" w:hAnsi="Arial" w:cs="Arial"/>
          <w:b/>
          <w:bCs/>
          <w:sz w:val="22"/>
          <w:szCs w:val="22"/>
        </w:rPr>
        <w:lastRenderedPageBreak/>
        <w:t>Proposed Intervention Program to Enhance LET Performance</w:t>
      </w:r>
    </w:p>
    <w:p w14:paraId="14D9025B" w14:textId="77777777" w:rsidR="001B225E" w:rsidRPr="00C2272F" w:rsidRDefault="001B225E" w:rsidP="001B225E">
      <w:pPr>
        <w:spacing w:after="200"/>
        <w:jc w:val="center"/>
        <w:rPr>
          <w:rFonts w:ascii="Arial" w:hAnsi="Arial" w:cs="Arial"/>
          <w:sz w:val="22"/>
          <w:szCs w:val="22"/>
        </w:rPr>
      </w:pPr>
      <w:r w:rsidRPr="00C2272F">
        <w:rPr>
          <w:rFonts w:ascii="Arial" w:hAnsi="Arial" w:cs="Arial"/>
          <w:b/>
          <w:bCs/>
          <w:sz w:val="22"/>
          <w:szCs w:val="22"/>
        </w:rPr>
        <w:t>Among Education Graduates of the Community College in Albay</w:t>
      </w:r>
    </w:p>
    <w:p w14:paraId="643C1567" w14:textId="77777777" w:rsidR="001B225E" w:rsidRPr="00C2272F" w:rsidRDefault="001B225E" w:rsidP="001B225E">
      <w:pPr>
        <w:spacing w:line="276" w:lineRule="auto"/>
        <w:ind w:firstLine="720"/>
        <w:jc w:val="both"/>
        <w:rPr>
          <w:rFonts w:ascii="Arial" w:hAnsi="Arial" w:cs="Arial"/>
          <w:sz w:val="22"/>
          <w:szCs w:val="22"/>
        </w:rPr>
      </w:pPr>
      <w:r w:rsidRPr="00C2272F">
        <w:rPr>
          <w:rFonts w:ascii="Arial" w:hAnsi="Arial" w:cs="Arial"/>
          <w:sz w:val="22"/>
          <w:szCs w:val="22"/>
        </w:rPr>
        <w:t>Based on the findings of the study, the following intervention program is proposed to address the identified areas for improvement in the LET preparation of education graduates of the community college in Albay. The program is anchored on the significant predictors identified through regression analysis, namely academic performance, review preparation practices, profile variables, and institutional support, as well as the component-specific contribution of study habits. Each objective and its corresponding strategies are directly grounded in the data gathered from the 116 LET takers who served as the respondents of the study.</w:t>
      </w:r>
    </w:p>
    <w:p w14:paraId="700E0108" w14:textId="77777777" w:rsidR="001B225E" w:rsidRPr="00C2272F" w:rsidRDefault="001B225E" w:rsidP="001B225E">
      <w:pPr>
        <w:spacing w:after="200" w:line="276" w:lineRule="auto"/>
        <w:ind w:firstLine="720"/>
        <w:jc w:val="both"/>
        <w:rPr>
          <w:rFonts w:ascii="Arial" w:hAnsi="Arial" w:cs="Arial"/>
          <w:sz w:val="22"/>
          <w:szCs w:val="22"/>
        </w:rPr>
      </w:pPr>
      <w:r w:rsidRPr="00C2272F">
        <w:rPr>
          <w:rFonts w:ascii="Arial" w:hAnsi="Arial" w:cs="Arial"/>
          <w:sz w:val="22"/>
          <w:szCs w:val="22"/>
        </w:rPr>
        <w:t>The program follows the SMART framework, that is, Specific, Measurable, Achievable, Relevant, and Time-bound, and is designed for implementation by the teacher education faculty and administration of the community college over the course of one academic year.</w:t>
      </w:r>
    </w:p>
    <w:tbl>
      <w:tblPr>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9"/>
        <w:gridCol w:w="1639"/>
        <w:gridCol w:w="1614"/>
        <w:gridCol w:w="1186"/>
        <w:gridCol w:w="2568"/>
      </w:tblGrid>
      <w:tr w:rsidR="001B225E" w:rsidRPr="00C2272F" w14:paraId="60759784" w14:textId="77777777" w:rsidTr="001B225E">
        <w:trPr>
          <w:tblHeader/>
        </w:trPr>
        <w:tc>
          <w:tcPr>
            <w:tcW w:w="1639" w:type="dxa"/>
            <w:tcBorders>
              <w:top w:val="single" w:sz="1" w:space="0" w:color="888888"/>
              <w:left w:val="single" w:sz="1" w:space="0" w:color="888888"/>
              <w:bottom w:val="single" w:sz="1" w:space="0" w:color="888888"/>
              <w:right w:val="single" w:sz="1" w:space="0" w:color="888888"/>
            </w:tcBorders>
            <w:shd w:val="clear" w:color="auto" w:fill="1F3B57"/>
            <w:tcMar>
              <w:top w:w="70" w:type="dxa"/>
              <w:left w:w="110" w:type="dxa"/>
              <w:bottom w:w="70" w:type="dxa"/>
              <w:right w:w="110" w:type="dxa"/>
            </w:tcMar>
            <w:vAlign w:val="center"/>
          </w:tcPr>
          <w:p w14:paraId="644A9055" w14:textId="77777777" w:rsidR="001B225E" w:rsidRPr="00C2272F" w:rsidRDefault="001B225E" w:rsidP="00146DF8">
            <w:pPr>
              <w:jc w:val="both"/>
              <w:rPr>
                <w:rFonts w:ascii="Arial" w:hAnsi="Arial" w:cs="Arial"/>
                <w:sz w:val="22"/>
                <w:szCs w:val="22"/>
              </w:rPr>
            </w:pPr>
            <w:r w:rsidRPr="00C2272F">
              <w:rPr>
                <w:rFonts w:ascii="Arial" w:hAnsi="Arial" w:cs="Arial"/>
                <w:b/>
                <w:bCs/>
                <w:color w:val="FFFFFF"/>
                <w:sz w:val="22"/>
                <w:szCs w:val="22"/>
              </w:rPr>
              <w:t>Objectives</w:t>
            </w:r>
          </w:p>
        </w:tc>
        <w:tc>
          <w:tcPr>
            <w:tcW w:w="1639" w:type="dxa"/>
            <w:tcBorders>
              <w:top w:val="single" w:sz="1" w:space="0" w:color="888888"/>
              <w:left w:val="single" w:sz="1" w:space="0" w:color="888888"/>
              <w:bottom w:val="single" w:sz="1" w:space="0" w:color="888888"/>
              <w:right w:val="single" w:sz="1" w:space="0" w:color="888888"/>
            </w:tcBorders>
            <w:shd w:val="clear" w:color="auto" w:fill="1F3B57"/>
            <w:tcMar>
              <w:top w:w="70" w:type="dxa"/>
              <w:left w:w="110" w:type="dxa"/>
              <w:bottom w:w="70" w:type="dxa"/>
              <w:right w:w="110" w:type="dxa"/>
            </w:tcMar>
            <w:vAlign w:val="center"/>
          </w:tcPr>
          <w:p w14:paraId="1B8FF375" w14:textId="77777777" w:rsidR="001B225E" w:rsidRPr="00C2272F" w:rsidRDefault="001B225E" w:rsidP="00146DF8">
            <w:pPr>
              <w:jc w:val="both"/>
              <w:rPr>
                <w:rFonts w:ascii="Arial" w:hAnsi="Arial" w:cs="Arial"/>
                <w:sz w:val="22"/>
                <w:szCs w:val="22"/>
              </w:rPr>
            </w:pPr>
            <w:r w:rsidRPr="00C2272F">
              <w:rPr>
                <w:rFonts w:ascii="Arial" w:hAnsi="Arial" w:cs="Arial"/>
                <w:b/>
                <w:bCs/>
                <w:color w:val="FFFFFF"/>
                <w:sz w:val="22"/>
                <w:szCs w:val="22"/>
              </w:rPr>
              <w:t>Strategies / Activities</w:t>
            </w:r>
          </w:p>
        </w:tc>
        <w:tc>
          <w:tcPr>
            <w:tcW w:w="1614" w:type="dxa"/>
            <w:tcBorders>
              <w:top w:val="single" w:sz="1" w:space="0" w:color="888888"/>
              <w:left w:val="single" w:sz="1" w:space="0" w:color="888888"/>
              <w:bottom w:val="single" w:sz="1" w:space="0" w:color="888888"/>
              <w:right w:val="single" w:sz="1" w:space="0" w:color="888888"/>
            </w:tcBorders>
            <w:shd w:val="clear" w:color="auto" w:fill="1F3B57"/>
            <w:tcMar>
              <w:top w:w="70" w:type="dxa"/>
              <w:left w:w="110" w:type="dxa"/>
              <w:bottom w:w="70" w:type="dxa"/>
              <w:right w:w="110" w:type="dxa"/>
            </w:tcMar>
            <w:vAlign w:val="center"/>
          </w:tcPr>
          <w:p w14:paraId="7C7B9C87" w14:textId="77777777" w:rsidR="001B225E" w:rsidRPr="00C2272F" w:rsidRDefault="001B225E" w:rsidP="00146DF8">
            <w:pPr>
              <w:jc w:val="both"/>
              <w:rPr>
                <w:rFonts w:ascii="Arial" w:hAnsi="Arial" w:cs="Arial"/>
                <w:sz w:val="22"/>
                <w:szCs w:val="22"/>
              </w:rPr>
            </w:pPr>
            <w:r w:rsidRPr="00C2272F">
              <w:rPr>
                <w:rFonts w:ascii="Arial" w:hAnsi="Arial" w:cs="Arial"/>
                <w:b/>
                <w:bCs/>
                <w:color w:val="FFFFFF"/>
                <w:sz w:val="22"/>
                <w:szCs w:val="22"/>
              </w:rPr>
              <w:t>Persons Responsible</w:t>
            </w:r>
          </w:p>
        </w:tc>
        <w:tc>
          <w:tcPr>
            <w:tcW w:w="1186" w:type="dxa"/>
            <w:tcBorders>
              <w:top w:val="single" w:sz="1" w:space="0" w:color="888888"/>
              <w:left w:val="single" w:sz="1" w:space="0" w:color="888888"/>
              <w:bottom w:val="single" w:sz="1" w:space="0" w:color="888888"/>
              <w:right w:val="single" w:sz="1" w:space="0" w:color="888888"/>
            </w:tcBorders>
            <w:shd w:val="clear" w:color="auto" w:fill="1F3B57"/>
            <w:tcMar>
              <w:top w:w="70" w:type="dxa"/>
              <w:left w:w="110" w:type="dxa"/>
              <w:bottom w:w="70" w:type="dxa"/>
              <w:right w:w="110" w:type="dxa"/>
            </w:tcMar>
            <w:vAlign w:val="center"/>
          </w:tcPr>
          <w:p w14:paraId="2D30DCC2" w14:textId="77777777" w:rsidR="001B225E" w:rsidRPr="00C2272F" w:rsidRDefault="001B225E" w:rsidP="00146DF8">
            <w:pPr>
              <w:jc w:val="both"/>
              <w:rPr>
                <w:rFonts w:ascii="Arial" w:hAnsi="Arial" w:cs="Arial"/>
                <w:sz w:val="22"/>
                <w:szCs w:val="22"/>
              </w:rPr>
            </w:pPr>
            <w:r w:rsidRPr="00C2272F">
              <w:rPr>
                <w:rFonts w:ascii="Arial" w:hAnsi="Arial" w:cs="Arial"/>
                <w:b/>
                <w:bCs/>
                <w:color w:val="FFFFFF"/>
                <w:sz w:val="22"/>
                <w:szCs w:val="22"/>
              </w:rPr>
              <w:t>Time Frame</w:t>
            </w:r>
          </w:p>
        </w:tc>
        <w:tc>
          <w:tcPr>
            <w:tcW w:w="2568" w:type="dxa"/>
            <w:tcBorders>
              <w:top w:val="single" w:sz="1" w:space="0" w:color="888888"/>
              <w:left w:val="single" w:sz="1" w:space="0" w:color="888888"/>
              <w:bottom w:val="single" w:sz="1" w:space="0" w:color="888888"/>
              <w:right w:val="single" w:sz="1" w:space="0" w:color="888888"/>
            </w:tcBorders>
            <w:shd w:val="clear" w:color="auto" w:fill="1F3B57"/>
            <w:tcMar>
              <w:top w:w="70" w:type="dxa"/>
              <w:left w:w="110" w:type="dxa"/>
              <w:bottom w:w="70" w:type="dxa"/>
              <w:right w:w="110" w:type="dxa"/>
            </w:tcMar>
            <w:vAlign w:val="center"/>
          </w:tcPr>
          <w:p w14:paraId="4691BFBD" w14:textId="77777777" w:rsidR="001B225E" w:rsidRPr="00C2272F" w:rsidRDefault="001B225E" w:rsidP="00146DF8">
            <w:pPr>
              <w:jc w:val="both"/>
              <w:rPr>
                <w:rFonts w:ascii="Arial" w:hAnsi="Arial" w:cs="Arial"/>
                <w:sz w:val="22"/>
                <w:szCs w:val="22"/>
              </w:rPr>
            </w:pPr>
            <w:r w:rsidRPr="00C2272F">
              <w:rPr>
                <w:rFonts w:ascii="Arial" w:hAnsi="Arial" w:cs="Arial"/>
                <w:b/>
                <w:bCs/>
                <w:color w:val="FFFFFF"/>
                <w:sz w:val="22"/>
                <w:szCs w:val="22"/>
              </w:rPr>
              <w:t>Expected Output</w:t>
            </w:r>
          </w:p>
        </w:tc>
      </w:tr>
      <w:tr w:rsidR="001B225E" w:rsidRPr="00C2272F" w14:paraId="0501FAAE" w14:textId="77777777" w:rsidTr="001B225E">
        <w:tc>
          <w:tcPr>
            <w:tcW w:w="8646" w:type="dxa"/>
            <w:gridSpan w:val="5"/>
            <w:tcBorders>
              <w:top w:val="single" w:sz="1" w:space="0" w:color="888888"/>
              <w:left w:val="single" w:sz="1" w:space="0" w:color="888888"/>
              <w:bottom w:val="single" w:sz="1" w:space="0" w:color="888888"/>
              <w:right w:val="single" w:sz="1" w:space="0" w:color="888888"/>
            </w:tcBorders>
            <w:shd w:val="clear" w:color="auto" w:fill="C9D8E8"/>
            <w:tcMar>
              <w:top w:w="70" w:type="dxa"/>
              <w:left w:w="110" w:type="dxa"/>
              <w:bottom w:w="70" w:type="dxa"/>
              <w:right w:w="110" w:type="dxa"/>
            </w:tcMar>
          </w:tcPr>
          <w:p w14:paraId="1A428556" w14:textId="77777777" w:rsidR="001B225E" w:rsidRPr="00C2272F" w:rsidRDefault="001B225E" w:rsidP="00146DF8">
            <w:pPr>
              <w:jc w:val="both"/>
              <w:rPr>
                <w:rFonts w:ascii="Arial" w:hAnsi="Arial" w:cs="Arial"/>
                <w:sz w:val="22"/>
                <w:szCs w:val="22"/>
              </w:rPr>
            </w:pPr>
            <w:r w:rsidRPr="00C2272F">
              <w:rPr>
                <w:rFonts w:ascii="Arial" w:hAnsi="Arial" w:cs="Arial"/>
                <w:b/>
                <w:bCs/>
                <w:sz w:val="22"/>
                <w:szCs w:val="22"/>
              </w:rPr>
              <w:t>Area 1: Strengthening Academic Performance (Strongest Predictor across all components; Gen Ed Mean = 2.02, Satisfactory)</w:t>
            </w:r>
          </w:p>
        </w:tc>
      </w:tr>
      <w:tr w:rsidR="001B225E" w:rsidRPr="00C2272F" w14:paraId="6E9E06E8" w14:textId="77777777" w:rsidTr="001B225E">
        <w:tc>
          <w:tcPr>
            <w:tcW w:w="1639"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37FA8ECC"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1. To strengthen the General Education component of the curriculum in alignment with the LET competencies.</w:t>
            </w:r>
          </w:p>
        </w:tc>
        <w:tc>
          <w:tcPr>
            <w:tcW w:w="1639"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2244FAAF"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1.1 Conduct a curriculum audit of all General Education subjects to identify gaps against the LET General Education competency domains.</w:t>
            </w:r>
          </w:p>
          <w:p w14:paraId="4B51C57E"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 xml:space="preserve">1.2 Integrate LET-aligned formative assessments and competency-based tasks into General </w:t>
            </w:r>
            <w:r w:rsidRPr="00C2272F">
              <w:rPr>
                <w:rFonts w:ascii="Arial" w:hAnsi="Arial" w:cs="Arial"/>
                <w:sz w:val="22"/>
                <w:szCs w:val="22"/>
              </w:rPr>
              <w:lastRenderedPageBreak/>
              <w:t>Education courses.</w:t>
            </w:r>
          </w:p>
          <w:p w14:paraId="1B125C46"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1.3 Assign faculty mentors to monitor performance in General Education subjects and provide early tutorial intervention for at-risk students.</w:t>
            </w:r>
          </w:p>
        </w:tc>
        <w:tc>
          <w:tcPr>
            <w:tcW w:w="1614"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2A6AB9AE"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lastRenderedPageBreak/>
              <w:t>Dean of Teacher Education</w:t>
            </w:r>
          </w:p>
          <w:p w14:paraId="5B62104A"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General Education Faculty</w:t>
            </w:r>
          </w:p>
          <w:p w14:paraId="5C17DD0B"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Curriculum Committee</w:t>
            </w:r>
          </w:p>
        </w:tc>
        <w:tc>
          <w:tcPr>
            <w:tcW w:w="1186"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1A87D9FF"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Every Academic Year</w:t>
            </w:r>
          </w:p>
        </w:tc>
        <w:tc>
          <w:tcPr>
            <w:tcW w:w="2568"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68C2CDCC"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Updated General Education curriculum aligned with the LET</w:t>
            </w:r>
          </w:p>
          <w:p w14:paraId="145DF3DD"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Improved General Education averages and ratings</w:t>
            </w:r>
          </w:p>
          <w:p w14:paraId="73611636"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Reduced proportion of below-passing General Education scores</w:t>
            </w:r>
          </w:p>
        </w:tc>
      </w:tr>
      <w:tr w:rsidR="001B225E" w:rsidRPr="00C2272F" w14:paraId="0A6739E8" w14:textId="77777777" w:rsidTr="001B225E">
        <w:tc>
          <w:tcPr>
            <w:tcW w:w="1639"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3F7BE4B2"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2. To sustain academic monitoring of cumulative performance across the program as the primary basis of licensure readiness.</w:t>
            </w:r>
          </w:p>
        </w:tc>
        <w:tc>
          <w:tcPr>
            <w:tcW w:w="1639"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0F016898"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2.1 Establish an academic tracking system that monitors the GWA and component averages of education students each semester.</w:t>
            </w:r>
          </w:p>
          <w:p w14:paraId="44164039"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2.2 Provide early academic advising and remediation for students whose averages fall within the Satisfactory range.</w:t>
            </w:r>
          </w:p>
          <w:p w14:paraId="24AA9C9B"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lastRenderedPageBreak/>
              <w:t>2.3 Sustain the quality of the teaching internship through structured mentoring and reflective supervision.</w:t>
            </w:r>
          </w:p>
        </w:tc>
        <w:tc>
          <w:tcPr>
            <w:tcW w:w="1614"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4046AE3D"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lastRenderedPageBreak/>
              <w:t>Dean of Teacher Education</w:t>
            </w:r>
          </w:p>
          <w:p w14:paraId="72974262"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Faculty Advisers</w:t>
            </w:r>
          </w:p>
          <w:p w14:paraId="2FDA9CD8"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Practicum Coordinator</w:t>
            </w:r>
          </w:p>
        </w:tc>
        <w:tc>
          <w:tcPr>
            <w:tcW w:w="1186"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70BFCBE1"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Every Semester</w:t>
            </w:r>
          </w:p>
        </w:tc>
        <w:tc>
          <w:tcPr>
            <w:tcW w:w="2568"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08FD6689"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Functional academic tracking system</w:t>
            </w:r>
          </w:p>
          <w:p w14:paraId="7C53498B"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Sustained Very Satisfactory to Excellent averages</w:t>
            </w:r>
          </w:p>
          <w:p w14:paraId="2239470B"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Continued strong teaching internship performance</w:t>
            </w:r>
          </w:p>
        </w:tc>
      </w:tr>
      <w:tr w:rsidR="001B225E" w:rsidRPr="00C2272F" w14:paraId="6CAED19B" w14:textId="77777777" w:rsidTr="001B225E">
        <w:tc>
          <w:tcPr>
            <w:tcW w:w="8646" w:type="dxa"/>
            <w:gridSpan w:val="5"/>
            <w:tcBorders>
              <w:top w:val="single" w:sz="1" w:space="0" w:color="888888"/>
              <w:left w:val="single" w:sz="1" w:space="0" w:color="888888"/>
              <w:bottom w:val="single" w:sz="1" w:space="0" w:color="888888"/>
              <w:right w:val="single" w:sz="1" w:space="0" w:color="888888"/>
            </w:tcBorders>
            <w:shd w:val="clear" w:color="auto" w:fill="C9D8E8"/>
            <w:tcMar>
              <w:top w:w="70" w:type="dxa"/>
              <w:left w:w="110" w:type="dxa"/>
              <w:bottom w:w="70" w:type="dxa"/>
              <w:right w:w="110" w:type="dxa"/>
            </w:tcMar>
          </w:tcPr>
          <w:p w14:paraId="352522A5" w14:textId="77777777" w:rsidR="001B225E" w:rsidRPr="00C2272F" w:rsidRDefault="001B225E" w:rsidP="00146DF8">
            <w:pPr>
              <w:jc w:val="both"/>
              <w:rPr>
                <w:rFonts w:ascii="Arial" w:hAnsi="Arial" w:cs="Arial"/>
                <w:sz w:val="22"/>
                <w:szCs w:val="22"/>
              </w:rPr>
            </w:pPr>
            <w:r w:rsidRPr="00C2272F">
              <w:rPr>
                <w:rFonts w:ascii="Arial" w:hAnsi="Arial" w:cs="Arial"/>
                <w:b/>
                <w:bCs/>
                <w:sz w:val="22"/>
                <w:szCs w:val="22"/>
              </w:rPr>
              <w:t>Area 2: Strengthening Review Preparation Practices (Significant Predictor of Overall, Gen Ed, and Prof Ed ratings)</w:t>
            </w:r>
          </w:p>
        </w:tc>
      </w:tr>
      <w:tr w:rsidR="001B225E" w:rsidRPr="00C2272F" w14:paraId="26AC9E09" w14:textId="77777777" w:rsidTr="001B225E">
        <w:tc>
          <w:tcPr>
            <w:tcW w:w="1639"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09AC13F5"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3. To institutionalize a structured, curriculum-integrated LET review program for all graduating education students.</w:t>
            </w:r>
          </w:p>
        </w:tc>
        <w:tc>
          <w:tcPr>
            <w:tcW w:w="1639"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29866004"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3.1 Establish a pre-LET Review Course during the final semester covering all competency domains aligned with the PRC-CHED Joint Memorandum Circular.</w:t>
            </w:r>
          </w:p>
          <w:p w14:paraId="231E5445"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3.2 Conduct at least three full-length mock LET examinations per semester under timed conditions.</w:t>
            </w:r>
          </w:p>
          <w:p w14:paraId="5D93943C"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 xml:space="preserve">3.3 Conduct performance analysis </w:t>
            </w:r>
            <w:r w:rsidRPr="00C2272F">
              <w:rPr>
                <w:rFonts w:ascii="Arial" w:hAnsi="Arial" w:cs="Arial"/>
                <w:sz w:val="22"/>
                <w:szCs w:val="22"/>
              </w:rPr>
              <w:lastRenderedPageBreak/>
              <w:t>sessions after each mock examination to design targeted remedial review.</w:t>
            </w:r>
          </w:p>
          <w:p w14:paraId="01AAB258"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3.4 Use the Table of Specifications and LET competency framework as a standard guide in all review sessions.</w:t>
            </w:r>
          </w:p>
        </w:tc>
        <w:tc>
          <w:tcPr>
            <w:tcW w:w="1614"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0C8886B4"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lastRenderedPageBreak/>
              <w:t>LET Coordinator</w:t>
            </w:r>
          </w:p>
          <w:p w14:paraId="6CA46BBA"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Dean of Teacher Education</w:t>
            </w:r>
          </w:p>
          <w:p w14:paraId="7AC5A236"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Subject Area Faculty</w:t>
            </w:r>
          </w:p>
        </w:tc>
        <w:tc>
          <w:tcPr>
            <w:tcW w:w="1186"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0AECF8DE"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Fourth Year, Second Semester</w:t>
            </w:r>
          </w:p>
        </w:tc>
        <w:tc>
          <w:tcPr>
            <w:tcW w:w="2568"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40140AE1"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Functional pre-LET review program</w:t>
            </w:r>
          </w:p>
          <w:p w14:paraId="5BF23659"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At least three mock examinations per cycle</w:t>
            </w:r>
          </w:p>
          <w:p w14:paraId="761BE1A6"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Improved performance in mock and actual LET</w:t>
            </w:r>
          </w:p>
        </w:tc>
      </w:tr>
      <w:tr w:rsidR="001B225E" w:rsidRPr="00C2272F" w14:paraId="714A41FF" w14:textId="77777777" w:rsidTr="001B225E">
        <w:tc>
          <w:tcPr>
            <w:tcW w:w="1639"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473774FE"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4. To expand the use of digital and self-directed review resources.</w:t>
            </w:r>
          </w:p>
        </w:tc>
        <w:tc>
          <w:tcPr>
            <w:tcW w:w="1639"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3590172E"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4.1 Curate and distribute verified online LET review platforms and digital materials aligned with current competencies.</w:t>
            </w:r>
          </w:p>
          <w:p w14:paraId="73D6108E"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 xml:space="preserve">4.2 Set up a shared digital repository of reviewers, practice tests, and past board materials accessible to </w:t>
            </w:r>
            <w:r w:rsidRPr="00C2272F">
              <w:rPr>
                <w:rFonts w:ascii="Arial" w:hAnsi="Arial" w:cs="Arial"/>
                <w:sz w:val="22"/>
                <w:szCs w:val="22"/>
              </w:rPr>
              <w:lastRenderedPageBreak/>
              <w:t>all education students.</w:t>
            </w:r>
          </w:p>
          <w:p w14:paraId="76461769"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4.3 Orient students on the effective use of digital review tools as part of pre-LET preparation.</w:t>
            </w:r>
          </w:p>
        </w:tc>
        <w:tc>
          <w:tcPr>
            <w:tcW w:w="1614"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79FD12B3"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lastRenderedPageBreak/>
              <w:t>LET Coordinator</w:t>
            </w:r>
          </w:p>
          <w:p w14:paraId="7CC34B18"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IT Coordinator</w:t>
            </w:r>
          </w:p>
          <w:p w14:paraId="6B24D17A"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Librarian</w:t>
            </w:r>
          </w:p>
        </w:tc>
        <w:tc>
          <w:tcPr>
            <w:tcW w:w="1186"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7E85159A"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Fourth Year, First Semester Onwards</w:t>
            </w:r>
          </w:p>
        </w:tc>
        <w:tc>
          <w:tcPr>
            <w:tcW w:w="2568"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529A9E85"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Digital LET review repository established</w:t>
            </w:r>
          </w:p>
          <w:p w14:paraId="10C02B9C"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Increased use of online review materials</w:t>
            </w:r>
          </w:p>
          <w:p w14:paraId="3755CA9A"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Improved review preparation practices</w:t>
            </w:r>
          </w:p>
        </w:tc>
      </w:tr>
      <w:tr w:rsidR="001B225E" w:rsidRPr="00C2272F" w14:paraId="576F7ACF" w14:textId="77777777" w:rsidTr="001B225E">
        <w:tc>
          <w:tcPr>
            <w:tcW w:w="8646" w:type="dxa"/>
            <w:gridSpan w:val="5"/>
            <w:tcBorders>
              <w:top w:val="single" w:sz="1" w:space="0" w:color="888888"/>
              <w:left w:val="single" w:sz="1" w:space="0" w:color="888888"/>
              <w:bottom w:val="single" w:sz="1" w:space="0" w:color="888888"/>
              <w:right w:val="single" w:sz="1" w:space="0" w:color="888888"/>
            </w:tcBorders>
            <w:shd w:val="clear" w:color="auto" w:fill="C9D8E8"/>
            <w:tcMar>
              <w:top w:w="70" w:type="dxa"/>
              <w:left w:w="110" w:type="dxa"/>
              <w:bottom w:w="70" w:type="dxa"/>
              <w:right w:w="110" w:type="dxa"/>
            </w:tcMar>
          </w:tcPr>
          <w:p w14:paraId="48D2BB7D" w14:textId="77777777" w:rsidR="001B225E" w:rsidRPr="00C2272F" w:rsidRDefault="001B225E" w:rsidP="00146DF8">
            <w:pPr>
              <w:jc w:val="both"/>
              <w:rPr>
                <w:rFonts w:ascii="Arial" w:hAnsi="Arial" w:cs="Arial"/>
                <w:sz w:val="22"/>
                <w:szCs w:val="22"/>
              </w:rPr>
            </w:pPr>
            <w:r w:rsidRPr="00C2272F">
              <w:rPr>
                <w:rFonts w:ascii="Arial" w:hAnsi="Arial" w:cs="Arial"/>
                <w:b/>
                <w:bCs/>
                <w:sz w:val="22"/>
                <w:szCs w:val="22"/>
              </w:rPr>
              <w:t>Area 3: Enhancing Institutional Support (Significant Predictor of Overall and Prof Ed ratings; General WM = 3.57, Often)</w:t>
            </w:r>
          </w:p>
        </w:tc>
      </w:tr>
      <w:tr w:rsidR="001B225E" w:rsidRPr="00C2272F" w14:paraId="14E0C6E4" w14:textId="77777777" w:rsidTr="001B225E">
        <w:tc>
          <w:tcPr>
            <w:tcW w:w="1639"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6AC72D37"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5. To strengthen psychosocial and academic support services for LET takers.</w:t>
            </w:r>
          </w:p>
        </w:tc>
        <w:tc>
          <w:tcPr>
            <w:tcW w:w="1639"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761E84E6"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5.1 Conduct a Test Anxiety Management Workshop each semester facilitated by the guidance counselor.</w:t>
            </w:r>
          </w:p>
          <w:p w14:paraId="0BDD5761"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5.2 Provide one-on-one counseling for examination-related stress with a clear referral pathway from faculty advisers.</w:t>
            </w:r>
          </w:p>
          <w:p w14:paraId="456DE666"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 xml:space="preserve">5.3 Include a wellness component on sleep, stress management, </w:t>
            </w:r>
            <w:r w:rsidRPr="00C2272F">
              <w:rPr>
                <w:rFonts w:ascii="Arial" w:hAnsi="Arial" w:cs="Arial"/>
                <w:sz w:val="22"/>
                <w:szCs w:val="22"/>
              </w:rPr>
              <w:lastRenderedPageBreak/>
              <w:t>and health in the pre-LET review program.</w:t>
            </w:r>
          </w:p>
        </w:tc>
        <w:tc>
          <w:tcPr>
            <w:tcW w:w="1614"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242CBFCE"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lastRenderedPageBreak/>
              <w:t>Guidance Counselor</w:t>
            </w:r>
          </w:p>
          <w:p w14:paraId="63C71920"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Dean of Teacher Education</w:t>
            </w:r>
          </w:p>
          <w:p w14:paraId="681BD1EA"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Faculty Advisers</w:t>
            </w:r>
          </w:p>
        </w:tc>
        <w:tc>
          <w:tcPr>
            <w:tcW w:w="1186"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0E50F06D"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Third and Fourth Year</w:t>
            </w:r>
          </w:p>
        </w:tc>
        <w:tc>
          <w:tcPr>
            <w:tcW w:w="2568"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52244716"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Counseling program implemented</w:t>
            </w:r>
          </w:p>
          <w:p w14:paraId="54C7E764"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Increased counseling utilization</w:t>
            </w:r>
          </w:p>
          <w:p w14:paraId="1404BD59"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Improved institutional support ratings</w:t>
            </w:r>
          </w:p>
        </w:tc>
      </w:tr>
      <w:tr w:rsidR="001B225E" w:rsidRPr="00C2272F" w14:paraId="1375EF74" w14:textId="77777777" w:rsidTr="001B225E">
        <w:tc>
          <w:tcPr>
            <w:tcW w:w="1639"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0E3ADE37"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6. To improve the adequacy and accessibility of learning resources for LET preparation.</w:t>
            </w:r>
          </w:p>
        </w:tc>
        <w:tc>
          <w:tcPr>
            <w:tcW w:w="1639"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036B9F1A"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6.1 Augment the library with updated LET review books and professional education references each cycle.</w:t>
            </w:r>
          </w:p>
          <w:p w14:paraId="52C367FC"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6.2 Establish a dedicated LET Resource Corner with centrally organized review materials.</w:t>
            </w:r>
          </w:p>
          <w:p w14:paraId="2D790996"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6.3 Explore partnerships with local government units, alumni, and sponsors to fund review materials and access.</w:t>
            </w:r>
          </w:p>
        </w:tc>
        <w:tc>
          <w:tcPr>
            <w:tcW w:w="1614"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17718D92"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Librarian</w:t>
            </w:r>
          </w:p>
          <w:p w14:paraId="7A50D7DA"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Dean of Teacher Education</w:t>
            </w:r>
          </w:p>
          <w:p w14:paraId="0A75C0C8"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College Administration</w:t>
            </w:r>
          </w:p>
        </w:tc>
        <w:tc>
          <w:tcPr>
            <w:tcW w:w="1186"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6271726D"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Annually</w:t>
            </w:r>
          </w:p>
        </w:tc>
        <w:tc>
          <w:tcPr>
            <w:tcW w:w="2568"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353F9B29"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Updated LET resource collection</w:t>
            </w:r>
          </w:p>
          <w:p w14:paraId="64304C62"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LET Resource Corner established</w:t>
            </w:r>
          </w:p>
          <w:p w14:paraId="2BEF394C"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Improved resource adequacy ratings</w:t>
            </w:r>
          </w:p>
        </w:tc>
      </w:tr>
      <w:tr w:rsidR="001B225E" w:rsidRPr="00C2272F" w14:paraId="193B448B" w14:textId="77777777" w:rsidTr="001B225E">
        <w:tc>
          <w:tcPr>
            <w:tcW w:w="8646" w:type="dxa"/>
            <w:gridSpan w:val="5"/>
            <w:tcBorders>
              <w:top w:val="single" w:sz="1" w:space="0" w:color="888888"/>
              <w:left w:val="single" w:sz="1" w:space="0" w:color="888888"/>
              <w:bottom w:val="single" w:sz="1" w:space="0" w:color="888888"/>
              <w:right w:val="single" w:sz="1" w:space="0" w:color="888888"/>
            </w:tcBorders>
            <w:shd w:val="clear" w:color="auto" w:fill="C9D8E8"/>
            <w:tcMar>
              <w:top w:w="70" w:type="dxa"/>
              <w:left w:w="110" w:type="dxa"/>
              <w:bottom w:w="70" w:type="dxa"/>
              <w:right w:w="110" w:type="dxa"/>
            </w:tcMar>
          </w:tcPr>
          <w:p w14:paraId="2E6FFCA0" w14:textId="77777777" w:rsidR="001B225E" w:rsidRPr="00C2272F" w:rsidRDefault="001B225E" w:rsidP="00146DF8">
            <w:pPr>
              <w:jc w:val="both"/>
              <w:rPr>
                <w:rFonts w:ascii="Arial" w:hAnsi="Arial" w:cs="Arial"/>
                <w:sz w:val="22"/>
                <w:szCs w:val="22"/>
              </w:rPr>
            </w:pPr>
            <w:r w:rsidRPr="00C2272F">
              <w:rPr>
                <w:rFonts w:ascii="Arial" w:hAnsi="Arial" w:cs="Arial"/>
                <w:b/>
                <w:bCs/>
                <w:sz w:val="22"/>
                <w:szCs w:val="22"/>
              </w:rPr>
              <w:t>Area 4: Reinforcing Study Habits (Significant Predictor of Gen Ed and Prof Ed ratings)</w:t>
            </w:r>
          </w:p>
        </w:tc>
      </w:tr>
      <w:tr w:rsidR="001B225E" w:rsidRPr="00C2272F" w14:paraId="4EB4DB46" w14:textId="77777777" w:rsidTr="001B225E">
        <w:tc>
          <w:tcPr>
            <w:tcW w:w="1639"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11C147BD"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 xml:space="preserve">7. To develop structured and consistent </w:t>
            </w:r>
            <w:r w:rsidRPr="00C2272F">
              <w:rPr>
                <w:rFonts w:ascii="Arial" w:hAnsi="Arial" w:cs="Arial"/>
                <w:sz w:val="22"/>
                <w:szCs w:val="22"/>
              </w:rPr>
              <w:lastRenderedPageBreak/>
              <w:t>study habits among education students preparing for the LET.</w:t>
            </w:r>
          </w:p>
        </w:tc>
        <w:tc>
          <w:tcPr>
            <w:tcW w:w="1639"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3EE9DCD3"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lastRenderedPageBreak/>
              <w:t xml:space="preserve">7.1 Conduct a seminar-workshop on </w:t>
            </w:r>
            <w:r w:rsidRPr="00C2272F">
              <w:rPr>
                <w:rFonts w:ascii="Arial" w:hAnsi="Arial" w:cs="Arial"/>
                <w:sz w:val="22"/>
                <w:szCs w:val="22"/>
              </w:rPr>
              <w:lastRenderedPageBreak/>
              <w:t>effective study habits and time management for third- and fourth-year students.</w:t>
            </w:r>
          </w:p>
          <w:p w14:paraId="2CC96937"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7.2 Distribute a personalized LET Study Planner to guide daily and weekly review schedules.</w:t>
            </w:r>
          </w:p>
          <w:p w14:paraId="45D61F4C"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7.3 Organize peer-led review circles using structured note-taking and practice question sets.</w:t>
            </w:r>
          </w:p>
          <w:p w14:paraId="427B88EA"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7.4 Train faculty to integrate LET-type multiple-choice items into regular classroom assessments.</w:t>
            </w:r>
          </w:p>
        </w:tc>
        <w:tc>
          <w:tcPr>
            <w:tcW w:w="1614"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18405ED7"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lastRenderedPageBreak/>
              <w:t>Dean of Teacher Education</w:t>
            </w:r>
          </w:p>
          <w:p w14:paraId="78830BCF"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lastRenderedPageBreak/>
              <w:t>Faculty Advisers</w:t>
            </w:r>
          </w:p>
          <w:p w14:paraId="5668FCC2"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Subject Area Faculty</w:t>
            </w:r>
          </w:p>
        </w:tc>
        <w:tc>
          <w:tcPr>
            <w:tcW w:w="1186"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14B5825C"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lastRenderedPageBreak/>
              <w:t>Third and Fourth Year</w:t>
            </w:r>
          </w:p>
        </w:tc>
        <w:tc>
          <w:tcPr>
            <w:tcW w:w="2568"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1256BBC5"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Improved study habits levels</w:t>
            </w:r>
          </w:p>
          <w:p w14:paraId="246E3ED3"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lastRenderedPageBreak/>
              <w:t>Structured peer review groups established</w:t>
            </w:r>
          </w:p>
          <w:p w14:paraId="346CD85B"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Higher LET ratings above the 80 mark</w:t>
            </w:r>
          </w:p>
        </w:tc>
      </w:tr>
      <w:tr w:rsidR="001B225E" w:rsidRPr="00C2272F" w14:paraId="1E3F2CDB" w14:textId="77777777" w:rsidTr="001B225E">
        <w:tc>
          <w:tcPr>
            <w:tcW w:w="8646" w:type="dxa"/>
            <w:gridSpan w:val="5"/>
            <w:tcBorders>
              <w:top w:val="single" w:sz="1" w:space="0" w:color="888888"/>
              <w:left w:val="single" w:sz="1" w:space="0" w:color="888888"/>
              <w:bottom w:val="single" w:sz="1" w:space="0" w:color="888888"/>
              <w:right w:val="single" w:sz="1" w:space="0" w:color="888888"/>
            </w:tcBorders>
            <w:shd w:val="clear" w:color="auto" w:fill="C9D8E8"/>
            <w:tcMar>
              <w:top w:w="70" w:type="dxa"/>
              <w:left w:w="110" w:type="dxa"/>
              <w:bottom w:w="70" w:type="dxa"/>
              <w:right w:w="110" w:type="dxa"/>
            </w:tcMar>
          </w:tcPr>
          <w:p w14:paraId="0B4CD976" w14:textId="77777777" w:rsidR="001B225E" w:rsidRPr="00C2272F" w:rsidRDefault="001B225E" w:rsidP="00146DF8">
            <w:pPr>
              <w:jc w:val="both"/>
              <w:rPr>
                <w:rFonts w:ascii="Arial" w:hAnsi="Arial" w:cs="Arial"/>
                <w:sz w:val="22"/>
                <w:szCs w:val="22"/>
              </w:rPr>
            </w:pPr>
            <w:r w:rsidRPr="00C2272F">
              <w:rPr>
                <w:rFonts w:ascii="Arial" w:hAnsi="Arial" w:cs="Arial"/>
                <w:b/>
                <w:bCs/>
                <w:sz w:val="22"/>
                <w:szCs w:val="22"/>
              </w:rPr>
              <w:lastRenderedPageBreak/>
              <w:t>Area 5: Program Monitoring, Evaluation, and Continuous Improvement</w:t>
            </w:r>
          </w:p>
        </w:tc>
      </w:tr>
      <w:tr w:rsidR="001B225E" w:rsidRPr="00C2272F" w14:paraId="76A8CCA7" w14:textId="77777777" w:rsidTr="001B225E">
        <w:tc>
          <w:tcPr>
            <w:tcW w:w="1639"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78A88EBE"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 xml:space="preserve">8. To establish a monitoring and evaluation system to </w:t>
            </w:r>
            <w:r w:rsidRPr="00C2272F">
              <w:rPr>
                <w:rFonts w:ascii="Arial" w:hAnsi="Arial" w:cs="Arial"/>
                <w:sz w:val="22"/>
                <w:szCs w:val="22"/>
              </w:rPr>
              <w:lastRenderedPageBreak/>
              <w:t>track the effectiveness of the intervention program.</w:t>
            </w:r>
          </w:p>
        </w:tc>
        <w:tc>
          <w:tcPr>
            <w:tcW w:w="1639"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75791046"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lastRenderedPageBreak/>
              <w:t xml:space="preserve">8.1 Administer pre- and post-intervention surveys </w:t>
            </w:r>
            <w:r w:rsidRPr="00C2272F">
              <w:rPr>
                <w:rFonts w:ascii="Arial" w:hAnsi="Arial" w:cs="Arial"/>
                <w:sz w:val="22"/>
                <w:szCs w:val="22"/>
              </w:rPr>
              <w:lastRenderedPageBreak/>
              <w:t>measuring study habits, review preparation, and institutional support.</w:t>
            </w:r>
          </w:p>
          <w:p w14:paraId="40723402"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8.2 Track LET performance per cycle and compare passing rates and average ratings against the baseline of the present study.</w:t>
            </w:r>
          </w:p>
          <w:p w14:paraId="7841FDD3"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8.3 Conduct an annual program evaluation meeting to review outcomes and update strategies.</w:t>
            </w:r>
          </w:p>
          <w:p w14:paraId="16B38456"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8.4 Document and disseminate best practices to other teacher education institutions in the Bicol Region.</w:t>
            </w:r>
          </w:p>
        </w:tc>
        <w:tc>
          <w:tcPr>
            <w:tcW w:w="1614"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7FE8944E"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lastRenderedPageBreak/>
              <w:t>Dean of Teacher Education</w:t>
            </w:r>
          </w:p>
          <w:p w14:paraId="188E75F7"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lastRenderedPageBreak/>
              <w:t>LET Coordinator</w:t>
            </w:r>
          </w:p>
          <w:p w14:paraId="2C504159"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Institutional Research Office</w:t>
            </w:r>
          </w:p>
        </w:tc>
        <w:tc>
          <w:tcPr>
            <w:tcW w:w="1186"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1DE7CB27"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lastRenderedPageBreak/>
              <w:t>Annually</w:t>
            </w:r>
          </w:p>
        </w:tc>
        <w:tc>
          <w:tcPr>
            <w:tcW w:w="2568" w:type="dxa"/>
            <w:tcBorders>
              <w:top w:val="single" w:sz="1" w:space="0" w:color="888888"/>
              <w:left w:val="single" w:sz="1" w:space="0" w:color="888888"/>
              <w:bottom w:val="single" w:sz="1" w:space="0" w:color="888888"/>
              <w:right w:val="single" w:sz="1" w:space="0" w:color="888888"/>
            </w:tcBorders>
            <w:tcMar>
              <w:top w:w="70" w:type="dxa"/>
              <w:left w:w="110" w:type="dxa"/>
              <w:bottom w:w="70" w:type="dxa"/>
              <w:right w:w="110" w:type="dxa"/>
            </w:tcMar>
          </w:tcPr>
          <w:p w14:paraId="60694625"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Annual monitoring report produced</w:t>
            </w:r>
          </w:p>
          <w:p w14:paraId="41B4F55F" w14:textId="77777777" w:rsidR="001B225E" w:rsidRPr="00C2272F" w:rsidRDefault="001B225E" w:rsidP="00146DF8">
            <w:pPr>
              <w:spacing w:after="60"/>
              <w:jc w:val="both"/>
              <w:rPr>
                <w:rFonts w:ascii="Arial" w:hAnsi="Arial" w:cs="Arial"/>
                <w:sz w:val="22"/>
                <w:szCs w:val="22"/>
              </w:rPr>
            </w:pPr>
            <w:r w:rsidRPr="00C2272F">
              <w:rPr>
                <w:rFonts w:ascii="Arial" w:hAnsi="Arial" w:cs="Arial"/>
                <w:sz w:val="22"/>
                <w:szCs w:val="22"/>
              </w:rPr>
              <w:t xml:space="preserve">Continuous improvement in LET </w:t>
            </w:r>
            <w:r w:rsidRPr="00C2272F">
              <w:rPr>
                <w:rFonts w:ascii="Arial" w:hAnsi="Arial" w:cs="Arial"/>
                <w:sz w:val="22"/>
                <w:szCs w:val="22"/>
              </w:rPr>
              <w:lastRenderedPageBreak/>
              <w:t>passing rates and ratings</w:t>
            </w:r>
          </w:p>
          <w:p w14:paraId="563627FC" w14:textId="77777777" w:rsidR="001B225E" w:rsidRPr="00C2272F" w:rsidRDefault="001B225E" w:rsidP="00146DF8">
            <w:pPr>
              <w:jc w:val="both"/>
              <w:rPr>
                <w:rFonts w:ascii="Arial" w:hAnsi="Arial" w:cs="Arial"/>
                <w:sz w:val="22"/>
                <w:szCs w:val="22"/>
              </w:rPr>
            </w:pPr>
            <w:r w:rsidRPr="00C2272F">
              <w:rPr>
                <w:rFonts w:ascii="Arial" w:hAnsi="Arial" w:cs="Arial"/>
                <w:sz w:val="22"/>
                <w:szCs w:val="22"/>
              </w:rPr>
              <w:t>Evidence-based program adjustments each cycle</w:t>
            </w:r>
          </w:p>
        </w:tc>
      </w:tr>
    </w:tbl>
    <w:p w14:paraId="1AD58D73" w14:textId="130F0EBA" w:rsidR="001B225E" w:rsidRPr="00C2272F" w:rsidRDefault="001B225E" w:rsidP="001B225E">
      <w:pPr>
        <w:spacing w:before="120" w:line="276" w:lineRule="auto"/>
        <w:jc w:val="both"/>
        <w:rPr>
          <w:rFonts w:ascii="Arial" w:hAnsi="Arial" w:cs="Arial"/>
          <w:sz w:val="22"/>
          <w:szCs w:val="22"/>
        </w:rPr>
      </w:pPr>
      <w:r w:rsidRPr="00C2272F">
        <w:rPr>
          <w:rFonts w:ascii="Arial" w:hAnsi="Arial" w:cs="Arial"/>
          <w:i/>
          <w:iCs/>
          <w:sz w:val="22"/>
          <w:szCs w:val="22"/>
        </w:rPr>
        <w:lastRenderedPageBreak/>
        <w:t xml:space="preserve">Note. </w:t>
      </w:r>
      <w:r w:rsidRPr="00C2272F">
        <w:rPr>
          <w:rFonts w:ascii="Arial" w:hAnsi="Arial" w:cs="Arial"/>
          <w:sz w:val="22"/>
          <w:szCs w:val="22"/>
        </w:rPr>
        <w:t>The proposed intervention program is grounded in the findings of the study and is designed to address the identified areas for improvement in academic performance, review preparation practices, institutional support, and study habits among the LET takers of the community college in Albay. Implementation is subject to the approval and adaptation of institutional authorities</w:t>
      </w:r>
      <w:r>
        <w:rPr>
          <w:rFonts w:ascii="Arial" w:hAnsi="Arial" w:cs="Arial"/>
          <w:sz w:val="22"/>
          <w:szCs w:val="22"/>
        </w:rPr>
        <w:t xml:space="preserve"> </w:t>
      </w:r>
      <w:r w:rsidRPr="00C2272F">
        <w:rPr>
          <w:rFonts w:ascii="Arial" w:hAnsi="Arial" w:cs="Arial"/>
          <w:sz w:val="22"/>
          <w:szCs w:val="22"/>
        </w:rPr>
        <w:t>and adaptation of institutional authorities.</w:t>
      </w:r>
    </w:p>
    <w:p w14:paraId="645654FF" w14:textId="77777777" w:rsidR="001B225E" w:rsidRPr="00C5090E" w:rsidRDefault="001B225E" w:rsidP="001B225E">
      <w:pPr>
        <w:spacing w:after="200" w:line="480" w:lineRule="auto"/>
        <w:ind w:firstLine="720"/>
        <w:jc w:val="both"/>
        <w:rPr>
          <w:rFonts w:ascii="Arial" w:hAnsi="Arial" w:cs="Arial"/>
        </w:rPr>
        <w:sectPr w:rsidR="001B225E" w:rsidRPr="00C5090E" w:rsidSect="001B225E">
          <w:headerReference w:type="default" r:id="rId49"/>
          <w:footerReference w:type="default" r:id="rId50"/>
          <w:pgSz w:w="12240" w:h="15840"/>
          <w:pgMar w:top="1440" w:right="1440" w:bottom="1440" w:left="2160" w:header="720" w:footer="720" w:gutter="0"/>
          <w:pgNumType w:start="1"/>
          <w:cols w:space="720"/>
          <w:docGrid w:linePitch="326"/>
        </w:sectPr>
      </w:pPr>
    </w:p>
    <w:p w14:paraId="5F07A1F6" w14:textId="77777777" w:rsidR="001B225E" w:rsidRPr="002A1433" w:rsidRDefault="001B225E" w:rsidP="001B225E">
      <w:pPr>
        <w:spacing w:line="480" w:lineRule="auto"/>
        <w:jc w:val="center"/>
        <w:rPr>
          <w:rFonts w:ascii="Arial" w:eastAsia="Arial" w:hAnsi="Arial" w:cs="Arial"/>
          <w:b/>
          <w:bCs/>
        </w:rPr>
      </w:pPr>
      <w:r w:rsidRPr="002A1433">
        <w:rPr>
          <w:rFonts w:ascii="Arial" w:eastAsia="Arial" w:hAnsi="Arial" w:cs="Arial"/>
          <w:b/>
          <w:bCs/>
        </w:rPr>
        <w:lastRenderedPageBreak/>
        <w:t>Notes</w:t>
      </w:r>
    </w:p>
    <w:p w14:paraId="42DD46B7" w14:textId="77777777" w:rsidR="001B225E" w:rsidRPr="002A1433" w:rsidRDefault="001B225E" w:rsidP="001B225E">
      <w:pPr>
        <w:spacing w:after="0" w:line="240" w:lineRule="auto"/>
        <w:ind w:firstLine="851"/>
        <w:jc w:val="both"/>
        <w:rPr>
          <w:rFonts w:ascii="Arial" w:hAnsi="Arial" w:cs="Arial"/>
        </w:rPr>
      </w:pPr>
      <w:r w:rsidRPr="002A1433">
        <w:rPr>
          <w:rFonts w:ascii="Arial" w:eastAsia="Arial" w:hAnsi="Arial" w:cs="Arial"/>
        </w:rPr>
        <w:t xml:space="preserve">Abao, E. L., </w:t>
      </w:r>
      <w:proofErr w:type="spellStart"/>
      <w:r w:rsidRPr="002A1433">
        <w:rPr>
          <w:rFonts w:ascii="Arial" w:eastAsia="Arial" w:hAnsi="Arial" w:cs="Arial"/>
        </w:rPr>
        <w:t>Petancio</w:t>
      </w:r>
      <w:proofErr w:type="spellEnd"/>
      <w:r w:rsidRPr="002A1433">
        <w:rPr>
          <w:rFonts w:ascii="Arial" w:eastAsia="Arial" w:hAnsi="Arial" w:cs="Arial"/>
        </w:rPr>
        <w:t xml:space="preserve">, J. A. M., Sanchez, J. M. P., &amp; Sumalinog, G. G. (2023). Performance of beginning teachers in the licensure examination for teachers: A national study. </w:t>
      </w:r>
      <w:r w:rsidRPr="002A1433">
        <w:rPr>
          <w:rFonts w:ascii="Arial" w:eastAsia="Arial" w:hAnsi="Arial" w:cs="Arial"/>
          <w:i/>
          <w:iCs/>
        </w:rPr>
        <w:t>Frontiers in Education, 8</w:t>
      </w:r>
      <w:r w:rsidRPr="002A1433">
        <w:rPr>
          <w:rFonts w:ascii="Arial" w:eastAsia="Arial" w:hAnsi="Arial" w:cs="Arial"/>
        </w:rPr>
        <w:t xml:space="preserve">, Article 1240658. </w:t>
      </w:r>
      <w:hyperlink r:id="rId51">
        <w:r w:rsidRPr="002A1433">
          <w:rPr>
            <w:rFonts w:ascii="Arial" w:eastAsia="Arial" w:hAnsi="Arial" w:cs="Arial"/>
            <w:color w:val="000000"/>
          </w:rPr>
          <w:t>https://doi.org/10.3389/feduc.2023.1240658</w:t>
        </w:r>
      </w:hyperlink>
    </w:p>
    <w:p w14:paraId="3DEEA6FC" w14:textId="77777777" w:rsidR="001B225E" w:rsidRPr="002A1433" w:rsidRDefault="001B225E" w:rsidP="001B225E">
      <w:pPr>
        <w:spacing w:after="0" w:line="240" w:lineRule="auto"/>
        <w:ind w:firstLine="851"/>
        <w:jc w:val="both"/>
        <w:rPr>
          <w:rFonts w:ascii="Arial" w:eastAsia="Arial" w:hAnsi="Arial" w:cs="Arial"/>
        </w:rPr>
      </w:pPr>
    </w:p>
    <w:p w14:paraId="0788D67C" w14:textId="77777777" w:rsidR="001B225E" w:rsidRPr="002A1433" w:rsidRDefault="001B225E" w:rsidP="001B225E">
      <w:pPr>
        <w:spacing w:after="0" w:line="240" w:lineRule="auto"/>
        <w:ind w:firstLine="851"/>
        <w:jc w:val="both"/>
        <w:rPr>
          <w:rFonts w:ascii="Arial" w:eastAsia="Arial" w:hAnsi="Arial" w:cs="Arial"/>
        </w:rPr>
      </w:pPr>
      <w:r w:rsidRPr="002A1433">
        <w:rPr>
          <w:rFonts w:ascii="Arial" w:eastAsia="Arial" w:hAnsi="Arial" w:cs="Arial"/>
        </w:rPr>
        <w:t>Alvarez, R. (2018). Resilience among LET takers in Mindanao: Coping strategies and licensure performance.</w:t>
      </w:r>
    </w:p>
    <w:p w14:paraId="27990AB8" w14:textId="77777777" w:rsidR="001B225E" w:rsidRPr="002A1433" w:rsidRDefault="001B225E" w:rsidP="001B225E">
      <w:pPr>
        <w:spacing w:after="0" w:line="240" w:lineRule="auto"/>
        <w:ind w:firstLine="851"/>
        <w:jc w:val="both"/>
        <w:rPr>
          <w:rFonts w:ascii="Arial" w:eastAsia="Arial" w:hAnsi="Arial" w:cs="Arial"/>
        </w:rPr>
      </w:pPr>
    </w:p>
    <w:p w14:paraId="353D0D1C" w14:textId="77777777" w:rsidR="001B225E" w:rsidRPr="002A1433" w:rsidRDefault="001B225E" w:rsidP="001B225E">
      <w:pPr>
        <w:spacing w:after="0" w:line="240" w:lineRule="auto"/>
        <w:ind w:firstLine="851"/>
        <w:jc w:val="both"/>
        <w:rPr>
          <w:rFonts w:ascii="Arial" w:hAnsi="Arial" w:cs="Arial"/>
        </w:rPr>
      </w:pPr>
      <w:proofErr w:type="spellStart"/>
      <w:r w:rsidRPr="002A1433">
        <w:rPr>
          <w:rFonts w:ascii="Arial" w:eastAsia="Arial" w:hAnsi="Arial" w:cs="Arial"/>
        </w:rPr>
        <w:t>Amanonce</w:t>
      </w:r>
      <w:proofErr w:type="spellEnd"/>
      <w:r w:rsidRPr="002A1433">
        <w:rPr>
          <w:rFonts w:ascii="Arial" w:eastAsia="Arial" w:hAnsi="Arial" w:cs="Arial"/>
        </w:rPr>
        <w:t xml:space="preserve">, J. C. T., &amp; Maramag, A. M. (2020). Licensure examination performance and academic achievement of teacher education graduates. </w:t>
      </w:r>
      <w:r w:rsidRPr="002A1433">
        <w:rPr>
          <w:rFonts w:ascii="Arial" w:eastAsia="Arial" w:hAnsi="Arial" w:cs="Arial"/>
          <w:i/>
          <w:iCs/>
        </w:rPr>
        <w:t>International Journal of Evaluation and Research in Education, 9</w:t>
      </w:r>
      <w:r w:rsidRPr="002A1433">
        <w:rPr>
          <w:rFonts w:ascii="Arial" w:eastAsia="Arial" w:hAnsi="Arial" w:cs="Arial"/>
        </w:rPr>
        <w:t xml:space="preserve">(3), 510–516. </w:t>
      </w:r>
      <w:hyperlink r:id="rId52">
        <w:r w:rsidRPr="002A1433">
          <w:rPr>
            <w:rFonts w:ascii="Arial" w:eastAsia="Arial" w:hAnsi="Arial" w:cs="Arial"/>
            <w:color w:val="000000"/>
          </w:rPr>
          <w:t>https://doi.org/10.11591/IJERE.V9I3.20614</w:t>
        </w:r>
      </w:hyperlink>
    </w:p>
    <w:p w14:paraId="022CC3F7" w14:textId="77777777" w:rsidR="001B225E" w:rsidRPr="002A1433" w:rsidRDefault="001B225E" w:rsidP="001B225E">
      <w:pPr>
        <w:spacing w:after="0" w:line="240" w:lineRule="auto"/>
        <w:ind w:firstLine="851"/>
        <w:jc w:val="both"/>
        <w:rPr>
          <w:rFonts w:ascii="Arial" w:eastAsia="Arial" w:hAnsi="Arial" w:cs="Arial"/>
        </w:rPr>
      </w:pPr>
    </w:p>
    <w:p w14:paraId="0A669793" w14:textId="77777777" w:rsidR="001B225E" w:rsidRPr="002A1433" w:rsidRDefault="001B225E" w:rsidP="001B225E">
      <w:pPr>
        <w:spacing w:after="0" w:line="240" w:lineRule="auto"/>
        <w:ind w:firstLine="851"/>
        <w:jc w:val="both"/>
        <w:rPr>
          <w:rFonts w:ascii="Arial" w:eastAsia="Arial" w:hAnsi="Arial" w:cs="Arial"/>
        </w:rPr>
      </w:pPr>
      <w:r w:rsidRPr="002A1433">
        <w:rPr>
          <w:rFonts w:ascii="Arial" w:eastAsia="Arial" w:hAnsi="Arial" w:cs="Arial"/>
        </w:rPr>
        <w:t>Anderson, T. (2021). Extended practicum and mentoring as predictors of licensure success: A longitudinal study.</w:t>
      </w:r>
    </w:p>
    <w:p w14:paraId="1CD1A8C4" w14:textId="77777777" w:rsidR="001B225E" w:rsidRPr="002A1433" w:rsidRDefault="001B225E" w:rsidP="001B225E">
      <w:pPr>
        <w:spacing w:after="0" w:line="240" w:lineRule="auto"/>
        <w:ind w:firstLine="851"/>
        <w:jc w:val="both"/>
        <w:rPr>
          <w:rFonts w:ascii="Arial" w:eastAsia="Arial" w:hAnsi="Arial" w:cs="Arial"/>
        </w:rPr>
      </w:pPr>
    </w:p>
    <w:p w14:paraId="324420D1" w14:textId="77777777" w:rsidR="001B225E" w:rsidRPr="002A1433" w:rsidRDefault="001B225E" w:rsidP="001B225E">
      <w:pPr>
        <w:spacing w:after="0" w:line="240" w:lineRule="auto"/>
        <w:ind w:firstLine="851"/>
        <w:jc w:val="both"/>
        <w:rPr>
          <w:rFonts w:ascii="Arial" w:eastAsia="Arial" w:hAnsi="Arial" w:cs="Arial"/>
        </w:rPr>
      </w:pPr>
      <w:proofErr w:type="spellStart"/>
      <w:r w:rsidRPr="002A1433">
        <w:rPr>
          <w:rFonts w:ascii="Arial" w:eastAsia="Arial" w:hAnsi="Arial" w:cs="Arial"/>
        </w:rPr>
        <w:t>Balinario</w:t>
      </w:r>
      <w:proofErr w:type="spellEnd"/>
      <w:r w:rsidRPr="002A1433">
        <w:rPr>
          <w:rFonts w:ascii="Arial" w:eastAsia="Arial" w:hAnsi="Arial" w:cs="Arial"/>
        </w:rPr>
        <w:t>, L., Reyes, M., &amp; Santos, P. (2023). Curriculum alignment and LET passing rates: An evaluation of instructional design in Philippine teacher education programs.</w:t>
      </w:r>
    </w:p>
    <w:p w14:paraId="7AABB04D" w14:textId="77777777" w:rsidR="001B225E" w:rsidRPr="002A1433" w:rsidRDefault="001B225E" w:rsidP="001B225E">
      <w:pPr>
        <w:spacing w:after="0" w:line="240" w:lineRule="auto"/>
        <w:ind w:firstLine="851"/>
        <w:jc w:val="both"/>
        <w:rPr>
          <w:rFonts w:ascii="Arial" w:eastAsia="Arial" w:hAnsi="Arial" w:cs="Arial"/>
        </w:rPr>
      </w:pPr>
    </w:p>
    <w:p w14:paraId="27976F46" w14:textId="77777777" w:rsidR="001B225E" w:rsidRPr="002A1433" w:rsidRDefault="001B225E" w:rsidP="001B225E">
      <w:pPr>
        <w:spacing w:after="0" w:line="240" w:lineRule="auto"/>
        <w:ind w:firstLine="851"/>
        <w:jc w:val="both"/>
        <w:rPr>
          <w:rFonts w:ascii="Arial" w:hAnsi="Arial" w:cs="Arial"/>
        </w:rPr>
      </w:pPr>
      <w:r w:rsidRPr="002A1433">
        <w:rPr>
          <w:rFonts w:ascii="Arial" w:eastAsia="Arial" w:hAnsi="Arial" w:cs="Arial"/>
        </w:rPr>
        <w:t xml:space="preserve">Belza, D. S. G., Alcausin, F. B., Jocson, J. V., Rodil, J. M. C., Fulgencio, M. S. B., Tuazon, M. M. M., &amp; Valientes, V. R. E. (2025). Profiling study of teacher education institutions and teacher educators. Second Congressional Commission on Education. </w:t>
      </w:r>
      <w:hyperlink r:id="rId53">
        <w:r w:rsidRPr="002A1433">
          <w:rPr>
            <w:rFonts w:ascii="Arial" w:eastAsia="Arial" w:hAnsi="Arial" w:cs="Arial"/>
            <w:color w:val="000000"/>
          </w:rPr>
          <w:t>https://edcom2.gov.ph/publications/profiling-study-of-teacher-education-institutions-teis-and-teacher-educators/</w:t>
        </w:r>
      </w:hyperlink>
    </w:p>
    <w:p w14:paraId="7794A4DF" w14:textId="77777777" w:rsidR="001B225E" w:rsidRPr="002A1433" w:rsidRDefault="001B225E" w:rsidP="001B225E">
      <w:pPr>
        <w:spacing w:after="0" w:line="240" w:lineRule="auto"/>
        <w:ind w:firstLine="851"/>
        <w:jc w:val="both"/>
        <w:rPr>
          <w:rFonts w:ascii="Arial" w:eastAsia="Arial" w:hAnsi="Arial" w:cs="Arial"/>
        </w:rPr>
      </w:pPr>
    </w:p>
    <w:p w14:paraId="1C85F40D" w14:textId="77777777" w:rsidR="001B225E" w:rsidRPr="002A1433" w:rsidRDefault="001B225E" w:rsidP="001B225E">
      <w:pPr>
        <w:spacing w:after="0" w:line="240" w:lineRule="auto"/>
        <w:ind w:firstLine="851"/>
        <w:jc w:val="both"/>
        <w:rPr>
          <w:rFonts w:ascii="Arial" w:hAnsi="Arial" w:cs="Arial"/>
        </w:rPr>
      </w:pPr>
      <w:r w:rsidRPr="002A1433">
        <w:rPr>
          <w:rFonts w:ascii="Arial" w:eastAsia="Arial" w:hAnsi="Arial" w:cs="Arial"/>
        </w:rPr>
        <w:t xml:space="preserve">Bustos, M. T., </w:t>
      </w:r>
      <w:proofErr w:type="spellStart"/>
      <w:r w:rsidRPr="002A1433">
        <w:rPr>
          <w:rFonts w:ascii="Arial" w:eastAsia="Arial" w:hAnsi="Arial" w:cs="Arial"/>
        </w:rPr>
        <w:t>Cagasan</w:t>
      </w:r>
      <w:proofErr w:type="spellEnd"/>
      <w:r w:rsidRPr="002A1433">
        <w:rPr>
          <w:rFonts w:ascii="Arial" w:eastAsia="Arial" w:hAnsi="Arial" w:cs="Arial"/>
        </w:rPr>
        <w:t xml:space="preserve">, L., Jr., Ferido, N. M., Ocampo-Cristobal, D. J., &amp; </w:t>
      </w:r>
      <w:proofErr w:type="spellStart"/>
      <w:r w:rsidRPr="002A1433">
        <w:rPr>
          <w:rFonts w:ascii="Arial" w:eastAsia="Arial" w:hAnsi="Arial" w:cs="Arial"/>
        </w:rPr>
        <w:t>Ogena</w:t>
      </w:r>
      <w:proofErr w:type="spellEnd"/>
      <w:r w:rsidRPr="002A1433">
        <w:rPr>
          <w:rFonts w:ascii="Arial" w:eastAsia="Arial" w:hAnsi="Arial" w:cs="Arial"/>
        </w:rPr>
        <w:t xml:space="preserve">, E. (2025). Fixing the foundations: Strengthening the teaching workforce through the BLEPT. Second Congressional Commission on Education. </w:t>
      </w:r>
      <w:hyperlink r:id="rId54">
        <w:r w:rsidRPr="002A1433">
          <w:rPr>
            <w:rFonts w:ascii="Arial" w:eastAsia="Arial" w:hAnsi="Arial" w:cs="Arial"/>
            <w:color w:val="000000"/>
          </w:rPr>
          <w:t>https://edcom2.gov.ph/publications/fixing-the-foundations-strengthening-the-teaching-workforce-through-the-blept/</w:t>
        </w:r>
      </w:hyperlink>
    </w:p>
    <w:p w14:paraId="59F065EC" w14:textId="77777777" w:rsidR="001B225E" w:rsidRPr="002A1433" w:rsidRDefault="001B225E" w:rsidP="001B225E">
      <w:pPr>
        <w:spacing w:after="0" w:line="240" w:lineRule="auto"/>
        <w:ind w:firstLine="851"/>
        <w:jc w:val="both"/>
        <w:rPr>
          <w:rFonts w:ascii="Arial" w:eastAsia="Arial" w:hAnsi="Arial" w:cs="Arial"/>
        </w:rPr>
      </w:pPr>
    </w:p>
    <w:p w14:paraId="7682E858" w14:textId="77777777" w:rsidR="001B225E" w:rsidRPr="002A1433" w:rsidRDefault="001B225E" w:rsidP="001B225E">
      <w:pPr>
        <w:spacing w:after="0" w:line="240" w:lineRule="auto"/>
        <w:ind w:firstLine="851"/>
        <w:jc w:val="both"/>
        <w:rPr>
          <w:rFonts w:ascii="Arial" w:eastAsia="Arial" w:hAnsi="Arial" w:cs="Arial"/>
        </w:rPr>
      </w:pPr>
      <w:proofErr w:type="spellStart"/>
      <w:r w:rsidRPr="002A1433">
        <w:rPr>
          <w:rFonts w:ascii="Arial" w:eastAsia="Arial" w:hAnsi="Arial" w:cs="Arial"/>
        </w:rPr>
        <w:t>Cadosales</w:t>
      </w:r>
      <w:proofErr w:type="spellEnd"/>
      <w:r w:rsidRPr="002A1433">
        <w:rPr>
          <w:rFonts w:ascii="Arial" w:eastAsia="Arial" w:hAnsi="Arial" w:cs="Arial"/>
        </w:rPr>
        <w:t>, A., Delos Reyes, K., &amp; Villanueva, S. (2023). LET results as predictors of beginning teachers' classroom performance.</w:t>
      </w:r>
    </w:p>
    <w:p w14:paraId="17188177" w14:textId="77777777" w:rsidR="001B225E" w:rsidRPr="002A1433" w:rsidRDefault="001B225E" w:rsidP="001B225E">
      <w:pPr>
        <w:spacing w:after="0" w:line="240" w:lineRule="auto"/>
        <w:ind w:firstLine="851"/>
        <w:jc w:val="both"/>
        <w:rPr>
          <w:rFonts w:ascii="Arial" w:eastAsia="Arial" w:hAnsi="Arial" w:cs="Arial"/>
        </w:rPr>
      </w:pPr>
    </w:p>
    <w:p w14:paraId="222B71B2" w14:textId="77777777" w:rsidR="001B225E" w:rsidRPr="002A1433" w:rsidRDefault="001B225E" w:rsidP="001B225E">
      <w:pPr>
        <w:spacing w:after="0" w:line="240" w:lineRule="auto"/>
        <w:ind w:firstLine="851"/>
        <w:jc w:val="both"/>
        <w:rPr>
          <w:rFonts w:ascii="Arial" w:eastAsia="Arial" w:hAnsi="Arial" w:cs="Arial"/>
        </w:rPr>
      </w:pPr>
      <w:r w:rsidRPr="002A1433">
        <w:rPr>
          <w:rFonts w:ascii="Arial" w:eastAsia="Arial" w:hAnsi="Arial" w:cs="Arial"/>
        </w:rPr>
        <w:t>Cruz, E. (2017). Effectiveness of review centers and institutional review programs on LET passing rates.</w:t>
      </w:r>
    </w:p>
    <w:p w14:paraId="77B58DBB" w14:textId="77777777" w:rsidR="001B225E" w:rsidRPr="002A1433" w:rsidRDefault="001B225E" w:rsidP="001B225E">
      <w:pPr>
        <w:spacing w:after="0" w:line="240" w:lineRule="auto"/>
        <w:ind w:firstLine="851"/>
        <w:jc w:val="both"/>
        <w:rPr>
          <w:rFonts w:ascii="Arial" w:eastAsia="Arial" w:hAnsi="Arial" w:cs="Arial"/>
        </w:rPr>
      </w:pPr>
    </w:p>
    <w:p w14:paraId="0B0B377F" w14:textId="77777777" w:rsidR="001B225E" w:rsidRPr="002A1433" w:rsidRDefault="001B225E" w:rsidP="001B225E">
      <w:pPr>
        <w:spacing w:after="0" w:line="240" w:lineRule="auto"/>
        <w:ind w:firstLine="851"/>
        <w:jc w:val="both"/>
        <w:rPr>
          <w:rFonts w:ascii="Arial" w:eastAsia="Arial" w:hAnsi="Arial" w:cs="Arial"/>
        </w:rPr>
      </w:pPr>
      <w:r w:rsidRPr="002A1433">
        <w:rPr>
          <w:rFonts w:ascii="Arial" w:eastAsia="Arial" w:hAnsi="Arial" w:cs="Arial"/>
        </w:rPr>
        <w:t>Darling-Hammond, L. (2017). Teacher preparation and licensure: Linking standards, assessment, and practice.</w:t>
      </w:r>
    </w:p>
    <w:p w14:paraId="485CC0A7" w14:textId="77777777" w:rsidR="001B225E" w:rsidRPr="002A1433" w:rsidRDefault="001B225E" w:rsidP="001B225E">
      <w:pPr>
        <w:spacing w:after="0" w:line="240" w:lineRule="auto"/>
        <w:ind w:firstLine="851"/>
        <w:jc w:val="both"/>
        <w:rPr>
          <w:rFonts w:ascii="Arial" w:eastAsia="Arial" w:hAnsi="Arial" w:cs="Arial"/>
        </w:rPr>
      </w:pPr>
    </w:p>
    <w:p w14:paraId="2957A561" w14:textId="77777777" w:rsidR="001B225E" w:rsidRPr="002A1433" w:rsidRDefault="001B225E" w:rsidP="001B225E">
      <w:pPr>
        <w:spacing w:after="0" w:line="240" w:lineRule="auto"/>
        <w:ind w:firstLine="851"/>
        <w:jc w:val="both"/>
        <w:rPr>
          <w:rFonts w:ascii="Arial" w:eastAsia="Arial" w:hAnsi="Arial" w:cs="Arial"/>
        </w:rPr>
      </w:pPr>
      <w:r w:rsidRPr="002A1433">
        <w:rPr>
          <w:rFonts w:ascii="Arial" w:eastAsia="Arial" w:hAnsi="Arial" w:cs="Arial"/>
        </w:rPr>
        <w:lastRenderedPageBreak/>
        <w:t xml:space="preserve">Darling-Hammond, L., &amp; Bransford, J. (2005). </w:t>
      </w:r>
      <w:r w:rsidRPr="002A1433">
        <w:rPr>
          <w:rFonts w:ascii="Arial" w:eastAsia="Arial" w:hAnsi="Arial" w:cs="Arial"/>
          <w:i/>
          <w:iCs/>
        </w:rPr>
        <w:t>Preparing teachers for a changing world: What teachers should learn and be able to do.</w:t>
      </w:r>
      <w:r w:rsidRPr="002A1433">
        <w:rPr>
          <w:rFonts w:ascii="Arial" w:eastAsia="Arial" w:hAnsi="Arial" w:cs="Arial"/>
        </w:rPr>
        <w:t xml:space="preserve"> Jossey-Bass.</w:t>
      </w:r>
    </w:p>
    <w:p w14:paraId="2270447F" w14:textId="77777777" w:rsidR="001B225E" w:rsidRPr="002A1433" w:rsidRDefault="001B225E" w:rsidP="001B225E">
      <w:pPr>
        <w:spacing w:after="0" w:line="240" w:lineRule="auto"/>
        <w:ind w:firstLine="851"/>
        <w:jc w:val="both"/>
        <w:rPr>
          <w:rFonts w:ascii="Arial" w:eastAsia="Arial" w:hAnsi="Arial" w:cs="Arial"/>
        </w:rPr>
      </w:pPr>
    </w:p>
    <w:p w14:paraId="48006FD6" w14:textId="77777777" w:rsidR="001B225E" w:rsidRPr="002A1433" w:rsidRDefault="001B225E" w:rsidP="001B225E">
      <w:pPr>
        <w:spacing w:after="0" w:line="240" w:lineRule="auto"/>
        <w:ind w:firstLine="851"/>
        <w:jc w:val="both"/>
        <w:rPr>
          <w:rFonts w:ascii="Arial" w:eastAsia="Arial" w:hAnsi="Arial" w:cs="Arial"/>
        </w:rPr>
      </w:pPr>
      <w:r w:rsidRPr="002A1433">
        <w:rPr>
          <w:rFonts w:ascii="Arial" w:eastAsia="Arial" w:hAnsi="Arial" w:cs="Arial"/>
        </w:rPr>
        <w:t>De Guzman, F. (2018). Student support services and licensure readiness: Mentoring, counseling, and academic advising.</w:t>
      </w:r>
    </w:p>
    <w:p w14:paraId="53CF4B51" w14:textId="77777777" w:rsidR="001B225E" w:rsidRPr="002A1433" w:rsidRDefault="001B225E" w:rsidP="001B225E">
      <w:pPr>
        <w:spacing w:after="0" w:line="240" w:lineRule="auto"/>
        <w:ind w:firstLine="851"/>
        <w:jc w:val="both"/>
        <w:rPr>
          <w:rFonts w:ascii="Arial" w:eastAsia="Arial" w:hAnsi="Arial" w:cs="Arial"/>
        </w:rPr>
      </w:pPr>
    </w:p>
    <w:p w14:paraId="528955D1" w14:textId="77777777" w:rsidR="001B225E" w:rsidRPr="002A1433" w:rsidRDefault="001B225E" w:rsidP="001B225E">
      <w:pPr>
        <w:spacing w:after="0" w:line="240" w:lineRule="auto"/>
        <w:ind w:firstLine="851"/>
        <w:jc w:val="both"/>
        <w:rPr>
          <w:rFonts w:ascii="Arial" w:eastAsia="Arial" w:hAnsi="Arial" w:cs="Arial"/>
        </w:rPr>
      </w:pPr>
      <w:r w:rsidRPr="002A1433">
        <w:rPr>
          <w:rFonts w:ascii="Arial" w:eastAsia="Arial" w:hAnsi="Arial" w:cs="Arial"/>
        </w:rPr>
        <w:t>Delos Angeles, M. (2020). Curriculum and instruction variables as predictors of LET performance at Cagayan State University.</w:t>
      </w:r>
    </w:p>
    <w:p w14:paraId="79AE0246" w14:textId="77777777" w:rsidR="001B225E" w:rsidRPr="002A1433" w:rsidRDefault="001B225E" w:rsidP="001B225E">
      <w:pPr>
        <w:spacing w:after="0" w:line="240" w:lineRule="auto"/>
        <w:ind w:firstLine="851"/>
        <w:jc w:val="both"/>
        <w:rPr>
          <w:rFonts w:ascii="Arial" w:eastAsia="Arial" w:hAnsi="Arial" w:cs="Arial"/>
        </w:rPr>
      </w:pPr>
    </w:p>
    <w:p w14:paraId="239A1EFC" w14:textId="77777777" w:rsidR="001B225E" w:rsidRPr="002A1433" w:rsidRDefault="001B225E" w:rsidP="001B225E">
      <w:pPr>
        <w:spacing w:after="0" w:line="240" w:lineRule="auto"/>
        <w:ind w:firstLine="851"/>
        <w:jc w:val="both"/>
        <w:rPr>
          <w:rFonts w:ascii="Arial" w:hAnsi="Arial" w:cs="Arial"/>
        </w:rPr>
      </w:pPr>
      <w:r w:rsidRPr="002A1433">
        <w:rPr>
          <w:rFonts w:ascii="Arial" w:eastAsia="Arial" w:hAnsi="Arial" w:cs="Arial"/>
        </w:rPr>
        <w:t xml:space="preserve">Dionio, B. B., </w:t>
      </w:r>
      <w:proofErr w:type="spellStart"/>
      <w:r w:rsidRPr="002A1433">
        <w:rPr>
          <w:rFonts w:ascii="Arial" w:eastAsia="Arial" w:hAnsi="Arial" w:cs="Arial"/>
        </w:rPr>
        <w:t>Dagpin</w:t>
      </w:r>
      <w:proofErr w:type="spellEnd"/>
      <w:r w:rsidRPr="002A1433">
        <w:rPr>
          <w:rFonts w:ascii="Arial" w:eastAsia="Arial" w:hAnsi="Arial" w:cs="Arial"/>
        </w:rPr>
        <w:t xml:space="preserve">, A. R. R., </w:t>
      </w:r>
      <w:proofErr w:type="spellStart"/>
      <w:r w:rsidRPr="002A1433">
        <w:rPr>
          <w:rFonts w:ascii="Arial" w:eastAsia="Arial" w:hAnsi="Arial" w:cs="Arial"/>
        </w:rPr>
        <w:t>Cabillas</w:t>
      </w:r>
      <w:proofErr w:type="spellEnd"/>
      <w:r w:rsidRPr="002A1433">
        <w:rPr>
          <w:rFonts w:ascii="Arial" w:eastAsia="Arial" w:hAnsi="Arial" w:cs="Arial"/>
        </w:rPr>
        <w:t xml:space="preserve">, A. J. Q. B., </w:t>
      </w:r>
      <w:proofErr w:type="spellStart"/>
      <w:r w:rsidRPr="002A1433">
        <w:rPr>
          <w:rFonts w:ascii="Arial" w:eastAsia="Arial" w:hAnsi="Arial" w:cs="Arial"/>
        </w:rPr>
        <w:t>Edullantes</w:t>
      </w:r>
      <w:proofErr w:type="spellEnd"/>
      <w:r w:rsidRPr="002A1433">
        <w:rPr>
          <w:rFonts w:ascii="Arial" w:eastAsia="Arial" w:hAnsi="Arial" w:cs="Arial"/>
        </w:rPr>
        <w:t xml:space="preserve">, J. R. T., &amp; </w:t>
      </w:r>
      <w:proofErr w:type="spellStart"/>
      <w:r w:rsidRPr="002A1433">
        <w:rPr>
          <w:rFonts w:ascii="Arial" w:eastAsia="Arial" w:hAnsi="Arial" w:cs="Arial"/>
        </w:rPr>
        <w:t>Baluyos</w:t>
      </w:r>
      <w:proofErr w:type="spellEnd"/>
      <w:r w:rsidRPr="002A1433">
        <w:rPr>
          <w:rFonts w:ascii="Arial" w:eastAsia="Arial" w:hAnsi="Arial" w:cs="Arial"/>
        </w:rPr>
        <w:t xml:space="preserve">, G. R. (2025). Predictors of graduates' performance in the licensure examination for teachers. </w:t>
      </w:r>
      <w:proofErr w:type="spellStart"/>
      <w:r w:rsidRPr="002A1433">
        <w:rPr>
          <w:rFonts w:ascii="Arial" w:eastAsia="Arial" w:hAnsi="Arial" w:cs="Arial"/>
          <w:i/>
          <w:iCs/>
        </w:rPr>
        <w:t>EduLine</w:t>
      </w:r>
      <w:proofErr w:type="spellEnd"/>
      <w:r w:rsidRPr="002A1433">
        <w:rPr>
          <w:rFonts w:ascii="Arial" w:eastAsia="Arial" w:hAnsi="Arial" w:cs="Arial"/>
          <w:i/>
          <w:iCs/>
        </w:rPr>
        <w:t>: Journal of Education and Learning Innovation, 5</w:t>
      </w:r>
      <w:r w:rsidRPr="002A1433">
        <w:rPr>
          <w:rFonts w:ascii="Arial" w:eastAsia="Arial" w:hAnsi="Arial" w:cs="Arial"/>
        </w:rPr>
        <w:t xml:space="preserve">(1), 79–103. </w:t>
      </w:r>
      <w:hyperlink r:id="rId55">
        <w:r w:rsidRPr="002A1433">
          <w:rPr>
            <w:rFonts w:ascii="Arial" w:eastAsia="Arial" w:hAnsi="Arial" w:cs="Arial"/>
            <w:color w:val="000000"/>
          </w:rPr>
          <w:t>https://doi.org/10.35877/454RI.eduline3535</w:t>
        </w:r>
      </w:hyperlink>
    </w:p>
    <w:p w14:paraId="6AA35E12" w14:textId="77777777" w:rsidR="001B225E" w:rsidRPr="002A1433" w:rsidRDefault="001B225E" w:rsidP="001B225E">
      <w:pPr>
        <w:spacing w:after="0" w:line="240" w:lineRule="auto"/>
        <w:ind w:firstLine="851"/>
        <w:jc w:val="both"/>
        <w:rPr>
          <w:rFonts w:ascii="Arial" w:eastAsia="Arial" w:hAnsi="Arial" w:cs="Arial"/>
        </w:rPr>
      </w:pPr>
    </w:p>
    <w:p w14:paraId="185CBF0B" w14:textId="77777777" w:rsidR="001B225E" w:rsidRPr="002A1433" w:rsidRDefault="001B225E" w:rsidP="001B225E">
      <w:pPr>
        <w:spacing w:after="0" w:line="240" w:lineRule="auto"/>
        <w:ind w:firstLine="851"/>
        <w:jc w:val="both"/>
        <w:rPr>
          <w:rFonts w:ascii="Arial" w:hAnsi="Arial" w:cs="Arial"/>
        </w:rPr>
      </w:pPr>
      <w:r w:rsidRPr="002A1433">
        <w:rPr>
          <w:rFonts w:ascii="Arial" w:eastAsia="Arial" w:hAnsi="Arial" w:cs="Arial"/>
        </w:rPr>
        <w:t xml:space="preserve">Ferrer, J. C. (2024). Academic performance and predictors of licensure examination for teachers of bachelor of elementary education. </w:t>
      </w:r>
      <w:r w:rsidRPr="002A1433">
        <w:rPr>
          <w:rFonts w:ascii="Arial" w:eastAsia="Arial" w:hAnsi="Arial" w:cs="Arial"/>
          <w:i/>
          <w:iCs/>
        </w:rPr>
        <w:t>Malaysian Journal of Social Sciences and Humanities, 9</w:t>
      </w:r>
      <w:r w:rsidRPr="002A1433">
        <w:rPr>
          <w:rFonts w:ascii="Arial" w:eastAsia="Arial" w:hAnsi="Arial" w:cs="Arial"/>
        </w:rPr>
        <w:t xml:space="preserve">(11), Article e003091. </w:t>
      </w:r>
      <w:hyperlink r:id="rId56">
        <w:r w:rsidRPr="002A1433">
          <w:rPr>
            <w:rFonts w:ascii="Arial" w:eastAsia="Arial" w:hAnsi="Arial" w:cs="Arial"/>
            <w:color w:val="000000"/>
          </w:rPr>
          <w:t>https://doi.org/10.47405/mjssh.v9i11.3091</w:t>
        </w:r>
      </w:hyperlink>
    </w:p>
    <w:p w14:paraId="3919CF0E" w14:textId="77777777" w:rsidR="001B225E" w:rsidRPr="002A1433" w:rsidRDefault="001B225E" w:rsidP="001B225E">
      <w:pPr>
        <w:spacing w:after="0" w:line="240" w:lineRule="auto"/>
        <w:ind w:firstLine="851"/>
        <w:jc w:val="both"/>
        <w:rPr>
          <w:rFonts w:ascii="Arial" w:eastAsia="Arial" w:hAnsi="Arial" w:cs="Arial"/>
        </w:rPr>
      </w:pPr>
    </w:p>
    <w:p w14:paraId="2E291F8F" w14:textId="77777777" w:rsidR="001B225E" w:rsidRPr="002A1433" w:rsidRDefault="001B225E" w:rsidP="001B225E">
      <w:pPr>
        <w:spacing w:after="0" w:line="240" w:lineRule="auto"/>
        <w:ind w:firstLine="851"/>
        <w:jc w:val="both"/>
        <w:rPr>
          <w:rFonts w:ascii="Arial" w:hAnsi="Arial" w:cs="Arial"/>
        </w:rPr>
      </w:pPr>
      <w:r w:rsidRPr="002A1433">
        <w:rPr>
          <w:rFonts w:ascii="Arial" w:eastAsia="Arial" w:hAnsi="Arial" w:cs="Arial"/>
        </w:rPr>
        <w:t xml:space="preserve">Fiscal, R. R., &amp; Roman, A. G. (2022). Pre-licensure examination as predictor of licensure examination for teachers result. </w:t>
      </w:r>
      <w:r w:rsidRPr="002A1433">
        <w:rPr>
          <w:rFonts w:ascii="Arial" w:eastAsia="Arial" w:hAnsi="Arial" w:cs="Arial"/>
          <w:i/>
          <w:iCs/>
        </w:rPr>
        <w:t>International Journal of Evaluation and Research in Education, 11</w:t>
      </w:r>
      <w:r w:rsidRPr="002A1433">
        <w:rPr>
          <w:rFonts w:ascii="Arial" w:eastAsia="Arial" w:hAnsi="Arial" w:cs="Arial"/>
        </w:rPr>
        <w:t xml:space="preserve">(1), 136–142. </w:t>
      </w:r>
      <w:hyperlink r:id="rId57">
        <w:r w:rsidRPr="002A1433">
          <w:rPr>
            <w:rFonts w:ascii="Arial" w:eastAsia="Arial" w:hAnsi="Arial" w:cs="Arial"/>
            <w:color w:val="000000"/>
          </w:rPr>
          <w:t>https://doi.org/10.11591/ijere.v11i1.22133</w:t>
        </w:r>
      </w:hyperlink>
    </w:p>
    <w:p w14:paraId="7AAC71C2" w14:textId="77777777" w:rsidR="001B225E" w:rsidRPr="002A1433" w:rsidRDefault="001B225E" w:rsidP="001B225E">
      <w:pPr>
        <w:spacing w:after="0" w:line="240" w:lineRule="auto"/>
        <w:ind w:firstLine="851"/>
        <w:jc w:val="both"/>
        <w:rPr>
          <w:rFonts w:ascii="Arial" w:eastAsia="Arial" w:hAnsi="Arial" w:cs="Arial"/>
        </w:rPr>
      </w:pPr>
    </w:p>
    <w:p w14:paraId="44952440" w14:textId="77777777" w:rsidR="001B225E" w:rsidRPr="002A1433" w:rsidRDefault="001B225E" w:rsidP="001B225E">
      <w:pPr>
        <w:spacing w:after="0" w:line="240" w:lineRule="auto"/>
        <w:ind w:firstLine="851"/>
        <w:jc w:val="both"/>
        <w:rPr>
          <w:rFonts w:ascii="Arial" w:eastAsia="Arial" w:hAnsi="Arial" w:cs="Arial"/>
        </w:rPr>
      </w:pPr>
      <w:proofErr w:type="spellStart"/>
      <w:r w:rsidRPr="002A1433">
        <w:rPr>
          <w:rFonts w:ascii="Arial" w:eastAsia="Arial" w:hAnsi="Arial" w:cs="Arial"/>
        </w:rPr>
        <w:t>Gardoce</w:t>
      </w:r>
      <w:proofErr w:type="spellEnd"/>
      <w:r w:rsidRPr="002A1433">
        <w:rPr>
          <w:rFonts w:ascii="Arial" w:eastAsia="Arial" w:hAnsi="Arial" w:cs="Arial"/>
        </w:rPr>
        <w:t>, R., &amp; Sangalang, J. (2020). Predictors of LET performance: A structural equation modeling approach.</w:t>
      </w:r>
    </w:p>
    <w:p w14:paraId="289C7FFF" w14:textId="77777777" w:rsidR="001B225E" w:rsidRPr="002A1433" w:rsidRDefault="001B225E" w:rsidP="001B225E">
      <w:pPr>
        <w:spacing w:after="0" w:line="240" w:lineRule="auto"/>
        <w:ind w:firstLine="851"/>
        <w:jc w:val="both"/>
        <w:rPr>
          <w:rFonts w:ascii="Arial" w:eastAsia="Arial" w:hAnsi="Arial" w:cs="Arial"/>
        </w:rPr>
      </w:pPr>
    </w:p>
    <w:p w14:paraId="16E71DD3" w14:textId="77777777" w:rsidR="001B225E" w:rsidRPr="002A1433" w:rsidRDefault="001B225E" w:rsidP="001B225E">
      <w:pPr>
        <w:spacing w:after="0" w:line="240" w:lineRule="auto"/>
        <w:ind w:firstLine="851"/>
        <w:jc w:val="both"/>
        <w:rPr>
          <w:rFonts w:ascii="Arial" w:hAnsi="Arial" w:cs="Arial"/>
        </w:rPr>
      </w:pPr>
      <w:proofErr w:type="spellStart"/>
      <w:r w:rsidRPr="002A1433">
        <w:rPr>
          <w:rFonts w:ascii="Arial" w:eastAsia="Arial" w:hAnsi="Arial" w:cs="Arial"/>
        </w:rPr>
        <w:t>Guardario</w:t>
      </w:r>
      <w:proofErr w:type="spellEnd"/>
      <w:r w:rsidRPr="002A1433">
        <w:rPr>
          <w:rFonts w:ascii="Arial" w:eastAsia="Arial" w:hAnsi="Arial" w:cs="Arial"/>
        </w:rPr>
        <w:t xml:space="preserve">, L. B., Bucio, C. J. M., </w:t>
      </w:r>
      <w:proofErr w:type="spellStart"/>
      <w:r w:rsidRPr="002A1433">
        <w:rPr>
          <w:rFonts w:ascii="Arial" w:eastAsia="Arial" w:hAnsi="Arial" w:cs="Arial"/>
        </w:rPr>
        <w:t>Garocho</w:t>
      </w:r>
      <w:proofErr w:type="spellEnd"/>
      <w:r w:rsidRPr="002A1433">
        <w:rPr>
          <w:rFonts w:ascii="Arial" w:eastAsia="Arial" w:hAnsi="Arial" w:cs="Arial"/>
        </w:rPr>
        <w:t xml:space="preserve">, L. K. B., &amp; Caballo, J. H. S. (2024). Social support and expectancy as predictors of licensure examination success among professional teachers. </w:t>
      </w:r>
      <w:r w:rsidRPr="002A1433">
        <w:rPr>
          <w:rFonts w:ascii="Arial" w:eastAsia="Arial" w:hAnsi="Arial" w:cs="Arial"/>
          <w:i/>
          <w:iCs/>
        </w:rPr>
        <w:t>American Journal of Education and Technology, 3</w:t>
      </w:r>
      <w:r w:rsidRPr="002A1433">
        <w:rPr>
          <w:rFonts w:ascii="Arial" w:eastAsia="Arial" w:hAnsi="Arial" w:cs="Arial"/>
        </w:rPr>
        <w:t xml:space="preserve">(4), 24–44. </w:t>
      </w:r>
      <w:hyperlink r:id="rId58">
        <w:r w:rsidRPr="002A1433">
          <w:rPr>
            <w:rFonts w:ascii="Arial" w:eastAsia="Arial" w:hAnsi="Arial" w:cs="Arial"/>
            <w:color w:val="000000"/>
          </w:rPr>
          <w:t>https://doi.org/10.54536/ajet.v3i4.3416</w:t>
        </w:r>
      </w:hyperlink>
    </w:p>
    <w:p w14:paraId="3B6FE65E" w14:textId="77777777" w:rsidR="001B225E" w:rsidRPr="002A1433" w:rsidRDefault="001B225E" w:rsidP="001B225E">
      <w:pPr>
        <w:spacing w:after="0" w:line="240" w:lineRule="auto"/>
        <w:ind w:firstLine="851"/>
        <w:jc w:val="both"/>
        <w:rPr>
          <w:rFonts w:ascii="Arial" w:eastAsia="Arial" w:hAnsi="Arial" w:cs="Arial"/>
        </w:rPr>
      </w:pPr>
    </w:p>
    <w:p w14:paraId="4EE57F43" w14:textId="77777777" w:rsidR="001B225E" w:rsidRPr="002A1433" w:rsidRDefault="001B225E" w:rsidP="001B225E">
      <w:pPr>
        <w:spacing w:after="0" w:line="240" w:lineRule="auto"/>
        <w:ind w:firstLine="851"/>
        <w:jc w:val="both"/>
        <w:rPr>
          <w:rFonts w:ascii="Arial" w:eastAsia="Arial" w:hAnsi="Arial" w:cs="Arial"/>
        </w:rPr>
      </w:pPr>
      <w:r w:rsidRPr="002A1433">
        <w:rPr>
          <w:rFonts w:ascii="Arial" w:eastAsia="Arial" w:hAnsi="Arial" w:cs="Arial"/>
        </w:rPr>
        <w:t>Ingersoll, R. (2018). Teacher preparation, licensure, and early-career retention: Evidence from practice-oriented programs.</w:t>
      </w:r>
    </w:p>
    <w:p w14:paraId="55500262" w14:textId="77777777" w:rsidR="001B225E" w:rsidRPr="002A1433" w:rsidRDefault="001B225E" w:rsidP="001B225E">
      <w:pPr>
        <w:spacing w:after="0" w:line="240" w:lineRule="auto"/>
        <w:ind w:firstLine="851"/>
        <w:jc w:val="both"/>
        <w:rPr>
          <w:rFonts w:ascii="Arial" w:eastAsia="Arial" w:hAnsi="Arial" w:cs="Arial"/>
        </w:rPr>
      </w:pPr>
    </w:p>
    <w:p w14:paraId="797849A8" w14:textId="77777777" w:rsidR="001B225E" w:rsidRPr="002A1433" w:rsidRDefault="001B225E" w:rsidP="001B225E">
      <w:pPr>
        <w:spacing w:after="0" w:line="240" w:lineRule="auto"/>
        <w:ind w:firstLine="851"/>
        <w:jc w:val="both"/>
        <w:rPr>
          <w:rFonts w:ascii="Arial" w:eastAsia="Arial" w:hAnsi="Arial" w:cs="Arial"/>
        </w:rPr>
      </w:pPr>
      <w:r w:rsidRPr="002A1433">
        <w:rPr>
          <w:rFonts w:ascii="Arial" w:eastAsia="Arial" w:hAnsi="Arial" w:cs="Arial"/>
        </w:rPr>
        <w:t>Johnson, A. (2016). Resilience, self-efficacy, and licensure success: Experimental interventions in teacher education.</w:t>
      </w:r>
    </w:p>
    <w:p w14:paraId="16AEACFE" w14:textId="77777777" w:rsidR="001B225E" w:rsidRPr="002A1433" w:rsidRDefault="001B225E" w:rsidP="001B225E">
      <w:pPr>
        <w:spacing w:after="0" w:line="240" w:lineRule="auto"/>
        <w:ind w:firstLine="851"/>
        <w:jc w:val="both"/>
        <w:rPr>
          <w:rFonts w:ascii="Arial" w:eastAsia="Arial" w:hAnsi="Arial" w:cs="Arial"/>
        </w:rPr>
      </w:pPr>
    </w:p>
    <w:p w14:paraId="462F4299" w14:textId="77777777" w:rsidR="001B225E" w:rsidRPr="002A1433" w:rsidRDefault="001B225E" w:rsidP="001B225E">
      <w:pPr>
        <w:spacing w:after="0" w:line="240" w:lineRule="auto"/>
        <w:ind w:firstLine="851"/>
        <w:jc w:val="both"/>
        <w:rPr>
          <w:rFonts w:ascii="Arial" w:eastAsia="Arial" w:hAnsi="Arial" w:cs="Arial"/>
        </w:rPr>
      </w:pPr>
      <w:r w:rsidRPr="002A1433">
        <w:rPr>
          <w:rFonts w:ascii="Arial" w:eastAsia="Arial" w:hAnsi="Arial" w:cs="Arial"/>
        </w:rPr>
        <w:t>Kim, H. (2019). Licensure reforms and curriculum alignment in South Korea: Policy impacts on teacher quality.</w:t>
      </w:r>
    </w:p>
    <w:p w14:paraId="1E1AB583" w14:textId="77777777" w:rsidR="001B225E" w:rsidRPr="002A1433" w:rsidRDefault="001B225E" w:rsidP="001B225E">
      <w:pPr>
        <w:spacing w:after="0" w:line="240" w:lineRule="auto"/>
        <w:ind w:firstLine="851"/>
        <w:jc w:val="both"/>
        <w:rPr>
          <w:rFonts w:ascii="Arial" w:eastAsia="Arial" w:hAnsi="Arial" w:cs="Arial"/>
        </w:rPr>
      </w:pPr>
    </w:p>
    <w:p w14:paraId="01B21279" w14:textId="77777777" w:rsidR="001B225E" w:rsidRPr="002A1433" w:rsidRDefault="001B225E" w:rsidP="001B225E">
      <w:pPr>
        <w:spacing w:after="0" w:line="240" w:lineRule="auto"/>
        <w:ind w:firstLine="851"/>
        <w:jc w:val="both"/>
        <w:rPr>
          <w:rFonts w:ascii="Arial" w:eastAsia="Arial" w:hAnsi="Arial" w:cs="Arial"/>
        </w:rPr>
      </w:pPr>
      <w:r w:rsidRPr="002A1433">
        <w:rPr>
          <w:rFonts w:ascii="Arial" w:eastAsia="Arial" w:hAnsi="Arial" w:cs="Arial"/>
        </w:rPr>
        <w:t>Lao, M. (2021). Academic achievement and review program participation as predictors of LET success in Central Luzon.</w:t>
      </w:r>
    </w:p>
    <w:p w14:paraId="277B620F" w14:textId="77777777" w:rsidR="001B225E" w:rsidRPr="002A1433" w:rsidRDefault="001B225E" w:rsidP="001B225E">
      <w:pPr>
        <w:spacing w:after="0" w:line="240" w:lineRule="auto"/>
        <w:ind w:firstLine="851"/>
        <w:jc w:val="both"/>
        <w:rPr>
          <w:rFonts w:ascii="Arial" w:eastAsia="Arial" w:hAnsi="Arial" w:cs="Arial"/>
        </w:rPr>
      </w:pPr>
    </w:p>
    <w:p w14:paraId="436D9279" w14:textId="77777777" w:rsidR="001B225E" w:rsidRPr="002A1433" w:rsidRDefault="001B225E" w:rsidP="001B225E">
      <w:pPr>
        <w:spacing w:after="0" w:line="240" w:lineRule="auto"/>
        <w:ind w:firstLine="851"/>
        <w:jc w:val="both"/>
        <w:rPr>
          <w:rFonts w:ascii="Arial" w:eastAsia="Arial" w:hAnsi="Arial" w:cs="Arial"/>
        </w:rPr>
      </w:pPr>
      <w:r w:rsidRPr="002A1433">
        <w:rPr>
          <w:rFonts w:ascii="Arial" w:eastAsia="Arial" w:hAnsi="Arial" w:cs="Arial"/>
        </w:rPr>
        <w:lastRenderedPageBreak/>
        <w:t>Li, Y., &amp; Chen, C. (2020). Curriculum alignment and faculty specialization as predictors of licensure outcomes in China.</w:t>
      </w:r>
    </w:p>
    <w:p w14:paraId="5D98FF33" w14:textId="77777777" w:rsidR="001B225E" w:rsidRPr="002A1433" w:rsidRDefault="001B225E" w:rsidP="001B225E">
      <w:pPr>
        <w:spacing w:after="0" w:line="240" w:lineRule="auto"/>
        <w:ind w:firstLine="851"/>
        <w:jc w:val="both"/>
        <w:rPr>
          <w:rFonts w:ascii="Arial" w:eastAsia="Arial" w:hAnsi="Arial" w:cs="Arial"/>
        </w:rPr>
      </w:pPr>
    </w:p>
    <w:p w14:paraId="51834029" w14:textId="77777777" w:rsidR="001B225E" w:rsidRPr="002A1433" w:rsidRDefault="001B225E" w:rsidP="001B225E">
      <w:pPr>
        <w:spacing w:after="0" w:line="240" w:lineRule="auto"/>
        <w:ind w:firstLine="851"/>
        <w:jc w:val="both"/>
        <w:rPr>
          <w:rFonts w:ascii="Arial" w:eastAsia="Arial" w:hAnsi="Arial" w:cs="Arial"/>
        </w:rPr>
      </w:pPr>
      <w:r w:rsidRPr="002A1433">
        <w:rPr>
          <w:rFonts w:ascii="Arial" w:eastAsia="Arial" w:hAnsi="Arial" w:cs="Arial"/>
        </w:rPr>
        <w:t>Martinez, J. (2019). Resilience and psychological preparedness as moderators of licensure outcomes in Spain.</w:t>
      </w:r>
    </w:p>
    <w:p w14:paraId="33414FAB" w14:textId="77777777" w:rsidR="001B225E" w:rsidRPr="002A1433" w:rsidRDefault="001B225E" w:rsidP="001B225E">
      <w:pPr>
        <w:spacing w:after="0" w:line="240" w:lineRule="auto"/>
        <w:ind w:firstLine="851"/>
        <w:jc w:val="both"/>
        <w:rPr>
          <w:rFonts w:ascii="Arial" w:eastAsia="Arial" w:hAnsi="Arial" w:cs="Arial"/>
        </w:rPr>
      </w:pPr>
    </w:p>
    <w:p w14:paraId="6B9A26BD" w14:textId="77777777" w:rsidR="001B225E" w:rsidRPr="002A1433" w:rsidRDefault="001B225E" w:rsidP="001B225E">
      <w:pPr>
        <w:spacing w:after="0" w:line="240" w:lineRule="auto"/>
        <w:ind w:firstLine="851"/>
        <w:jc w:val="both"/>
        <w:rPr>
          <w:rFonts w:ascii="Arial" w:eastAsia="Arial" w:hAnsi="Arial" w:cs="Arial"/>
        </w:rPr>
      </w:pPr>
      <w:r w:rsidRPr="002A1433">
        <w:rPr>
          <w:rFonts w:ascii="Arial" w:eastAsia="Arial" w:hAnsi="Arial" w:cs="Arial"/>
        </w:rPr>
        <w:t>Mendoza, C. (2019). Student support services and LET outcomes in provincial colleges: A mixed-methods study.</w:t>
      </w:r>
    </w:p>
    <w:p w14:paraId="13CD15C7" w14:textId="77777777" w:rsidR="001B225E" w:rsidRPr="002A1433" w:rsidRDefault="001B225E" w:rsidP="001B225E">
      <w:pPr>
        <w:spacing w:after="0" w:line="240" w:lineRule="auto"/>
        <w:ind w:firstLine="851"/>
        <w:jc w:val="both"/>
        <w:rPr>
          <w:rFonts w:ascii="Arial" w:eastAsia="Arial" w:hAnsi="Arial" w:cs="Arial"/>
        </w:rPr>
      </w:pPr>
    </w:p>
    <w:p w14:paraId="3DC9232C" w14:textId="77777777" w:rsidR="001B225E" w:rsidRPr="002A1433" w:rsidRDefault="001B225E" w:rsidP="001B225E">
      <w:pPr>
        <w:spacing w:after="0" w:line="240" w:lineRule="auto"/>
        <w:ind w:firstLine="851"/>
        <w:jc w:val="both"/>
        <w:rPr>
          <w:rFonts w:ascii="Arial" w:eastAsia="Arial" w:hAnsi="Arial" w:cs="Arial"/>
        </w:rPr>
      </w:pPr>
      <w:r w:rsidRPr="002A1433">
        <w:rPr>
          <w:rFonts w:ascii="Arial" w:eastAsia="Arial" w:hAnsi="Arial" w:cs="Arial"/>
        </w:rPr>
        <w:t xml:space="preserve">OECD. (2019). </w:t>
      </w:r>
      <w:r w:rsidRPr="002A1433">
        <w:rPr>
          <w:rFonts w:ascii="Arial" w:eastAsia="Arial" w:hAnsi="Arial" w:cs="Arial"/>
          <w:i/>
          <w:iCs/>
        </w:rPr>
        <w:t>Teachers and school leaders as lifelong learners: OECD indicators and policy recommendations.</w:t>
      </w:r>
      <w:r w:rsidRPr="002A1433">
        <w:rPr>
          <w:rFonts w:ascii="Arial" w:eastAsia="Arial" w:hAnsi="Arial" w:cs="Arial"/>
        </w:rPr>
        <w:t xml:space="preserve"> Organi</w:t>
      </w:r>
      <w:r>
        <w:rPr>
          <w:rFonts w:ascii="Arial" w:eastAsia="Arial" w:hAnsi="Arial" w:cs="Arial"/>
        </w:rPr>
        <w:t>z</w:t>
      </w:r>
      <w:r w:rsidRPr="002A1433">
        <w:rPr>
          <w:rFonts w:ascii="Arial" w:eastAsia="Arial" w:hAnsi="Arial" w:cs="Arial"/>
        </w:rPr>
        <w:t>ation for Economic Co-operation and Development.</w:t>
      </w:r>
    </w:p>
    <w:p w14:paraId="68572B72" w14:textId="77777777" w:rsidR="001B225E" w:rsidRPr="002A1433" w:rsidRDefault="001B225E" w:rsidP="001B225E">
      <w:pPr>
        <w:spacing w:after="0" w:line="240" w:lineRule="auto"/>
        <w:ind w:firstLine="851"/>
        <w:jc w:val="both"/>
        <w:rPr>
          <w:rFonts w:ascii="Arial" w:eastAsia="Arial" w:hAnsi="Arial" w:cs="Arial"/>
        </w:rPr>
      </w:pPr>
      <w:r w:rsidRPr="002A1433">
        <w:rPr>
          <w:rFonts w:ascii="Arial" w:eastAsia="Arial" w:hAnsi="Arial" w:cs="Arial"/>
        </w:rPr>
        <w:t>Orlanda-</w:t>
      </w:r>
      <w:proofErr w:type="spellStart"/>
      <w:r w:rsidRPr="002A1433">
        <w:rPr>
          <w:rFonts w:ascii="Arial" w:eastAsia="Arial" w:hAnsi="Arial" w:cs="Arial"/>
        </w:rPr>
        <w:t>Ventayen</w:t>
      </w:r>
      <w:proofErr w:type="spellEnd"/>
      <w:r w:rsidRPr="002A1433">
        <w:rPr>
          <w:rFonts w:ascii="Arial" w:eastAsia="Arial" w:hAnsi="Arial" w:cs="Arial"/>
        </w:rPr>
        <w:t>, C. (2019). Academic predictors of LET performance: A thematic review.</w:t>
      </w:r>
    </w:p>
    <w:p w14:paraId="732A93CC" w14:textId="77777777" w:rsidR="001B225E" w:rsidRPr="002A1433" w:rsidRDefault="001B225E" w:rsidP="001B225E">
      <w:pPr>
        <w:spacing w:after="0" w:line="240" w:lineRule="auto"/>
        <w:ind w:firstLine="851"/>
        <w:jc w:val="both"/>
        <w:rPr>
          <w:rFonts w:ascii="Arial" w:eastAsia="Arial" w:hAnsi="Arial" w:cs="Arial"/>
        </w:rPr>
      </w:pPr>
    </w:p>
    <w:p w14:paraId="4374DBB7" w14:textId="77777777" w:rsidR="001B225E" w:rsidRPr="002A1433" w:rsidRDefault="001B225E" w:rsidP="001B225E">
      <w:pPr>
        <w:spacing w:after="0" w:line="240" w:lineRule="auto"/>
        <w:ind w:firstLine="851"/>
        <w:jc w:val="both"/>
        <w:rPr>
          <w:rFonts w:ascii="Arial" w:hAnsi="Arial" w:cs="Arial"/>
        </w:rPr>
      </w:pPr>
      <w:r w:rsidRPr="002A1433">
        <w:rPr>
          <w:rFonts w:ascii="Arial" w:eastAsia="Arial" w:hAnsi="Arial" w:cs="Arial"/>
        </w:rPr>
        <w:t xml:space="preserve">Professional Regulation Commission. (2025). Guidelines on the implementation of the Professional Regulation Commission and Commission on Higher Education joint memorandum circular on the alignment of the licensure examination for professional teachers with the teacher education curriculum. </w:t>
      </w:r>
      <w:hyperlink r:id="rId59">
        <w:r w:rsidRPr="002A1433">
          <w:rPr>
            <w:rFonts w:ascii="Arial" w:eastAsia="Arial" w:hAnsi="Arial" w:cs="Arial"/>
            <w:color w:val="000000"/>
          </w:rPr>
          <w:t>https://prc.gov.ph/article/guidelines-implementation-prc-ched-jmc-alignment-lept-teacher-education-curriculum</w:t>
        </w:r>
      </w:hyperlink>
    </w:p>
    <w:p w14:paraId="751DD6D1" w14:textId="77777777" w:rsidR="001B225E" w:rsidRPr="002A1433" w:rsidRDefault="001B225E" w:rsidP="001B225E">
      <w:pPr>
        <w:spacing w:after="0" w:line="240" w:lineRule="auto"/>
        <w:ind w:firstLine="851"/>
        <w:jc w:val="both"/>
        <w:rPr>
          <w:rFonts w:ascii="Arial" w:eastAsia="Arial" w:hAnsi="Arial" w:cs="Arial"/>
        </w:rPr>
      </w:pPr>
    </w:p>
    <w:p w14:paraId="14C6F9E1" w14:textId="77777777" w:rsidR="001B225E" w:rsidRPr="002A1433" w:rsidRDefault="001B225E" w:rsidP="001B225E">
      <w:pPr>
        <w:spacing w:after="0" w:line="240" w:lineRule="auto"/>
        <w:ind w:firstLine="851"/>
        <w:jc w:val="both"/>
        <w:rPr>
          <w:rFonts w:ascii="Arial" w:hAnsi="Arial" w:cs="Arial"/>
        </w:rPr>
      </w:pPr>
      <w:proofErr w:type="spellStart"/>
      <w:r w:rsidRPr="002A1433">
        <w:rPr>
          <w:rFonts w:ascii="Arial" w:eastAsia="Arial" w:hAnsi="Arial" w:cs="Arial"/>
        </w:rPr>
        <w:t>Repayo</w:t>
      </w:r>
      <w:proofErr w:type="spellEnd"/>
      <w:r w:rsidRPr="002A1433">
        <w:rPr>
          <w:rFonts w:ascii="Arial" w:eastAsia="Arial" w:hAnsi="Arial" w:cs="Arial"/>
        </w:rPr>
        <w:t xml:space="preserve">, B. D., </w:t>
      </w:r>
      <w:proofErr w:type="spellStart"/>
      <w:r w:rsidRPr="002A1433">
        <w:rPr>
          <w:rFonts w:ascii="Arial" w:eastAsia="Arial" w:hAnsi="Arial" w:cs="Arial"/>
        </w:rPr>
        <w:t>Malonisio</w:t>
      </w:r>
      <w:proofErr w:type="spellEnd"/>
      <w:r w:rsidRPr="002A1433">
        <w:rPr>
          <w:rFonts w:ascii="Arial" w:eastAsia="Arial" w:hAnsi="Arial" w:cs="Arial"/>
        </w:rPr>
        <w:t xml:space="preserve">, M. O., &amp; </w:t>
      </w:r>
      <w:proofErr w:type="spellStart"/>
      <w:r w:rsidRPr="002A1433">
        <w:rPr>
          <w:rFonts w:ascii="Arial" w:eastAsia="Arial" w:hAnsi="Arial" w:cs="Arial"/>
        </w:rPr>
        <w:t>Tambong</w:t>
      </w:r>
      <w:proofErr w:type="spellEnd"/>
      <w:r w:rsidRPr="002A1433">
        <w:rPr>
          <w:rFonts w:ascii="Arial" w:eastAsia="Arial" w:hAnsi="Arial" w:cs="Arial"/>
        </w:rPr>
        <w:t xml:space="preserve">, C. R. (2025). Beyond admission scores: Mapping the strongest predictors of licensure examination for teachers performance in bachelor of secondary education graduates. </w:t>
      </w:r>
      <w:proofErr w:type="spellStart"/>
      <w:r w:rsidRPr="002A1433">
        <w:rPr>
          <w:rFonts w:ascii="Arial" w:eastAsia="Arial" w:hAnsi="Arial" w:cs="Arial"/>
          <w:i/>
          <w:iCs/>
        </w:rPr>
        <w:t>Jurnal</w:t>
      </w:r>
      <w:proofErr w:type="spellEnd"/>
      <w:r w:rsidRPr="002A1433">
        <w:rPr>
          <w:rFonts w:ascii="Arial" w:eastAsia="Arial" w:hAnsi="Arial" w:cs="Arial"/>
          <w:i/>
          <w:iCs/>
        </w:rPr>
        <w:t xml:space="preserve"> </w:t>
      </w:r>
      <w:proofErr w:type="spellStart"/>
      <w:r w:rsidRPr="002A1433">
        <w:rPr>
          <w:rFonts w:ascii="Arial" w:eastAsia="Arial" w:hAnsi="Arial" w:cs="Arial"/>
          <w:i/>
          <w:iCs/>
        </w:rPr>
        <w:t>Ilmiah</w:t>
      </w:r>
      <w:proofErr w:type="spellEnd"/>
      <w:r w:rsidRPr="002A1433">
        <w:rPr>
          <w:rFonts w:ascii="Arial" w:eastAsia="Arial" w:hAnsi="Arial" w:cs="Arial"/>
          <w:i/>
          <w:iCs/>
        </w:rPr>
        <w:t xml:space="preserve"> Peuradeun, 13</w:t>
      </w:r>
      <w:r w:rsidRPr="002A1433">
        <w:rPr>
          <w:rFonts w:ascii="Arial" w:eastAsia="Arial" w:hAnsi="Arial" w:cs="Arial"/>
        </w:rPr>
        <w:t xml:space="preserve">(2), 1317–1344. </w:t>
      </w:r>
      <w:hyperlink r:id="rId60">
        <w:r w:rsidRPr="002A1433">
          <w:rPr>
            <w:rFonts w:ascii="Arial" w:eastAsia="Arial" w:hAnsi="Arial" w:cs="Arial"/>
            <w:color w:val="000000"/>
          </w:rPr>
          <w:t>https://doi.org/10.26811/peuradeun.v13i2.1364</w:t>
        </w:r>
      </w:hyperlink>
    </w:p>
    <w:p w14:paraId="306CDA12" w14:textId="77777777" w:rsidR="001B225E" w:rsidRPr="002A1433" w:rsidRDefault="001B225E" w:rsidP="001B225E">
      <w:pPr>
        <w:spacing w:after="0" w:line="240" w:lineRule="auto"/>
        <w:ind w:firstLine="851"/>
        <w:jc w:val="both"/>
        <w:rPr>
          <w:rFonts w:ascii="Arial" w:eastAsia="Arial" w:hAnsi="Arial" w:cs="Arial"/>
        </w:rPr>
      </w:pPr>
    </w:p>
    <w:p w14:paraId="5AF6BA41" w14:textId="77777777" w:rsidR="001B225E" w:rsidRPr="002A1433" w:rsidRDefault="001B225E" w:rsidP="001B225E">
      <w:pPr>
        <w:spacing w:after="0" w:line="240" w:lineRule="auto"/>
        <w:ind w:firstLine="851"/>
        <w:jc w:val="both"/>
        <w:rPr>
          <w:rFonts w:ascii="Arial" w:eastAsia="Arial" w:hAnsi="Arial" w:cs="Arial"/>
        </w:rPr>
      </w:pPr>
      <w:r w:rsidRPr="002A1433">
        <w:rPr>
          <w:rFonts w:ascii="Arial" w:eastAsia="Arial" w:hAnsi="Arial" w:cs="Arial"/>
        </w:rPr>
        <w:t>Santiago, V. (2019). Practicum experiences and LET performance: The role of mentor teachers and reflective supervision.</w:t>
      </w:r>
    </w:p>
    <w:p w14:paraId="46544806" w14:textId="77777777" w:rsidR="001B225E" w:rsidRPr="002A1433" w:rsidRDefault="001B225E" w:rsidP="001B225E">
      <w:pPr>
        <w:spacing w:after="0" w:line="240" w:lineRule="auto"/>
        <w:ind w:firstLine="851"/>
        <w:jc w:val="both"/>
        <w:rPr>
          <w:rFonts w:ascii="Arial" w:eastAsia="Arial" w:hAnsi="Arial" w:cs="Arial"/>
        </w:rPr>
      </w:pPr>
    </w:p>
    <w:p w14:paraId="2A5BE40D" w14:textId="77777777" w:rsidR="001B225E" w:rsidRPr="002A1433" w:rsidRDefault="001B225E" w:rsidP="001B225E">
      <w:pPr>
        <w:spacing w:after="0" w:line="240" w:lineRule="auto"/>
        <w:ind w:firstLine="851"/>
        <w:jc w:val="both"/>
        <w:rPr>
          <w:rFonts w:ascii="Arial" w:hAnsi="Arial" w:cs="Arial"/>
        </w:rPr>
      </w:pPr>
      <w:r w:rsidRPr="002A1433">
        <w:rPr>
          <w:rFonts w:ascii="Arial" w:eastAsia="Arial" w:hAnsi="Arial" w:cs="Arial"/>
        </w:rPr>
        <w:t xml:space="preserve">Second Congressional Commission on Education. (2023). </w:t>
      </w:r>
      <w:r w:rsidRPr="002A1433">
        <w:rPr>
          <w:rFonts w:ascii="Arial" w:eastAsia="Arial" w:hAnsi="Arial" w:cs="Arial"/>
          <w:i/>
          <w:iCs/>
        </w:rPr>
        <w:t>Teacher education and development priority area number 16: Alignment of Commission on Higher Education, Professional Regulation Commission, and Department of Education, including Teacher Education Council.</w:t>
      </w:r>
      <w:r w:rsidRPr="002A1433">
        <w:rPr>
          <w:rFonts w:ascii="Arial" w:eastAsia="Arial" w:hAnsi="Arial" w:cs="Arial"/>
        </w:rPr>
        <w:t xml:space="preserve"> </w:t>
      </w:r>
      <w:hyperlink r:id="rId61">
        <w:r w:rsidRPr="002A1433">
          <w:rPr>
            <w:rFonts w:ascii="Arial" w:eastAsia="Arial" w:hAnsi="Arial" w:cs="Arial"/>
            <w:color w:val="000000"/>
          </w:rPr>
          <w:t>https://edcom2.gov.ph/media/2023/10/EDCOM2_Green-Paper_16-Teacher-Ed_Alignment-of-CHED-PRC-DepEd_231005.pdf</w:t>
        </w:r>
      </w:hyperlink>
    </w:p>
    <w:p w14:paraId="22488058" w14:textId="77777777" w:rsidR="001B225E" w:rsidRPr="002A1433" w:rsidRDefault="001B225E" w:rsidP="001B225E">
      <w:pPr>
        <w:spacing w:after="0" w:line="240" w:lineRule="auto"/>
        <w:ind w:firstLine="851"/>
        <w:jc w:val="both"/>
        <w:rPr>
          <w:rFonts w:ascii="Arial" w:eastAsia="Arial" w:hAnsi="Arial" w:cs="Arial"/>
        </w:rPr>
      </w:pPr>
    </w:p>
    <w:p w14:paraId="52707D98" w14:textId="77777777" w:rsidR="001B225E" w:rsidRPr="002A1433" w:rsidRDefault="001B225E" w:rsidP="001B225E">
      <w:pPr>
        <w:spacing w:after="0" w:line="240" w:lineRule="auto"/>
        <w:ind w:firstLine="851"/>
        <w:jc w:val="both"/>
        <w:rPr>
          <w:rFonts w:ascii="Arial" w:eastAsia="Arial" w:hAnsi="Arial" w:cs="Arial"/>
        </w:rPr>
      </w:pPr>
      <w:r w:rsidRPr="002A1433">
        <w:rPr>
          <w:rFonts w:ascii="Arial" w:eastAsia="Arial" w:hAnsi="Arial" w:cs="Arial"/>
        </w:rPr>
        <w:t xml:space="preserve">Singapore Ministry of Education. (2018). </w:t>
      </w:r>
      <w:r w:rsidRPr="002A1433">
        <w:rPr>
          <w:rFonts w:ascii="Arial" w:eastAsia="Arial" w:hAnsi="Arial" w:cs="Arial"/>
          <w:i/>
          <w:iCs/>
        </w:rPr>
        <w:t>Teacher preparation and competency-based licensure: Singapore's approach.</w:t>
      </w:r>
      <w:r w:rsidRPr="002A1433">
        <w:rPr>
          <w:rFonts w:ascii="Arial" w:eastAsia="Arial" w:hAnsi="Arial" w:cs="Arial"/>
        </w:rPr>
        <w:t xml:space="preserve"> Ministry of Education, Singapore.</w:t>
      </w:r>
    </w:p>
    <w:p w14:paraId="408F10F4" w14:textId="77777777" w:rsidR="001B225E" w:rsidRPr="002A1433" w:rsidRDefault="001B225E" w:rsidP="001B225E">
      <w:pPr>
        <w:spacing w:after="0" w:line="240" w:lineRule="auto"/>
        <w:ind w:firstLine="851"/>
        <w:jc w:val="both"/>
        <w:rPr>
          <w:rFonts w:ascii="Arial" w:eastAsia="Arial" w:hAnsi="Arial" w:cs="Arial"/>
        </w:rPr>
      </w:pPr>
    </w:p>
    <w:p w14:paraId="4B8A2739" w14:textId="77777777" w:rsidR="001B225E" w:rsidRPr="002A1433" w:rsidRDefault="001B225E" w:rsidP="001B225E">
      <w:pPr>
        <w:spacing w:after="0" w:line="240" w:lineRule="auto"/>
        <w:ind w:firstLine="851"/>
        <w:jc w:val="both"/>
        <w:rPr>
          <w:rFonts w:ascii="Arial" w:hAnsi="Arial" w:cs="Arial"/>
        </w:rPr>
      </w:pPr>
      <w:r w:rsidRPr="002A1433">
        <w:rPr>
          <w:rFonts w:ascii="Arial" w:eastAsia="Arial" w:hAnsi="Arial" w:cs="Arial"/>
        </w:rPr>
        <w:t xml:space="preserve">Sinsay-Villanueva, L. M. V., Garcia, G. D. V., Lim, V. L., Tanyag, I. H., </w:t>
      </w:r>
      <w:proofErr w:type="spellStart"/>
      <w:r w:rsidRPr="002A1433">
        <w:rPr>
          <w:rFonts w:ascii="Arial" w:eastAsia="Arial" w:hAnsi="Arial" w:cs="Arial"/>
        </w:rPr>
        <w:t>Berroya</w:t>
      </w:r>
      <w:proofErr w:type="spellEnd"/>
      <w:r w:rsidRPr="002A1433">
        <w:rPr>
          <w:rFonts w:ascii="Arial" w:eastAsia="Arial" w:hAnsi="Arial" w:cs="Arial"/>
        </w:rPr>
        <w:t xml:space="preserve">, J., Orbeta, A. C., Jr., &amp; Rivera, J. P. R. (2025). Quality education starting with teacher education. </w:t>
      </w:r>
      <w:r w:rsidRPr="002A1433">
        <w:rPr>
          <w:rFonts w:ascii="Arial" w:eastAsia="Arial" w:hAnsi="Arial" w:cs="Arial"/>
          <w:i/>
          <w:iCs/>
        </w:rPr>
        <w:t>Philippine Institute for Development Studies.</w:t>
      </w:r>
      <w:r w:rsidRPr="002A1433">
        <w:rPr>
          <w:rFonts w:ascii="Arial" w:eastAsia="Arial" w:hAnsi="Arial" w:cs="Arial"/>
        </w:rPr>
        <w:t xml:space="preserve"> </w:t>
      </w:r>
      <w:hyperlink r:id="rId62">
        <w:r w:rsidRPr="002A1433">
          <w:rPr>
            <w:rFonts w:ascii="Arial" w:eastAsia="Arial" w:hAnsi="Arial" w:cs="Arial"/>
            <w:color w:val="000000"/>
          </w:rPr>
          <w:t>https://pids.gov.ph/publication/discussion-papers/quality-education-starting-with-teacher-education</w:t>
        </w:r>
      </w:hyperlink>
    </w:p>
    <w:p w14:paraId="0E0F9398" w14:textId="77777777" w:rsidR="001B225E" w:rsidRPr="002A1433" w:rsidRDefault="001B225E" w:rsidP="001B225E">
      <w:pPr>
        <w:spacing w:after="0" w:line="240" w:lineRule="auto"/>
        <w:ind w:firstLine="851"/>
        <w:jc w:val="both"/>
        <w:rPr>
          <w:rFonts w:ascii="Arial" w:eastAsia="Arial" w:hAnsi="Arial" w:cs="Arial"/>
        </w:rPr>
      </w:pPr>
    </w:p>
    <w:p w14:paraId="069DF88D" w14:textId="77777777" w:rsidR="001B225E" w:rsidRPr="002A1433" w:rsidRDefault="001B225E" w:rsidP="001B225E">
      <w:pPr>
        <w:spacing w:after="0" w:line="240" w:lineRule="auto"/>
        <w:ind w:firstLine="851"/>
        <w:jc w:val="both"/>
        <w:rPr>
          <w:rFonts w:ascii="Arial" w:eastAsia="Arial" w:hAnsi="Arial" w:cs="Arial"/>
        </w:rPr>
      </w:pPr>
      <w:r w:rsidRPr="002A1433">
        <w:rPr>
          <w:rFonts w:ascii="Arial" w:eastAsia="Arial" w:hAnsi="Arial" w:cs="Arial"/>
        </w:rPr>
        <w:t>Smith, J., &amp; Brown, K. (2018). Licensure examinations and classroom effectiveness: Evidence from Canada.</w:t>
      </w:r>
    </w:p>
    <w:p w14:paraId="7554F3E3" w14:textId="77777777" w:rsidR="001B225E" w:rsidRPr="002A1433" w:rsidRDefault="001B225E" w:rsidP="001B225E">
      <w:pPr>
        <w:spacing w:after="0" w:line="240" w:lineRule="auto"/>
        <w:ind w:firstLine="851"/>
        <w:jc w:val="both"/>
        <w:rPr>
          <w:rFonts w:ascii="Arial" w:eastAsia="Arial" w:hAnsi="Arial" w:cs="Arial"/>
        </w:rPr>
      </w:pPr>
    </w:p>
    <w:p w14:paraId="571D5448" w14:textId="77777777" w:rsidR="001B225E" w:rsidRPr="002A1433" w:rsidRDefault="001B225E" w:rsidP="001B225E">
      <w:pPr>
        <w:spacing w:after="0" w:line="240" w:lineRule="auto"/>
        <w:ind w:firstLine="851"/>
        <w:jc w:val="both"/>
        <w:rPr>
          <w:rFonts w:ascii="Arial" w:eastAsia="Arial" w:hAnsi="Arial" w:cs="Arial"/>
        </w:rPr>
      </w:pPr>
      <w:proofErr w:type="spellStart"/>
      <w:r w:rsidRPr="002A1433">
        <w:rPr>
          <w:rFonts w:ascii="Arial" w:eastAsia="Arial" w:hAnsi="Arial" w:cs="Arial"/>
        </w:rPr>
        <w:t>Tigelaar</w:t>
      </w:r>
      <w:proofErr w:type="spellEnd"/>
      <w:r w:rsidRPr="002A1433">
        <w:rPr>
          <w:rFonts w:ascii="Arial" w:eastAsia="Arial" w:hAnsi="Arial" w:cs="Arial"/>
        </w:rPr>
        <w:t>, D., Dolmans, D., Wolfhagen, I., &amp; Van der Vleuten, C. (2004). Competency-based teacher education and licensure readiness: Evidence from the Netherlands.</w:t>
      </w:r>
    </w:p>
    <w:p w14:paraId="1B3741EC" w14:textId="77777777" w:rsidR="001B225E" w:rsidRPr="002A1433" w:rsidRDefault="001B225E" w:rsidP="001B225E">
      <w:pPr>
        <w:spacing w:after="0" w:line="240" w:lineRule="auto"/>
        <w:ind w:firstLine="851"/>
        <w:jc w:val="both"/>
        <w:rPr>
          <w:rFonts w:ascii="Arial" w:eastAsia="Arial" w:hAnsi="Arial" w:cs="Arial"/>
        </w:rPr>
      </w:pPr>
    </w:p>
    <w:p w14:paraId="31E8C690" w14:textId="77777777" w:rsidR="001B225E" w:rsidRPr="002A1433" w:rsidRDefault="001B225E" w:rsidP="001B225E">
      <w:pPr>
        <w:spacing w:after="0" w:line="240" w:lineRule="auto"/>
        <w:ind w:firstLine="851"/>
        <w:jc w:val="both"/>
        <w:rPr>
          <w:rFonts w:ascii="Arial" w:eastAsia="Arial" w:hAnsi="Arial" w:cs="Arial"/>
        </w:rPr>
      </w:pPr>
      <w:r w:rsidRPr="002A1433">
        <w:rPr>
          <w:rFonts w:ascii="Arial" w:eastAsia="Arial" w:hAnsi="Arial" w:cs="Arial"/>
        </w:rPr>
        <w:t xml:space="preserve">UNESCO. (2020). </w:t>
      </w:r>
      <w:r w:rsidRPr="002A1433">
        <w:rPr>
          <w:rFonts w:ascii="Arial" w:eastAsia="Arial" w:hAnsi="Arial" w:cs="Arial"/>
          <w:i/>
          <w:iCs/>
        </w:rPr>
        <w:t>Global education monitoring report 2020: Inclusion and teacher quality.</w:t>
      </w:r>
      <w:r w:rsidRPr="002A1433">
        <w:rPr>
          <w:rFonts w:ascii="Arial" w:eastAsia="Arial" w:hAnsi="Arial" w:cs="Arial"/>
        </w:rPr>
        <w:t xml:space="preserve"> United Nations Educational, Scientific and Cultural Organization.</w:t>
      </w:r>
    </w:p>
    <w:p w14:paraId="4A165542" w14:textId="77777777" w:rsidR="001B225E" w:rsidRPr="002A1433" w:rsidRDefault="001B225E" w:rsidP="001B225E">
      <w:pPr>
        <w:spacing w:after="0" w:line="240" w:lineRule="auto"/>
        <w:ind w:firstLine="851"/>
        <w:jc w:val="both"/>
        <w:rPr>
          <w:rFonts w:ascii="Arial" w:eastAsia="Arial" w:hAnsi="Arial" w:cs="Arial"/>
        </w:rPr>
      </w:pPr>
    </w:p>
    <w:p w14:paraId="55D1A1BD" w14:textId="77777777" w:rsidR="001B225E" w:rsidRPr="002A1433" w:rsidRDefault="001B225E" w:rsidP="001B225E">
      <w:pPr>
        <w:spacing w:after="0" w:line="240" w:lineRule="auto"/>
        <w:ind w:firstLine="851"/>
        <w:jc w:val="both"/>
        <w:rPr>
          <w:rFonts w:ascii="Arial" w:hAnsi="Arial" w:cs="Arial"/>
        </w:rPr>
      </w:pPr>
      <w:r w:rsidRPr="002A1433">
        <w:rPr>
          <w:rFonts w:ascii="Arial" w:eastAsia="Arial" w:hAnsi="Arial" w:cs="Arial"/>
        </w:rPr>
        <w:t xml:space="preserve">UNESCO &amp; International Task Force on Teachers for Education 2030. (2024). </w:t>
      </w:r>
      <w:r w:rsidRPr="002A1433">
        <w:rPr>
          <w:rFonts w:ascii="Arial" w:eastAsia="Arial" w:hAnsi="Arial" w:cs="Arial"/>
          <w:i/>
          <w:iCs/>
        </w:rPr>
        <w:t>Global report on teachers: Addressing teacher shortages and transforming the profession.</w:t>
      </w:r>
      <w:r w:rsidRPr="002A1433">
        <w:rPr>
          <w:rFonts w:ascii="Arial" w:eastAsia="Arial" w:hAnsi="Arial" w:cs="Arial"/>
        </w:rPr>
        <w:t xml:space="preserve"> UNESCO. </w:t>
      </w:r>
      <w:hyperlink r:id="rId63">
        <w:r w:rsidRPr="002A1433">
          <w:rPr>
            <w:rFonts w:ascii="Arial" w:eastAsia="Arial" w:hAnsi="Arial" w:cs="Arial"/>
            <w:color w:val="000000"/>
          </w:rPr>
          <w:t>https://doi.org/10.54675/FIGU8035</w:t>
        </w:r>
      </w:hyperlink>
    </w:p>
    <w:p w14:paraId="6636A48D" w14:textId="77777777" w:rsidR="001B225E" w:rsidRPr="002A1433" w:rsidRDefault="001B225E" w:rsidP="001B225E">
      <w:pPr>
        <w:spacing w:after="0" w:line="240" w:lineRule="auto"/>
        <w:ind w:firstLine="851"/>
        <w:jc w:val="both"/>
        <w:rPr>
          <w:rFonts w:ascii="Arial" w:eastAsia="Arial" w:hAnsi="Arial" w:cs="Arial"/>
        </w:rPr>
      </w:pPr>
    </w:p>
    <w:p w14:paraId="5953ADB5" w14:textId="77777777" w:rsidR="001B225E" w:rsidRPr="002A1433" w:rsidRDefault="001B225E" w:rsidP="001B225E">
      <w:pPr>
        <w:spacing w:after="0" w:line="240" w:lineRule="auto"/>
        <w:ind w:firstLine="851"/>
        <w:jc w:val="both"/>
        <w:rPr>
          <w:rFonts w:ascii="Arial" w:eastAsia="Arial" w:hAnsi="Arial" w:cs="Arial"/>
        </w:rPr>
      </w:pPr>
      <w:r w:rsidRPr="002A1433">
        <w:rPr>
          <w:rFonts w:ascii="Arial" w:eastAsia="Arial" w:hAnsi="Arial" w:cs="Arial"/>
        </w:rPr>
        <w:t>Villafuerte, J. (2017). Practicum experiences and licensure readiness in Bicol colleges.</w:t>
      </w:r>
    </w:p>
    <w:p w14:paraId="7A3BD596" w14:textId="77777777" w:rsidR="001B225E" w:rsidRPr="002A1433" w:rsidRDefault="001B225E" w:rsidP="001B225E">
      <w:pPr>
        <w:spacing w:after="0" w:line="240" w:lineRule="auto"/>
        <w:ind w:firstLine="851"/>
        <w:jc w:val="both"/>
        <w:rPr>
          <w:rFonts w:ascii="Arial" w:eastAsia="Arial" w:hAnsi="Arial" w:cs="Arial"/>
        </w:rPr>
      </w:pPr>
    </w:p>
    <w:p w14:paraId="647DDDB7" w14:textId="77777777" w:rsidR="001B225E" w:rsidRPr="002A1433" w:rsidRDefault="001B225E" w:rsidP="001B225E">
      <w:pPr>
        <w:spacing w:after="0" w:line="240" w:lineRule="auto"/>
        <w:ind w:firstLine="851"/>
        <w:jc w:val="both"/>
        <w:rPr>
          <w:rFonts w:ascii="Arial" w:eastAsia="Arial" w:hAnsi="Arial" w:cs="Arial"/>
        </w:rPr>
      </w:pPr>
      <w:r w:rsidRPr="002A1433">
        <w:rPr>
          <w:rFonts w:ascii="Arial" w:eastAsia="Arial" w:hAnsi="Arial" w:cs="Arial"/>
        </w:rPr>
        <w:t>Wang, Y., &amp; Lin, C. (2017). Institutional practices and licensure outcomes in Taiwan.</w:t>
      </w:r>
    </w:p>
    <w:p w14:paraId="4BAFA9D8" w14:textId="77777777" w:rsidR="001B225E" w:rsidRDefault="001B225E" w:rsidP="001B225E">
      <w:pPr>
        <w:spacing w:after="120" w:line="480" w:lineRule="auto"/>
        <w:ind w:firstLine="851"/>
        <w:jc w:val="both"/>
        <w:rPr>
          <w:rFonts w:ascii="Arial" w:eastAsia="Arial" w:hAnsi="Arial" w:cs="Arial"/>
        </w:rPr>
      </w:pPr>
    </w:p>
    <w:p w14:paraId="2D13A0AE" w14:textId="77777777" w:rsidR="001B225E" w:rsidRDefault="001B225E" w:rsidP="001B225E">
      <w:pPr>
        <w:spacing w:after="120" w:line="480" w:lineRule="auto"/>
        <w:jc w:val="both"/>
        <w:rPr>
          <w:rFonts w:ascii="Arial" w:eastAsia="Arial" w:hAnsi="Arial" w:cs="Arial"/>
        </w:rPr>
      </w:pPr>
    </w:p>
    <w:p w14:paraId="65080B8D" w14:textId="77777777" w:rsidR="001B225E" w:rsidRDefault="001B225E" w:rsidP="001B225E">
      <w:pPr>
        <w:spacing w:after="120" w:line="480" w:lineRule="auto"/>
        <w:jc w:val="both"/>
        <w:rPr>
          <w:rFonts w:ascii="Arial" w:eastAsia="Arial" w:hAnsi="Arial" w:cs="Arial"/>
        </w:rPr>
      </w:pPr>
    </w:p>
    <w:p w14:paraId="00AFFFFC" w14:textId="77777777" w:rsidR="001B225E" w:rsidRDefault="001B225E" w:rsidP="001B225E">
      <w:pPr>
        <w:spacing w:after="120" w:line="480" w:lineRule="auto"/>
        <w:jc w:val="both"/>
        <w:rPr>
          <w:rFonts w:ascii="Arial" w:eastAsia="Arial" w:hAnsi="Arial" w:cs="Arial"/>
        </w:rPr>
      </w:pPr>
    </w:p>
    <w:p w14:paraId="7AFC1F44" w14:textId="77777777" w:rsidR="001B225E" w:rsidRDefault="001B225E" w:rsidP="001B225E">
      <w:pPr>
        <w:spacing w:after="120" w:line="480" w:lineRule="auto"/>
        <w:jc w:val="both"/>
        <w:rPr>
          <w:rFonts w:ascii="Arial" w:eastAsia="Arial" w:hAnsi="Arial" w:cs="Arial"/>
        </w:rPr>
      </w:pPr>
    </w:p>
    <w:p w14:paraId="354860CD" w14:textId="77777777" w:rsidR="001B225E" w:rsidRDefault="001B225E" w:rsidP="001B225E">
      <w:pPr>
        <w:spacing w:after="120" w:line="480" w:lineRule="auto"/>
        <w:jc w:val="both"/>
        <w:rPr>
          <w:rFonts w:ascii="Arial" w:eastAsia="Arial" w:hAnsi="Arial" w:cs="Arial"/>
        </w:rPr>
      </w:pPr>
    </w:p>
    <w:p w14:paraId="34B66979" w14:textId="77777777" w:rsidR="001B225E" w:rsidRDefault="001B225E" w:rsidP="001B225E">
      <w:pPr>
        <w:spacing w:after="120" w:line="480" w:lineRule="auto"/>
        <w:jc w:val="both"/>
        <w:rPr>
          <w:rFonts w:ascii="Arial" w:eastAsia="Arial" w:hAnsi="Arial" w:cs="Arial"/>
        </w:rPr>
      </w:pPr>
    </w:p>
    <w:p w14:paraId="54F907FE" w14:textId="77777777" w:rsidR="001B225E" w:rsidRDefault="001B225E" w:rsidP="001B225E">
      <w:pPr>
        <w:spacing w:after="120" w:line="480" w:lineRule="auto"/>
        <w:jc w:val="both"/>
        <w:rPr>
          <w:rFonts w:ascii="Arial" w:eastAsia="Arial" w:hAnsi="Arial" w:cs="Arial"/>
        </w:rPr>
      </w:pPr>
    </w:p>
    <w:p w14:paraId="70B48E96" w14:textId="77777777" w:rsidR="001B225E" w:rsidRDefault="001B225E" w:rsidP="001B225E">
      <w:pPr>
        <w:spacing w:after="120" w:line="480" w:lineRule="auto"/>
        <w:jc w:val="both"/>
        <w:rPr>
          <w:rFonts w:ascii="Arial" w:eastAsia="Arial" w:hAnsi="Arial" w:cs="Arial"/>
        </w:rPr>
      </w:pPr>
    </w:p>
    <w:p w14:paraId="59CEFF3C" w14:textId="77777777" w:rsidR="001B225E" w:rsidRPr="002A1433" w:rsidRDefault="001B225E" w:rsidP="001B225E">
      <w:pPr>
        <w:spacing w:after="120" w:line="480" w:lineRule="auto"/>
        <w:jc w:val="both"/>
        <w:rPr>
          <w:rFonts w:ascii="Arial" w:eastAsia="Arial" w:hAnsi="Arial" w:cs="Arial"/>
        </w:rPr>
      </w:pPr>
    </w:p>
    <w:p w14:paraId="75228C77" w14:textId="77777777" w:rsidR="001B225E" w:rsidRPr="002A1433" w:rsidRDefault="001B225E" w:rsidP="001B225E">
      <w:pPr>
        <w:spacing w:after="0" w:line="480" w:lineRule="auto"/>
        <w:jc w:val="center"/>
        <w:rPr>
          <w:rFonts w:ascii="Arial" w:eastAsia="Arial" w:hAnsi="Arial" w:cs="Arial"/>
        </w:rPr>
      </w:pPr>
      <w:r w:rsidRPr="002A1433">
        <w:rPr>
          <w:rFonts w:ascii="Arial" w:hAnsi="Arial" w:cs="Arial"/>
          <w:noProof/>
        </w:rPr>
        <w:lastRenderedPageBreak/>
        <mc:AlternateContent>
          <mc:Choice Requires="wps">
            <w:drawing>
              <wp:anchor distT="0" distB="0" distL="114300" distR="114300" simplePos="0" relativeHeight="251664384" behindDoc="0" locked="0" layoutInCell="1" hidden="0" allowOverlap="1" wp14:anchorId="612324D5" wp14:editId="1C48EC54">
                <wp:simplePos x="0" y="0"/>
                <wp:positionH relativeFrom="column">
                  <wp:posOffset>5169535</wp:posOffset>
                </wp:positionH>
                <wp:positionV relativeFrom="paragraph">
                  <wp:posOffset>-348153</wp:posOffset>
                </wp:positionV>
                <wp:extent cx="336550" cy="415925"/>
                <wp:effectExtent l="0" t="0" r="6350" b="3175"/>
                <wp:wrapNone/>
                <wp:docPr id="1" name="Rectangle 1"/>
                <wp:cNvGraphicFramePr/>
                <a:graphic xmlns:a="http://schemas.openxmlformats.org/drawingml/2006/main">
                  <a:graphicData uri="http://schemas.microsoft.com/office/word/2010/wordprocessingShape">
                    <wps:wsp>
                      <wps:cNvSpPr/>
                      <wps:spPr>
                        <a:xfrm>
                          <a:off x="0" y="0"/>
                          <a:ext cx="336550" cy="415925"/>
                        </a:xfrm>
                        <a:prstGeom prst="rect">
                          <a:avLst/>
                        </a:prstGeom>
                        <a:solidFill>
                          <a:schemeClr val="lt1"/>
                        </a:solidFill>
                        <a:ln>
                          <a:noFill/>
                        </a:ln>
                      </wps:spPr>
                      <wps:txbx>
                        <w:txbxContent>
                          <w:p w14:paraId="6DE210A2" w14:textId="77777777" w:rsidR="001B225E" w:rsidRDefault="001B225E" w:rsidP="001B225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12324D5" id="Rectangle 1" o:spid="_x0000_s1030" style="position:absolute;left:0;text-align:left;margin-left:407.05pt;margin-top:-27.4pt;width:26.5pt;height:3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" fillcolor="white [3201]" stroked="f">
                <v:textbox inset="2.53958mm,2.53958mm,2.53958mm,2.53958mm">
                  <w:txbxContent>
                    <w:p w14:paraId="6DE210A2" w14:textId="77777777" w:rsidR="001B225E" w:rsidRDefault="001B225E" w:rsidP="001B225E">
                      <w:pPr>
                        <w:spacing w:after="0" w:line="240" w:lineRule="auto"/>
                        <w:textDirection w:val="btLr"/>
                      </w:pPr>
                    </w:p>
                  </w:txbxContent>
                </v:textbox>
              </v:rect>
            </w:pict>
          </mc:Fallback>
        </mc:AlternateContent>
      </w:r>
      <w:r w:rsidRPr="002A1433">
        <w:rPr>
          <w:rFonts w:ascii="Arial" w:eastAsia="Arial" w:hAnsi="Arial" w:cs="Arial"/>
          <w:b/>
          <w:bCs/>
        </w:rPr>
        <w:t>Chapter 5</w:t>
      </w:r>
    </w:p>
    <w:p w14:paraId="4973B21B" w14:textId="77777777" w:rsidR="001B225E" w:rsidRPr="002A1433" w:rsidRDefault="001B225E" w:rsidP="001B225E">
      <w:pPr>
        <w:spacing w:after="0" w:line="480" w:lineRule="auto"/>
        <w:jc w:val="center"/>
        <w:rPr>
          <w:rFonts w:ascii="Arial" w:eastAsia="Arial" w:hAnsi="Arial" w:cs="Arial"/>
        </w:rPr>
      </w:pPr>
      <w:r w:rsidRPr="002A1433">
        <w:rPr>
          <w:rFonts w:ascii="Arial" w:eastAsia="Arial" w:hAnsi="Arial" w:cs="Arial"/>
          <w:b/>
          <w:bCs/>
        </w:rPr>
        <w:t>SUMMARY</w:t>
      </w:r>
      <w:r>
        <w:rPr>
          <w:rFonts w:ascii="Arial" w:eastAsia="Arial" w:hAnsi="Arial" w:cs="Arial"/>
          <w:b/>
          <w:bCs/>
        </w:rPr>
        <w:t xml:space="preserve">, </w:t>
      </w:r>
      <w:r w:rsidRPr="002A1433">
        <w:rPr>
          <w:rFonts w:ascii="Arial" w:eastAsia="Arial" w:hAnsi="Arial" w:cs="Arial"/>
          <w:b/>
          <w:bCs/>
        </w:rPr>
        <w:t>FINDINGS, CONCLUSIONS, AND RECOMMENDATIONS</w:t>
      </w:r>
    </w:p>
    <w:p w14:paraId="76849FD4" w14:textId="77777777" w:rsidR="001B225E" w:rsidRPr="00C2272F" w:rsidRDefault="001B225E" w:rsidP="001B225E">
      <w:pPr>
        <w:spacing w:after="0" w:line="480" w:lineRule="auto"/>
        <w:ind w:firstLine="720"/>
        <w:jc w:val="both"/>
        <w:rPr>
          <w:rFonts w:ascii="Arial" w:hAnsi="Arial" w:cs="Arial"/>
        </w:rPr>
      </w:pPr>
      <w:r w:rsidRPr="00C2272F">
        <w:rPr>
          <w:rFonts w:ascii="Arial" w:hAnsi="Arial" w:cs="Arial"/>
        </w:rPr>
        <w:t>This chapter presented the summary of findings, the conclusions drawn, and the recommendations formulated based on the study on the predictors of performance in the Licensure Examination for Teachers among the 116 first-time LET takers from the 2025 graduates of a community college in Albay who took the licensure examination during the examination cycles that fell within academic year 2024–2025.</w:t>
      </w:r>
    </w:p>
    <w:p w14:paraId="58F4890A" w14:textId="77777777" w:rsidR="001B225E" w:rsidRDefault="001B225E" w:rsidP="001B225E">
      <w:pPr>
        <w:spacing w:after="0" w:line="480" w:lineRule="auto"/>
        <w:jc w:val="both"/>
        <w:rPr>
          <w:rFonts w:ascii="Arial" w:hAnsi="Arial" w:cs="Arial"/>
          <w:b/>
          <w:bCs/>
        </w:rPr>
      </w:pPr>
      <w:r w:rsidRPr="00C2272F">
        <w:rPr>
          <w:rFonts w:ascii="Arial" w:hAnsi="Arial" w:cs="Arial"/>
          <w:b/>
          <w:bCs/>
        </w:rPr>
        <w:t xml:space="preserve">Summary </w:t>
      </w:r>
    </w:p>
    <w:p w14:paraId="383A3C98" w14:textId="77777777" w:rsidR="001B225E" w:rsidRDefault="001B225E" w:rsidP="001B225E">
      <w:pPr>
        <w:spacing w:after="0" w:line="480" w:lineRule="auto"/>
        <w:ind w:firstLine="720"/>
        <w:jc w:val="both"/>
        <w:rPr>
          <w:rFonts w:ascii="Arial" w:hAnsi="Arial" w:cs="Arial"/>
        </w:rPr>
      </w:pPr>
      <w:r w:rsidRPr="00C2272F">
        <w:rPr>
          <w:rFonts w:ascii="Arial" w:hAnsi="Arial" w:cs="Arial"/>
        </w:rPr>
        <w:t xml:space="preserve">This study was conducted to determine the predictors of performance in the Licensure Examination for Teachers (LET) among the LET takers of a community college in Albay. The study was grounded in the recognition that the quality of teacher education institutions is reflected in the board performance of their graduates and that identifying the specific factors that predict licensure outcomes is necessary for evidence-based program improvement. </w:t>
      </w:r>
    </w:p>
    <w:p w14:paraId="2D3365A4" w14:textId="77777777" w:rsidR="001B225E" w:rsidRDefault="001B225E" w:rsidP="001B225E">
      <w:pPr>
        <w:spacing w:after="0" w:line="480" w:lineRule="auto"/>
        <w:ind w:firstLine="720"/>
        <w:jc w:val="both"/>
        <w:rPr>
          <w:rFonts w:ascii="Arial" w:hAnsi="Arial" w:cs="Arial"/>
        </w:rPr>
      </w:pPr>
      <w:r w:rsidRPr="00C2272F">
        <w:rPr>
          <w:rFonts w:ascii="Arial" w:hAnsi="Arial" w:cs="Arial"/>
        </w:rPr>
        <w:t xml:space="preserve">Under the quality assurance framework established by CHED Memorandum Order No. 10, Series of 2024, board performance has become a key indicator for evaluating the continued authorization of teacher education programs, which underscored the urgency of understanding what drives licensure success, particularly in community college settings where resources and institutional capacity are often limited. Despite the availability of national and international literature on LET predictors, no comprehensive study had examined the combined influence of profile variables, academic performance, study habits, review </w:t>
      </w:r>
      <w:r w:rsidRPr="00C2272F">
        <w:rPr>
          <w:rFonts w:ascii="Arial" w:hAnsi="Arial" w:cs="Arial"/>
        </w:rPr>
        <w:lastRenderedPageBreak/>
        <w:t xml:space="preserve">preparation practices, and institutional support as simultaneous predictors of LET performance within the specific context of the community college. </w:t>
      </w:r>
    </w:p>
    <w:p w14:paraId="27CF16ED" w14:textId="77777777" w:rsidR="001B225E" w:rsidRPr="00C2272F" w:rsidRDefault="001B225E" w:rsidP="001B225E">
      <w:pPr>
        <w:spacing w:after="0" w:line="480" w:lineRule="auto"/>
        <w:ind w:firstLine="720"/>
        <w:jc w:val="both"/>
        <w:rPr>
          <w:rFonts w:ascii="Arial" w:hAnsi="Arial" w:cs="Arial"/>
        </w:rPr>
      </w:pPr>
      <w:r w:rsidRPr="00C2272F">
        <w:rPr>
          <w:rFonts w:ascii="Arial" w:hAnsi="Arial" w:cs="Arial"/>
        </w:rPr>
        <w:t>Guided by Human Capital Theory (Becker, 1964), Self-Efficacy Theory (Bandura, 1977), Cognitive Load Theory (</w:t>
      </w:r>
      <w:proofErr w:type="spellStart"/>
      <w:r w:rsidRPr="00C2272F">
        <w:rPr>
          <w:rFonts w:ascii="Arial" w:hAnsi="Arial" w:cs="Arial"/>
        </w:rPr>
        <w:t>Sweller</w:t>
      </w:r>
      <w:proofErr w:type="spellEnd"/>
      <w:r w:rsidRPr="00C2272F">
        <w:rPr>
          <w:rFonts w:ascii="Arial" w:hAnsi="Arial" w:cs="Arial"/>
        </w:rPr>
        <w:t>, 1988), and Tinto's Student Integration Theory (Tinto, 1975), which collectively</w:t>
      </w:r>
      <w:r>
        <w:rPr>
          <w:rFonts w:ascii="Arial" w:hAnsi="Arial" w:cs="Arial"/>
        </w:rPr>
        <w:t xml:space="preserve"> </w:t>
      </w:r>
      <w:r w:rsidRPr="00C2272F">
        <w:rPr>
          <w:rFonts w:ascii="Arial" w:hAnsi="Arial" w:cs="Arial"/>
        </w:rPr>
        <w:t>formed the Readiness and Resilience Integration Theory proposed by the researcher as the theoretical anchor of the study, and structured through Astin's Input-Environment-Outcome (I-E-O) Model (Astin, 1993) as the conceptual framework, the research aimed to determine which among the identified predictor groups significantly influenced Board Performance and to use the findings as the empirical basis for the development of a proposed intervention program designed to enhance LET readiness and improve licensure outcomes at the institution.</w:t>
      </w:r>
    </w:p>
    <w:p w14:paraId="4EAF4D7A" w14:textId="77777777" w:rsidR="001B225E" w:rsidRDefault="001B225E" w:rsidP="001B225E">
      <w:pPr>
        <w:spacing w:after="0" w:line="480" w:lineRule="auto"/>
        <w:ind w:firstLine="720"/>
        <w:jc w:val="both"/>
        <w:rPr>
          <w:rFonts w:ascii="Arial" w:hAnsi="Arial" w:cs="Arial"/>
        </w:rPr>
      </w:pPr>
      <w:r w:rsidRPr="00C2272F">
        <w:rPr>
          <w:rFonts w:ascii="Arial" w:hAnsi="Arial" w:cs="Arial"/>
        </w:rPr>
        <w:t xml:space="preserve">The study employed a descriptive-correlational research design. The respondents were the 116 first-time LET takers from the 2025 graduates of the teacher education programs of the community college, drawn from a total population of 165 through power analysis using the G*Power software and selected through stratified random sampling with proportional allocation across the teacher education programs. Data were gathered using a researcher-constructed questionnaire consisting of five parts corresponding to the specific objectives of the study, supplemented by document review of official academic records, interviews, and library research. The questionnaire was validated by experts and pilot-tested prior to actual administration, with the internal consistency of its Likert subscales established through Cronbach's alpha, and was personally </w:t>
      </w:r>
      <w:r w:rsidRPr="00C2272F">
        <w:rPr>
          <w:rFonts w:ascii="Arial" w:hAnsi="Arial" w:cs="Arial"/>
        </w:rPr>
        <w:lastRenderedPageBreak/>
        <w:t>administered and retrieved by the researcher within the five-month data gathering period. The statistical tools used included frequency distribution and percentage for the profile variables, weighted mean to determine the levels of study habits, review preparation practices, and institutional support, and multiple and simple linear regression analysis to identify the significant predictors of Board Performance among the respondents. Consistent with the Input-Environment-Outcome framework, the findings were summarized according to the Input block (profile and academic performance), the Environment block (study habits, review preparation practices, and institutional support), and the Outcome (LET performance and its significant predictors).</w:t>
      </w:r>
    </w:p>
    <w:p w14:paraId="363C10D2" w14:textId="77777777" w:rsidR="001B225E" w:rsidRPr="001324D9" w:rsidRDefault="001B225E" w:rsidP="001B225E">
      <w:pPr>
        <w:spacing w:after="0" w:line="480" w:lineRule="auto"/>
        <w:jc w:val="both"/>
        <w:rPr>
          <w:rFonts w:ascii="Arial" w:hAnsi="Arial" w:cs="Arial"/>
          <w:b/>
          <w:bCs/>
        </w:rPr>
      </w:pPr>
      <w:r w:rsidRPr="001324D9">
        <w:rPr>
          <w:rFonts w:ascii="Arial" w:hAnsi="Arial" w:cs="Arial"/>
          <w:b/>
          <w:bCs/>
        </w:rPr>
        <w:t>Findings</w:t>
      </w:r>
    </w:p>
    <w:p w14:paraId="395E176A" w14:textId="77777777" w:rsidR="001B225E" w:rsidRPr="0056256C" w:rsidRDefault="001B225E" w:rsidP="001B225E">
      <w:pPr>
        <w:spacing w:after="0" w:line="480" w:lineRule="auto"/>
        <w:jc w:val="both"/>
        <w:rPr>
          <w:rFonts w:ascii="Arial" w:hAnsi="Arial" w:cs="Arial"/>
        </w:rPr>
      </w:pPr>
      <w:r w:rsidRPr="0056256C">
        <w:rPr>
          <w:rFonts w:ascii="Arial" w:hAnsi="Arial" w:cs="Arial"/>
        </w:rPr>
        <w:t>Based on the data gathered and analyzed, the following findings were drawn in accordance with the specific problems of the study:</w:t>
      </w:r>
    </w:p>
    <w:p w14:paraId="69B51027" w14:textId="77777777" w:rsidR="001B225E" w:rsidRPr="0056256C" w:rsidRDefault="001B225E" w:rsidP="001B225E">
      <w:pPr>
        <w:numPr>
          <w:ilvl w:val="0"/>
          <w:numId w:val="17"/>
        </w:numPr>
        <w:spacing w:after="0" w:line="480" w:lineRule="auto"/>
        <w:jc w:val="both"/>
        <w:rPr>
          <w:rFonts w:ascii="Arial" w:hAnsi="Arial" w:cs="Arial"/>
        </w:rPr>
      </w:pPr>
      <w:r w:rsidRPr="0056256C">
        <w:rPr>
          <w:rFonts w:ascii="Arial" w:hAnsi="Arial" w:cs="Arial"/>
        </w:rPr>
        <w:t>On the profile of the LET takers, the respondents were predominantly young, female, first-time takers who graduated in academic year 2024–2025. Most were 23 years old, the majority were female, the largest proportion were graduates of the Bachelor of Secondary Education program with Physical Education and English as the dominant specializations, all graduated in 2025, and all were first-time takers of the licensure examination.</w:t>
      </w:r>
    </w:p>
    <w:p w14:paraId="62398F6B" w14:textId="77777777" w:rsidR="001B225E" w:rsidRPr="0056256C" w:rsidRDefault="001B225E" w:rsidP="001B225E">
      <w:pPr>
        <w:numPr>
          <w:ilvl w:val="0"/>
          <w:numId w:val="17"/>
        </w:numPr>
        <w:spacing w:after="0" w:line="480" w:lineRule="auto"/>
        <w:jc w:val="both"/>
        <w:rPr>
          <w:rFonts w:ascii="Arial" w:hAnsi="Arial" w:cs="Arial"/>
        </w:rPr>
      </w:pPr>
      <w:r w:rsidRPr="0056256C">
        <w:rPr>
          <w:rFonts w:ascii="Arial" w:hAnsi="Arial" w:cs="Arial"/>
        </w:rPr>
        <w:t xml:space="preserve">On the academic performance of the LET takers, the respondents generally attained a Very Satisfactory level of academic performance, with a mean general weighted average of 1.88, a mean professional education average </w:t>
      </w:r>
      <w:r w:rsidRPr="0056256C">
        <w:rPr>
          <w:rFonts w:ascii="Arial" w:hAnsi="Arial" w:cs="Arial"/>
        </w:rPr>
        <w:lastRenderedPageBreak/>
        <w:t>of 1.88, and a mean major or specialization average of 1.84, all interpreted as Very Satisfactory, and a mean teaching internship grade of 1.37 interpreted as Excellent, while the general education average of 2.02, interpreted as Satisfactory, was the weakest academic component.</w:t>
      </w:r>
    </w:p>
    <w:p w14:paraId="553FE140" w14:textId="77777777" w:rsidR="001B225E" w:rsidRPr="0056256C" w:rsidRDefault="001B225E" w:rsidP="001B225E">
      <w:pPr>
        <w:numPr>
          <w:ilvl w:val="0"/>
          <w:numId w:val="17"/>
        </w:numPr>
        <w:spacing w:after="0" w:line="480" w:lineRule="auto"/>
        <w:jc w:val="both"/>
        <w:rPr>
          <w:rFonts w:ascii="Arial" w:hAnsi="Arial" w:cs="Arial"/>
        </w:rPr>
      </w:pPr>
      <w:r w:rsidRPr="0056256C">
        <w:rPr>
          <w:rFonts w:ascii="Arial" w:hAnsi="Arial" w:cs="Arial"/>
        </w:rPr>
        <w:t>On the level of the factors examined, the respondents' study habits (general weighted mean of 3.75), review preparation practices (general weighted mean of 3.71), and institutional support received from the community college (general weighted mean of 3.57) were all interpreted as Often, indicating that the respondents frequently engaged in disciplined study and review behaviors and consistently received institutional support in preparing for the licensure examination.</w:t>
      </w:r>
    </w:p>
    <w:p w14:paraId="0EB124E0" w14:textId="77777777" w:rsidR="001B225E" w:rsidRPr="0056256C" w:rsidRDefault="001B225E" w:rsidP="001B225E">
      <w:pPr>
        <w:numPr>
          <w:ilvl w:val="0"/>
          <w:numId w:val="17"/>
        </w:numPr>
        <w:spacing w:after="0" w:line="480" w:lineRule="auto"/>
        <w:jc w:val="both"/>
        <w:rPr>
          <w:rFonts w:ascii="Arial" w:hAnsi="Arial" w:cs="Arial"/>
        </w:rPr>
      </w:pPr>
      <w:r w:rsidRPr="0056256C">
        <w:rPr>
          <w:rFonts w:ascii="Arial" w:hAnsi="Arial" w:cs="Arial"/>
        </w:rPr>
        <w:t>On the significant predictors of LET performance, academic performance was the strongest and most consistent significant predictor across the overall rating and all three examination components, supported by review preparation practices, profile variables, and institutional support, while study habits emerged as a significant predictor specifically in the General Education and Professional Education components; the null hypothesis was therefore rejected.</w:t>
      </w:r>
    </w:p>
    <w:p w14:paraId="3CE069EF" w14:textId="77777777" w:rsidR="001B225E" w:rsidRPr="00E83BA2" w:rsidRDefault="001B225E" w:rsidP="001B225E">
      <w:pPr>
        <w:numPr>
          <w:ilvl w:val="0"/>
          <w:numId w:val="17"/>
        </w:numPr>
        <w:spacing w:after="0" w:line="480" w:lineRule="auto"/>
        <w:jc w:val="both"/>
        <w:rPr>
          <w:rFonts w:ascii="Arial" w:hAnsi="Arial" w:cs="Arial"/>
        </w:rPr>
      </w:pPr>
      <w:r w:rsidRPr="0056256C">
        <w:rPr>
          <w:rFonts w:ascii="Arial" w:hAnsi="Arial" w:cs="Arial"/>
        </w:rPr>
        <w:t xml:space="preserve">On the basis of the findings, an intervention program was proposed and developed, anchored on the significant predictors identified through regression analysis, namely academic performance, review preparation practices, profile variables, and institutional support, together with the component-specific contribution of study habits, and designed to strengthen </w:t>
      </w:r>
      <w:r w:rsidRPr="0056256C">
        <w:rPr>
          <w:rFonts w:ascii="Arial" w:hAnsi="Arial" w:cs="Arial"/>
        </w:rPr>
        <w:lastRenderedPageBreak/>
        <w:t>the licensure readiness and LET performance of the education graduates of the community college.</w:t>
      </w:r>
    </w:p>
    <w:p w14:paraId="084CD762" w14:textId="77777777" w:rsidR="001B225E" w:rsidRPr="00C2272F" w:rsidRDefault="001B225E" w:rsidP="001B225E">
      <w:pPr>
        <w:spacing w:after="0" w:line="480" w:lineRule="auto"/>
        <w:jc w:val="both"/>
        <w:rPr>
          <w:rFonts w:ascii="Arial" w:hAnsi="Arial" w:cs="Arial"/>
          <w:b/>
          <w:bCs/>
        </w:rPr>
      </w:pPr>
      <w:r w:rsidRPr="00C2272F">
        <w:rPr>
          <w:rFonts w:ascii="Arial" w:hAnsi="Arial" w:cs="Arial"/>
          <w:b/>
          <w:bCs/>
        </w:rPr>
        <w:t>Conclusions</w:t>
      </w:r>
    </w:p>
    <w:p w14:paraId="06EF911D" w14:textId="77777777" w:rsidR="001B225E" w:rsidRPr="00C2272F" w:rsidRDefault="001B225E" w:rsidP="001B225E">
      <w:pPr>
        <w:spacing w:after="0" w:line="480" w:lineRule="auto"/>
        <w:ind w:firstLine="720"/>
        <w:jc w:val="both"/>
        <w:rPr>
          <w:rFonts w:ascii="Arial" w:hAnsi="Arial" w:cs="Arial"/>
        </w:rPr>
      </w:pPr>
      <w:r w:rsidRPr="00C2272F">
        <w:rPr>
          <w:rFonts w:ascii="Arial" w:hAnsi="Arial" w:cs="Arial"/>
        </w:rPr>
        <w:t>Based on the findings, the following conclusions were drawn:</w:t>
      </w:r>
    </w:p>
    <w:p w14:paraId="2F9EB617" w14:textId="77777777" w:rsidR="001B225E" w:rsidRPr="0056256C" w:rsidRDefault="001B225E" w:rsidP="001B225E">
      <w:pPr>
        <w:numPr>
          <w:ilvl w:val="0"/>
          <w:numId w:val="18"/>
        </w:numPr>
        <w:spacing w:after="0" w:line="480" w:lineRule="auto"/>
        <w:jc w:val="both"/>
        <w:rPr>
          <w:rFonts w:ascii="Arial" w:hAnsi="Arial" w:cs="Arial"/>
        </w:rPr>
      </w:pPr>
      <w:r w:rsidRPr="0056256C">
        <w:rPr>
          <w:rFonts w:ascii="Arial" w:hAnsi="Arial" w:cs="Arial"/>
        </w:rPr>
        <w:t>The LET takers of the community college were characterized by a homogeneous profile of young, female, first-time takers who pursued the licensure examination immediately after completing their teacher education program, indicating that the institution's licensure population is composed of recent graduates who draw on the recency of their academic preparation.</w:t>
      </w:r>
    </w:p>
    <w:p w14:paraId="76BC5ECD" w14:textId="77777777" w:rsidR="001B225E" w:rsidRPr="0056256C" w:rsidRDefault="001B225E" w:rsidP="001B225E">
      <w:pPr>
        <w:numPr>
          <w:ilvl w:val="0"/>
          <w:numId w:val="18"/>
        </w:numPr>
        <w:spacing w:after="0" w:line="480" w:lineRule="auto"/>
        <w:jc w:val="both"/>
        <w:rPr>
          <w:rFonts w:ascii="Arial" w:hAnsi="Arial" w:cs="Arial"/>
        </w:rPr>
      </w:pPr>
      <w:r w:rsidRPr="0056256C">
        <w:rPr>
          <w:rFonts w:ascii="Arial" w:hAnsi="Arial" w:cs="Arial"/>
        </w:rPr>
        <w:t>The academic performance of the LET takers was generally commendable, with supervised teaching internship as the most evident strength and general education as the weakest area, signifying that the cumulative academic preparation provided by the institution is sound but requires focused strengthening in the general education domain.</w:t>
      </w:r>
    </w:p>
    <w:p w14:paraId="338DE57F" w14:textId="77777777" w:rsidR="001B225E" w:rsidRPr="0056256C" w:rsidRDefault="001B225E" w:rsidP="001B225E">
      <w:pPr>
        <w:numPr>
          <w:ilvl w:val="0"/>
          <w:numId w:val="18"/>
        </w:numPr>
        <w:spacing w:after="0" w:line="480" w:lineRule="auto"/>
        <w:jc w:val="both"/>
        <w:rPr>
          <w:rFonts w:ascii="Arial" w:hAnsi="Arial" w:cs="Arial"/>
        </w:rPr>
      </w:pPr>
      <w:r w:rsidRPr="0056256C">
        <w:rPr>
          <w:rFonts w:ascii="Arial" w:hAnsi="Arial" w:cs="Arial"/>
        </w:rPr>
        <w:t>The respondents demonstrated favorable levels of study habits, review preparation practices, and institutional support, signifying that the behavioral and institutional conditions surrounding licensure preparation at the community college are consistently present, although certain support mechanisms remain unevenly implemented and may be further strengthened.</w:t>
      </w:r>
    </w:p>
    <w:p w14:paraId="65A9F8C0" w14:textId="77777777" w:rsidR="001B225E" w:rsidRPr="0056256C" w:rsidRDefault="001B225E" w:rsidP="001B225E">
      <w:pPr>
        <w:numPr>
          <w:ilvl w:val="0"/>
          <w:numId w:val="18"/>
        </w:numPr>
        <w:spacing w:after="0" w:line="480" w:lineRule="auto"/>
        <w:jc w:val="both"/>
        <w:rPr>
          <w:rFonts w:ascii="Arial" w:hAnsi="Arial" w:cs="Arial"/>
        </w:rPr>
      </w:pPr>
      <w:r w:rsidRPr="0056256C">
        <w:rPr>
          <w:rFonts w:ascii="Arial" w:hAnsi="Arial" w:cs="Arial"/>
        </w:rPr>
        <w:t xml:space="preserve">Academic performance is the most decisive determinant of LET performance among the respondents, reinforced by review preparation practices, profile variables, and institutional support, with study habits </w:t>
      </w:r>
      <w:r w:rsidRPr="0056256C">
        <w:rPr>
          <w:rFonts w:ascii="Arial" w:hAnsi="Arial" w:cs="Arial"/>
        </w:rPr>
        <w:lastRenderedPageBreak/>
        <w:t>exerting a component-specific influence, affirming that licensure success at the community college is rooted primarily in cumulative academic preparation supported by structured review and institutional mechanisms.</w:t>
      </w:r>
    </w:p>
    <w:p w14:paraId="44B8BFC2" w14:textId="77777777" w:rsidR="001B225E" w:rsidRDefault="001B225E" w:rsidP="001B225E">
      <w:pPr>
        <w:numPr>
          <w:ilvl w:val="0"/>
          <w:numId w:val="18"/>
        </w:numPr>
        <w:spacing w:after="0" w:line="480" w:lineRule="auto"/>
        <w:jc w:val="both"/>
        <w:rPr>
          <w:rFonts w:ascii="Arial" w:hAnsi="Arial" w:cs="Arial"/>
        </w:rPr>
      </w:pPr>
      <w:r w:rsidRPr="0056256C">
        <w:rPr>
          <w:rFonts w:ascii="Arial" w:hAnsi="Arial" w:cs="Arial"/>
        </w:rPr>
        <w:t>A research-based intervention program grounded in the significant predictors of LET performance is a necessary and appropriate institutional response to the identified preparation needs of the education graduates and serves as a viable framework for enhancing the licensure readiness and board performance of the community college.</w:t>
      </w:r>
    </w:p>
    <w:p w14:paraId="7EA13F6D" w14:textId="77777777" w:rsidR="001B225E" w:rsidRPr="00C2272F" w:rsidRDefault="001B225E" w:rsidP="001B225E">
      <w:pPr>
        <w:spacing w:after="0" w:line="480" w:lineRule="auto"/>
        <w:jc w:val="both"/>
        <w:rPr>
          <w:rFonts w:ascii="Arial" w:hAnsi="Arial" w:cs="Arial"/>
          <w:b/>
          <w:bCs/>
        </w:rPr>
      </w:pPr>
      <w:r w:rsidRPr="00C2272F">
        <w:rPr>
          <w:rFonts w:ascii="Arial" w:hAnsi="Arial" w:cs="Arial"/>
          <w:b/>
          <w:bCs/>
        </w:rPr>
        <w:t>Recommendations</w:t>
      </w:r>
    </w:p>
    <w:p w14:paraId="0B0B4385" w14:textId="77777777" w:rsidR="001B225E" w:rsidRPr="00C2272F" w:rsidRDefault="001B225E" w:rsidP="001B225E">
      <w:pPr>
        <w:spacing w:after="0" w:line="480" w:lineRule="auto"/>
        <w:ind w:firstLine="720"/>
        <w:jc w:val="both"/>
        <w:rPr>
          <w:rFonts w:ascii="Arial" w:hAnsi="Arial" w:cs="Arial"/>
        </w:rPr>
      </w:pPr>
      <w:r w:rsidRPr="00C2272F">
        <w:rPr>
          <w:rFonts w:ascii="Arial" w:hAnsi="Arial" w:cs="Arial"/>
        </w:rPr>
        <w:t>In light of the findings and conclusions, the following recommendations were offered:</w:t>
      </w:r>
    </w:p>
    <w:p w14:paraId="4A29EFA7" w14:textId="77777777" w:rsidR="001B225E" w:rsidRPr="0056256C" w:rsidRDefault="001B225E" w:rsidP="001B225E">
      <w:pPr>
        <w:numPr>
          <w:ilvl w:val="0"/>
          <w:numId w:val="19"/>
        </w:numPr>
        <w:spacing w:after="0" w:line="480" w:lineRule="auto"/>
        <w:jc w:val="both"/>
        <w:rPr>
          <w:rFonts w:ascii="Arial" w:hAnsi="Arial" w:cs="Arial"/>
        </w:rPr>
      </w:pPr>
      <w:r w:rsidRPr="0056256C">
        <w:rPr>
          <w:rFonts w:ascii="Arial" w:hAnsi="Arial" w:cs="Arial"/>
        </w:rPr>
        <w:t>The community college may use the profile of its LET takers as baseline data for licensure planning and may establish a tracking system that monitors graduates from completion of the program through their licensure examination, ensuring that first-time takers are encouraged and supported to take the LET while their academic preparation remains recent.</w:t>
      </w:r>
    </w:p>
    <w:p w14:paraId="45DBA532" w14:textId="77777777" w:rsidR="001B225E" w:rsidRPr="0056256C" w:rsidRDefault="001B225E" w:rsidP="001B225E">
      <w:pPr>
        <w:numPr>
          <w:ilvl w:val="0"/>
          <w:numId w:val="19"/>
        </w:numPr>
        <w:spacing w:after="0" w:line="480" w:lineRule="auto"/>
        <w:jc w:val="both"/>
        <w:rPr>
          <w:rFonts w:ascii="Arial" w:hAnsi="Arial" w:cs="Arial"/>
        </w:rPr>
      </w:pPr>
      <w:r w:rsidRPr="0056256C">
        <w:rPr>
          <w:rFonts w:ascii="Arial" w:hAnsi="Arial" w:cs="Arial"/>
        </w:rPr>
        <w:t>The teacher education faculty and administration may strengthen academic preparation across all curricular components, with particular emphasis on the general education domain identified as the weakest area, through curriculum review, competency mapping aligned with the LET coverage, and the sustained provision of academic monitoring and remediation, while maintaining the institutional strength demonstrated in the teaching internship.</w:t>
      </w:r>
    </w:p>
    <w:p w14:paraId="165D4C9A" w14:textId="77777777" w:rsidR="001B225E" w:rsidRPr="0056256C" w:rsidRDefault="001B225E" w:rsidP="001B225E">
      <w:pPr>
        <w:numPr>
          <w:ilvl w:val="0"/>
          <w:numId w:val="19"/>
        </w:numPr>
        <w:spacing w:after="0" w:line="480" w:lineRule="auto"/>
        <w:jc w:val="both"/>
        <w:rPr>
          <w:rFonts w:ascii="Arial" w:hAnsi="Arial" w:cs="Arial"/>
        </w:rPr>
      </w:pPr>
      <w:r w:rsidRPr="0056256C">
        <w:rPr>
          <w:rFonts w:ascii="Arial" w:hAnsi="Arial" w:cs="Arial"/>
        </w:rPr>
        <w:lastRenderedPageBreak/>
        <w:t>The institution may reinforce and standardize its study, review, and support mechanisms by embedding structured review activities within the academic program, promoting disciplined and collaborative study behaviors, and ensuring the consistent implementation of institutional support services, particularly counseling for test anxiety and other support areas that obtained comparatively lower ratings.</w:t>
      </w:r>
    </w:p>
    <w:p w14:paraId="145076D5" w14:textId="77777777" w:rsidR="001B225E" w:rsidRPr="0056256C" w:rsidRDefault="001B225E" w:rsidP="001B225E">
      <w:pPr>
        <w:numPr>
          <w:ilvl w:val="0"/>
          <w:numId w:val="19"/>
        </w:numPr>
        <w:spacing w:after="0" w:line="480" w:lineRule="auto"/>
        <w:jc w:val="both"/>
        <w:rPr>
          <w:rFonts w:ascii="Arial" w:hAnsi="Arial" w:cs="Arial"/>
        </w:rPr>
      </w:pPr>
      <w:r w:rsidRPr="0056256C">
        <w:rPr>
          <w:rFonts w:ascii="Arial" w:hAnsi="Arial" w:cs="Arial"/>
        </w:rPr>
        <w:t>The community college may prioritize cumulative academic preparation as the central focus of its licensure readiness efforts, reinforced by structured and format-specific review preparation and institutional support, while giving targeted attention to study habits in the general education and professional education domains where their predictive influence was found to be significant.</w:t>
      </w:r>
    </w:p>
    <w:p w14:paraId="6DEB7669" w14:textId="77777777" w:rsidR="001B225E" w:rsidRPr="0056256C" w:rsidRDefault="001B225E" w:rsidP="001B225E">
      <w:pPr>
        <w:numPr>
          <w:ilvl w:val="0"/>
          <w:numId w:val="19"/>
        </w:numPr>
        <w:spacing w:after="0" w:line="480" w:lineRule="auto"/>
        <w:jc w:val="both"/>
        <w:rPr>
          <w:rFonts w:ascii="Arial" w:hAnsi="Arial" w:cs="Arial"/>
        </w:rPr>
      </w:pPr>
      <w:r w:rsidRPr="0056256C">
        <w:rPr>
          <w:rFonts w:ascii="Arial" w:hAnsi="Arial" w:cs="Arial"/>
        </w:rPr>
        <w:t>The proposed intervention program may be adopted, pilot-tested, and implemented by the teacher education faculty and administration of the community college over one academic year, with periodic monitoring and evaluation of its outcomes, and future researchers may conduct similar studies in other community colleges or extend the present study by including additional predictors not covered in this research</w:t>
      </w:r>
    </w:p>
    <w:p w14:paraId="7D2A7A59" w14:textId="77777777" w:rsidR="001B225E" w:rsidRDefault="001B225E" w:rsidP="001B225E">
      <w:pPr>
        <w:spacing w:after="0"/>
      </w:pPr>
    </w:p>
    <w:p w14:paraId="61A4B139" w14:textId="77777777" w:rsidR="001B225E" w:rsidRDefault="001B225E" w:rsidP="001B225E"/>
    <w:p w14:paraId="062FD285" w14:textId="77777777" w:rsidR="001B225E" w:rsidRDefault="001B225E" w:rsidP="001B225E"/>
    <w:p w14:paraId="73ABE0A0" w14:textId="77777777" w:rsidR="001B225E" w:rsidRDefault="001B225E" w:rsidP="001B225E"/>
    <w:p w14:paraId="23D54FB1" w14:textId="77777777" w:rsidR="001B225E" w:rsidRDefault="001B225E" w:rsidP="001B225E">
      <w:pPr>
        <w:rPr>
          <w:rFonts w:ascii="Arial" w:hAnsi="Arial" w:cs="Arial"/>
          <w:b/>
          <w:bCs/>
        </w:rPr>
      </w:pPr>
    </w:p>
    <w:p w14:paraId="495EECA0" w14:textId="77777777" w:rsidR="001B225E" w:rsidRPr="001324D9" w:rsidRDefault="001B225E" w:rsidP="001B225E">
      <w:pPr>
        <w:jc w:val="center"/>
        <w:rPr>
          <w:rFonts w:ascii="Arial" w:hAnsi="Arial" w:cs="Arial"/>
          <w:b/>
          <w:bCs/>
        </w:rPr>
      </w:pPr>
      <w:r w:rsidRPr="001324D9">
        <w:rPr>
          <w:rFonts w:ascii="Arial" w:hAnsi="Arial" w:cs="Arial"/>
          <w:b/>
          <w:bCs/>
        </w:rPr>
        <w:lastRenderedPageBreak/>
        <w:t>BIBLIOGRAPHY</w:t>
      </w:r>
    </w:p>
    <w:p w14:paraId="59A8A039" w14:textId="77777777" w:rsidR="001B225E" w:rsidRPr="001324D9" w:rsidRDefault="001B225E" w:rsidP="001B225E">
      <w:pPr>
        <w:jc w:val="center"/>
      </w:pPr>
      <w:r w:rsidRPr="002A1433">
        <w:rPr>
          <w:rFonts w:ascii="Arial" w:eastAsia="Arial" w:hAnsi="Arial" w:cs="Arial"/>
          <w:b/>
          <w:bCs/>
        </w:rPr>
        <w:t>A. Books</w:t>
      </w:r>
    </w:p>
    <w:p w14:paraId="35178C57" w14:textId="77777777" w:rsidR="001B225E" w:rsidRPr="002A1433" w:rsidRDefault="001B225E" w:rsidP="001B225E">
      <w:pPr>
        <w:ind w:left="720" w:hanging="720"/>
        <w:jc w:val="both"/>
        <w:rPr>
          <w:rFonts w:ascii="Arial" w:eastAsia="Arial" w:hAnsi="Arial" w:cs="Arial"/>
        </w:rPr>
      </w:pPr>
      <w:r w:rsidRPr="002A1433">
        <w:rPr>
          <w:rFonts w:ascii="Arial" w:eastAsia="Arial" w:hAnsi="Arial" w:cs="Arial"/>
        </w:rPr>
        <w:t>Becker, G. S. (1964). Human capital: A theoretical and empirical analysis, with special reference to education. Columbia University Press.</w:t>
      </w:r>
    </w:p>
    <w:p w14:paraId="636FB314" w14:textId="77777777" w:rsidR="001B225E" w:rsidRPr="002A1433" w:rsidRDefault="001B225E" w:rsidP="001B225E">
      <w:pPr>
        <w:jc w:val="both"/>
        <w:rPr>
          <w:rFonts w:ascii="Arial" w:eastAsia="Arial" w:hAnsi="Arial" w:cs="Arial"/>
        </w:rPr>
      </w:pPr>
      <w:r w:rsidRPr="002A1433">
        <w:rPr>
          <w:rFonts w:ascii="Arial" w:eastAsia="Arial" w:hAnsi="Arial" w:cs="Arial"/>
        </w:rPr>
        <w:t>Booth, W. C. (2020). The craft of research. McGraw-Hill Publishing.</w:t>
      </w:r>
    </w:p>
    <w:p w14:paraId="4F35FF6D" w14:textId="77777777" w:rsidR="001B225E" w:rsidRPr="002A1433" w:rsidRDefault="001B225E" w:rsidP="001B225E">
      <w:pPr>
        <w:ind w:left="709" w:hanging="709"/>
        <w:jc w:val="both"/>
        <w:rPr>
          <w:rFonts w:ascii="Arial" w:eastAsia="Arial" w:hAnsi="Arial" w:cs="Arial"/>
        </w:rPr>
      </w:pPr>
      <w:r w:rsidRPr="002A1433">
        <w:rPr>
          <w:rFonts w:ascii="Arial" w:eastAsia="Arial" w:hAnsi="Arial" w:cs="Arial"/>
        </w:rPr>
        <w:t>Darling-Hammond, L., &amp; Bransford, J. (2005). Preparing teachers for a changing world: What teachers should learn and be able to do. Jossey-Bass.</w:t>
      </w:r>
    </w:p>
    <w:p w14:paraId="6594C76C" w14:textId="77777777" w:rsidR="001B225E" w:rsidRPr="002A1433" w:rsidRDefault="001B225E" w:rsidP="001B225E">
      <w:pPr>
        <w:jc w:val="both"/>
        <w:rPr>
          <w:rFonts w:ascii="Arial" w:eastAsia="Arial" w:hAnsi="Arial" w:cs="Arial"/>
        </w:rPr>
      </w:pPr>
      <w:r w:rsidRPr="002A1433">
        <w:rPr>
          <w:rFonts w:ascii="Arial" w:eastAsia="Arial" w:hAnsi="Arial" w:cs="Arial"/>
        </w:rPr>
        <w:t>Leavy, P. (2021). The Oxford handbook of research. Jossey-Bass.</w:t>
      </w:r>
    </w:p>
    <w:p w14:paraId="17B3575F" w14:textId="77777777" w:rsidR="001B225E" w:rsidRPr="003D0AA6" w:rsidRDefault="001B225E" w:rsidP="001B225E">
      <w:pPr>
        <w:ind w:left="709" w:hanging="709"/>
        <w:jc w:val="both"/>
        <w:rPr>
          <w:rFonts w:ascii="Arial" w:eastAsia="Arial" w:hAnsi="Arial" w:cs="Arial"/>
        </w:rPr>
      </w:pPr>
      <w:r w:rsidRPr="002A1433">
        <w:rPr>
          <w:rFonts w:ascii="Arial" w:eastAsia="Arial" w:hAnsi="Arial" w:cs="Arial"/>
        </w:rPr>
        <w:t>McMillan, J. H., &amp; Schumacher, S. (2016). Research in education: A conceptual introduction. Longman.</w:t>
      </w:r>
    </w:p>
    <w:p w14:paraId="562BA8E2" w14:textId="77777777" w:rsidR="001B225E" w:rsidRPr="002A1433" w:rsidRDefault="001B225E" w:rsidP="001B225E">
      <w:pPr>
        <w:ind w:left="720" w:firstLine="720"/>
        <w:jc w:val="both"/>
        <w:rPr>
          <w:rFonts w:ascii="Arial" w:eastAsia="Arial" w:hAnsi="Arial" w:cs="Arial"/>
          <w:b/>
          <w:bCs/>
        </w:rPr>
      </w:pPr>
      <w:r w:rsidRPr="002A1433">
        <w:rPr>
          <w:rFonts w:ascii="Arial" w:eastAsia="Arial" w:hAnsi="Arial" w:cs="Arial"/>
          <w:b/>
          <w:bCs/>
        </w:rPr>
        <w:t>B. Journal Articles, Periodicals, and Papers</w:t>
      </w:r>
    </w:p>
    <w:p w14:paraId="63FAC9FB" w14:textId="77777777" w:rsidR="001B225E" w:rsidRPr="002A1433" w:rsidRDefault="001B225E" w:rsidP="001B225E">
      <w:pPr>
        <w:ind w:left="709" w:hanging="709"/>
        <w:jc w:val="both"/>
        <w:rPr>
          <w:rFonts w:ascii="Arial" w:eastAsia="Arial" w:hAnsi="Arial" w:cs="Arial"/>
        </w:rPr>
      </w:pPr>
      <w:r w:rsidRPr="002A1433">
        <w:rPr>
          <w:rFonts w:ascii="Arial" w:eastAsia="Arial" w:hAnsi="Arial" w:cs="Arial"/>
        </w:rPr>
        <w:t xml:space="preserve">Abao, E. L., </w:t>
      </w:r>
      <w:proofErr w:type="spellStart"/>
      <w:r w:rsidRPr="002A1433">
        <w:rPr>
          <w:rFonts w:ascii="Arial" w:eastAsia="Arial" w:hAnsi="Arial" w:cs="Arial"/>
        </w:rPr>
        <w:t>Petancio</w:t>
      </w:r>
      <w:proofErr w:type="spellEnd"/>
      <w:r w:rsidRPr="002A1433">
        <w:rPr>
          <w:rFonts w:ascii="Arial" w:eastAsia="Arial" w:hAnsi="Arial" w:cs="Arial"/>
        </w:rPr>
        <w:t xml:space="preserve">, J. A. M., Sanchez, J. M. P., &amp; Sumalinog, G. G. (2023). Performance of beginning teachers in the licensure examination for teachers: A national study. Frontiers in Education, 8, Article 1240658. https://doi.org/10.3389/feduc.2023.1240658  </w:t>
      </w:r>
    </w:p>
    <w:p w14:paraId="272380E5" w14:textId="77777777" w:rsidR="001B225E" w:rsidRPr="002A1433" w:rsidRDefault="001B225E" w:rsidP="001B225E">
      <w:pPr>
        <w:ind w:left="709" w:hanging="709"/>
        <w:jc w:val="both"/>
        <w:rPr>
          <w:rFonts w:ascii="Arial" w:eastAsia="Arial" w:hAnsi="Arial" w:cs="Arial"/>
        </w:rPr>
      </w:pPr>
      <w:proofErr w:type="spellStart"/>
      <w:r w:rsidRPr="002A1433">
        <w:rPr>
          <w:rFonts w:ascii="Arial" w:eastAsia="Arial" w:hAnsi="Arial" w:cs="Arial"/>
        </w:rPr>
        <w:t>Amanonce</w:t>
      </w:r>
      <w:proofErr w:type="spellEnd"/>
      <w:r w:rsidRPr="002A1433">
        <w:rPr>
          <w:rFonts w:ascii="Arial" w:eastAsia="Arial" w:hAnsi="Arial" w:cs="Arial"/>
        </w:rPr>
        <w:t xml:space="preserve">, J. C. T., &amp; Maramag, A. M. (2020). Licensure examination performance and academic achievement of teacher education graduates. International Journal of Evaluation and Research in Education, 9(3), 510–516. https://doi.org/10.11591/IJERE.V9I3.20614 </w:t>
      </w:r>
    </w:p>
    <w:p w14:paraId="18149B73" w14:textId="77777777" w:rsidR="001B225E" w:rsidRPr="002A1433" w:rsidRDefault="001B225E" w:rsidP="001B225E">
      <w:pPr>
        <w:ind w:left="709" w:hanging="709"/>
        <w:jc w:val="both"/>
        <w:rPr>
          <w:rFonts w:ascii="Arial" w:eastAsia="Arial" w:hAnsi="Arial" w:cs="Arial"/>
        </w:rPr>
      </w:pPr>
      <w:r w:rsidRPr="002A1433">
        <w:rPr>
          <w:rFonts w:ascii="Arial" w:eastAsia="Arial" w:hAnsi="Arial" w:cs="Arial"/>
        </w:rPr>
        <w:t xml:space="preserve">Bandura, A. (1977). Self-efficacy: Toward a unifying theory of behavioral change. Psychological Review, 84(2), 191–215. https://doi.org/10.1037/0033-295X.84.2.191  </w:t>
      </w:r>
    </w:p>
    <w:p w14:paraId="699C3E7A" w14:textId="77777777" w:rsidR="001B225E" w:rsidRPr="002A1433" w:rsidRDefault="001B225E" w:rsidP="001B225E">
      <w:pPr>
        <w:ind w:left="709" w:hanging="709"/>
        <w:jc w:val="both"/>
        <w:rPr>
          <w:rFonts w:ascii="Arial" w:eastAsia="Arial" w:hAnsi="Arial" w:cs="Arial"/>
        </w:rPr>
      </w:pPr>
      <w:r w:rsidRPr="002A1433">
        <w:rPr>
          <w:rFonts w:ascii="Arial" w:eastAsia="Arial" w:hAnsi="Arial" w:cs="Arial"/>
        </w:rPr>
        <w:t xml:space="preserve">Barcenas, J. (2022). The influence of study habits in the academic performance of senior high school students. International Journal of Scientific Research and Management Studies. https://www.isroset.org/pub_paper/IJSRMS/4-ISROSET-IJSRMS-07170.pdf </w:t>
      </w:r>
    </w:p>
    <w:p w14:paraId="2A15B4E6" w14:textId="77777777" w:rsidR="001B225E" w:rsidRPr="002A1433" w:rsidRDefault="001B225E" w:rsidP="001B225E">
      <w:pPr>
        <w:ind w:left="709" w:hanging="709"/>
        <w:jc w:val="both"/>
        <w:rPr>
          <w:rFonts w:ascii="Arial" w:eastAsia="Arial" w:hAnsi="Arial" w:cs="Arial"/>
        </w:rPr>
      </w:pPr>
      <w:proofErr w:type="spellStart"/>
      <w:r w:rsidRPr="002A1433">
        <w:rPr>
          <w:rFonts w:ascii="Arial" w:eastAsia="Arial" w:hAnsi="Arial" w:cs="Arial"/>
        </w:rPr>
        <w:t>Camarista</w:t>
      </w:r>
      <w:proofErr w:type="spellEnd"/>
      <w:r w:rsidRPr="002A1433">
        <w:rPr>
          <w:rFonts w:ascii="Arial" w:eastAsia="Arial" w:hAnsi="Arial" w:cs="Arial"/>
        </w:rPr>
        <w:t xml:space="preserve">, G. G., </w:t>
      </w:r>
      <w:proofErr w:type="spellStart"/>
      <w:r w:rsidRPr="002A1433">
        <w:rPr>
          <w:rFonts w:ascii="Arial" w:eastAsia="Arial" w:hAnsi="Arial" w:cs="Arial"/>
        </w:rPr>
        <w:t>Cabatac</w:t>
      </w:r>
      <w:proofErr w:type="spellEnd"/>
      <w:r w:rsidRPr="002A1433">
        <w:rPr>
          <w:rFonts w:ascii="Arial" w:eastAsia="Arial" w:hAnsi="Arial" w:cs="Arial"/>
        </w:rPr>
        <w:t>, R. T., &amp; Tan, V. P. (2025). College admission test, general weighted average and licensure examination for teachers performance of one state university in the Philippines. International Journal of Research and Scientific Innovation.</w:t>
      </w:r>
    </w:p>
    <w:p w14:paraId="1DC9A895" w14:textId="77777777" w:rsidR="001B225E" w:rsidRPr="002A1433" w:rsidRDefault="001B225E" w:rsidP="001B225E">
      <w:pPr>
        <w:ind w:left="709" w:hanging="709"/>
        <w:jc w:val="both"/>
        <w:rPr>
          <w:rFonts w:ascii="Arial" w:eastAsia="Arial" w:hAnsi="Arial" w:cs="Arial"/>
        </w:rPr>
      </w:pPr>
      <w:proofErr w:type="spellStart"/>
      <w:r w:rsidRPr="002A1433">
        <w:rPr>
          <w:rFonts w:ascii="Arial" w:eastAsia="Arial" w:hAnsi="Arial" w:cs="Arial"/>
        </w:rPr>
        <w:t>Camañero</w:t>
      </w:r>
      <w:proofErr w:type="spellEnd"/>
      <w:r w:rsidRPr="002A1433">
        <w:rPr>
          <w:rFonts w:ascii="Arial" w:eastAsia="Arial" w:hAnsi="Arial" w:cs="Arial"/>
        </w:rPr>
        <w:t xml:space="preserve">, R. T., Berico, A. M., &amp; Tan, D. A. (2024). Predictors of licensure examination performance of bachelor's in education graduates of a </w:t>
      </w:r>
      <w:r w:rsidRPr="002A1433">
        <w:rPr>
          <w:rFonts w:ascii="Arial" w:eastAsia="Arial" w:hAnsi="Arial" w:cs="Arial"/>
        </w:rPr>
        <w:lastRenderedPageBreak/>
        <w:t>community college in Bukidnon, Philippines. International Journal of Research and Innovation in Social Science.</w:t>
      </w:r>
    </w:p>
    <w:p w14:paraId="5C552B7A" w14:textId="77777777" w:rsidR="001B225E" w:rsidRPr="002A1433" w:rsidRDefault="001B225E" w:rsidP="001B225E">
      <w:pPr>
        <w:ind w:left="709" w:hanging="709"/>
        <w:jc w:val="both"/>
        <w:rPr>
          <w:rFonts w:ascii="Arial" w:eastAsia="Arial" w:hAnsi="Arial" w:cs="Arial"/>
        </w:rPr>
      </w:pPr>
      <w:r w:rsidRPr="002A1433">
        <w:rPr>
          <w:rFonts w:ascii="Arial" w:eastAsia="Arial" w:hAnsi="Arial" w:cs="Arial"/>
        </w:rPr>
        <w:t xml:space="preserve">Fiscal, J. L., &amp; Roman, R. L. (2022). Pre-licensure examination as predictor of licensure examination for teachers result. International Journal of Evaluation and Research in Education, 11(1), 136–142. https://doi.org/10.11591/ijere.v11i1.22133 </w:t>
      </w:r>
    </w:p>
    <w:p w14:paraId="4A71CEDF" w14:textId="77777777" w:rsidR="001B225E" w:rsidRPr="002A1433" w:rsidRDefault="001B225E" w:rsidP="001B225E">
      <w:pPr>
        <w:ind w:left="709" w:hanging="709"/>
        <w:jc w:val="both"/>
        <w:rPr>
          <w:rFonts w:ascii="Arial" w:eastAsia="Arial" w:hAnsi="Arial" w:cs="Arial"/>
        </w:rPr>
      </w:pPr>
      <w:proofErr w:type="spellStart"/>
      <w:r w:rsidRPr="002A1433">
        <w:rPr>
          <w:rFonts w:ascii="Arial" w:eastAsia="Arial" w:hAnsi="Arial" w:cs="Arial"/>
        </w:rPr>
        <w:t>Generelao</w:t>
      </w:r>
      <w:proofErr w:type="spellEnd"/>
      <w:r w:rsidRPr="002A1433">
        <w:rPr>
          <w:rFonts w:ascii="Arial" w:eastAsia="Arial" w:hAnsi="Arial" w:cs="Arial"/>
        </w:rPr>
        <w:t xml:space="preserve">, M. (2022). Teacher education in the Philippines: Are we making the grade? Philippine Journal of Public Policy. https://cids.up.edu.ph/wp-content/uploads/2022/02/Generelao.-Teacher-education-in-the-PH.-PJPP-2022.pdf  </w:t>
      </w:r>
    </w:p>
    <w:p w14:paraId="0B1A1BE7" w14:textId="77777777" w:rsidR="001B225E" w:rsidRPr="002A1433" w:rsidRDefault="001B225E" w:rsidP="001B225E">
      <w:pPr>
        <w:ind w:left="709" w:hanging="709"/>
        <w:jc w:val="both"/>
        <w:rPr>
          <w:rFonts w:ascii="Arial" w:eastAsia="Arial" w:hAnsi="Arial" w:cs="Arial"/>
        </w:rPr>
      </w:pPr>
      <w:r w:rsidRPr="002A1433">
        <w:rPr>
          <w:rFonts w:ascii="Arial" w:eastAsia="Arial" w:hAnsi="Arial" w:cs="Arial"/>
        </w:rPr>
        <w:t xml:space="preserve">Islam, M. N. (2021). Study habits, self-esteem, and academic achievement among public and private secondary school students in Bangladesh. International Journal of Psychology and Educational Studies, 8(3), 39–50. https://files.eric.ed.gov/fulltext/EJ1308814.pdf </w:t>
      </w:r>
    </w:p>
    <w:p w14:paraId="03AD2D10" w14:textId="77777777" w:rsidR="001B225E" w:rsidRPr="002A1433" w:rsidRDefault="001B225E" w:rsidP="001B225E">
      <w:pPr>
        <w:ind w:left="709" w:hanging="709"/>
        <w:jc w:val="both"/>
        <w:rPr>
          <w:rFonts w:ascii="Arial" w:eastAsia="Arial" w:hAnsi="Arial" w:cs="Arial"/>
        </w:rPr>
      </w:pPr>
      <w:r w:rsidRPr="002A1433">
        <w:rPr>
          <w:rFonts w:ascii="Arial" w:eastAsia="Arial" w:hAnsi="Arial" w:cs="Arial"/>
        </w:rPr>
        <w:t xml:space="preserve">Olvido, M. M. J., </w:t>
      </w:r>
      <w:proofErr w:type="spellStart"/>
      <w:r w:rsidRPr="002A1433">
        <w:rPr>
          <w:rFonts w:ascii="Arial" w:eastAsia="Arial" w:hAnsi="Arial" w:cs="Arial"/>
        </w:rPr>
        <w:t>Dayagbil</w:t>
      </w:r>
      <w:proofErr w:type="spellEnd"/>
      <w:r w:rsidRPr="002A1433">
        <w:rPr>
          <w:rFonts w:ascii="Arial" w:eastAsia="Arial" w:hAnsi="Arial" w:cs="Arial"/>
        </w:rPr>
        <w:t xml:space="preserve">, F. T., Alda, R. C., &amp; Rodriguez, K. F. R. (2024). An exploration of the quality of graduates of Philippine teacher education institutions. Frontiers in Education, 9. https://doi.org/10.3389/feduc.2024.1235261 </w:t>
      </w:r>
    </w:p>
    <w:p w14:paraId="25A65E82" w14:textId="77777777" w:rsidR="001B225E" w:rsidRPr="002A1433" w:rsidRDefault="001B225E" w:rsidP="001B225E">
      <w:pPr>
        <w:ind w:left="709" w:hanging="709"/>
        <w:jc w:val="both"/>
        <w:rPr>
          <w:rFonts w:ascii="Arial" w:eastAsia="Arial" w:hAnsi="Arial" w:cs="Arial"/>
        </w:rPr>
      </w:pPr>
      <w:r w:rsidRPr="002A1433">
        <w:rPr>
          <w:rFonts w:ascii="Arial" w:eastAsia="Arial" w:hAnsi="Arial" w:cs="Arial"/>
        </w:rPr>
        <w:t xml:space="preserve">Rogayan, D. V., Jr., &amp; </w:t>
      </w:r>
      <w:proofErr w:type="spellStart"/>
      <w:r w:rsidRPr="002A1433">
        <w:rPr>
          <w:rFonts w:ascii="Arial" w:eastAsia="Arial" w:hAnsi="Arial" w:cs="Arial"/>
        </w:rPr>
        <w:t>Reusia</w:t>
      </w:r>
      <w:proofErr w:type="spellEnd"/>
      <w:r w:rsidRPr="002A1433">
        <w:rPr>
          <w:rFonts w:ascii="Arial" w:eastAsia="Arial" w:hAnsi="Arial" w:cs="Arial"/>
        </w:rPr>
        <w:t xml:space="preserve">, D. H. R. (2021). Teaching internship from the metaphorical lens of Filipino prospective teachers. International Journal of Evaluation and Research in Education, 10(3), 798–806. https://doi.org/10.11591/ijere.v10i3.21242 </w:t>
      </w:r>
    </w:p>
    <w:p w14:paraId="7A8474B2" w14:textId="77777777" w:rsidR="001B225E" w:rsidRPr="002A1433" w:rsidRDefault="001B225E" w:rsidP="001B225E">
      <w:pPr>
        <w:ind w:left="709" w:hanging="709"/>
        <w:jc w:val="both"/>
        <w:rPr>
          <w:rFonts w:ascii="Arial" w:eastAsia="Arial" w:hAnsi="Arial" w:cs="Arial"/>
        </w:rPr>
      </w:pPr>
      <w:proofErr w:type="spellStart"/>
      <w:r w:rsidRPr="002A1433">
        <w:rPr>
          <w:rFonts w:ascii="Arial" w:eastAsia="Arial" w:hAnsi="Arial" w:cs="Arial"/>
        </w:rPr>
        <w:t>Sweller</w:t>
      </w:r>
      <w:proofErr w:type="spellEnd"/>
      <w:r w:rsidRPr="002A1433">
        <w:rPr>
          <w:rFonts w:ascii="Arial" w:eastAsia="Arial" w:hAnsi="Arial" w:cs="Arial"/>
        </w:rPr>
        <w:t xml:space="preserve">, J. (1988). Cognitive load during problem solving: Effects on learning. Cognitive Science, 12(2), 257–285. https://doi.org/10.1207/s15516709cog1202_4 </w:t>
      </w:r>
    </w:p>
    <w:p w14:paraId="467DB7D7" w14:textId="77777777" w:rsidR="001B225E" w:rsidRPr="002A1433" w:rsidRDefault="001B225E" w:rsidP="001B225E">
      <w:pPr>
        <w:ind w:left="709" w:hanging="709"/>
        <w:jc w:val="both"/>
        <w:rPr>
          <w:rFonts w:ascii="Arial" w:eastAsia="Arial" w:hAnsi="Arial" w:cs="Arial"/>
        </w:rPr>
      </w:pPr>
      <w:r w:rsidRPr="002A1433">
        <w:rPr>
          <w:rFonts w:ascii="Arial" w:eastAsia="Arial" w:hAnsi="Arial" w:cs="Arial"/>
        </w:rPr>
        <w:t xml:space="preserve">Ferrer, J. C. (2024). Academic performance and predictors of licensure examination for teachers of bachelor of elementary education. Malaysian Journal of Social Sciences and Humanities, 9(11), Article e003091. https://doi.org/10.47405/mjssh.v9i11.3091 </w:t>
      </w:r>
    </w:p>
    <w:p w14:paraId="60029197" w14:textId="77777777" w:rsidR="001B225E" w:rsidRPr="002A1433" w:rsidRDefault="001B225E" w:rsidP="001B225E">
      <w:pPr>
        <w:ind w:left="709" w:hanging="709"/>
        <w:jc w:val="both"/>
        <w:rPr>
          <w:rFonts w:ascii="Arial" w:eastAsia="Arial" w:hAnsi="Arial" w:cs="Arial"/>
        </w:rPr>
      </w:pPr>
      <w:proofErr w:type="spellStart"/>
      <w:r w:rsidRPr="002A1433">
        <w:rPr>
          <w:rFonts w:ascii="Arial" w:eastAsia="Arial" w:hAnsi="Arial" w:cs="Arial"/>
        </w:rPr>
        <w:t>Guardario</w:t>
      </w:r>
      <w:proofErr w:type="spellEnd"/>
      <w:r w:rsidRPr="002A1433">
        <w:rPr>
          <w:rFonts w:ascii="Arial" w:eastAsia="Arial" w:hAnsi="Arial" w:cs="Arial"/>
        </w:rPr>
        <w:t xml:space="preserve">, L. B., Bucio, C. J. M., </w:t>
      </w:r>
      <w:proofErr w:type="spellStart"/>
      <w:r w:rsidRPr="002A1433">
        <w:rPr>
          <w:rFonts w:ascii="Arial" w:eastAsia="Arial" w:hAnsi="Arial" w:cs="Arial"/>
        </w:rPr>
        <w:t>Garocho</w:t>
      </w:r>
      <w:proofErr w:type="spellEnd"/>
      <w:r w:rsidRPr="002A1433">
        <w:rPr>
          <w:rFonts w:ascii="Arial" w:eastAsia="Arial" w:hAnsi="Arial" w:cs="Arial"/>
        </w:rPr>
        <w:t xml:space="preserve">, L. K. B., &amp; Caballo, J. H. S. (2024). Social support and expectancy as predictors of licensure examination success among professional teachers. American Journal of Education and Technology, 3(4), 24–44. https://doi.org/10.54536/ajet.v3i4.3416 </w:t>
      </w:r>
    </w:p>
    <w:p w14:paraId="5D982991" w14:textId="77777777" w:rsidR="001B225E" w:rsidRPr="002A1433" w:rsidRDefault="001B225E" w:rsidP="001B225E">
      <w:pPr>
        <w:ind w:left="709" w:hanging="709"/>
        <w:jc w:val="both"/>
        <w:rPr>
          <w:rFonts w:ascii="Arial" w:eastAsia="Arial" w:hAnsi="Arial" w:cs="Arial"/>
        </w:rPr>
      </w:pPr>
      <w:r w:rsidRPr="002A1433">
        <w:rPr>
          <w:rFonts w:ascii="Arial" w:eastAsia="Arial" w:hAnsi="Arial" w:cs="Arial"/>
        </w:rPr>
        <w:lastRenderedPageBreak/>
        <w:t xml:space="preserve">Belza, D. S. G., Alcausin, F. B., Jocson, J. V., Rodil, J. M. C., Fulgencio, M. S. B., Tuazon, M. M. M., &amp; Valientes, V. R. E. (2025). Profiling study of teacher education institutions and teacher educators. Second Congressional Commission on Education. https://edcom2.gov.ph/publications/profiling-study-of-teacher-education-institutions-teis-and-teacher-educators/ </w:t>
      </w:r>
    </w:p>
    <w:p w14:paraId="317F861B" w14:textId="77777777" w:rsidR="001B225E" w:rsidRPr="002A1433" w:rsidRDefault="001B225E" w:rsidP="001B225E">
      <w:pPr>
        <w:ind w:left="709" w:hanging="709"/>
        <w:jc w:val="both"/>
        <w:rPr>
          <w:rFonts w:ascii="Arial" w:eastAsia="Arial" w:hAnsi="Arial" w:cs="Arial"/>
        </w:rPr>
      </w:pPr>
      <w:r w:rsidRPr="002A1433">
        <w:rPr>
          <w:rFonts w:ascii="Arial" w:eastAsia="Arial" w:hAnsi="Arial" w:cs="Arial"/>
        </w:rPr>
        <w:t xml:space="preserve">Bustos, M. T., </w:t>
      </w:r>
      <w:proofErr w:type="spellStart"/>
      <w:r w:rsidRPr="002A1433">
        <w:rPr>
          <w:rFonts w:ascii="Arial" w:eastAsia="Arial" w:hAnsi="Arial" w:cs="Arial"/>
        </w:rPr>
        <w:t>Cagasan</w:t>
      </w:r>
      <w:proofErr w:type="spellEnd"/>
      <w:r w:rsidRPr="002A1433">
        <w:rPr>
          <w:rFonts w:ascii="Arial" w:eastAsia="Arial" w:hAnsi="Arial" w:cs="Arial"/>
        </w:rPr>
        <w:t xml:space="preserve">, L., Jr., Ferido, N. M., Ocampo-Cristobal, D. J., &amp; </w:t>
      </w:r>
      <w:proofErr w:type="spellStart"/>
      <w:r w:rsidRPr="002A1433">
        <w:rPr>
          <w:rFonts w:ascii="Arial" w:eastAsia="Arial" w:hAnsi="Arial" w:cs="Arial"/>
        </w:rPr>
        <w:t>Ogena</w:t>
      </w:r>
      <w:proofErr w:type="spellEnd"/>
      <w:r w:rsidRPr="002A1433">
        <w:rPr>
          <w:rFonts w:ascii="Arial" w:eastAsia="Arial" w:hAnsi="Arial" w:cs="Arial"/>
        </w:rPr>
        <w:t xml:space="preserve">, E. (2025). Fixing the foundations: Strengthening the teaching workforce through the BLEPT. Second Congressional Commission on Education. https://edcom2.gov.ph/publications/fixing-the-foundations-strengthening-the-teaching-workforce-through-the-blept/ </w:t>
      </w:r>
    </w:p>
    <w:p w14:paraId="044878E7" w14:textId="77777777" w:rsidR="001B225E" w:rsidRPr="002A1433" w:rsidRDefault="001B225E" w:rsidP="001B225E">
      <w:pPr>
        <w:ind w:left="709" w:hanging="709"/>
        <w:jc w:val="both"/>
        <w:rPr>
          <w:rFonts w:ascii="Arial" w:eastAsia="Arial" w:hAnsi="Arial" w:cs="Arial"/>
        </w:rPr>
      </w:pPr>
      <w:r w:rsidRPr="002A1433">
        <w:rPr>
          <w:rFonts w:ascii="Arial" w:eastAsia="Arial" w:hAnsi="Arial" w:cs="Arial"/>
        </w:rPr>
        <w:t xml:space="preserve">Dionio, B. B., </w:t>
      </w:r>
      <w:proofErr w:type="spellStart"/>
      <w:r w:rsidRPr="002A1433">
        <w:rPr>
          <w:rFonts w:ascii="Arial" w:eastAsia="Arial" w:hAnsi="Arial" w:cs="Arial"/>
        </w:rPr>
        <w:t>Dagpin</w:t>
      </w:r>
      <w:proofErr w:type="spellEnd"/>
      <w:r w:rsidRPr="002A1433">
        <w:rPr>
          <w:rFonts w:ascii="Arial" w:eastAsia="Arial" w:hAnsi="Arial" w:cs="Arial"/>
        </w:rPr>
        <w:t xml:space="preserve">, A. R. R., </w:t>
      </w:r>
      <w:proofErr w:type="spellStart"/>
      <w:r w:rsidRPr="002A1433">
        <w:rPr>
          <w:rFonts w:ascii="Arial" w:eastAsia="Arial" w:hAnsi="Arial" w:cs="Arial"/>
        </w:rPr>
        <w:t>Cabillas</w:t>
      </w:r>
      <w:proofErr w:type="spellEnd"/>
      <w:r w:rsidRPr="002A1433">
        <w:rPr>
          <w:rFonts w:ascii="Arial" w:eastAsia="Arial" w:hAnsi="Arial" w:cs="Arial"/>
        </w:rPr>
        <w:t xml:space="preserve">, A. J. Q. B., </w:t>
      </w:r>
      <w:proofErr w:type="spellStart"/>
      <w:r w:rsidRPr="002A1433">
        <w:rPr>
          <w:rFonts w:ascii="Arial" w:eastAsia="Arial" w:hAnsi="Arial" w:cs="Arial"/>
        </w:rPr>
        <w:t>Edullantes</w:t>
      </w:r>
      <w:proofErr w:type="spellEnd"/>
      <w:r w:rsidRPr="002A1433">
        <w:rPr>
          <w:rFonts w:ascii="Arial" w:eastAsia="Arial" w:hAnsi="Arial" w:cs="Arial"/>
        </w:rPr>
        <w:t xml:space="preserve">, J. R. T., &amp; </w:t>
      </w:r>
      <w:proofErr w:type="spellStart"/>
      <w:r w:rsidRPr="002A1433">
        <w:rPr>
          <w:rFonts w:ascii="Arial" w:eastAsia="Arial" w:hAnsi="Arial" w:cs="Arial"/>
        </w:rPr>
        <w:t>Baluyos</w:t>
      </w:r>
      <w:proofErr w:type="spellEnd"/>
      <w:r w:rsidRPr="002A1433">
        <w:rPr>
          <w:rFonts w:ascii="Arial" w:eastAsia="Arial" w:hAnsi="Arial" w:cs="Arial"/>
        </w:rPr>
        <w:t xml:space="preserve">, G. R. (2025). Predictors of graduates' performance in the licensure examination for teachers. </w:t>
      </w:r>
      <w:proofErr w:type="spellStart"/>
      <w:r w:rsidRPr="002A1433">
        <w:rPr>
          <w:rFonts w:ascii="Arial" w:eastAsia="Arial" w:hAnsi="Arial" w:cs="Arial"/>
        </w:rPr>
        <w:t>EduLine</w:t>
      </w:r>
      <w:proofErr w:type="spellEnd"/>
      <w:r w:rsidRPr="002A1433">
        <w:rPr>
          <w:rFonts w:ascii="Arial" w:eastAsia="Arial" w:hAnsi="Arial" w:cs="Arial"/>
        </w:rPr>
        <w:t xml:space="preserve">: Journal of Education and Learning Innovation, 5(1), 79–103. https://doi.org/10.35877/454RI.eduline3535  </w:t>
      </w:r>
    </w:p>
    <w:p w14:paraId="6B52E725" w14:textId="77777777" w:rsidR="001B225E" w:rsidRPr="002A1433" w:rsidRDefault="001B225E" w:rsidP="001B225E">
      <w:pPr>
        <w:ind w:left="709" w:hanging="709"/>
        <w:jc w:val="both"/>
        <w:rPr>
          <w:rFonts w:ascii="Arial" w:eastAsia="Arial" w:hAnsi="Arial" w:cs="Arial"/>
        </w:rPr>
      </w:pPr>
      <w:r w:rsidRPr="002A1433">
        <w:rPr>
          <w:rFonts w:ascii="Arial" w:eastAsia="Arial" w:hAnsi="Arial" w:cs="Arial"/>
        </w:rPr>
        <w:t>Professional Regulation Commission. (2025). Guidelines on the implementation of the PRC-CHED joint memorandum circular on the alignment of the LET with the teacher education curriculum. https://prc.gov.ph/article/guidelines-implementation-prc-ched-jmc-alignment-lept-teacher-education-curriculum</w:t>
      </w:r>
    </w:p>
    <w:p w14:paraId="667A5D3E" w14:textId="77777777" w:rsidR="001B225E" w:rsidRPr="002A1433" w:rsidRDefault="001B225E" w:rsidP="001B225E">
      <w:pPr>
        <w:ind w:left="709" w:hanging="709"/>
        <w:jc w:val="both"/>
        <w:rPr>
          <w:rFonts w:ascii="Arial" w:eastAsia="Arial" w:hAnsi="Arial" w:cs="Arial"/>
        </w:rPr>
      </w:pPr>
      <w:proofErr w:type="spellStart"/>
      <w:r w:rsidRPr="002A1433">
        <w:rPr>
          <w:rFonts w:ascii="Arial" w:eastAsia="Arial" w:hAnsi="Arial" w:cs="Arial"/>
        </w:rPr>
        <w:t>Repayo</w:t>
      </w:r>
      <w:proofErr w:type="spellEnd"/>
      <w:r w:rsidRPr="002A1433">
        <w:rPr>
          <w:rFonts w:ascii="Arial" w:eastAsia="Arial" w:hAnsi="Arial" w:cs="Arial"/>
        </w:rPr>
        <w:t xml:space="preserve">, B. D., </w:t>
      </w:r>
      <w:proofErr w:type="spellStart"/>
      <w:r w:rsidRPr="002A1433">
        <w:rPr>
          <w:rFonts w:ascii="Arial" w:eastAsia="Arial" w:hAnsi="Arial" w:cs="Arial"/>
        </w:rPr>
        <w:t>Malonisio</w:t>
      </w:r>
      <w:proofErr w:type="spellEnd"/>
      <w:r w:rsidRPr="002A1433">
        <w:rPr>
          <w:rFonts w:ascii="Arial" w:eastAsia="Arial" w:hAnsi="Arial" w:cs="Arial"/>
        </w:rPr>
        <w:t xml:space="preserve">, M. O., &amp; </w:t>
      </w:r>
      <w:proofErr w:type="spellStart"/>
      <w:r w:rsidRPr="002A1433">
        <w:rPr>
          <w:rFonts w:ascii="Arial" w:eastAsia="Arial" w:hAnsi="Arial" w:cs="Arial"/>
        </w:rPr>
        <w:t>Tambong</w:t>
      </w:r>
      <w:proofErr w:type="spellEnd"/>
      <w:r w:rsidRPr="002A1433">
        <w:rPr>
          <w:rFonts w:ascii="Arial" w:eastAsia="Arial" w:hAnsi="Arial" w:cs="Arial"/>
        </w:rPr>
        <w:t xml:space="preserve">, C. R. (2025). Beyond admission scores: Mapping the strongest predictors of licensure examination for teachers performance in bachelor of secondary education graduates. </w:t>
      </w:r>
      <w:proofErr w:type="spellStart"/>
      <w:r w:rsidRPr="002A1433">
        <w:rPr>
          <w:rFonts w:ascii="Arial" w:eastAsia="Arial" w:hAnsi="Arial" w:cs="Arial"/>
        </w:rPr>
        <w:t>Jurnal</w:t>
      </w:r>
      <w:proofErr w:type="spellEnd"/>
      <w:r w:rsidRPr="002A1433">
        <w:rPr>
          <w:rFonts w:ascii="Arial" w:eastAsia="Arial" w:hAnsi="Arial" w:cs="Arial"/>
        </w:rPr>
        <w:t xml:space="preserve"> </w:t>
      </w:r>
      <w:proofErr w:type="spellStart"/>
      <w:r w:rsidRPr="002A1433">
        <w:rPr>
          <w:rFonts w:ascii="Arial" w:eastAsia="Arial" w:hAnsi="Arial" w:cs="Arial"/>
        </w:rPr>
        <w:t>Ilmiah</w:t>
      </w:r>
      <w:proofErr w:type="spellEnd"/>
      <w:r w:rsidRPr="002A1433">
        <w:rPr>
          <w:rFonts w:ascii="Arial" w:eastAsia="Arial" w:hAnsi="Arial" w:cs="Arial"/>
        </w:rPr>
        <w:t xml:space="preserve"> Peuradeun, 13(2), 1317–1344. https://doi.org/10.26811/peuradeun.v13i2.1364 </w:t>
      </w:r>
    </w:p>
    <w:p w14:paraId="7F57F574" w14:textId="77777777" w:rsidR="001B225E" w:rsidRPr="002A1433" w:rsidRDefault="001B225E" w:rsidP="001B225E">
      <w:pPr>
        <w:ind w:left="709" w:hanging="709"/>
        <w:jc w:val="both"/>
        <w:rPr>
          <w:rFonts w:ascii="Arial" w:eastAsia="Arial" w:hAnsi="Arial" w:cs="Arial"/>
        </w:rPr>
      </w:pPr>
      <w:r w:rsidRPr="002A1433">
        <w:rPr>
          <w:rFonts w:ascii="Arial" w:eastAsia="Arial" w:hAnsi="Arial" w:cs="Arial"/>
        </w:rPr>
        <w:t xml:space="preserve">Sinsay-Villanueva, L. M. V., Garcia, G. D. V., Lim, V. L., Tanyag, I. H., </w:t>
      </w:r>
      <w:proofErr w:type="spellStart"/>
      <w:r w:rsidRPr="002A1433">
        <w:rPr>
          <w:rFonts w:ascii="Arial" w:eastAsia="Arial" w:hAnsi="Arial" w:cs="Arial"/>
        </w:rPr>
        <w:t>Berroya</w:t>
      </w:r>
      <w:proofErr w:type="spellEnd"/>
      <w:r w:rsidRPr="002A1433">
        <w:rPr>
          <w:rFonts w:ascii="Arial" w:eastAsia="Arial" w:hAnsi="Arial" w:cs="Arial"/>
        </w:rPr>
        <w:t xml:space="preserve">, J., Orbeta, A. C., Jr., &amp; Rivera, J. P. R. (2025). Quality education starting with teacher education. Philippine Institute for Development Studies. https://pids.gov.ph/publication/discussion-papers/quality-education-starting-with-teacher-education </w:t>
      </w:r>
    </w:p>
    <w:p w14:paraId="6C704C7D" w14:textId="77777777" w:rsidR="001B225E" w:rsidRPr="002A1433" w:rsidRDefault="001B225E" w:rsidP="001B225E">
      <w:pPr>
        <w:ind w:left="709" w:hanging="709"/>
        <w:jc w:val="both"/>
        <w:rPr>
          <w:rFonts w:ascii="Arial" w:eastAsia="Arial" w:hAnsi="Arial" w:cs="Arial"/>
        </w:rPr>
      </w:pPr>
      <w:r w:rsidRPr="002A1433">
        <w:rPr>
          <w:rFonts w:ascii="Arial" w:eastAsia="Arial" w:hAnsi="Arial" w:cs="Arial"/>
        </w:rPr>
        <w:t>UNESCO. (2020). Global education monitoring report 2020: Inclusion and teacher quality. UNESCO.</w:t>
      </w:r>
    </w:p>
    <w:p w14:paraId="2B334016" w14:textId="77777777" w:rsidR="001B225E" w:rsidRPr="002A1433" w:rsidRDefault="001B225E" w:rsidP="001B225E">
      <w:pPr>
        <w:ind w:left="709" w:hanging="709"/>
        <w:jc w:val="both"/>
        <w:rPr>
          <w:rFonts w:ascii="Arial" w:eastAsia="Arial" w:hAnsi="Arial" w:cs="Arial"/>
        </w:rPr>
      </w:pPr>
      <w:r w:rsidRPr="002A1433">
        <w:rPr>
          <w:rFonts w:ascii="Arial" w:eastAsia="Arial" w:hAnsi="Arial" w:cs="Arial"/>
        </w:rPr>
        <w:t xml:space="preserve">UNESCO &amp; International Task Force on Teachers for Education 2030. (2024). Global report on teachers: Addressing teacher shortages and transforming the profession. UNESCO. </w:t>
      </w:r>
    </w:p>
    <w:p w14:paraId="682E5C63" w14:textId="77777777" w:rsidR="001B225E" w:rsidRDefault="001B225E" w:rsidP="001B225E">
      <w:pPr>
        <w:ind w:left="2160" w:firstLine="720"/>
        <w:jc w:val="both"/>
        <w:rPr>
          <w:rFonts w:ascii="Arial" w:eastAsia="Cambria" w:hAnsi="Arial" w:cs="Arial"/>
          <w:b/>
          <w:bCs/>
        </w:rPr>
      </w:pPr>
    </w:p>
    <w:p w14:paraId="559B3E58" w14:textId="77777777" w:rsidR="001B225E" w:rsidRPr="002A1433" w:rsidRDefault="001B225E" w:rsidP="001B225E">
      <w:pPr>
        <w:ind w:left="2160" w:firstLine="720"/>
        <w:jc w:val="both"/>
        <w:rPr>
          <w:rFonts w:ascii="Arial" w:eastAsia="Arial" w:hAnsi="Arial" w:cs="Arial"/>
          <w:b/>
          <w:bCs/>
        </w:rPr>
      </w:pPr>
      <w:r w:rsidRPr="002A1433">
        <w:rPr>
          <w:rFonts w:ascii="Arial" w:eastAsia="Cambria" w:hAnsi="Arial" w:cs="Arial"/>
          <w:b/>
          <w:bCs/>
        </w:rPr>
        <w:lastRenderedPageBreak/>
        <w:t xml:space="preserve">C. </w:t>
      </w:r>
      <w:r w:rsidRPr="002A1433">
        <w:rPr>
          <w:rFonts w:ascii="Arial" w:eastAsia="Arial" w:hAnsi="Arial" w:cs="Arial"/>
          <w:b/>
          <w:bCs/>
        </w:rPr>
        <w:t>Unpublished Materials</w:t>
      </w:r>
    </w:p>
    <w:p w14:paraId="3FB3A3E4" w14:textId="77777777" w:rsidR="001B225E" w:rsidRPr="002A1433" w:rsidRDefault="001B225E" w:rsidP="001B225E">
      <w:pPr>
        <w:ind w:left="709" w:hanging="709"/>
        <w:jc w:val="both"/>
        <w:rPr>
          <w:rFonts w:ascii="Arial" w:eastAsia="Arial" w:hAnsi="Arial" w:cs="Arial"/>
        </w:rPr>
      </w:pPr>
      <w:r w:rsidRPr="002A1433">
        <w:rPr>
          <w:rFonts w:ascii="Arial" w:eastAsia="Arial" w:hAnsi="Arial" w:cs="Arial"/>
        </w:rPr>
        <w:t xml:space="preserve">Alvarez, R. (2018). Resilience among LET takers in Mindanao: Coping strategies and licensure performance. </w:t>
      </w:r>
    </w:p>
    <w:p w14:paraId="69A32736" w14:textId="77777777" w:rsidR="001B225E" w:rsidRPr="002A1433" w:rsidRDefault="001B225E" w:rsidP="001B225E">
      <w:pPr>
        <w:ind w:left="709" w:hanging="709"/>
        <w:jc w:val="both"/>
        <w:rPr>
          <w:rFonts w:ascii="Arial" w:eastAsia="Arial" w:hAnsi="Arial" w:cs="Arial"/>
        </w:rPr>
      </w:pPr>
      <w:r w:rsidRPr="002A1433">
        <w:rPr>
          <w:rFonts w:ascii="Arial" w:eastAsia="Arial" w:hAnsi="Arial" w:cs="Arial"/>
        </w:rPr>
        <w:t xml:space="preserve">Anderson, T. (2021). Extended practicum and mentoring as predictors of licensure success: A longitudinal study. </w:t>
      </w:r>
    </w:p>
    <w:p w14:paraId="3324241A" w14:textId="77777777" w:rsidR="001B225E" w:rsidRPr="002A1433" w:rsidRDefault="001B225E" w:rsidP="001B225E">
      <w:pPr>
        <w:ind w:left="709" w:hanging="709"/>
        <w:jc w:val="both"/>
        <w:rPr>
          <w:rFonts w:ascii="Arial" w:eastAsia="Arial" w:hAnsi="Arial" w:cs="Arial"/>
        </w:rPr>
      </w:pPr>
      <w:proofErr w:type="spellStart"/>
      <w:r w:rsidRPr="002A1433">
        <w:rPr>
          <w:rFonts w:ascii="Arial" w:eastAsia="Arial" w:hAnsi="Arial" w:cs="Arial"/>
        </w:rPr>
        <w:t>Balinario</w:t>
      </w:r>
      <w:proofErr w:type="spellEnd"/>
      <w:r w:rsidRPr="002A1433">
        <w:rPr>
          <w:rFonts w:ascii="Arial" w:eastAsia="Arial" w:hAnsi="Arial" w:cs="Arial"/>
        </w:rPr>
        <w:t>, L., Reyes, M., &amp; Santos, P. (2023). Curriculum alignment and LET passing rates: An evaluation of instructional design in Philippine teacher education programs.</w:t>
      </w:r>
    </w:p>
    <w:p w14:paraId="0C89B8FD" w14:textId="77777777" w:rsidR="001B225E" w:rsidRPr="002A1433" w:rsidRDefault="001B225E" w:rsidP="001B225E">
      <w:pPr>
        <w:ind w:left="709" w:hanging="709"/>
        <w:jc w:val="both"/>
        <w:rPr>
          <w:rFonts w:ascii="Arial" w:eastAsia="Arial" w:hAnsi="Arial" w:cs="Arial"/>
        </w:rPr>
      </w:pPr>
      <w:proofErr w:type="spellStart"/>
      <w:r w:rsidRPr="002A1433">
        <w:rPr>
          <w:rFonts w:ascii="Arial" w:eastAsia="Arial" w:hAnsi="Arial" w:cs="Arial"/>
        </w:rPr>
        <w:t>Cadosales</w:t>
      </w:r>
      <w:proofErr w:type="spellEnd"/>
      <w:r w:rsidRPr="002A1433">
        <w:rPr>
          <w:rFonts w:ascii="Arial" w:eastAsia="Arial" w:hAnsi="Arial" w:cs="Arial"/>
        </w:rPr>
        <w:t xml:space="preserve">, A., Delos Reyes, K., &amp; Villanueva, S. (2023). LET results as predictors of beginning teachers' classroom performance. </w:t>
      </w:r>
    </w:p>
    <w:p w14:paraId="1A8A7696" w14:textId="77777777" w:rsidR="001B225E" w:rsidRPr="002A1433" w:rsidRDefault="001B225E" w:rsidP="001B225E">
      <w:pPr>
        <w:ind w:left="709" w:hanging="709"/>
        <w:jc w:val="both"/>
        <w:rPr>
          <w:rFonts w:ascii="Arial" w:eastAsia="Arial" w:hAnsi="Arial" w:cs="Arial"/>
        </w:rPr>
      </w:pPr>
      <w:r w:rsidRPr="002A1433">
        <w:rPr>
          <w:rFonts w:ascii="Arial" w:eastAsia="Arial" w:hAnsi="Arial" w:cs="Arial"/>
        </w:rPr>
        <w:t xml:space="preserve">Cruz, E. (2017). Effectiveness of review centers and institutional review programs on LET passing rates. </w:t>
      </w:r>
    </w:p>
    <w:p w14:paraId="4CF42691" w14:textId="77777777" w:rsidR="001B225E" w:rsidRPr="002A1433" w:rsidRDefault="001B225E" w:rsidP="001B225E">
      <w:pPr>
        <w:jc w:val="both"/>
        <w:rPr>
          <w:rFonts w:ascii="Arial" w:eastAsia="Arial" w:hAnsi="Arial" w:cs="Arial"/>
        </w:rPr>
      </w:pPr>
    </w:p>
    <w:p w14:paraId="4D786CDB" w14:textId="77777777" w:rsidR="001B225E" w:rsidRPr="002A1433" w:rsidRDefault="001B225E" w:rsidP="001B225E">
      <w:pPr>
        <w:jc w:val="both"/>
        <w:rPr>
          <w:rFonts w:ascii="Arial" w:eastAsia="Arial" w:hAnsi="Arial" w:cs="Arial"/>
        </w:rPr>
      </w:pPr>
    </w:p>
    <w:p w14:paraId="1FF4E1C8" w14:textId="77777777" w:rsidR="001B225E" w:rsidRPr="002A1433" w:rsidRDefault="001B225E" w:rsidP="001B225E">
      <w:pPr>
        <w:jc w:val="both"/>
        <w:rPr>
          <w:rFonts w:ascii="Arial" w:eastAsia="Arial" w:hAnsi="Arial" w:cs="Arial"/>
        </w:rPr>
      </w:pPr>
    </w:p>
    <w:p w14:paraId="10866F6E" w14:textId="77777777" w:rsidR="001B225E" w:rsidRPr="002A1433" w:rsidRDefault="001B225E" w:rsidP="001B225E">
      <w:pPr>
        <w:jc w:val="both"/>
        <w:rPr>
          <w:rFonts w:ascii="Arial" w:eastAsia="Arial" w:hAnsi="Arial" w:cs="Arial"/>
        </w:rPr>
      </w:pPr>
    </w:p>
    <w:p w14:paraId="106D842A" w14:textId="77777777" w:rsidR="001B225E" w:rsidRPr="002A1433" w:rsidRDefault="001B225E" w:rsidP="001B225E">
      <w:pPr>
        <w:jc w:val="both"/>
        <w:rPr>
          <w:rFonts w:ascii="Arial" w:eastAsia="Arial" w:hAnsi="Arial" w:cs="Arial"/>
        </w:rPr>
      </w:pPr>
    </w:p>
    <w:p w14:paraId="5473F162" w14:textId="77777777" w:rsidR="001B225E" w:rsidRPr="002A1433" w:rsidRDefault="001B225E" w:rsidP="001B225E">
      <w:pPr>
        <w:jc w:val="both"/>
        <w:rPr>
          <w:rFonts w:ascii="Arial" w:eastAsia="Arial" w:hAnsi="Arial" w:cs="Arial"/>
        </w:rPr>
      </w:pPr>
    </w:p>
    <w:p w14:paraId="7F002A4B" w14:textId="77777777" w:rsidR="001B225E" w:rsidRPr="002A1433" w:rsidRDefault="001B225E" w:rsidP="001B225E">
      <w:pPr>
        <w:jc w:val="both"/>
        <w:rPr>
          <w:rFonts w:ascii="Arial" w:eastAsia="Arial" w:hAnsi="Arial" w:cs="Arial"/>
        </w:rPr>
      </w:pPr>
    </w:p>
    <w:p w14:paraId="44637C74" w14:textId="77777777" w:rsidR="001B225E" w:rsidRPr="002A1433" w:rsidRDefault="001B225E" w:rsidP="001B225E">
      <w:pPr>
        <w:jc w:val="both"/>
        <w:rPr>
          <w:rFonts w:ascii="Arial" w:eastAsia="Arial" w:hAnsi="Arial" w:cs="Arial"/>
        </w:rPr>
      </w:pPr>
    </w:p>
    <w:p w14:paraId="37AA35B3" w14:textId="77777777" w:rsidR="001B225E" w:rsidRPr="002A1433" w:rsidRDefault="001B225E" w:rsidP="001B225E">
      <w:pPr>
        <w:jc w:val="both"/>
        <w:rPr>
          <w:rFonts w:ascii="Arial" w:eastAsia="Arial" w:hAnsi="Arial" w:cs="Arial"/>
        </w:rPr>
      </w:pPr>
    </w:p>
    <w:p w14:paraId="17DAD96A" w14:textId="77777777" w:rsidR="001B225E" w:rsidRPr="002A1433" w:rsidRDefault="001B225E" w:rsidP="001B225E">
      <w:pPr>
        <w:jc w:val="both"/>
        <w:rPr>
          <w:rFonts w:ascii="Arial" w:eastAsia="Arial" w:hAnsi="Arial" w:cs="Arial"/>
        </w:rPr>
      </w:pPr>
    </w:p>
    <w:p w14:paraId="41D372A0" w14:textId="77777777" w:rsidR="001B225E" w:rsidRPr="002A1433" w:rsidRDefault="001B225E" w:rsidP="001B225E">
      <w:pPr>
        <w:jc w:val="both"/>
        <w:rPr>
          <w:rFonts w:ascii="Arial" w:eastAsia="Arial" w:hAnsi="Arial" w:cs="Arial"/>
        </w:rPr>
      </w:pPr>
    </w:p>
    <w:p w14:paraId="67E14A06" w14:textId="77777777" w:rsidR="001B225E" w:rsidRPr="002A1433" w:rsidRDefault="001B225E" w:rsidP="001B225E">
      <w:pPr>
        <w:jc w:val="both"/>
        <w:rPr>
          <w:rFonts w:ascii="Arial" w:eastAsia="Arial" w:hAnsi="Arial" w:cs="Arial"/>
        </w:rPr>
      </w:pPr>
    </w:p>
    <w:p w14:paraId="48E1C995" w14:textId="77777777" w:rsidR="001B225E" w:rsidRPr="002A1433" w:rsidRDefault="001B225E" w:rsidP="001B225E">
      <w:pPr>
        <w:jc w:val="both"/>
        <w:rPr>
          <w:rFonts w:ascii="Arial" w:eastAsia="Arial" w:hAnsi="Arial" w:cs="Arial"/>
        </w:rPr>
      </w:pPr>
    </w:p>
    <w:p w14:paraId="18FF2735" w14:textId="77777777" w:rsidR="001B225E" w:rsidRPr="002A1433" w:rsidRDefault="001B225E" w:rsidP="001B225E">
      <w:pPr>
        <w:jc w:val="both"/>
        <w:rPr>
          <w:rFonts w:ascii="Arial" w:eastAsia="Arial" w:hAnsi="Arial" w:cs="Arial"/>
        </w:rPr>
      </w:pPr>
    </w:p>
    <w:p w14:paraId="0F8FDA13" w14:textId="77777777" w:rsidR="001B225E" w:rsidRPr="002A1433" w:rsidRDefault="001B225E" w:rsidP="001B225E">
      <w:pPr>
        <w:jc w:val="both"/>
        <w:rPr>
          <w:rFonts w:ascii="Arial" w:eastAsia="Arial" w:hAnsi="Arial" w:cs="Arial"/>
        </w:rPr>
      </w:pPr>
    </w:p>
    <w:p w14:paraId="1CADB8C3" w14:textId="77777777" w:rsidR="001B225E" w:rsidRPr="002A1433" w:rsidRDefault="001B225E" w:rsidP="001B225E">
      <w:pPr>
        <w:jc w:val="both"/>
        <w:rPr>
          <w:rFonts w:ascii="Arial" w:eastAsia="Arial" w:hAnsi="Arial" w:cs="Arial"/>
        </w:rPr>
      </w:pPr>
    </w:p>
    <w:p w14:paraId="4F95CA9C" w14:textId="77777777" w:rsidR="001B225E" w:rsidRPr="002A1433" w:rsidRDefault="001B225E" w:rsidP="001B225E">
      <w:pPr>
        <w:jc w:val="both"/>
        <w:rPr>
          <w:rFonts w:ascii="Arial" w:eastAsia="Arial" w:hAnsi="Arial" w:cs="Arial"/>
        </w:rPr>
      </w:pPr>
    </w:p>
    <w:p w14:paraId="408A9E3C" w14:textId="77777777" w:rsidR="001B225E" w:rsidRPr="002A1433" w:rsidRDefault="001B225E" w:rsidP="001B225E">
      <w:pPr>
        <w:jc w:val="both"/>
        <w:rPr>
          <w:rFonts w:ascii="Arial" w:eastAsia="Arial" w:hAnsi="Arial" w:cs="Arial"/>
        </w:rPr>
      </w:pPr>
    </w:p>
    <w:p w14:paraId="20E53C4A" w14:textId="77777777" w:rsidR="001B225E" w:rsidRPr="002A1433" w:rsidRDefault="001B225E" w:rsidP="001B225E">
      <w:pPr>
        <w:jc w:val="both"/>
        <w:rPr>
          <w:rFonts w:ascii="Arial" w:eastAsia="Arial" w:hAnsi="Arial" w:cs="Arial"/>
        </w:rPr>
      </w:pPr>
    </w:p>
    <w:p w14:paraId="1546AA38" w14:textId="77777777" w:rsidR="001B225E" w:rsidRPr="002A1433" w:rsidRDefault="001B225E" w:rsidP="001B225E">
      <w:pPr>
        <w:jc w:val="both"/>
        <w:rPr>
          <w:rFonts w:ascii="Arial" w:eastAsia="Arial" w:hAnsi="Arial" w:cs="Arial"/>
        </w:rPr>
      </w:pPr>
    </w:p>
    <w:p w14:paraId="52FCD6D2" w14:textId="77777777" w:rsidR="001B225E" w:rsidRPr="002A1433" w:rsidRDefault="001B225E" w:rsidP="001B225E">
      <w:pPr>
        <w:jc w:val="both"/>
        <w:rPr>
          <w:rFonts w:ascii="Arial" w:eastAsia="Arial" w:hAnsi="Arial" w:cs="Arial"/>
        </w:rPr>
      </w:pPr>
    </w:p>
    <w:p w14:paraId="48CA2422" w14:textId="77777777" w:rsidR="001B225E" w:rsidRPr="002A1433" w:rsidRDefault="001B225E" w:rsidP="001B225E">
      <w:pPr>
        <w:jc w:val="both"/>
        <w:rPr>
          <w:rFonts w:ascii="Arial" w:eastAsia="Arial" w:hAnsi="Arial" w:cs="Arial"/>
        </w:rPr>
      </w:pPr>
    </w:p>
    <w:p w14:paraId="0DD91122" w14:textId="77777777" w:rsidR="001B225E" w:rsidRPr="002A1433" w:rsidRDefault="001B225E" w:rsidP="001B225E">
      <w:pPr>
        <w:jc w:val="both"/>
        <w:rPr>
          <w:rFonts w:ascii="Arial" w:eastAsia="Arial" w:hAnsi="Arial" w:cs="Arial"/>
        </w:rPr>
      </w:pPr>
    </w:p>
    <w:p w14:paraId="5B730497" w14:textId="77777777" w:rsidR="001B225E" w:rsidRDefault="001B225E" w:rsidP="001B225E">
      <w:pPr>
        <w:rPr>
          <w:rFonts w:ascii="Arial" w:eastAsia="Arial" w:hAnsi="Arial" w:cs="Arial"/>
          <w:b/>
          <w:bCs/>
        </w:rPr>
      </w:pPr>
    </w:p>
    <w:p w14:paraId="6683FA62" w14:textId="77777777" w:rsidR="001B225E" w:rsidRDefault="001B225E" w:rsidP="001B225E">
      <w:pPr>
        <w:jc w:val="center"/>
        <w:rPr>
          <w:rFonts w:ascii="Arial" w:eastAsia="Arial" w:hAnsi="Arial" w:cs="Arial"/>
          <w:b/>
          <w:bCs/>
        </w:rPr>
      </w:pPr>
    </w:p>
    <w:p w14:paraId="70296029" w14:textId="77777777" w:rsidR="001B225E" w:rsidRDefault="001B225E" w:rsidP="001B225E">
      <w:pPr>
        <w:jc w:val="center"/>
        <w:rPr>
          <w:rFonts w:ascii="Arial" w:eastAsia="Arial" w:hAnsi="Arial" w:cs="Arial"/>
          <w:b/>
          <w:bCs/>
        </w:rPr>
      </w:pPr>
    </w:p>
    <w:p w14:paraId="7E5AE792" w14:textId="77777777" w:rsidR="001B225E" w:rsidRDefault="001B225E" w:rsidP="001B225E">
      <w:pPr>
        <w:jc w:val="center"/>
        <w:rPr>
          <w:rFonts w:ascii="Arial" w:eastAsia="Arial" w:hAnsi="Arial" w:cs="Arial"/>
          <w:b/>
          <w:bCs/>
        </w:rPr>
      </w:pPr>
    </w:p>
    <w:p w14:paraId="0072D4CA" w14:textId="77777777" w:rsidR="001B225E" w:rsidRDefault="001B225E" w:rsidP="001B225E">
      <w:pPr>
        <w:jc w:val="center"/>
        <w:rPr>
          <w:rFonts w:ascii="Arial" w:eastAsia="Arial" w:hAnsi="Arial" w:cs="Arial"/>
          <w:b/>
          <w:bCs/>
        </w:rPr>
      </w:pPr>
    </w:p>
    <w:p w14:paraId="5059E987" w14:textId="77777777" w:rsidR="001B225E" w:rsidRPr="002A1433" w:rsidRDefault="001B225E" w:rsidP="001B225E">
      <w:pPr>
        <w:jc w:val="center"/>
        <w:rPr>
          <w:rFonts w:ascii="Arial" w:eastAsia="Arial" w:hAnsi="Arial" w:cs="Arial"/>
          <w:b/>
          <w:bCs/>
        </w:rPr>
      </w:pPr>
      <w:r w:rsidRPr="002A1433">
        <w:rPr>
          <w:rFonts w:ascii="Arial" w:eastAsia="Arial" w:hAnsi="Arial" w:cs="Arial"/>
          <w:b/>
          <w:bCs/>
        </w:rPr>
        <w:t>APPENDICES</w:t>
      </w:r>
    </w:p>
    <w:p w14:paraId="2460B6F7" w14:textId="77777777" w:rsidR="001B225E" w:rsidRDefault="001B225E" w:rsidP="001B225E">
      <w:pPr>
        <w:jc w:val="center"/>
        <w:rPr>
          <w:rFonts w:ascii="Arial" w:eastAsia="Arial" w:hAnsi="Arial" w:cs="Arial"/>
          <w:b/>
          <w:bCs/>
        </w:rPr>
      </w:pPr>
    </w:p>
    <w:p w14:paraId="2D57D548" w14:textId="77777777" w:rsidR="001B225E" w:rsidRDefault="001B225E" w:rsidP="001B225E">
      <w:pPr>
        <w:jc w:val="center"/>
        <w:rPr>
          <w:rFonts w:ascii="Arial" w:eastAsia="Arial" w:hAnsi="Arial" w:cs="Arial"/>
          <w:b/>
          <w:bCs/>
        </w:rPr>
      </w:pPr>
    </w:p>
    <w:p w14:paraId="1D9E03CD" w14:textId="77777777" w:rsidR="001B225E" w:rsidRDefault="001B225E" w:rsidP="001B225E">
      <w:pPr>
        <w:jc w:val="center"/>
        <w:rPr>
          <w:rFonts w:ascii="Arial" w:eastAsia="Arial" w:hAnsi="Arial" w:cs="Arial"/>
          <w:b/>
          <w:bCs/>
        </w:rPr>
      </w:pPr>
    </w:p>
    <w:p w14:paraId="52047E61" w14:textId="77777777" w:rsidR="001B225E" w:rsidRDefault="001B225E" w:rsidP="001B225E">
      <w:pPr>
        <w:jc w:val="center"/>
        <w:rPr>
          <w:rFonts w:ascii="Arial" w:eastAsia="Arial" w:hAnsi="Arial" w:cs="Arial"/>
          <w:b/>
          <w:bCs/>
        </w:rPr>
      </w:pPr>
    </w:p>
    <w:p w14:paraId="11711DD7" w14:textId="77777777" w:rsidR="001B225E" w:rsidRDefault="001B225E" w:rsidP="001B225E">
      <w:pPr>
        <w:jc w:val="center"/>
        <w:rPr>
          <w:rFonts w:ascii="Arial" w:eastAsia="Arial" w:hAnsi="Arial" w:cs="Arial"/>
          <w:b/>
          <w:bCs/>
        </w:rPr>
      </w:pPr>
    </w:p>
    <w:p w14:paraId="3B928956" w14:textId="77777777" w:rsidR="001B225E" w:rsidRDefault="001B225E" w:rsidP="001B225E">
      <w:pPr>
        <w:jc w:val="center"/>
        <w:rPr>
          <w:rFonts w:ascii="Arial" w:eastAsia="Arial" w:hAnsi="Arial" w:cs="Arial"/>
          <w:b/>
          <w:bCs/>
        </w:rPr>
      </w:pPr>
    </w:p>
    <w:p w14:paraId="7FAB85F9" w14:textId="77777777" w:rsidR="001B225E" w:rsidRDefault="001B225E" w:rsidP="001B225E">
      <w:pPr>
        <w:jc w:val="center"/>
        <w:rPr>
          <w:rFonts w:ascii="Arial" w:eastAsia="Arial" w:hAnsi="Arial" w:cs="Arial"/>
          <w:b/>
          <w:bCs/>
        </w:rPr>
      </w:pPr>
    </w:p>
    <w:p w14:paraId="723FAA93" w14:textId="77777777" w:rsidR="001B225E" w:rsidRDefault="001B225E" w:rsidP="001B225E">
      <w:pPr>
        <w:jc w:val="center"/>
        <w:rPr>
          <w:rFonts w:ascii="Arial" w:eastAsia="Arial" w:hAnsi="Arial" w:cs="Arial"/>
          <w:b/>
          <w:bCs/>
        </w:rPr>
      </w:pPr>
    </w:p>
    <w:p w14:paraId="0F7FB2AE" w14:textId="77777777" w:rsidR="001B225E" w:rsidRDefault="001B225E" w:rsidP="001B225E">
      <w:pPr>
        <w:jc w:val="center"/>
        <w:rPr>
          <w:rFonts w:ascii="Arial" w:eastAsia="Arial" w:hAnsi="Arial" w:cs="Arial"/>
          <w:b/>
          <w:bCs/>
        </w:rPr>
      </w:pPr>
    </w:p>
    <w:p w14:paraId="30F678A1" w14:textId="77777777" w:rsidR="001B225E" w:rsidRDefault="001B225E" w:rsidP="001B225E">
      <w:pPr>
        <w:jc w:val="center"/>
        <w:rPr>
          <w:rFonts w:ascii="Arial" w:eastAsia="Arial" w:hAnsi="Arial" w:cs="Arial"/>
          <w:b/>
          <w:bCs/>
        </w:rPr>
      </w:pPr>
    </w:p>
    <w:p w14:paraId="7A7E93E6" w14:textId="77777777" w:rsidR="001B225E" w:rsidRDefault="001B225E" w:rsidP="001B225E">
      <w:pPr>
        <w:jc w:val="center"/>
        <w:rPr>
          <w:rFonts w:ascii="Arial" w:eastAsia="Arial" w:hAnsi="Arial" w:cs="Arial"/>
          <w:b/>
          <w:bCs/>
        </w:rPr>
      </w:pPr>
    </w:p>
    <w:p w14:paraId="64FCCF78" w14:textId="77777777" w:rsidR="001B225E" w:rsidRDefault="001B225E" w:rsidP="001B225E">
      <w:pPr>
        <w:jc w:val="center"/>
        <w:rPr>
          <w:rFonts w:ascii="Arial" w:eastAsia="Arial" w:hAnsi="Arial" w:cs="Arial"/>
          <w:b/>
          <w:bCs/>
        </w:rPr>
      </w:pPr>
    </w:p>
    <w:p w14:paraId="51B0249B" w14:textId="77777777" w:rsidR="001B225E" w:rsidRDefault="001B225E" w:rsidP="001B225E">
      <w:pPr>
        <w:rPr>
          <w:rFonts w:ascii="Arial" w:eastAsia="Arial" w:hAnsi="Arial" w:cs="Arial"/>
          <w:b/>
          <w:bCs/>
        </w:rPr>
      </w:pPr>
    </w:p>
    <w:p w14:paraId="6D792B5E" w14:textId="77777777" w:rsidR="001B225E" w:rsidRDefault="001B225E" w:rsidP="001B225E">
      <w:pPr>
        <w:jc w:val="center"/>
        <w:rPr>
          <w:rFonts w:ascii="Arial" w:eastAsia="Arial" w:hAnsi="Arial" w:cs="Arial"/>
          <w:b/>
          <w:bCs/>
        </w:rPr>
      </w:pPr>
    </w:p>
    <w:p w14:paraId="5C81A5EA" w14:textId="77777777" w:rsidR="001B225E" w:rsidRDefault="001B225E" w:rsidP="001B225E">
      <w:pPr>
        <w:jc w:val="center"/>
        <w:rPr>
          <w:rFonts w:ascii="Arial" w:eastAsia="Arial" w:hAnsi="Arial" w:cs="Arial"/>
          <w:b/>
          <w:bCs/>
        </w:rPr>
      </w:pPr>
    </w:p>
    <w:p w14:paraId="74C6EA15" w14:textId="77777777" w:rsidR="001B225E" w:rsidRDefault="001B225E" w:rsidP="001B225E">
      <w:pPr>
        <w:jc w:val="center"/>
        <w:rPr>
          <w:rFonts w:ascii="Arial" w:eastAsia="Arial" w:hAnsi="Arial" w:cs="Arial"/>
          <w:b/>
          <w:bCs/>
        </w:rPr>
      </w:pPr>
    </w:p>
    <w:p w14:paraId="0E0F0CEF" w14:textId="77777777" w:rsidR="001B225E" w:rsidRDefault="001B225E" w:rsidP="001B225E">
      <w:pPr>
        <w:jc w:val="center"/>
        <w:rPr>
          <w:rFonts w:ascii="Arial" w:eastAsia="Arial" w:hAnsi="Arial" w:cs="Arial"/>
          <w:b/>
          <w:bCs/>
        </w:rPr>
      </w:pPr>
    </w:p>
    <w:p w14:paraId="726FF67A" w14:textId="77777777" w:rsidR="001B225E" w:rsidRDefault="001B225E" w:rsidP="001B225E">
      <w:pPr>
        <w:jc w:val="center"/>
        <w:rPr>
          <w:rFonts w:ascii="Arial" w:eastAsia="Arial" w:hAnsi="Arial" w:cs="Arial"/>
          <w:b/>
          <w:bCs/>
        </w:rPr>
      </w:pPr>
    </w:p>
    <w:p w14:paraId="4C4F955D" w14:textId="77777777" w:rsidR="001B225E" w:rsidRDefault="001B225E" w:rsidP="001B225E">
      <w:pPr>
        <w:jc w:val="center"/>
        <w:rPr>
          <w:rFonts w:ascii="Arial" w:eastAsia="Arial" w:hAnsi="Arial" w:cs="Arial"/>
          <w:b/>
          <w:bCs/>
        </w:rPr>
      </w:pPr>
    </w:p>
    <w:p w14:paraId="2421F1F8" w14:textId="77777777" w:rsidR="001B225E" w:rsidRDefault="001B225E" w:rsidP="001B225E">
      <w:pPr>
        <w:jc w:val="center"/>
        <w:rPr>
          <w:rFonts w:ascii="Arial" w:eastAsia="Arial" w:hAnsi="Arial" w:cs="Arial"/>
          <w:b/>
          <w:bCs/>
        </w:rPr>
      </w:pPr>
    </w:p>
    <w:p w14:paraId="454C811F" w14:textId="77777777" w:rsidR="001B225E" w:rsidRDefault="001B225E" w:rsidP="001B225E">
      <w:pPr>
        <w:jc w:val="center"/>
        <w:rPr>
          <w:rFonts w:ascii="Arial" w:eastAsia="Arial" w:hAnsi="Arial" w:cs="Arial"/>
          <w:b/>
          <w:bCs/>
        </w:rPr>
      </w:pPr>
    </w:p>
    <w:p w14:paraId="23026DC9" w14:textId="77777777" w:rsidR="001B225E" w:rsidRDefault="001B225E" w:rsidP="001B225E">
      <w:pPr>
        <w:jc w:val="center"/>
        <w:rPr>
          <w:rFonts w:ascii="Arial" w:eastAsia="Arial" w:hAnsi="Arial" w:cs="Arial"/>
          <w:b/>
          <w:bCs/>
        </w:rPr>
      </w:pPr>
    </w:p>
    <w:p w14:paraId="2F3A8499" w14:textId="77777777" w:rsidR="001B225E" w:rsidRDefault="001B225E" w:rsidP="001B225E">
      <w:pPr>
        <w:jc w:val="center"/>
        <w:rPr>
          <w:rFonts w:ascii="Arial" w:eastAsia="Arial" w:hAnsi="Arial" w:cs="Arial"/>
          <w:b/>
          <w:bCs/>
        </w:rPr>
      </w:pPr>
    </w:p>
    <w:p w14:paraId="72FDAD7B" w14:textId="77777777" w:rsidR="001B225E" w:rsidRDefault="001B225E" w:rsidP="001B225E">
      <w:pPr>
        <w:jc w:val="center"/>
        <w:rPr>
          <w:rFonts w:ascii="Arial" w:eastAsia="Arial" w:hAnsi="Arial" w:cs="Arial"/>
          <w:b/>
          <w:bCs/>
        </w:rPr>
      </w:pPr>
    </w:p>
    <w:p w14:paraId="08F547F7" w14:textId="77777777" w:rsidR="001B225E" w:rsidRDefault="001B225E" w:rsidP="001B225E">
      <w:pPr>
        <w:jc w:val="center"/>
        <w:rPr>
          <w:rFonts w:ascii="Arial" w:eastAsia="Arial" w:hAnsi="Arial" w:cs="Arial"/>
          <w:b/>
          <w:bCs/>
        </w:rPr>
      </w:pPr>
    </w:p>
    <w:p w14:paraId="44D68102" w14:textId="77777777" w:rsidR="001B225E" w:rsidRPr="002A1433" w:rsidRDefault="001B225E" w:rsidP="001B225E">
      <w:pPr>
        <w:jc w:val="center"/>
        <w:rPr>
          <w:rFonts w:ascii="Arial" w:eastAsia="Arial" w:hAnsi="Arial" w:cs="Arial"/>
          <w:b/>
          <w:bCs/>
        </w:rPr>
      </w:pPr>
      <w:r w:rsidRPr="002A1433">
        <w:rPr>
          <w:rFonts w:ascii="Arial" w:eastAsia="Arial" w:hAnsi="Arial" w:cs="Arial"/>
          <w:b/>
          <w:bCs/>
        </w:rPr>
        <w:t>PERMIT TO CONDUCT THE STUDY</w:t>
      </w:r>
    </w:p>
    <w:p w14:paraId="741FFEFE" w14:textId="77777777" w:rsidR="001B225E" w:rsidRPr="002A1433" w:rsidRDefault="001B225E" w:rsidP="001B225E">
      <w:pPr>
        <w:jc w:val="center"/>
        <w:rPr>
          <w:rFonts w:ascii="Arial" w:eastAsia="Arial" w:hAnsi="Arial" w:cs="Arial"/>
          <w:b/>
          <w:bCs/>
        </w:rPr>
      </w:pPr>
    </w:p>
    <w:p w14:paraId="0A864B3D" w14:textId="77777777" w:rsidR="001B225E" w:rsidRPr="002A1433" w:rsidRDefault="001B225E" w:rsidP="001B225E">
      <w:pPr>
        <w:jc w:val="center"/>
        <w:rPr>
          <w:rFonts w:ascii="Arial" w:eastAsia="Arial" w:hAnsi="Arial" w:cs="Arial"/>
          <w:b/>
          <w:bCs/>
        </w:rPr>
      </w:pPr>
    </w:p>
    <w:p w14:paraId="5D012B77" w14:textId="77777777" w:rsidR="001B225E" w:rsidRPr="002A1433" w:rsidRDefault="001B225E" w:rsidP="001B225E">
      <w:pPr>
        <w:jc w:val="center"/>
        <w:rPr>
          <w:rFonts w:ascii="Arial" w:eastAsia="Arial" w:hAnsi="Arial" w:cs="Arial"/>
          <w:b/>
          <w:bCs/>
        </w:rPr>
      </w:pPr>
    </w:p>
    <w:p w14:paraId="10ED58F0" w14:textId="77777777" w:rsidR="001B225E" w:rsidRPr="002A1433" w:rsidRDefault="001B225E" w:rsidP="001B225E">
      <w:pPr>
        <w:jc w:val="center"/>
        <w:rPr>
          <w:rFonts w:ascii="Arial" w:eastAsia="Arial" w:hAnsi="Arial" w:cs="Arial"/>
          <w:b/>
          <w:bCs/>
        </w:rPr>
      </w:pPr>
    </w:p>
    <w:p w14:paraId="7C79A775" w14:textId="77777777" w:rsidR="001B225E" w:rsidRPr="002A1433" w:rsidRDefault="001B225E" w:rsidP="001B225E">
      <w:pPr>
        <w:jc w:val="center"/>
        <w:rPr>
          <w:rFonts w:ascii="Arial" w:eastAsia="Arial" w:hAnsi="Arial" w:cs="Arial"/>
          <w:b/>
          <w:bCs/>
        </w:rPr>
      </w:pPr>
    </w:p>
    <w:p w14:paraId="621A1D27" w14:textId="77777777" w:rsidR="001B225E" w:rsidRPr="002A1433" w:rsidRDefault="001B225E" w:rsidP="001B225E">
      <w:pPr>
        <w:jc w:val="center"/>
        <w:rPr>
          <w:rFonts w:ascii="Arial" w:eastAsia="Arial" w:hAnsi="Arial" w:cs="Arial"/>
          <w:b/>
          <w:bCs/>
        </w:rPr>
      </w:pPr>
    </w:p>
    <w:p w14:paraId="1EDD3F5B" w14:textId="77777777" w:rsidR="001B225E" w:rsidRPr="002A1433" w:rsidRDefault="001B225E" w:rsidP="001B225E">
      <w:pPr>
        <w:jc w:val="center"/>
        <w:rPr>
          <w:rFonts w:ascii="Arial" w:eastAsia="Arial" w:hAnsi="Arial" w:cs="Arial"/>
          <w:b/>
          <w:bCs/>
        </w:rPr>
      </w:pPr>
    </w:p>
    <w:p w14:paraId="28D445E6" w14:textId="77777777" w:rsidR="001B225E" w:rsidRPr="002A1433" w:rsidRDefault="001B225E" w:rsidP="001B225E">
      <w:pPr>
        <w:jc w:val="center"/>
        <w:rPr>
          <w:rFonts w:ascii="Arial" w:eastAsia="Arial" w:hAnsi="Arial" w:cs="Arial"/>
          <w:b/>
          <w:bCs/>
        </w:rPr>
      </w:pPr>
    </w:p>
    <w:p w14:paraId="728A591A" w14:textId="77777777" w:rsidR="001B225E" w:rsidRPr="002A1433" w:rsidRDefault="001B225E" w:rsidP="001B225E">
      <w:pPr>
        <w:jc w:val="center"/>
        <w:rPr>
          <w:rFonts w:ascii="Arial" w:eastAsia="Arial" w:hAnsi="Arial" w:cs="Arial"/>
          <w:b/>
          <w:bCs/>
        </w:rPr>
      </w:pPr>
    </w:p>
    <w:p w14:paraId="40891E66" w14:textId="77777777" w:rsidR="001B225E" w:rsidRPr="002A1433" w:rsidRDefault="001B225E" w:rsidP="001B225E">
      <w:pPr>
        <w:jc w:val="center"/>
        <w:rPr>
          <w:rFonts w:ascii="Arial" w:eastAsia="Arial" w:hAnsi="Arial" w:cs="Arial"/>
          <w:b/>
          <w:bCs/>
        </w:rPr>
      </w:pPr>
    </w:p>
    <w:p w14:paraId="676014BB" w14:textId="77777777" w:rsidR="001B225E" w:rsidRPr="002A1433" w:rsidRDefault="001B225E" w:rsidP="001B225E">
      <w:pPr>
        <w:jc w:val="center"/>
        <w:rPr>
          <w:rFonts w:ascii="Arial" w:eastAsia="Arial" w:hAnsi="Arial" w:cs="Arial"/>
          <w:b/>
          <w:bCs/>
        </w:rPr>
      </w:pPr>
    </w:p>
    <w:p w14:paraId="6C08366D" w14:textId="77777777" w:rsidR="001B225E" w:rsidRDefault="001B225E" w:rsidP="001B225E">
      <w:pPr>
        <w:rPr>
          <w:rFonts w:ascii="Arial" w:eastAsia="Arial" w:hAnsi="Arial" w:cs="Arial"/>
          <w:b/>
          <w:bCs/>
        </w:rPr>
      </w:pPr>
    </w:p>
    <w:p w14:paraId="121CF467" w14:textId="77777777" w:rsidR="001B225E" w:rsidRDefault="001B225E" w:rsidP="001B225E">
      <w:pPr>
        <w:rPr>
          <w:rFonts w:ascii="Arial" w:eastAsia="Arial" w:hAnsi="Arial" w:cs="Arial"/>
          <w:b/>
          <w:bCs/>
        </w:rPr>
      </w:pPr>
    </w:p>
    <w:p w14:paraId="7BD8D02E" w14:textId="77777777" w:rsidR="001B225E" w:rsidRPr="002A1433" w:rsidRDefault="001B225E" w:rsidP="001B225E">
      <w:pPr>
        <w:spacing w:after="0"/>
        <w:jc w:val="center"/>
        <w:rPr>
          <w:rFonts w:ascii="Arial" w:eastAsia="Arial" w:hAnsi="Arial" w:cs="Arial"/>
          <w:b/>
          <w:bCs/>
        </w:rPr>
      </w:pPr>
      <w:r w:rsidRPr="002A1433">
        <w:rPr>
          <w:rFonts w:ascii="Arial" w:eastAsia="Arial" w:hAnsi="Arial" w:cs="Arial"/>
          <w:b/>
          <w:bCs/>
        </w:rPr>
        <w:lastRenderedPageBreak/>
        <w:t>QUESTIONNAIRE</w:t>
      </w:r>
    </w:p>
    <w:p w14:paraId="47B780D4" w14:textId="77777777" w:rsidR="001B225E" w:rsidRPr="002A1433" w:rsidRDefault="001B225E" w:rsidP="001B225E">
      <w:pPr>
        <w:spacing w:after="0" w:line="240" w:lineRule="auto"/>
        <w:jc w:val="center"/>
        <w:rPr>
          <w:rFonts w:ascii="Arial" w:eastAsia="Arial" w:hAnsi="Arial" w:cs="Arial"/>
        </w:rPr>
      </w:pPr>
      <w:r w:rsidRPr="002A1433">
        <w:rPr>
          <w:rFonts w:ascii="Arial" w:eastAsia="Arial" w:hAnsi="Arial" w:cs="Arial"/>
          <w:b/>
          <w:bCs/>
        </w:rPr>
        <w:t>Predictors of Performance in the Licensure Examination for Teachers</w:t>
      </w:r>
    </w:p>
    <w:p w14:paraId="65D6121D" w14:textId="77777777" w:rsidR="001B225E" w:rsidRPr="002A1433" w:rsidRDefault="001B225E" w:rsidP="001B225E">
      <w:pPr>
        <w:spacing w:after="0" w:line="240" w:lineRule="auto"/>
        <w:jc w:val="center"/>
        <w:rPr>
          <w:rFonts w:ascii="Arial" w:eastAsia="Arial" w:hAnsi="Arial" w:cs="Arial"/>
          <w:b/>
          <w:bCs/>
        </w:rPr>
      </w:pPr>
      <w:r w:rsidRPr="002A1433">
        <w:rPr>
          <w:rFonts w:ascii="Arial" w:eastAsia="Arial" w:hAnsi="Arial" w:cs="Arial"/>
          <w:b/>
          <w:bCs/>
        </w:rPr>
        <w:t>in a Community College in Albay</w:t>
      </w:r>
    </w:p>
    <w:p w14:paraId="6081DF37" w14:textId="77777777" w:rsidR="001B225E" w:rsidRPr="002A1433" w:rsidRDefault="001B225E" w:rsidP="001B225E">
      <w:pPr>
        <w:spacing w:before="80" w:after="0" w:line="240" w:lineRule="auto"/>
        <w:rPr>
          <w:rFonts w:ascii="Arial" w:eastAsia="Arial" w:hAnsi="Arial" w:cs="Arial"/>
        </w:rPr>
      </w:pPr>
      <w:r w:rsidRPr="002A1433">
        <w:rPr>
          <w:rFonts w:ascii="Arial" w:eastAsia="Arial" w:hAnsi="Arial" w:cs="Arial"/>
        </w:rPr>
        <w:t>Dear Respondent,</w:t>
      </w:r>
    </w:p>
    <w:p w14:paraId="715D2468" w14:textId="77777777" w:rsidR="001B225E" w:rsidRPr="002A1433" w:rsidRDefault="001B225E" w:rsidP="001B225E">
      <w:pPr>
        <w:spacing w:before="60" w:after="0" w:line="240" w:lineRule="auto"/>
        <w:rPr>
          <w:rFonts w:ascii="Arial" w:eastAsia="Arial" w:hAnsi="Arial" w:cs="Arial"/>
        </w:rPr>
      </w:pPr>
    </w:p>
    <w:p w14:paraId="1D4AAB69" w14:textId="77777777" w:rsidR="001B225E" w:rsidRPr="002A1433" w:rsidRDefault="001B225E" w:rsidP="001B225E">
      <w:pPr>
        <w:spacing w:before="80" w:after="0" w:line="240" w:lineRule="auto"/>
        <w:jc w:val="both"/>
        <w:rPr>
          <w:rFonts w:ascii="Arial" w:eastAsia="Arial" w:hAnsi="Arial" w:cs="Arial"/>
        </w:rPr>
      </w:pPr>
      <w:r w:rsidRPr="002A1433">
        <w:rPr>
          <w:rFonts w:ascii="Arial" w:eastAsia="Arial" w:hAnsi="Arial" w:cs="Arial"/>
        </w:rPr>
        <w:t xml:space="preserve">The researcher is currently conducting a study entitled "Predictors of Performance in the Licensure Examination for Teachers in </w:t>
      </w:r>
      <w:r>
        <w:rPr>
          <w:rFonts w:ascii="Arial" w:eastAsia="Arial" w:hAnsi="Arial" w:cs="Arial"/>
        </w:rPr>
        <w:t>a</w:t>
      </w:r>
      <w:r w:rsidRPr="002A1433">
        <w:rPr>
          <w:rFonts w:ascii="Arial" w:eastAsia="Arial" w:hAnsi="Arial" w:cs="Arial"/>
        </w:rPr>
        <w:t xml:space="preserve"> College in Albay." This questionnaire aims to gather relevant data from LET takers to identify the factors that significantly predict performance in the Licensure Examination for Teachers (LET).</w:t>
      </w:r>
    </w:p>
    <w:p w14:paraId="549E97C3" w14:textId="77777777" w:rsidR="001B225E" w:rsidRPr="002A1433" w:rsidRDefault="001B225E" w:rsidP="001B225E">
      <w:pPr>
        <w:spacing w:before="60" w:after="0" w:line="240" w:lineRule="auto"/>
        <w:jc w:val="both"/>
        <w:rPr>
          <w:rFonts w:ascii="Arial" w:eastAsia="Arial" w:hAnsi="Arial" w:cs="Arial"/>
        </w:rPr>
      </w:pPr>
    </w:p>
    <w:p w14:paraId="6330EBA7" w14:textId="77777777" w:rsidR="001B225E" w:rsidRPr="002A1433" w:rsidRDefault="001B225E" w:rsidP="001B225E">
      <w:pPr>
        <w:spacing w:before="80" w:after="0" w:line="240" w:lineRule="auto"/>
        <w:jc w:val="both"/>
        <w:rPr>
          <w:rFonts w:ascii="Arial" w:eastAsia="Arial" w:hAnsi="Arial" w:cs="Arial"/>
        </w:rPr>
      </w:pPr>
      <w:r w:rsidRPr="002A1433">
        <w:rPr>
          <w:rFonts w:ascii="Arial" w:eastAsia="Arial" w:hAnsi="Arial" w:cs="Arial"/>
        </w:rPr>
        <w:t>Your honest and thoughtful responses are greatly valued. Rest assured that all information provided will be treated with utmost confidentiality and will be used solely for academic purposes.</w:t>
      </w:r>
    </w:p>
    <w:p w14:paraId="66CD615F" w14:textId="77777777" w:rsidR="001B225E" w:rsidRPr="002A1433" w:rsidRDefault="001B225E" w:rsidP="001B225E">
      <w:pPr>
        <w:spacing w:before="60" w:after="0" w:line="240" w:lineRule="auto"/>
        <w:jc w:val="both"/>
        <w:rPr>
          <w:rFonts w:ascii="Arial" w:eastAsia="Arial" w:hAnsi="Arial" w:cs="Arial"/>
        </w:rPr>
      </w:pPr>
    </w:p>
    <w:p w14:paraId="701D7571" w14:textId="77777777" w:rsidR="001B225E" w:rsidRPr="002A1433" w:rsidRDefault="001B225E" w:rsidP="001B225E">
      <w:pPr>
        <w:spacing w:before="80" w:after="0" w:line="240" w:lineRule="auto"/>
        <w:jc w:val="both"/>
        <w:rPr>
          <w:rFonts w:ascii="Arial" w:eastAsia="Arial" w:hAnsi="Arial" w:cs="Arial"/>
        </w:rPr>
      </w:pPr>
      <w:r w:rsidRPr="002A1433">
        <w:rPr>
          <w:rFonts w:ascii="Arial" w:eastAsia="Arial" w:hAnsi="Arial" w:cs="Arial"/>
        </w:rPr>
        <w:t>Thank you very much for your time and cooperation.</w:t>
      </w:r>
    </w:p>
    <w:p w14:paraId="352F5A86" w14:textId="77777777" w:rsidR="001B225E" w:rsidRPr="002A1433" w:rsidRDefault="001B225E" w:rsidP="001B225E">
      <w:pPr>
        <w:spacing w:before="60" w:after="0" w:line="240" w:lineRule="auto"/>
        <w:rPr>
          <w:rFonts w:ascii="Arial" w:eastAsia="Arial" w:hAnsi="Arial" w:cs="Arial"/>
        </w:rPr>
      </w:pPr>
    </w:p>
    <w:p w14:paraId="74B0A4DD" w14:textId="77777777" w:rsidR="001B225E" w:rsidRPr="002A1433" w:rsidRDefault="001B225E" w:rsidP="001B225E">
      <w:pPr>
        <w:spacing w:before="80" w:after="0" w:line="240" w:lineRule="auto"/>
        <w:jc w:val="right"/>
        <w:rPr>
          <w:rFonts w:ascii="Arial" w:eastAsia="Arial" w:hAnsi="Arial" w:cs="Arial"/>
        </w:rPr>
      </w:pPr>
      <w:r w:rsidRPr="002A1433">
        <w:rPr>
          <w:rFonts w:ascii="Arial" w:eastAsia="Arial" w:hAnsi="Arial" w:cs="Arial"/>
        </w:rPr>
        <w:t>Respectfully yours,</w:t>
      </w:r>
    </w:p>
    <w:p w14:paraId="37B1987D" w14:textId="77777777" w:rsidR="001B225E" w:rsidRPr="002A1433" w:rsidRDefault="001B225E" w:rsidP="001B225E">
      <w:pPr>
        <w:spacing w:before="60" w:after="0" w:line="240" w:lineRule="auto"/>
        <w:rPr>
          <w:rFonts w:ascii="Arial" w:eastAsia="Arial" w:hAnsi="Arial" w:cs="Arial"/>
        </w:rPr>
      </w:pPr>
    </w:p>
    <w:p w14:paraId="3333C3F6" w14:textId="77777777" w:rsidR="001B225E" w:rsidRPr="002A1433" w:rsidRDefault="001B225E" w:rsidP="001B225E">
      <w:pPr>
        <w:spacing w:before="80" w:after="0" w:line="240" w:lineRule="auto"/>
        <w:jc w:val="right"/>
        <w:rPr>
          <w:rFonts w:ascii="Arial" w:eastAsia="Arial" w:hAnsi="Arial" w:cs="Arial"/>
          <w:b/>
          <w:bCs/>
        </w:rPr>
      </w:pPr>
      <w:r w:rsidRPr="002A1433">
        <w:rPr>
          <w:rFonts w:ascii="Arial" w:eastAsia="Arial" w:hAnsi="Arial" w:cs="Arial"/>
          <w:b/>
          <w:bCs/>
        </w:rPr>
        <w:t>THE RESEARCHER</w:t>
      </w:r>
    </w:p>
    <w:p w14:paraId="63F171F5" w14:textId="77777777" w:rsidR="001B225E" w:rsidRPr="002A1433" w:rsidRDefault="001B225E" w:rsidP="001B225E">
      <w:pPr>
        <w:spacing w:before="240" w:after="0" w:line="240" w:lineRule="auto"/>
        <w:jc w:val="center"/>
        <w:rPr>
          <w:rFonts w:ascii="Arial" w:eastAsia="Arial" w:hAnsi="Arial" w:cs="Arial"/>
          <w:b/>
          <w:bCs/>
          <w:u w:val="single"/>
        </w:rPr>
      </w:pPr>
      <w:r w:rsidRPr="002A1433">
        <w:rPr>
          <w:rFonts w:ascii="Arial" w:eastAsia="Arial" w:hAnsi="Arial" w:cs="Arial"/>
          <w:b/>
          <w:bCs/>
          <w:u w:val="single"/>
        </w:rPr>
        <w:t>PART I: PROFILE OF THE RESPONDENT</w:t>
      </w:r>
    </w:p>
    <w:p w14:paraId="40ADA9AF" w14:textId="77777777" w:rsidR="001B225E" w:rsidRPr="002A1433" w:rsidRDefault="001B225E" w:rsidP="001B225E">
      <w:pPr>
        <w:spacing w:before="80" w:after="0" w:line="240" w:lineRule="auto"/>
        <w:rPr>
          <w:rFonts w:ascii="Arial" w:eastAsia="Arial" w:hAnsi="Arial" w:cs="Arial"/>
        </w:rPr>
      </w:pPr>
      <w:r w:rsidRPr="002A1433">
        <w:rPr>
          <w:rFonts w:ascii="Arial" w:eastAsia="Arial" w:hAnsi="Arial" w:cs="Arial"/>
        </w:rPr>
        <w:t>Direction: Please provide the information requested below. Check (</w:t>
      </w:r>
      <w:sdt>
        <w:sdtPr>
          <w:rPr>
            <w:rFonts w:ascii="Arial" w:hAnsi="Arial" w:cs="Arial"/>
          </w:rPr>
          <w:tag w:val="goog_rdk_0"/>
          <w:id w:val="1750825107"/>
        </w:sdtPr>
        <w:sdtContent>
          <w:r w:rsidRPr="002A1433">
            <w:rPr>
              <w:rFonts w:ascii="Segoe UI Symbol" w:eastAsia="Arial Unicode MS" w:hAnsi="Segoe UI Symbol" w:cs="Segoe UI Symbol"/>
            </w:rPr>
            <w:t>✓</w:t>
          </w:r>
        </w:sdtContent>
      </w:sdt>
      <w:r w:rsidRPr="002A1433">
        <w:rPr>
          <w:rFonts w:ascii="Arial" w:eastAsia="Arial" w:hAnsi="Arial" w:cs="Arial"/>
        </w:rPr>
        <w:t>) the appropriate box or write your answer on the blank provided.</w:t>
      </w:r>
    </w:p>
    <w:p w14:paraId="615364B5" w14:textId="77777777" w:rsidR="001B225E" w:rsidRPr="002A1433" w:rsidRDefault="001B225E" w:rsidP="001B225E">
      <w:pPr>
        <w:spacing w:before="80" w:after="0" w:line="240" w:lineRule="auto"/>
        <w:rPr>
          <w:rFonts w:ascii="Arial" w:eastAsia="Arial" w:hAnsi="Arial" w:cs="Arial"/>
        </w:rPr>
      </w:pPr>
      <w:r w:rsidRPr="002A1433">
        <w:rPr>
          <w:rFonts w:ascii="Arial" w:eastAsia="Arial" w:hAnsi="Arial" w:cs="Arial"/>
        </w:rPr>
        <w:t>1.   Age: ___________</w:t>
      </w:r>
    </w:p>
    <w:p w14:paraId="574B4E31" w14:textId="77777777" w:rsidR="001B225E" w:rsidRPr="002A1433" w:rsidRDefault="001B225E" w:rsidP="001B225E">
      <w:pPr>
        <w:spacing w:before="80" w:after="0" w:line="240" w:lineRule="auto"/>
        <w:rPr>
          <w:rFonts w:ascii="Arial" w:eastAsia="Arial" w:hAnsi="Arial" w:cs="Arial"/>
        </w:rPr>
      </w:pPr>
      <w:r w:rsidRPr="002A1433">
        <w:rPr>
          <w:rFonts w:ascii="Arial" w:eastAsia="Arial" w:hAnsi="Arial" w:cs="Arial"/>
        </w:rPr>
        <w:t>2.   Sex:</w:t>
      </w:r>
    </w:p>
    <w:p w14:paraId="7F0390DA" w14:textId="77777777" w:rsidR="001B225E" w:rsidRPr="006C7699" w:rsidRDefault="001B225E" w:rsidP="001B225E">
      <w:pPr>
        <w:pBdr>
          <w:top w:val="nil"/>
          <w:left w:val="nil"/>
          <w:bottom w:val="nil"/>
          <w:right w:val="nil"/>
          <w:between w:val="nil"/>
        </w:pBdr>
        <w:spacing w:before="60" w:after="0" w:line="240" w:lineRule="auto"/>
        <w:ind w:left="720"/>
        <w:rPr>
          <w:rFonts w:ascii="Arial" w:eastAsia="Arial" w:hAnsi="Arial" w:cs="Arial"/>
          <w:color w:val="000000"/>
        </w:rPr>
      </w:pPr>
      <w:sdt>
        <w:sdtPr>
          <w:rPr>
            <w:rFonts w:ascii="Arial" w:hAnsi="Arial" w:cs="Arial"/>
          </w:rPr>
          <w:tag w:val="goog_rdk_1"/>
          <w:id w:val="-1277071956"/>
        </w:sdtPr>
        <w:sdtContent>
          <w:r w:rsidRPr="002A1433">
            <w:rPr>
              <w:rFonts w:ascii="Segoe UI Symbol" w:eastAsia="Arial Unicode MS" w:hAnsi="Segoe UI Symbol" w:cs="Segoe UI Symbol"/>
              <w:color w:val="000000"/>
            </w:rPr>
            <w:t>☐</w:t>
          </w:r>
        </w:sdtContent>
      </w:sdt>
      <w:r w:rsidRPr="002A1433">
        <w:rPr>
          <w:rFonts w:ascii="Arial" w:eastAsia="Arial" w:hAnsi="Arial" w:cs="Arial"/>
          <w:color w:val="000000"/>
        </w:rPr>
        <w:t xml:space="preserve"> Male</w:t>
      </w:r>
      <w:r w:rsidRPr="003D0AA6">
        <w:rPr>
          <w:rFonts w:ascii="Arial" w:hAnsi="Arial" w:cs="Arial"/>
        </w:rPr>
        <w:t xml:space="preserve"> </w:t>
      </w:r>
      <w:sdt>
        <w:sdtPr>
          <w:rPr>
            <w:rFonts w:ascii="Arial" w:hAnsi="Arial" w:cs="Arial"/>
          </w:rPr>
          <w:tag w:val="goog_rdk_2"/>
          <w:id w:val="-915127351"/>
        </w:sdtPr>
        <w:sdtContent>
          <w:r w:rsidRPr="002A1433">
            <w:rPr>
              <w:rFonts w:ascii="Segoe UI Symbol" w:eastAsia="Arial Unicode MS" w:hAnsi="Segoe UI Symbol" w:cs="Segoe UI Symbol"/>
              <w:color w:val="000000"/>
            </w:rPr>
            <w:t>☐</w:t>
          </w:r>
        </w:sdtContent>
      </w:sdt>
      <w:r>
        <w:rPr>
          <w:rFonts w:ascii="Arial" w:eastAsia="Arial" w:hAnsi="Arial" w:cs="Arial"/>
          <w:color w:val="000000"/>
        </w:rPr>
        <w:t xml:space="preserve"> </w:t>
      </w:r>
      <w:r w:rsidRPr="002A1433">
        <w:rPr>
          <w:rFonts w:ascii="Arial" w:eastAsia="Arial" w:hAnsi="Arial" w:cs="Arial"/>
          <w:color w:val="000000"/>
        </w:rPr>
        <w:t>Female</w:t>
      </w:r>
    </w:p>
    <w:p w14:paraId="46D90058" w14:textId="77777777" w:rsidR="001B225E" w:rsidRPr="002A1433" w:rsidRDefault="001B225E" w:rsidP="001B225E">
      <w:pPr>
        <w:spacing w:before="80" w:after="0" w:line="240" w:lineRule="auto"/>
        <w:rPr>
          <w:rFonts w:ascii="Arial" w:eastAsia="Arial" w:hAnsi="Arial" w:cs="Arial"/>
        </w:rPr>
      </w:pPr>
      <w:r w:rsidRPr="002A1433">
        <w:rPr>
          <w:rFonts w:ascii="Arial" w:eastAsia="Arial" w:hAnsi="Arial" w:cs="Arial"/>
        </w:rPr>
        <w:t>3.   Degree:</w:t>
      </w:r>
    </w:p>
    <w:p w14:paraId="0DEF0145" w14:textId="77777777" w:rsidR="001B225E" w:rsidRPr="002A1433" w:rsidRDefault="001B225E" w:rsidP="001B225E">
      <w:pPr>
        <w:pBdr>
          <w:top w:val="nil"/>
          <w:left w:val="nil"/>
          <w:bottom w:val="nil"/>
          <w:right w:val="nil"/>
          <w:between w:val="nil"/>
        </w:pBdr>
        <w:spacing w:before="60" w:after="0" w:line="240" w:lineRule="auto"/>
        <w:ind w:left="720"/>
        <w:rPr>
          <w:rFonts w:ascii="Arial" w:eastAsia="Arial" w:hAnsi="Arial" w:cs="Arial"/>
          <w:color w:val="000000"/>
        </w:rPr>
      </w:pPr>
      <w:sdt>
        <w:sdtPr>
          <w:rPr>
            <w:rFonts w:ascii="Arial" w:hAnsi="Arial" w:cs="Arial"/>
          </w:rPr>
          <w:tag w:val="goog_rdk_3"/>
          <w:id w:val="1641536782"/>
        </w:sdtPr>
        <w:sdtContent>
          <w:r w:rsidRPr="002A1433">
            <w:rPr>
              <w:rFonts w:ascii="Segoe UI Symbol" w:eastAsia="Arial Unicode MS" w:hAnsi="Segoe UI Symbol" w:cs="Segoe UI Symbol"/>
              <w:color w:val="000000"/>
            </w:rPr>
            <w:t>☐</w:t>
          </w:r>
        </w:sdtContent>
      </w:sdt>
      <w:r w:rsidRPr="002A1433">
        <w:rPr>
          <w:rFonts w:ascii="Arial" w:eastAsia="Arial" w:hAnsi="Arial" w:cs="Arial"/>
          <w:color w:val="000000"/>
        </w:rPr>
        <w:t xml:space="preserve"> Bachelor of Secondary Education (</w:t>
      </w:r>
      <w:proofErr w:type="spellStart"/>
      <w:r w:rsidRPr="002A1433">
        <w:rPr>
          <w:rFonts w:ascii="Arial" w:eastAsia="Arial" w:hAnsi="Arial" w:cs="Arial"/>
          <w:color w:val="000000"/>
        </w:rPr>
        <w:t>BSEd</w:t>
      </w:r>
      <w:proofErr w:type="spellEnd"/>
      <w:r w:rsidRPr="002A1433">
        <w:rPr>
          <w:rFonts w:ascii="Arial" w:eastAsia="Arial" w:hAnsi="Arial" w:cs="Arial"/>
          <w:color w:val="000000"/>
        </w:rPr>
        <w:t>)</w:t>
      </w:r>
    </w:p>
    <w:p w14:paraId="25106A9E" w14:textId="77777777" w:rsidR="001B225E" w:rsidRPr="002A1433" w:rsidRDefault="001B225E" w:rsidP="001B225E">
      <w:pPr>
        <w:pBdr>
          <w:top w:val="nil"/>
          <w:left w:val="nil"/>
          <w:bottom w:val="nil"/>
          <w:right w:val="nil"/>
          <w:between w:val="nil"/>
        </w:pBdr>
        <w:spacing w:after="0" w:line="240" w:lineRule="auto"/>
        <w:ind w:left="720"/>
        <w:rPr>
          <w:rFonts w:ascii="Arial" w:eastAsia="Arial" w:hAnsi="Arial" w:cs="Arial"/>
          <w:color w:val="000000"/>
        </w:rPr>
      </w:pPr>
      <w:sdt>
        <w:sdtPr>
          <w:rPr>
            <w:rFonts w:ascii="Arial" w:hAnsi="Arial" w:cs="Arial"/>
          </w:rPr>
          <w:tag w:val="goog_rdk_4"/>
          <w:id w:val="-1252710453"/>
        </w:sdtPr>
        <w:sdtContent>
          <w:r w:rsidRPr="002A1433">
            <w:rPr>
              <w:rFonts w:ascii="Segoe UI Symbol" w:eastAsia="Arial Unicode MS" w:hAnsi="Segoe UI Symbol" w:cs="Segoe UI Symbol"/>
              <w:color w:val="000000"/>
            </w:rPr>
            <w:t>☐</w:t>
          </w:r>
        </w:sdtContent>
      </w:sdt>
      <w:r w:rsidRPr="002A1433">
        <w:rPr>
          <w:rFonts w:ascii="Arial" w:eastAsia="Arial" w:hAnsi="Arial" w:cs="Arial"/>
          <w:color w:val="000000"/>
        </w:rPr>
        <w:t xml:space="preserve"> Bachelor of Physical Education (</w:t>
      </w:r>
      <w:proofErr w:type="spellStart"/>
      <w:r w:rsidRPr="002A1433">
        <w:rPr>
          <w:rFonts w:ascii="Arial" w:eastAsia="Arial" w:hAnsi="Arial" w:cs="Arial"/>
          <w:color w:val="000000"/>
        </w:rPr>
        <w:t>BPEd</w:t>
      </w:r>
      <w:proofErr w:type="spellEnd"/>
      <w:r w:rsidRPr="002A1433">
        <w:rPr>
          <w:rFonts w:ascii="Arial" w:eastAsia="Arial" w:hAnsi="Arial" w:cs="Arial"/>
          <w:color w:val="000000"/>
        </w:rPr>
        <w:t>)</w:t>
      </w:r>
    </w:p>
    <w:p w14:paraId="01D6EBDF" w14:textId="77777777" w:rsidR="001B225E" w:rsidRPr="002A1433" w:rsidRDefault="001B225E" w:rsidP="001B225E">
      <w:pPr>
        <w:pBdr>
          <w:top w:val="nil"/>
          <w:left w:val="nil"/>
          <w:bottom w:val="nil"/>
          <w:right w:val="nil"/>
          <w:between w:val="nil"/>
        </w:pBdr>
        <w:spacing w:after="0" w:line="240" w:lineRule="auto"/>
        <w:ind w:left="720"/>
        <w:rPr>
          <w:rFonts w:ascii="Arial" w:eastAsia="Arial" w:hAnsi="Arial" w:cs="Arial"/>
          <w:color w:val="000000"/>
        </w:rPr>
      </w:pPr>
      <w:sdt>
        <w:sdtPr>
          <w:rPr>
            <w:rFonts w:ascii="Arial" w:hAnsi="Arial" w:cs="Arial"/>
          </w:rPr>
          <w:tag w:val="goog_rdk_5"/>
          <w:id w:val="1059687963"/>
        </w:sdtPr>
        <w:sdtContent>
          <w:r w:rsidRPr="002A1433">
            <w:rPr>
              <w:rFonts w:ascii="Segoe UI Symbol" w:eastAsia="Arial Unicode MS" w:hAnsi="Segoe UI Symbol" w:cs="Segoe UI Symbol"/>
              <w:color w:val="000000"/>
            </w:rPr>
            <w:t>☐</w:t>
          </w:r>
        </w:sdtContent>
      </w:sdt>
      <w:r w:rsidRPr="002A1433">
        <w:rPr>
          <w:rFonts w:ascii="Arial" w:eastAsia="Arial" w:hAnsi="Arial" w:cs="Arial"/>
          <w:color w:val="000000"/>
        </w:rPr>
        <w:t xml:space="preserve"> Bachelor of Technology and Livelihood Education (</w:t>
      </w:r>
      <w:proofErr w:type="spellStart"/>
      <w:r w:rsidRPr="002A1433">
        <w:rPr>
          <w:rFonts w:ascii="Arial" w:eastAsia="Arial" w:hAnsi="Arial" w:cs="Arial"/>
          <w:color w:val="000000"/>
        </w:rPr>
        <w:t>BTLEd</w:t>
      </w:r>
      <w:proofErr w:type="spellEnd"/>
      <w:r w:rsidRPr="002A1433">
        <w:rPr>
          <w:rFonts w:ascii="Arial" w:eastAsia="Arial" w:hAnsi="Arial" w:cs="Arial"/>
          <w:color w:val="000000"/>
        </w:rPr>
        <w:t>)</w:t>
      </w:r>
    </w:p>
    <w:p w14:paraId="2D236D87" w14:textId="77777777" w:rsidR="001B225E" w:rsidRPr="006C7699" w:rsidRDefault="001B225E" w:rsidP="001B225E">
      <w:pPr>
        <w:pBdr>
          <w:top w:val="nil"/>
          <w:left w:val="nil"/>
          <w:bottom w:val="nil"/>
          <w:right w:val="nil"/>
          <w:between w:val="nil"/>
        </w:pBdr>
        <w:spacing w:after="0" w:line="240" w:lineRule="auto"/>
        <w:ind w:left="720"/>
        <w:rPr>
          <w:rFonts w:ascii="Arial" w:eastAsia="Arial" w:hAnsi="Arial" w:cs="Arial"/>
          <w:color w:val="000000"/>
        </w:rPr>
      </w:pPr>
      <w:sdt>
        <w:sdtPr>
          <w:rPr>
            <w:rFonts w:ascii="Arial" w:hAnsi="Arial" w:cs="Arial"/>
          </w:rPr>
          <w:tag w:val="goog_rdk_6"/>
          <w:id w:val="-1555454169"/>
        </w:sdtPr>
        <w:sdtContent>
          <w:r w:rsidRPr="002A1433">
            <w:rPr>
              <w:rFonts w:ascii="Segoe UI Symbol" w:eastAsia="Arial Unicode MS" w:hAnsi="Segoe UI Symbol" w:cs="Segoe UI Symbol"/>
              <w:color w:val="000000"/>
            </w:rPr>
            <w:t>☐</w:t>
          </w:r>
        </w:sdtContent>
      </w:sdt>
      <w:r w:rsidRPr="002A1433">
        <w:rPr>
          <w:rFonts w:ascii="Arial" w:eastAsia="Arial" w:hAnsi="Arial" w:cs="Arial"/>
          <w:color w:val="000000"/>
        </w:rPr>
        <w:t xml:space="preserve"> Others (please specify): ______________________</w:t>
      </w:r>
    </w:p>
    <w:p w14:paraId="432DB1A2" w14:textId="77777777" w:rsidR="001B225E" w:rsidRPr="002A1433" w:rsidRDefault="001B225E" w:rsidP="001B225E">
      <w:pPr>
        <w:spacing w:before="80" w:after="0" w:line="240" w:lineRule="auto"/>
        <w:rPr>
          <w:rFonts w:ascii="Arial" w:eastAsia="Arial" w:hAnsi="Arial" w:cs="Arial"/>
        </w:rPr>
      </w:pPr>
      <w:r w:rsidRPr="002A1433">
        <w:rPr>
          <w:rFonts w:ascii="Arial" w:eastAsia="Arial" w:hAnsi="Arial" w:cs="Arial"/>
        </w:rPr>
        <w:t xml:space="preserve">4.   Major / Specialization: </w:t>
      </w:r>
      <w:r>
        <w:rPr>
          <w:rFonts w:ascii="Arial" w:eastAsia="Arial" w:hAnsi="Arial" w:cs="Arial"/>
        </w:rPr>
        <w:t>___________________________</w:t>
      </w:r>
    </w:p>
    <w:p w14:paraId="4B04594F" w14:textId="77777777" w:rsidR="001B225E" w:rsidRPr="002A1433" w:rsidRDefault="001B225E" w:rsidP="001B225E">
      <w:pPr>
        <w:spacing w:before="80" w:after="0" w:line="240" w:lineRule="auto"/>
        <w:rPr>
          <w:rFonts w:ascii="Arial" w:eastAsia="Arial" w:hAnsi="Arial" w:cs="Arial"/>
        </w:rPr>
      </w:pPr>
      <w:r>
        <w:rPr>
          <w:rFonts w:ascii="Arial" w:eastAsia="Arial" w:hAnsi="Arial" w:cs="Arial"/>
        </w:rPr>
        <w:t>5</w:t>
      </w:r>
      <w:r w:rsidRPr="002A1433">
        <w:rPr>
          <w:rFonts w:ascii="Arial" w:eastAsia="Arial" w:hAnsi="Arial" w:cs="Arial"/>
        </w:rPr>
        <w:t>.   LET Rating: ___________</w:t>
      </w:r>
    </w:p>
    <w:p w14:paraId="00E31427" w14:textId="77777777" w:rsidR="001B225E" w:rsidRPr="006C7699" w:rsidRDefault="001B225E" w:rsidP="001B225E">
      <w:pPr>
        <w:pBdr>
          <w:top w:val="nil"/>
          <w:left w:val="nil"/>
          <w:bottom w:val="nil"/>
          <w:right w:val="nil"/>
          <w:between w:val="nil"/>
        </w:pBdr>
        <w:spacing w:before="60" w:after="0" w:line="240" w:lineRule="auto"/>
        <w:ind w:left="720"/>
        <w:rPr>
          <w:rFonts w:ascii="Arial" w:eastAsia="Arial" w:hAnsi="Arial" w:cs="Arial"/>
          <w:color w:val="000000"/>
        </w:rPr>
      </w:pPr>
      <w:sdt>
        <w:sdtPr>
          <w:rPr>
            <w:rFonts w:ascii="Arial" w:hAnsi="Arial" w:cs="Arial"/>
          </w:rPr>
          <w:tag w:val="goog_rdk_9"/>
          <w:id w:val="742039310"/>
        </w:sdtPr>
        <w:sdtContent>
          <w:r w:rsidRPr="002A1433">
            <w:rPr>
              <w:rFonts w:ascii="Segoe UI Symbol" w:eastAsia="Arial Unicode MS" w:hAnsi="Segoe UI Symbol" w:cs="Segoe UI Symbol"/>
              <w:color w:val="000000"/>
            </w:rPr>
            <w:t>☐</w:t>
          </w:r>
        </w:sdtContent>
      </w:sdt>
      <w:r w:rsidRPr="002A1433">
        <w:rPr>
          <w:rFonts w:ascii="Arial" w:eastAsia="Arial" w:hAnsi="Arial" w:cs="Arial"/>
          <w:color w:val="000000"/>
        </w:rPr>
        <w:t xml:space="preserve"> Passed</w:t>
      </w:r>
      <w:r w:rsidRPr="006C7699">
        <w:rPr>
          <w:rFonts w:ascii="Arial" w:hAnsi="Arial" w:cs="Arial"/>
        </w:rPr>
        <w:t xml:space="preserve"> </w:t>
      </w:r>
      <w:sdt>
        <w:sdtPr>
          <w:rPr>
            <w:rFonts w:ascii="Arial" w:hAnsi="Arial" w:cs="Arial"/>
          </w:rPr>
          <w:tag w:val="goog_rdk_10"/>
          <w:id w:val="874749146"/>
        </w:sdtPr>
        <w:sdtContent>
          <w:r w:rsidRPr="002A1433">
            <w:rPr>
              <w:rFonts w:ascii="Segoe UI Symbol" w:eastAsia="Arial Unicode MS" w:hAnsi="Segoe UI Symbol" w:cs="Segoe UI Symbol"/>
              <w:color w:val="000000"/>
            </w:rPr>
            <w:t>☐</w:t>
          </w:r>
        </w:sdtContent>
      </w:sdt>
      <w:r w:rsidRPr="002A1433">
        <w:rPr>
          <w:rFonts w:ascii="Arial" w:eastAsia="Arial" w:hAnsi="Arial" w:cs="Arial"/>
          <w:color w:val="000000"/>
        </w:rPr>
        <w:t>Failed</w:t>
      </w:r>
    </w:p>
    <w:p w14:paraId="2288D797" w14:textId="77777777" w:rsidR="001B225E" w:rsidRPr="006C7699" w:rsidRDefault="001B225E" w:rsidP="001B225E">
      <w:pPr>
        <w:spacing w:before="240" w:after="0" w:line="240" w:lineRule="auto"/>
        <w:jc w:val="center"/>
        <w:rPr>
          <w:rFonts w:ascii="Arial" w:eastAsia="Arial" w:hAnsi="Arial" w:cs="Arial"/>
          <w:b/>
          <w:bCs/>
          <w:u w:val="single"/>
        </w:rPr>
      </w:pPr>
      <w:r w:rsidRPr="002A1433">
        <w:rPr>
          <w:rFonts w:ascii="Arial" w:eastAsia="Arial" w:hAnsi="Arial" w:cs="Arial"/>
          <w:b/>
          <w:bCs/>
          <w:u w:val="single"/>
        </w:rPr>
        <w:t>PART II: ACADEMIC PERFORMANCE</w:t>
      </w:r>
    </w:p>
    <w:p w14:paraId="76C370E7" w14:textId="77777777" w:rsidR="001B225E" w:rsidRPr="002A1433" w:rsidRDefault="001B225E" w:rsidP="001B225E">
      <w:pPr>
        <w:spacing w:before="80" w:after="0" w:line="240" w:lineRule="auto"/>
        <w:rPr>
          <w:rFonts w:ascii="Arial" w:eastAsia="Arial" w:hAnsi="Arial" w:cs="Arial"/>
        </w:rPr>
      </w:pPr>
      <w:r w:rsidRPr="002A1433">
        <w:rPr>
          <w:rFonts w:ascii="Arial" w:eastAsia="Arial" w:hAnsi="Arial" w:cs="Arial"/>
        </w:rPr>
        <w:lastRenderedPageBreak/>
        <w:t>Direction: Please provide your academic grades in the following areas. You may refer to your official transcript of records.</w:t>
      </w:r>
    </w:p>
    <w:p w14:paraId="42CF4A56" w14:textId="77777777" w:rsidR="001B225E" w:rsidRPr="002A1433" w:rsidRDefault="001B225E" w:rsidP="001B225E">
      <w:pPr>
        <w:spacing w:before="60" w:after="0" w:line="240" w:lineRule="auto"/>
        <w:rPr>
          <w:rFonts w:ascii="Arial" w:eastAsia="Arial" w:hAnsi="Arial" w:cs="Arial"/>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3820"/>
      </w:tblGrid>
      <w:tr w:rsidR="001B225E" w:rsidRPr="003D0AA6" w14:paraId="531DF305" w14:textId="77777777" w:rsidTr="00146DF8">
        <w:tc>
          <w:tcPr>
            <w:tcW w:w="46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563A36E" w14:textId="77777777" w:rsidR="001B225E" w:rsidRPr="003D0AA6" w:rsidRDefault="001B225E" w:rsidP="00146DF8">
            <w:pPr>
              <w:spacing w:after="0" w:line="240" w:lineRule="auto"/>
              <w:jc w:val="center"/>
              <w:rPr>
                <w:rFonts w:ascii="Arial" w:eastAsia="Arial" w:hAnsi="Arial" w:cs="Arial"/>
                <w:sz w:val="22"/>
                <w:szCs w:val="22"/>
              </w:rPr>
            </w:pPr>
            <w:r w:rsidRPr="003D0AA6">
              <w:rPr>
                <w:rFonts w:ascii="Arial" w:eastAsia="Arial" w:hAnsi="Arial" w:cs="Arial"/>
                <w:b/>
                <w:bCs/>
                <w:sz w:val="22"/>
                <w:szCs w:val="22"/>
              </w:rPr>
              <w:t>Academic Area</w:t>
            </w:r>
          </w:p>
        </w:tc>
        <w:tc>
          <w:tcPr>
            <w:tcW w:w="38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A8172CC" w14:textId="77777777" w:rsidR="001B225E" w:rsidRPr="003D0AA6" w:rsidRDefault="001B225E" w:rsidP="00146DF8">
            <w:pPr>
              <w:spacing w:after="0" w:line="240" w:lineRule="auto"/>
              <w:jc w:val="center"/>
              <w:rPr>
                <w:rFonts w:ascii="Arial" w:eastAsia="Arial" w:hAnsi="Arial" w:cs="Arial"/>
                <w:sz w:val="22"/>
                <w:szCs w:val="22"/>
              </w:rPr>
            </w:pPr>
            <w:r w:rsidRPr="003D0AA6">
              <w:rPr>
                <w:rFonts w:ascii="Arial" w:eastAsia="Arial" w:hAnsi="Arial" w:cs="Arial"/>
                <w:b/>
                <w:bCs/>
                <w:sz w:val="22"/>
                <w:szCs w:val="22"/>
              </w:rPr>
              <w:t>Grade / Average</w:t>
            </w:r>
          </w:p>
        </w:tc>
      </w:tr>
      <w:tr w:rsidR="001B225E" w:rsidRPr="003D0AA6" w14:paraId="6E2139E8" w14:textId="77777777" w:rsidTr="00146DF8">
        <w:tc>
          <w:tcPr>
            <w:tcW w:w="46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F00EAD9" w14:textId="77777777" w:rsidR="001B225E" w:rsidRPr="003D0AA6" w:rsidRDefault="001B225E" w:rsidP="00146DF8">
            <w:pPr>
              <w:spacing w:after="0" w:line="240" w:lineRule="auto"/>
              <w:rPr>
                <w:rFonts w:ascii="Arial" w:eastAsia="Arial" w:hAnsi="Arial" w:cs="Arial"/>
                <w:sz w:val="22"/>
                <w:szCs w:val="22"/>
              </w:rPr>
            </w:pPr>
            <w:r w:rsidRPr="003D0AA6">
              <w:rPr>
                <w:rFonts w:ascii="Arial" w:eastAsia="Arial" w:hAnsi="Arial" w:cs="Arial"/>
                <w:sz w:val="22"/>
                <w:szCs w:val="22"/>
              </w:rPr>
              <w:t>General Weighted Average (GWA)</w:t>
            </w:r>
          </w:p>
        </w:tc>
        <w:tc>
          <w:tcPr>
            <w:tcW w:w="38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13E4D1E" w14:textId="77777777" w:rsidR="001B225E" w:rsidRPr="003D0AA6" w:rsidRDefault="001B225E" w:rsidP="00146DF8">
            <w:pPr>
              <w:spacing w:after="0" w:line="240" w:lineRule="auto"/>
              <w:rPr>
                <w:rFonts w:ascii="Arial" w:eastAsia="Arial" w:hAnsi="Arial" w:cs="Arial"/>
                <w:sz w:val="22"/>
                <w:szCs w:val="22"/>
              </w:rPr>
            </w:pPr>
          </w:p>
        </w:tc>
      </w:tr>
      <w:tr w:rsidR="001B225E" w:rsidRPr="003D0AA6" w14:paraId="26AADBD0" w14:textId="77777777" w:rsidTr="00146DF8">
        <w:tc>
          <w:tcPr>
            <w:tcW w:w="46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BB77A76" w14:textId="77777777" w:rsidR="001B225E" w:rsidRPr="003D0AA6" w:rsidRDefault="001B225E" w:rsidP="00146DF8">
            <w:pPr>
              <w:spacing w:after="0" w:line="240" w:lineRule="auto"/>
              <w:rPr>
                <w:rFonts w:ascii="Arial" w:eastAsia="Arial" w:hAnsi="Arial" w:cs="Arial"/>
                <w:sz w:val="22"/>
                <w:szCs w:val="22"/>
              </w:rPr>
            </w:pPr>
            <w:r w:rsidRPr="003D0AA6">
              <w:rPr>
                <w:rFonts w:ascii="Arial" w:eastAsia="Arial" w:hAnsi="Arial" w:cs="Arial"/>
                <w:sz w:val="22"/>
                <w:szCs w:val="22"/>
              </w:rPr>
              <w:t>General Education (Gen Ed) Average</w:t>
            </w:r>
          </w:p>
        </w:tc>
        <w:tc>
          <w:tcPr>
            <w:tcW w:w="38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8E1BA0A" w14:textId="77777777" w:rsidR="001B225E" w:rsidRPr="003D0AA6" w:rsidRDefault="001B225E" w:rsidP="00146DF8">
            <w:pPr>
              <w:spacing w:after="0" w:line="240" w:lineRule="auto"/>
              <w:rPr>
                <w:rFonts w:ascii="Arial" w:eastAsia="Arial" w:hAnsi="Arial" w:cs="Arial"/>
                <w:sz w:val="22"/>
                <w:szCs w:val="22"/>
              </w:rPr>
            </w:pPr>
          </w:p>
        </w:tc>
      </w:tr>
      <w:tr w:rsidR="001B225E" w:rsidRPr="003D0AA6" w14:paraId="2EE7E296" w14:textId="77777777" w:rsidTr="00146DF8">
        <w:tc>
          <w:tcPr>
            <w:tcW w:w="46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3BF8DA9" w14:textId="77777777" w:rsidR="001B225E" w:rsidRPr="003D0AA6" w:rsidRDefault="001B225E" w:rsidP="00146DF8">
            <w:pPr>
              <w:spacing w:after="0" w:line="240" w:lineRule="auto"/>
              <w:rPr>
                <w:rFonts w:ascii="Arial" w:eastAsia="Arial" w:hAnsi="Arial" w:cs="Arial"/>
                <w:sz w:val="22"/>
                <w:szCs w:val="22"/>
              </w:rPr>
            </w:pPr>
            <w:r w:rsidRPr="003D0AA6">
              <w:rPr>
                <w:rFonts w:ascii="Arial" w:eastAsia="Arial" w:hAnsi="Arial" w:cs="Arial"/>
                <w:sz w:val="22"/>
                <w:szCs w:val="22"/>
              </w:rPr>
              <w:t>Professional Education (Prof Ed) Average</w:t>
            </w:r>
          </w:p>
        </w:tc>
        <w:tc>
          <w:tcPr>
            <w:tcW w:w="38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6AA50BA" w14:textId="77777777" w:rsidR="001B225E" w:rsidRPr="003D0AA6" w:rsidRDefault="001B225E" w:rsidP="00146DF8">
            <w:pPr>
              <w:spacing w:after="0" w:line="240" w:lineRule="auto"/>
              <w:rPr>
                <w:rFonts w:ascii="Arial" w:eastAsia="Arial" w:hAnsi="Arial" w:cs="Arial"/>
                <w:sz w:val="22"/>
                <w:szCs w:val="22"/>
              </w:rPr>
            </w:pPr>
          </w:p>
        </w:tc>
      </w:tr>
      <w:tr w:rsidR="001B225E" w:rsidRPr="003D0AA6" w14:paraId="17C276C9" w14:textId="77777777" w:rsidTr="00146DF8">
        <w:tc>
          <w:tcPr>
            <w:tcW w:w="46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0EC675E" w14:textId="77777777" w:rsidR="001B225E" w:rsidRPr="003D0AA6" w:rsidRDefault="001B225E" w:rsidP="00146DF8">
            <w:pPr>
              <w:spacing w:after="0" w:line="240" w:lineRule="auto"/>
              <w:rPr>
                <w:rFonts w:ascii="Arial" w:eastAsia="Arial" w:hAnsi="Arial" w:cs="Arial"/>
                <w:sz w:val="22"/>
                <w:szCs w:val="22"/>
              </w:rPr>
            </w:pPr>
            <w:r w:rsidRPr="003D0AA6">
              <w:rPr>
                <w:rFonts w:ascii="Arial" w:eastAsia="Arial" w:hAnsi="Arial" w:cs="Arial"/>
                <w:sz w:val="22"/>
                <w:szCs w:val="22"/>
              </w:rPr>
              <w:t>Major / Specialization Average</w:t>
            </w:r>
          </w:p>
        </w:tc>
        <w:tc>
          <w:tcPr>
            <w:tcW w:w="38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8463094" w14:textId="77777777" w:rsidR="001B225E" w:rsidRPr="003D0AA6" w:rsidRDefault="001B225E" w:rsidP="00146DF8">
            <w:pPr>
              <w:spacing w:after="0" w:line="240" w:lineRule="auto"/>
              <w:rPr>
                <w:rFonts w:ascii="Arial" w:eastAsia="Arial" w:hAnsi="Arial" w:cs="Arial"/>
                <w:sz w:val="22"/>
                <w:szCs w:val="22"/>
              </w:rPr>
            </w:pPr>
          </w:p>
        </w:tc>
      </w:tr>
      <w:tr w:rsidR="001B225E" w:rsidRPr="003D0AA6" w14:paraId="6EE43765" w14:textId="77777777" w:rsidTr="00146DF8">
        <w:tc>
          <w:tcPr>
            <w:tcW w:w="46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A53A868" w14:textId="77777777" w:rsidR="001B225E" w:rsidRPr="003D0AA6" w:rsidRDefault="001B225E" w:rsidP="00146DF8">
            <w:pPr>
              <w:spacing w:after="0" w:line="240" w:lineRule="auto"/>
              <w:rPr>
                <w:rFonts w:ascii="Arial" w:eastAsia="Arial" w:hAnsi="Arial" w:cs="Arial"/>
                <w:sz w:val="22"/>
                <w:szCs w:val="22"/>
              </w:rPr>
            </w:pPr>
            <w:r w:rsidRPr="003D0AA6">
              <w:rPr>
                <w:rFonts w:ascii="Arial" w:eastAsia="Arial" w:hAnsi="Arial" w:cs="Arial"/>
                <w:sz w:val="22"/>
                <w:szCs w:val="22"/>
              </w:rPr>
              <w:t>Teaching Internship Grade</w:t>
            </w:r>
          </w:p>
        </w:tc>
        <w:tc>
          <w:tcPr>
            <w:tcW w:w="38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67057C7" w14:textId="77777777" w:rsidR="001B225E" w:rsidRPr="003D0AA6" w:rsidRDefault="001B225E" w:rsidP="00146DF8">
            <w:pPr>
              <w:spacing w:after="0" w:line="240" w:lineRule="auto"/>
              <w:rPr>
                <w:rFonts w:ascii="Arial" w:eastAsia="Arial" w:hAnsi="Arial" w:cs="Arial"/>
                <w:sz w:val="22"/>
                <w:szCs w:val="22"/>
              </w:rPr>
            </w:pPr>
          </w:p>
        </w:tc>
      </w:tr>
    </w:tbl>
    <w:p w14:paraId="442E102F" w14:textId="77777777" w:rsidR="001B225E" w:rsidRPr="002A1433" w:rsidRDefault="001B225E" w:rsidP="001B225E">
      <w:pPr>
        <w:spacing w:before="240" w:after="0" w:line="240" w:lineRule="auto"/>
        <w:jc w:val="center"/>
        <w:rPr>
          <w:rFonts w:ascii="Arial" w:eastAsia="Arial" w:hAnsi="Arial" w:cs="Arial"/>
        </w:rPr>
      </w:pPr>
      <w:r w:rsidRPr="002A1433">
        <w:rPr>
          <w:rFonts w:ascii="Arial" w:eastAsia="Arial" w:hAnsi="Arial" w:cs="Arial"/>
          <w:b/>
          <w:bCs/>
          <w:u w:val="single"/>
        </w:rPr>
        <w:t>PART III: STUDY HABITS FOR LET PREPARATION</w:t>
      </w:r>
    </w:p>
    <w:p w14:paraId="362FA388" w14:textId="77777777" w:rsidR="001B225E" w:rsidRPr="002A1433" w:rsidRDefault="001B225E" w:rsidP="001B225E">
      <w:pPr>
        <w:spacing w:before="80" w:after="0" w:line="240" w:lineRule="auto"/>
        <w:jc w:val="both"/>
        <w:rPr>
          <w:rFonts w:ascii="Arial" w:eastAsia="Arial" w:hAnsi="Arial" w:cs="Arial"/>
        </w:rPr>
      </w:pPr>
      <w:r w:rsidRPr="002A1433">
        <w:rPr>
          <w:rFonts w:ascii="Arial" w:eastAsia="Arial" w:hAnsi="Arial" w:cs="Arial"/>
        </w:rPr>
        <w:t>Direction: Please rate each statement by checking (</w:t>
      </w:r>
      <w:sdt>
        <w:sdtPr>
          <w:rPr>
            <w:rFonts w:ascii="Arial" w:hAnsi="Arial" w:cs="Arial"/>
          </w:rPr>
          <w:tag w:val="goog_rdk_11"/>
          <w:id w:val="-480562112"/>
        </w:sdtPr>
        <w:sdtContent>
          <w:r w:rsidRPr="002A1433">
            <w:rPr>
              <w:rFonts w:ascii="Segoe UI Symbol" w:eastAsia="Arial Unicode MS" w:hAnsi="Segoe UI Symbol" w:cs="Segoe UI Symbol"/>
            </w:rPr>
            <w:t>✓</w:t>
          </w:r>
        </w:sdtContent>
      </w:sdt>
      <w:r w:rsidRPr="002A1433">
        <w:rPr>
          <w:rFonts w:ascii="Arial" w:eastAsia="Arial" w:hAnsi="Arial" w:cs="Arial"/>
        </w:rPr>
        <w:t>) the column that corresponds to your assessment using the following scale:</w:t>
      </w:r>
    </w:p>
    <w:p w14:paraId="5CA164AF" w14:textId="77777777" w:rsidR="001B225E" w:rsidRPr="002A1433" w:rsidRDefault="001B225E" w:rsidP="001B225E">
      <w:pPr>
        <w:spacing w:before="80" w:after="0" w:line="240" w:lineRule="auto"/>
        <w:rPr>
          <w:rFonts w:ascii="Arial" w:eastAsia="Arial" w:hAnsi="Arial" w:cs="Arial"/>
        </w:rPr>
      </w:pPr>
      <w:r w:rsidRPr="002A1433">
        <w:rPr>
          <w:rFonts w:ascii="Arial" w:eastAsia="Arial" w:hAnsi="Arial" w:cs="Arial"/>
        </w:rPr>
        <w:t>5 – Always</w:t>
      </w:r>
      <w:r>
        <w:rPr>
          <w:rFonts w:ascii="Arial" w:eastAsia="Arial" w:hAnsi="Arial" w:cs="Arial"/>
        </w:rPr>
        <w:t xml:space="preserve">, </w:t>
      </w:r>
      <w:r w:rsidRPr="002A1433">
        <w:rPr>
          <w:rFonts w:ascii="Arial" w:eastAsia="Arial" w:hAnsi="Arial" w:cs="Arial"/>
        </w:rPr>
        <w:t>4 – Often</w:t>
      </w:r>
      <w:r>
        <w:rPr>
          <w:rFonts w:ascii="Arial" w:eastAsia="Arial" w:hAnsi="Arial" w:cs="Arial"/>
        </w:rPr>
        <w:t xml:space="preserve">, </w:t>
      </w:r>
      <w:r w:rsidRPr="002A1433">
        <w:rPr>
          <w:rFonts w:ascii="Arial" w:eastAsia="Arial" w:hAnsi="Arial" w:cs="Arial"/>
        </w:rPr>
        <w:t>3 – Sometimes</w:t>
      </w:r>
      <w:r>
        <w:rPr>
          <w:rFonts w:ascii="Arial" w:eastAsia="Arial" w:hAnsi="Arial" w:cs="Arial"/>
        </w:rPr>
        <w:t xml:space="preserve">, </w:t>
      </w:r>
      <w:r w:rsidRPr="002A1433">
        <w:rPr>
          <w:rFonts w:ascii="Arial" w:eastAsia="Arial" w:hAnsi="Arial" w:cs="Arial"/>
        </w:rPr>
        <w:t>2 – Rarely</w:t>
      </w:r>
      <w:r>
        <w:rPr>
          <w:rFonts w:ascii="Arial" w:eastAsia="Arial" w:hAnsi="Arial" w:cs="Arial"/>
        </w:rPr>
        <w:t xml:space="preserve">, </w:t>
      </w:r>
      <w:r w:rsidRPr="002A1433">
        <w:rPr>
          <w:rFonts w:ascii="Arial" w:eastAsia="Arial" w:hAnsi="Arial" w:cs="Arial"/>
        </w:rPr>
        <w:t>1 – Never</w:t>
      </w:r>
    </w:p>
    <w:p w14:paraId="36A063F8" w14:textId="77777777" w:rsidR="001B225E" w:rsidRPr="002A1433" w:rsidRDefault="001B225E" w:rsidP="001B225E">
      <w:pPr>
        <w:spacing w:before="60" w:after="0" w:line="240" w:lineRule="auto"/>
        <w:rPr>
          <w:rFonts w:ascii="Arial" w:eastAsia="Arial" w:hAnsi="Arial" w:cs="Arial"/>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0"/>
        <w:gridCol w:w="472"/>
        <w:gridCol w:w="567"/>
        <w:gridCol w:w="567"/>
        <w:gridCol w:w="567"/>
        <w:gridCol w:w="567"/>
      </w:tblGrid>
      <w:tr w:rsidR="001B225E" w:rsidRPr="003D0AA6" w14:paraId="07314CB8" w14:textId="77777777" w:rsidTr="00146DF8">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227E521" w14:textId="77777777" w:rsidR="001B225E" w:rsidRPr="003D0AA6" w:rsidRDefault="001B225E" w:rsidP="00146DF8">
            <w:pPr>
              <w:spacing w:after="0" w:line="240" w:lineRule="auto"/>
              <w:jc w:val="center"/>
              <w:rPr>
                <w:rFonts w:ascii="Arial" w:eastAsia="Arial" w:hAnsi="Arial" w:cs="Arial"/>
                <w:sz w:val="22"/>
                <w:szCs w:val="22"/>
              </w:rPr>
            </w:pPr>
            <w:r w:rsidRPr="003D0AA6">
              <w:rPr>
                <w:rFonts w:ascii="Arial" w:eastAsia="Arial" w:hAnsi="Arial" w:cs="Arial"/>
                <w:b/>
                <w:bCs/>
                <w:sz w:val="22"/>
                <w:szCs w:val="22"/>
              </w:rPr>
              <w:t>Indicators</w:t>
            </w:r>
          </w:p>
        </w:tc>
        <w:tc>
          <w:tcPr>
            <w:tcW w:w="47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F8DFA22" w14:textId="77777777" w:rsidR="001B225E" w:rsidRPr="003D0AA6" w:rsidRDefault="001B225E" w:rsidP="00146DF8">
            <w:pPr>
              <w:spacing w:after="0" w:line="240" w:lineRule="auto"/>
              <w:jc w:val="center"/>
              <w:rPr>
                <w:rFonts w:ascii="Arial" w:eastAsia="Arial" w:hAnsi="Arial" w:cs="Arial"/>
                <w:sz w:val="22"/>
                <w:szCs w:val="22"/>
              </w:rPr>
            </w:pPr>
            <w:r w:rsidRPr="003D0AA6">
              <w:rPr>
                <w:rFonts w:ascii="Arial" w:eastAsia="Arial" w:hAnsi="Arial" w:cs="Arial"/>
                <w:b/>
                <w:bCs/>
                <w:sz w:val="22"/>
                <w:szCs w:val="22"/>
              </w:rPr>
              <w:t>5</w:t>
            </w: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4C1A758" w14:textId="77777777" w:rsidR="001B225E" w:rsidRPr="003D0AA6" w:rsidRDefault="001B225E" w:rsidP="00146DF8">
            <w:pPr>
              <w:spacing w:after="0" w:line="240" w:lineRule="auto"/>
              <w:jc w:val="center"/>
              <w:rPr>
                <w:rFonts w:ascii="Arial" w:eastAsia="Arial" w:hAnsi="Arial" w:cs="Arial"/>
                <w:sz w:val="22"/>
                <w:szCs w:val="22"/>
              </w:rPr>
            </w:pPr>
            <w:r w:rsidRPr="003D0AA6">
              <w:rPr>
                <w:rFonts w:ascii="Arial" w:eastAsia="Arial" w:hAnsi="Arial" w:cs="Arial"/>
                <w:b/>
                <w:bCs/>
                <w:sz w:val="22"/>
                <w:szCs w:val="22"/>
              </w:rPr>
              <w:t>4</w:t>
            </w: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43DAF44" w14:textId="77777777" w:rsidR="001B225E" w:rsidRPr="003D0AA6" w:rsidRDefault="001B225E" w:rsidP="00146DF8">
            <w:pPr>
              <w:spacing w:after="0" w:line="240" w:lineRule="auto"/>
              <w:jc w:val="center"/>
              <w:rPr>
                <w:rFonts w:ascii="Arial" w:eastAsia="Arial" w:hAnsi="Arial" w:cs="Arial"/>
                <w:sz w:val="22"/>
                <w:szCs w:val="22"/>
              </w:rPr>
            </w:pPr>
            <w:r w:rsidRPr="003D0AA6">
              <w:rPr>
                <w:rFonts w:ascii="Arial" w:eastAsia="Arial" w:hAnsi="Arial" w:cs="Arial"/>
                <w:b/>
                <w:bCs/>
                <w:sz w:val="22"/>
                <w:szCs w:val="22"/>
              </w:rPr>
              <w:t>3</w:t>
            </w: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D798470" w14:textId="77777777" w:rsidR="001B225E" w:rsidRPr="003D0AA6" w:rsidRDefault="001B225E" w:rsidP="00146DF8">
            <w:pPr>
              <w:spacing w:after="0" w:line="240" w:lineRule="auto"/>
              <w:jc w:val="center"/>
              <w:rPr>
                <w:rFonts w:ascii="Arial" w:eastAsia="Arial" w:hAnsi="Arial" w:cs="Arial"/>
                <w:sz w:val="22"/>
                <w:szCs w:val="22"/>
              </w:rPr>
            </w:pPr>
            <w:r w:rsidRPr="003D0AA6">
              <w:rPr>
                <w:rFonts w:ascii="Arial" w:eastAsia="Arial" w:hAnsi="Arial" w:cs="Arial"/>
                <w:b/>
                <w:bCs/>
                <w:sz w:val="22"/>
                <w:szCs w:val="22"/>
              </w:rPr>
              <w:t>2</w:t>
            </w: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9DABA7D" w14:textId="77777777" w:rsidR="001B225E" w:rsidRPr="003D0AA6" w:rsidRDefault="001B225E" w:rsidP="00146DF8">
            <w:pPr>
              <w:spacing w:after="0" w:line="240" w:lineRule="auto"/>
              <w:jc w:val="center"/>
              <w:rPr>
                <w:rFonts w:ascii="Arial" w:eastAsia="Arial" w:hAnsi="Arial" w:cs="Arial"/>
                <w:sz w:val="22"/>
                <w:szCs w:val="22"/>
              </w:rPr>
            </w:pPr>
            <w:r w:rsidRPr="003D0AA6">
              <w:rPr>
                <w:rFonts w:ascii="Arial" w:eastAsia="Arial" w:hAnsi="Arial" w:cs="Arial"/>
                <w:b/>
                <w:bCs/>
                <w:sz w:val="22"/>
                <w:szCs w:val="22"/>
              </w:rPr>
              <w:t>1</w:t>
            </w:r>
          </w:p>
        </w:tc>
      </w:tr>
      <w:tr w:rsidR="001B225E" w:rsidRPr="003D0AA6" w14:paraId="16B2E349" w14:textId="77777777" w:rsidTr="00146DF8">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958D343" w14:textId="77777777" w:rsidR="001B225E" w:rsidRPr="003D0AA6" w:rsidRDefault="001B225E" w:rsidP="00146DF8">
            <w:pPr>
              <w:spacing w:after="0" w:line="240" w:lineRule="auto"/>
              <w:rPr>
                <w:rFonts w:ascii="Arial" w:eastAsia="Arial" w:hAnsi="Arial" w:cs="Arial"/>
                <w:sz w:val="22"/>
                <w:szCs w:val="22"/>
              </w:rPr>
            </w:pPr>
            <w:r w:rsidRPr="003D0AA6">
              <w:rPr>
                <w:rFonts w:ascii="Arial" w:eastAsia="Arial" w:hAnsi="Arial" w:cs="Arial"/>
                <w:sz w:val="22"/>
                <w:szCs w:val="22"/>
              </w:rPr>
              <w:t>1. Set a regular and consistent study schedule in preparation for the LET.</w:t>
            </w:r>
          </w:p>
        </w:tc>
        <w:tc>
          <w:tcPr>
            <w:tcW w:w="47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FAD6F75"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B99A53C"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064BE72"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3EAF879"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84B2ABA" w14:textId="77777777" w:rsidR="001B225E" w:rsidRPr="003D0AA6" w:rsidRDefault="001B225E" w:rsidP="00146DF8">
            <w:pPr>
              <w:spacing w:after="0" w:line="240" w:lineRule="auto"/>
              <w:jc w:val="center"/>
              <w:rPr>
                <w:rFonts w:ascii="Arial" w:eastAsia="Arial" w:hAnsi="Arial" w:cs="Arial"/>
                <w:sz w:val="22"/>
                <w:szCs w:val="22"/>
              </w:rPr>
            </w:pPr>
          </w:p>
        </w:tc>
      </w:tr>
      <w:tr w:rsidR="001B225E" w:rsidRPr="003D0AA6" w14:paraId="0DFCB2C9" w14:textId="77777777" w:rsidTr="00146DF8">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7C62675" w14:textId="77777777" w:rsidR="001B225E" w:rsidRPr="003D0AA6" w:rsidRDefault="001B225E" w:rsidP="00146DF8">
            <w:pPr>
              <w:spacing w:after="0" w:line="240" w:lineRule="auto"/>
              <w:rPr>
                <w:rFonts w:ascii="Arial" w:eastAsia="Arial" w:hAnsi="Arial" w:cs="Arial"/>
                <w:sz w:val="22"/>
                <w:szCs w:val="22"/>
              </w:rPr>
            </w:pPr>
            <w:r w:rsidRPr="003D0AA6">
              <w:rPr>
                <w:rFonts w:ascii="Arial" w:eastAsia="Arial" w:hAnsi="Arial" w:cs="Arial"/>
                <w:sz w:val="22"/>
                <w:szCs w:val="22"/>
              </w:rPr>
              <w:t>2. Allocate sufficient time each day for reviewing LET-related topics and subject areas.</w:t>
            </w:r>
          </w:p>
        </w:tc>
        <w:tc>
          <w:tcPr>
            <w:tcW w:w="47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7BE4686"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9A44B5D"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EEBE99A"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B6DA956"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90633C4" w14:textId="77777777" w:rsidR="001B225E" w:rsidRPr="003D0AA6" w:rsidRDefault="001B225E" w:rsidP="00146DF8">
            <w:pPr>
              <w:spacing w:after="0" w:line="240" w:lineRule="auto"/>
              <w:jc w:val="center"/>
              <w:rPr>
                <w:rFonts w:ascii="Arial" w:eastAsia="Arial" w:hAnsi="Arial" w:cs="Arial"/>
                <w:sz w:val="22"/>
                <w:szCs w:val="22"/>
              </w:rPr>
            </w:pPr>
          </w:p>
        </w:tc>
      </w:tr>
      <w:tr w:rsidR="001B225E" w:rsidRPr="003D0AA6" w14:paraId="6198C3EB" w14:textId="77777777" w:rsidTr="00146DF8">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2636E8F" w14:textId="77777777" w:rsidR="001B225E" w:rsidRPr="003D0AA6" w:rsidRDefault="001B225E" w:rsidP="00146DF8">
            <w:pPr>
              <w:spacing w:after="0" w:line="240" w:lineRule="auto"/>
              <w:rPr>
                <w:rFonts w:ascii="Arial" w:eastAsia="Arial" w:hAnsi="Arial" w:cs="Arial"/>
                <w:sz w:val="22"/>
                <w:szCs w:val="22"/>
              </w:rPr>
            </w:pPr>
            <w:r w:rsidRPr="003D0AA6">
              <w:rPr>
                <w:rFonts w:ascii="Arial" w:eastAsia="Arial" w:hAnsi="Arial" w:cs="Arial"/>
                <w:sz w:val="22"/>
                <w:szCs w:val="22"/>
              </w:rPr>
              <w:t>3. Prioritize reviewing the subject areas that were feel least confident.</w:t>
            </w:r>
          </w:p>
        </w:tc>
        <w:tc>
          <w:tcPr>
            <w:tcW w:w="47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B953DDD"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7731FEE"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69C9C5E"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12790C0"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5E8DDFB" w14:textId="77777777" w:rsidR="001B225E" w:rsidRPr="003D0AA6" w:rsidRDefault="001B225E" w:rsidP="00146DF8">
            <w:pPr>
              <w:spacing w:after="0" w:line="240" w:lineRule="auto"/>
              <w:jc w:val="center"/>
              <w:rPr>
                <w:rFonts w:ascii="Arial" w:eastAsia="Arial" w:hAnsi="Arial" w:cs="Arial"/>
                <w:sz w:val="22"/>
                <w:szCs w:val="22"/>
              </w:rPr>
            </w:pPr>
          </w:p>
        </w:tc>
      </w:tr>
      <w:tr w:rsidR="001B225E" w:rsidRPr="003D0AA6" w14:paraId="36E8E7E6" w14:textId="77777777" w:rsidTr="00146DF8">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CA0F121" w14:textId="77777777" w:rsidR="001B225E" w:rsidRPr="003D0AA6" w:rsidRDefault="001B225E" w:rsidP="00146DF8">
            <w:pPr>
              <w:spacing w:after="0" w:line="240" w:lineRule="auto"/>
              <w:rPr>
                <w:rFonts w:ascii="Arial" w:eastAsia="Arial" w:hAnsi="Arial" w:cs="Arial"/>
                <w:sz w:val="22"/>
                <w:szCs w:val="22"/>
              </w:rPr>
            </w:pPr>
            <w:r w:rsidRPr="003D0AA6">
              <w:rPr>
                <w:rFonts w:ascii="Arial" w:eastAsia="Arial" w:hAnsi="Arial" w:cs="Arial"/>
                <w:sz w:val="22"/>
                <w:szCs w:val="22"/>
              </w:rPr>
              <w:t>4. Use various study materials such as LET reviewers, textbooks, and past board exam questions.</w:t>
            </w:r>
          </w:p>
        </w:tc>
        <w:tc>
          <w:tcPr>
            <w:tcW w:w="47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54F41E7"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C9FF643"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FB73CC9"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3A3B9B2"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B17B0DD" w14:textId="77777777" w:rsidR="001B225E" w:rsidRPr="003D0AA6" w:rsidRDefault="001B225E" w:rsidP="00146DF8">
            <w:pPr>
              <w:spacing w:after="0" w:line="240" w:lineRule="auto"/>
              <w:jc w:val="center"/>
              <w:rPr>
                <w:rFonts w:ascii="Arial" w:eastAsia="Arial" w:hAnsi="Arial" w:cs="Arial"/>
                <w:sz w:val="22"/>
                <w:szCs w:val="22"/>
              </w:rPr>
            </w:pPr>
          </w:p>
        </w:tc>
      </w:tr>
      <w:tr w:rsidR="001B225E" w:rsidRPr="003D0AA6" w14:paraId="0CCA6178" w14:textId="77777777" w:rsidTr="00146DF8">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01545B0" w14:textId="77777777" w:rsidR="001B225E" w:rsidRPr="003D0AA6" w:rsidRDefault="001B225E" w:rsidP="00146DF8">
            <w:pPr>
              <w:spacing w:after="0" w:line="240" w:lineRule="auto"/>
              <w:rPr>
                <w:rFonts w:ascii="Arial" w:eastAsia="Arial" w:hAnsi="Arial" w:cs="Arial"/>
                <w:sz w:val="22"/>
                <w:szCs w:val="22"/>
              </w:rPr>
            </w:pPr>
            <w:r w:rsidRPr="003D0AA6">
              <w:rPr>
                <w:rFonts w:ascii="Arial" w:eastAsia="Arial" w:hAnsi="Arial" w:cs="Arial"/>
                <w:sz w:val="22"/>
                <w:szCs w:val="22"/>
              </w:rPr>
              <w:t>5. Take down notes and summarize key concepts while studying for the LET.</w:t>
            </w:r>
          </w:p>
        </w:tc>
        <w:tc>
          <w:tcPr>
            <w:tcW w:w="47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B1F3053"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68DD39E"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9FC2ACB"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A0271C8"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AD3DCCC" w14:textId="77777777" w:rsidR="001B225E" w:rsidRPr="003D0AA6" w:rsidRDefault="001B225E" w:rsidP="00146DF8">
            <w:pPr>
              <w:spacing w:after="0" w:line="240" w:lineRule="auto"/>
              <w:jc w:val="center"/>
              <w:rPr>
                <w:rFonts w:ascii="Arial" w:eastAsia="Arial" w:hAnsi="Arial" w:cs="Arial"/>
                <w:sz w:val="22"/>
                <w:szCs w:val="22"/>
              </w:rPr>
            </w:pPr>
          </w:p>
        </w:tc>
      </w:tr>
      <w:tr w:rsidR="001B225E" w:rsidRPr="003D0AA6" w14:paraId="78F42A92" w14:textId="77777777" w:rsidTr="00146DF8">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B09E686" w14:textId="77777777" w:rsidR="001B225E" w:rsidRPr="003D0AA6" w:rsidRDefault="001B225E" w:rsidP="00146DF8">
            <w:pPr>
              <w:spacing w:after="0" w:line="240" w:lineRule="auto"/>
              <w:rPr>
                <w:rFonts w:ascii="Arial" w:eastAsia="Arial" w:hAnsi="Arial" w:cs="Arial"/>
                <w:sz w:val="22"/>
                <w:szCs w:val="22"/>
              </w:rPr>
            </w:pPr>
            <w:r w:rsidRPr="003D0AA6">
              <w:rPr>
                <w:rFonts w:ascii="Arial" w:eastAsia="Arial" w:hAnsi="Arial" w:cs="Arial"/>
                <w:sz w:val="22"/>
                <w:szCs w:val="22"/>
              </w:rPr>
              <w:t>6. Answer practice tests and mock examinations to assess readiness for the LET.</w:t>
            </w:r>
          </w:p>
        </w:tc>
        <w:tc>
          <w:tcPr>
            <w:tcW w:w="47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5DD89C8"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EFB9519"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493B8F3"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22B0617"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7956298" w14:textId="77777777" w:rsidR="001B225E" w:rsidRPr="003D0AA6" w:rsidRDefault="001B225E" w:rsidP="00146DF8">
            <w:pPr>
              <w:spacing w:after="0" w:line="240" w:lineRule="auto"/>
              <w:jc w:val="center"/>
              <w:rPr>
                <w:rFonts w:ascii="Arial" w:eastAsia="Arial" w:hAnsi="Arial" w:cs="Arial"/>
                <w:sz w:val="22"/>
                <w:szCs w:val="22"/>
              </w:rPr>
            </w:pPr>
          </w:p>
        </w:tc>
      </w:tr>
      <w:tr w:rsidR="001B225E" w:rsidRPr="003D0AA6" w14:paraId="113A0BA2" w14:textId="77777777" w:rsidTr="00146DF8">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A121C93" w14:textId="77777777" w:rsidR="001B225E" w:rsidRPr="003D0AA6" w:rsidRDefault="001B225E" w:rsidP="00146DF8">
            <w:pPr>
              <w:spacing w:after="0" w:line="240" w:lineRule="auto"/>
              <w:rPr>
                <w:rFonts w:ascii="Arial" w:eastAsia="Arial" w:hAnsi="Arial" w:cs="Arial"/>
                <w:sz w:val="22"/>
                <w:szCs w:val="22"/>
              </w:rPr>
            </w:pPr>
            <w:r w:rsidRPr="003D0AA6">
              <w:rPr>
                <w:rFonts w:ascii="Arial" w:eastAsia="Arial" w:hAnsi="Arial" w:cs="Arial"/>
                <w:sz w:val="22"/>
                <w:szCs w:val="22"/>
              </w:rPr>
              <w:t>7. Review with classmates or study groups to strengthen understanding of LET topics.</w:t>
            </w:r>
          </w:p>
        </w:tc>
        <w:tc>
          <w:tcPr>
            <w:tcW w:w="47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3DEFEB5"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CDE2E4A"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2A279C4"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E262679"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89EDABB" w14:textId="77777777" w:rsidR="001B225E" w:rsidRPr="003D0AA6" w:rsidRDefault="001B225E" w:rsidP="00146DF8">
            <w:pPr>
              <w:spacing w:after="0" w:line="240" w:lineRule="auto"/>
              <w:jc w:val="center"/>
              <w:rPr>
                <w:rFonts w:ascii="Arial" w:eastAsia="Arial" w:hAnsi="Arial" w:cs="Arial"/>
                <w:sz w:val="22"/>
                <w:szCs w:val="22"/>
              </w:rPr>
            </w:pPr>
          </w:p>
        </w:tc>
      </w:tr>
      <w:tr w:rsidR="001B225E" w:rsidRPr="003D0AA6" w14:paraId="43CB3053" w14:textId="77777777" w:rsidTr="00146DF8">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ADCF534" w14:textId="77777777" w:rsidR="001B225E" w:rsidRPr="003D0AA6" w:rsidRDefault="001B225E" w:rsidP="00146DF8">
            <w:pPr>
              <w:spacing w:after="0" w:line="240" w:lineRule="auto"/>
              <w:rPr>
                <w:rFonts w:ascii="Arial" w:eastAsia="Arial" w:hAnsi="Arial" w:cs="Arial"/>
                <w:sz w:val="22"/>
                <w:szCs w:val="22"/>
              </w:rPr>
            </w:pPr>
            <w:r w:rsidRPr="003D0AA6">
              <w:rPr>
                <w:rFonts w:ascii="Arial" w:eastAsia="Arial" w:hAnsi="Arial" w:cs="Arial"/>
                <w:sz w:val="22"/>
                <w:szCs w:val="22"/>
              </w:rPr>
              <w:t>8. Manage distractions effectively during study sessions.</w:t>
            </w:r>
          </w:p>
        </w:tc>
        <w:tc>
          <w:tcPr>
            <w:tcW w:w="47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9B7C44E"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9F293EA"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A215EF6"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D44CCE0"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374681F" w14:textId="77777777" w:rsidR="001B225E" w:rsidRPr="003D0AA6" w:rsidRDefault="001B225E" w:rsidP="00146DF8">
            <w:pPr>
              <w:spacing w:after="0" w:line="240" w:lineRule="auto"/>
              <w:jc w:val="center"/>
              <w:rPr>
                <w:rFonts w:ascii="Arial" w:eastAsia="Arial" w:hAnsi="Arial" w:cs="Arial"/>
                <w:sz w:val="22"/>
                <w:szCs w:val="22"/>
              </w:rPr>
            </w:pPr>
          </w:p>
        </w:tc>
      </w:tr>
      <w:tr w:rsidR="001B225E" w:rsidRPr="003D0AA6" w14:paraId="38F0AFEA" w14:textId="77777777" w:rsidTr="00146DF8">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509A96E" w14:textId="77777777" w:rsidR="001B225E" w:rsidRPr="003D0AA6" w:rsidRDefault="001B225E" w:rsidP="00146DF8">
            <w:pPr>
              <w:spacing w:after="0" w:line="240" w:lineRule="auto"/>
              <w:rPr>
                <w:rFonts w:ascii="Arial" w:eastAsia="Arial" w:hAnsi="Arial" w:cs="Arial"/>
                <w:sz w:val="22"/>
                <w:szCs w:val="22"/>
              </w:rPr>
            </w:pPr>
            <w:r w:rsidRPr="003D0AA6">
              <w:rPr>
                <w:rFonts w:ascii="Arial" w:eastAsia="Arial" w:hAnsi="Arial" w:cs="Arial"/>
                <w:sz w:val="22"/>
                <w:szCs w:val="22"/>
              </w:rPr>
              <w:t>9. Monitor own progress by keeping track of topics that already reviewed.</w:t>
            </w:r>
          </w:p>
        </w:tc>
        <w:tc>
          <w:tcPr>
            <w:tcW w:w="47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EB5D387"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080B177"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42510C0"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D006C84"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44FEAD4" w14:textId="77777777" w:rsidR="001B225E" w:rsidRPr="003D0AA6" w:rsidRDefault="001B225E" w:rsidP="00146DF8">
            <w:pPr>
              <w:spacing w:after="0" w:line="240" w:lineRule="auto"/>
              <w:jc w:val="center"/>
              <w:rPr>
                <w:rFonts w:ascii="Arial" w:eastAsia="Arial" w:hAnsi="Arial" w:cs="Arial"/>
                <w:sz w:val="22"/>
                <w:szCs w:val="22"/>
              </w:rPr>
            </w:pPr>
          </w:p>
        </w:tc>
      </w:tr>
      <w:tr w:rsidR="001B225E" w:rsidRPr="003D0AA6" w14:paraId="371FB9EA" w14:textId="77777777" w:rsidTr="00146DF8">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499893D" w14:textId="77777777" w:rsidR="001B225E" w:rsidRPr="003D0AA6" w:rsidRDefault="001B225E" w:rsidP="00146DF8">
            <w:pPr>
              <w:spacing w:after="0" w:line="240" w:lineRule="auto"/>
              <w:rPr>
                <w:rFonts w:ascii="Arial" w:eastAsia="Arial" w:hAnsi="Arial" w:cs="Arial"/>
                <w:sz w:val="22"/>
                <w:szCs w:val="22"/>
              </w:rPr>
            </w:pPr>
            <w:r w:rsidRPr="003D0AA6">
              <w:rPr>
                <w:rFonts w:ascii="Arial" w:eastAsia="Arial" w:hAnsi="Arial" w:cs="Arial"/>
                <w:sz w:val="22"/>
                <w:szCs w:val="22"/>
              </w:rPr>
              <w:t>10. Maintain a healthy lifestyle (adequate sleep, proper diet, exercise) to support LET preparation.</w:t>
            </w:r>
          </w:p>
        </w:tc>
        <w:tc>
          <w:tcPr>
            <w:tcW w:w="472"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132ABD9"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FF770A2"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2A8D7A9"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2663BF3" w14:textId="77777777" w:rsidR="001B225E" w:rsidRPr="003D0AA6" w:rsidRDefault="001B225E" w:rsidP="00146DF8">
            <w:pPr>
              <w:spacing w:after="0" w:line="240" w:lineRule="auto"/>
              <w:jc w:val="center"/>
              <w:rPr>
                <w:rFonts w:ascii="Arial" w:eastAsia="Arial" w:hAnsi="Arial" w:cs="Arial"/>
                <w:sz w:val="22"/>
                <w:szCs w:val="22"/>
              </w:rPr>
            </w:pPr>
          </w:p>
        </w:tc>
        <w:tc>
          <w:tcPr>
            <w:tcW w:w="56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7168CAD" w14:textId="77777777" w:rsidR="001B225E" w:rsidRPr="003D0AA6" w:rsidRDefault="001B225E" w:rsidP="00146DF8">
            <w:pPr>
              <w:spacing w:after="0" w:line="240" w:lineRule="auto"/>
              <w:jc w:val="center"/>
              <w:rPr>
                <w:rFonts w:ascii="Arial" w:eastAsia="Arial" w:hAnsi="Arial" w:cs="Arial"/>
                <w:sz w:val="22"/>
                <w:szCs w:val="22"/>
              </w:rPr>
            </w:pPr>
          </w:p>
        </w:tc>
      </w:tr>
    </w:tbl>
    <w:p w14:paraId="572C2398" w14:textId="77777777" w:rsidR="001B225E" w:rsidRPr="003D0AA6" w:rsidRDefault="001B225E" w:rsidP="001B225E">
      <w:pPr>
        <w:spacing w:before="240" w:after="0" w:line="240" w:lineRule="auto"/>
        <w:jc w:val="center"/>
        <w:rPr>
          <w:rFonts w:ascii="Arial" w:eastAsia="Arial" w:hAnsi="Arial" w:cs="Arial"/>
          <w:b/>
          <w:bCs/>
          <w:u w:val="single"/>
        </w:rPr>
      </w:pPr>
      <w:r w:rsidRPr="002A1433">
        <w:rPr>
          <w:rFonts w:ascii="Arial" w:eastAsia="Arial" w:hAnsi="Arial" w:cs="Arial"/>
          <w:b/>
          <w:bCs/>
          <w:u w:val="single"/>
        </w:rPr>
        <w:lastRenderedPageBreak/>
        <w:t>PART IV: REVIEW PREPARATION PRACTICES</w:t>
      </w:r>
    </w:p>
    <w:p w14:paraId="535E5309" w14:textId="77777777" w:rsidR="001B225E" w:rsidRPr="002A1433" w:rsidRDefault="001B225E" w:rsidP="001B225E">
      <w:pPr>
        <w:spacing w:before="80" w:after="0" w:line="240" w:lineRule="auto"/>
        <w:jc w:val="both"/>
        <w:rPr>
          <w:rFonts w:ascii="Arial" w:eastAsia="Arial" w:hAnsi="Arial" w:cs="Arial"/>
        </w:rPr>
      </w:pPr>
      <w:r w:rsidRPr="002A1433">
        <w:rPr>
          <w:rFonts w:ascii="Arial" w:eastAsia="Arial" w:hAnsi="Arial" w:cs="Arial"/>
        </w:rPr>
        <w:t>Direction: Please rate each statement by checking (</w:t>
      </w:r>
      <w:sdt>
        <w:sdtPr>
          <w:rPr>
            <w:rFonts w:ascii="Arial" w:hAnsi="Arial" w:cs="Arial"/>
          </w:rPr>
          <w:tag w:val="goog_rdk_12"/>
          <w:id w:val="-1336886538"/>
        </w:sdtPr>
        <w:sdtContent>
          <w:r w:rsidRPr="002A1433">
            <w:rPr>
              <w:rFonts w:ascii="Segoe UI Symbol" w:eastAsia="Arial Unicode MS" w:hAnsi="Segoe UI Symbol" w:cs="Segoe UI Symbol"/>
            </w:rPr>
            <w:t>✓</w:t>
          </w:r>
        </w:sdtContent>
      </w:sdt>
      <w:r w:rsidRPr="002A1433">
        <w:rPr>
          <w:rFonts w:ascii="Arial" w:eastAsia="Arial" w:hAnsi="Arial" w:cs="Arial"/>
        </w:rPr>
        <w:t>) the column that corresponds to your assessment using the following scale:</w:t>
      </w:r>
    </w:p>
    <w:p w14:paraId="64A471C9" w14:textId="77777777" w:rsidR="001B225E" w:rsidRPr="002A1433" w:rsidRDefault="001B225E" w:rsidP="001B225E">
      <w:pPr>
        <w:spacing w:before="80" w:after="0" w:line="240" w:lineRule="auto"/>
        <w:rPr>
          <w:rFonts w:ascii="Arial" w:eastAsia="Arial" w:hAnsi="Arial" w:cs="Arial"/>
        </w:rPr>
      </w:pPr>
      <w:r w:rsidRPr="002A1433">
        <w:rPr>
          <w:rFonts w:ascii="Arial" w:eastAsia="Arial" w:hAnsi="Arial" w:cs="Arial"/>
        </w:rPr>
        <w:t>5 – Always</w:t>
      </w:r>
    </w:p>
    <w:p w14:paraId="13AE0CFB" w14:textId="77777777" w:rsidR="001B225E" w:rsidRPr="002A1433" w:rsidRDefault="001B225E" w:rsidP="001B225E">
      <w:pPr>
        <w:spacing w:before="80" w:after="0" w:line="240" w:lineRule="auto"/>
        <w:rPr>
          <w:rFonts w:ascii="Arial" w:eastAsia="Arial" w:hAnsi="Arial" w:cs="Arial"/>
        </w:rPr>
      </w:pPr>
      <w:r w:rsidRPr="002A1433">
        <w:rPr>
          <w:rFonts w:ascii="Arial" w:eastAsia="Arial" w:hAnsi="Arial" w:cs="Arial"/>
        </w:rPr>
        <w:t>4 – Often</w:t>
      </w:r>
    </w:p>
    <w:p w14:paraId="1734AE50" w14:textId="77777777" w:rsidR="001B225E" w:rsidRPr="002A1433" w:rsidRDefault="001B225E" w:rsidP="001B225E">
      <w:pPr>
        <w:spacing w:before="80" w:after="0" w:line="240" w:lineRule="auto"/>
        <w:rPr>
          <w:rFonts w:ascii="Arial" w:eastAsia="Arial" w:hAnsi="Arial" w:cs="Arial"/>
        </w:rPr>
      </w:pPr>
      <w:r w:rsidRPr="002A1433">
        <w:rPr>
          <w:rFonts w:ascii="Arial" w:eastAsia="Arial" w:hAnsi="Arial" w:cs="Arial"/>
        </w:rPr>
        <w:t>3 – Sometimes</w:t>
      </w:r>
    </w:p>
    <w:p w14:paraId="5B0FDE38" w14:textId="77777777" w:rsidR="001B225E" w:rsidRPr="002A1433" w:rsidRDefault="001B225E" w:rsidP="001B225E">
      <w:pPr>
        <w:spacing w:before="80" w:after="0" w:line="240" w:lineRule="auto"/>
        <w:rPr>
          <w:rFonts w:ascii="Arial" w:eastAsia="Arial" w:hAnsi="Arial" w:cs="Arial"/>
        </w:rPr>
      </w:pPr>
      <w:r w:rsidRPr="002A1433">
        <w:rPr>
          <w:rFonts w:ascii="Arial" w:eastAsia="Arial" w:hAnsi="Arial" w:cs="Arial"/>
        </w:rPr>
        <w:t>2 – Rarely</w:t>
      </w:r>
    </w:p>
    <w:p w14:paraId="0ACCFC2A" w14:textId="77777777" w:rsidR="001B225E" w:rsidRPr="002A1433" w:rsidRDefault="001B225E" w:rsidP="001B225E">
      <w:pPr>
        <w:spacing w:before="80" w:after="0" w:line="240" w:lineRule="auto"/>
        <w:rPr>
          <w:rFonts w:ascii="Arial" w:eastAsia="Arial" w:hAnsi="Arial" w:cs="Arial"/>
        </w:rPr>
      </w:pPr>
      <w:r w:rsidRPr="002A1433">
        <w:rPr>
          <w:rFonts w:ascii="Arial" w:eastAsia="Arial" w:hAnsi="Arial" w:cs="Arial"/>
        </w:rPr>
        <w:t>1 – Never</w:t>
      </w:r>
    </w:p>
    <w:p w14:paraId="74F2875C" w14:textId="77777777" w:rsidR="001B225E" w:rsidRPr="002A1433" w:rsidRDefault="001B225E" w:rsidP="001B225E">
      <w:pPr>
        <w:spacing w:before="60" w:after="0" w:line="240" w:lineRule="auto"/>
        <w:rPr>
          <w:rFonts w:ascii="Arial" w:eastAsia="Arial" w:hAnsi="Arial" w:cs="Arial"/>
        </w:rPr>
      </w:pP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708"/>
        <w:gridCol w:w="709"/>
        <w:gridCol w:w="851"/>
        <w:gridCol w:w="708"/>
        <w:gridCol w:w="709"/>
      </w:tblGrid>
      <w:tr w:rsidR="001B225E" w:rsidRPr="002A1433" w14:paraId="5B4A7031" w14:textId="77777777" w:rsidTr="00146DF8">
        <w:tc>
          <w:tcPr>
            <w:tcW w:w="495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73FC5CB" w14:textId="77777777" w:rsidR="001B225E" w:rsidRPr="002A1433" w:rsidRDefault="001B225E" w:rsidP="00146DF8">
            <w:pPr>
              <w:spacing w:after="0" w:line="240" w:lineRule="auto"/>
              <w:jc w:val="center"/>
              <w:rPr>
                <w:rFonts w:ascii="Arial" w:eastAsia="Arial" w:hAnsi="Arial" w:cs="Arial"/>
              </w:rPr>
            </w:pPr>
            <w:r w:rsidRPr="002A1433">
              <w:rPr>
                <w:rFonts w:ascii="Arial" w:eastAsia="Arial" w:hAnsi="Arial" w:cs="Arial"/>
                <w:b/>
                <w:bCs/>
              </w:rPr>
              <w:t>Indicators</w:t>
            </w: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493A97B" w14:textId="77777777" w:rsidR="001B225E" w:rsidRPr="002A1433" w:rsidRDefault="001B225E" w:rsidP="00146DF8">
            <w:pPr>
              <w:spacing w:after="0" w:line="240" w:lineRule="auto"/>
              <w:jc w:val="center"/>
              <w:rPr>
                <w:rFonts w:ascii="Arial" w:eastAsia="Arial" w:hAnsi="Arial" w:cs="Arial"/>
              </w:rPr>
            </w:pPr>
            <w:r w:rsidRPr="002A1433">
              <w:rPr>
                <w:rFonts w:ascii="Arial" w:eastAsia="Arial" w:hAnsi="Arial" w:cs="Arial"/>
                <w:b/>
                <w:bCs/>
              </w:rPr>
              <w:t>5</w:t>
            </w: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FD99805" w14:textId="77777777" w:rsidR="001B225E" w:rsidRPr="002A1433" w:rsidRDefault="001B225E" w:rsidP="00146DF8">
            <w:pPr>
              <w:spacing w:after="0" w:line="240" w:lineRule="auto"/>
              <w:jc w:val="center"/>
              <w:rPr>
                <w:rFonts w:ascii="Arial" w:eastAsia="Arial" w:hAnsi="Arial" w:cs="Arial"/>
              </w:rPr>
            </w:pPr>
            <w:r w:rsidRPr="002A1433">
              <w:rPr>
                <w:rFonts w:ascii="Arial" w:eastAsia="Arial" w:hAnsi="Arial" w:cs="Arial"/>
                <w:b/>
                <w:bCs/>
              </w:rPr>
              <w:t>4</w:t>
            </w: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9A9C478" w14:textId="77777777" w:rsidR="001B225E" w:rsidRPr="002A1433" w:rsidRDefault="001B225E" w:rsidP="00146DF8">
            <w:pPr>
              <w:spacing w:after="0" w:line="240" w:lineRule="auto"/>
              <w:jc w:val="center"/>
              <w:rPr>
                <w:rFonts w:ascii="Arial" w:eastAsia="Arial" w:hAnsi="Arial" w:cs="Arial"/>
              </w:rPr>
            </w:pPr>
            <w:r w:rsidRPr="002A1433">
              <w:rPr>
                <w:rFonts w:ascii="Arial" w:eastAsia="Arial" w:hAnsi="Arial" w:cs="Arial"/>
                <w:b/>
                <w:bCs/>
              </w:rPr>
              <w:t>3</w:t>
            </w: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0E30278" w14:textId="77777777" w:rsidR="001B225E" w:rsidRPr="002A1433" w:rsidRDefault="001B225E" w:rsidP="00146DF8">
            <w:pPr>
              <w:spacing w:after="0" w:line="240" w:lineRule="auto"/>
              <w:jc w:val="center"/>
              <w:rPr>
                <w:rFonts w:ascii="Arial" w:eastAsia="Arial" w:hAnsi="Arial" w:cs="Arial"/>
              </w:rPr>
            </w:pPr>
            <w:r w:rsidRPr="002A1433">
              <w:rPr>
                <w:rFonts w:ascii="Arial" w:eastAsia="Arial" w:hAnsi="Arial" w:cs="Arial"/>
                <w:b/>
                <w:bCs/>
              </w:rPr>
              <w:t>2</w:t>
            </w: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FE26505" w14:textId="77777777" w:rsidR="001B225E" w:rsidRPr="002A1433" w:rsidRDefault="001B225E" w:rsidP="00146DF8">
            <w:pPr>
              <w:spacing w:after="0" w:line="240" w:lineRule="auto"/>
              <w:jc w:val="center"/>
              <w:rPr>
                <w:rFonts w:ascii="Arial" w:eastAsia="Arial" w:hAnsi="Arial" w:cs="Arial"/>
              </w:rPr>
            </w:pPr>
            <w:r w:rsidRPr="002A1433">
              <w:rPr>
                <w:rFonts w:ascii="Arial" w:eastAsia="Arial" w:hAnsi="Arial" w:cs="Arial"/>
                <w:b/>
                <w:bCs/>
              </w:rPr>
              <w:t>1</w:t>
            </w:r>
          </w:p>
        </w:tc>
      </w:tr>
      <w:tr w:rsidR="001B225E" w:rsidRPr="002A1433" w14:paraId="65C26F88" w14:textId="77777777" w:rsidTr="00146DF8">
        <w:tc>
          <w:tcPr>
            <w:tcW w:w="495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1BEFFE9" w14:textId="77777777" w:rsidR="001B225E" w:rsidRPr="002A1433" w:rsidRDefault="001B225E" w:rsidP="00146DF8">
            <w:pPr>
              <w:spacing w:after="0" w:line="240" w:lineRule="auto"/>
              <w:rPr>
                <w:rFonts w:ascii="Arial" w:eastAsia="Arial" w:hAnsi="Arial" w:cs="Arial"/>
              </w:rPr>
            </w:pPr>
            <w:r w:rsidRPr="002A1433">
              <w:rPr>
                <w:rFonts w:ascii="Arial" w:eastAsia="Arial" w:hAnsi="Arial" w:cs="Arial"/>
              </w:rPr>
              <w:t>1. Enrolled in or attend a formal LET review program or review center.</w:t>
            </w: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76C6E01"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5C4E679" w14:textId="77777777" w:rsidR="001B225E" w:rsidRPr="002A1433" w:rsidRDefault="001B225E" w:rsidP="00146DF8">
            <w:pPr>
              <w:spacing w:after="0" w:line="240" w:lineRule="auto"/>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DCA55B8" w14:textId="77777777" w:rsidR="001B225E" w:rsidRPr="002A1433" w:rsidRDefault="001B225E" w:rsidP="00146DF8">
            <w:pPr>
              <w:spacing w:after="0" w:line="240" w:lineRule="auto"/>
              <w:jc w:val="center"/>
              <w:rPr>
                <w:rFonts w:ascii="Arial" w:eastAsia="Arial" w:hAnsi="Arial" w:cs="Arial"/>
              </w:rPr>
            </w:pP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64762AB"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BA0E01B" w14:textId="77777777" w:rsidR="001B225E" w:rsidRPr="002A1433" w:rsidRDefault="001B225E" w:rsidP="00146DF8">
            <w:pPr>
              <w:spacing w:after="0" w:line="240" w:lineRule="auto"/>
              <w:jc w:val="center"/>
              <w:rPr>
                <w:rFonts w:ascii="Arial" w:eastAsia="Arial" w:hAnsi="Arial" w:cs="Arial"/>
              </w:rPr>
            </w:pPr>
          </w:p>
        </w:tc>
      </w:tr>
      <w:tr w:rsidR="001B225E" w:rsidRPr="002A1433" w14:paraId="769B95E8" w14:textId="77777777" w:rsidTr="00146DF8">
        <w:tc>
          <w:tcPr>
            <w:tcW w:w="495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F3D9AAE" w14:textId="77777777" w:rsidR="001B225E" w:rsidRPr="002A1433" w:rsidRDefault="001B225E" w:rsidP="00146DF8">
            <w:pPr>
              <w:spacing w:after="0" w:line="240" w:lineRule="auto"/>
              <w:rPr>
                <w:rFonts w:ascii="Arial" w:eastAsia="Arial" w:hAnsi="Arial" w:cs="Arial"/>
              </w:rPr>
            </w:pPr>
            <w:r w:rsidRPr="002A1433">
              <w:rPr>
                <w:rFonts w:ascii="Arial" w:eastAsia="Arial" w:hAnsi="Arial" w:cs="Arial"/>
              </w:rPr>
              <w:t>2. Participated in institutional review sessions organized by the institution.</w:t>
            </w: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9640318"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CD7692F" w14:textId="77777777" w:rsidR="001B225E" w:rsidRPr="002A1433" w:rsidRDefault="001B225E" w:rsidP="00146DF8">
            <w:pPr>
              <w:spacing w:after="0" w:line="240" w:lineRule="auto"/>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EEB3C7D" w14:textId="77777777" w:rsidR="001B225E" w:rsidRPr="002A1433" w:rsidRDefault="001B225E" w:rsidP="00146DF8">
            <w:pPr>
              <w:spacing w:after="0" w:line="240" w:lineRule="auto"/>
              <w:jc w:val="center"/>
              <w:rPr>
                <w:rFonts w:ascii="Arial" w:eastAsia="Arial" w:hAnsi="Arial" w:cs="Arial"/>
              </w:rPr>
            </w:pP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17C7062"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DF04BE0" w14:textId="77777777" w:rsidR="001B225E" w:rsidRPr="002A1433" w:rsidRDefault="001B225E" w:rsidP="00146DF8">
            <w:pPr>
              <w:spacing w:after="0" w:line="240" w:lineRule="auto"/>
              <w:jc w:val="center"/>
              <w:rPr>
                <w:rFonts w:ascii="Arial" w:eastAsia="Arial" w:hAnsi="Arial" w:cs="Arial"/>
              </w:rPr>
            </w:pPr>
          </w:p>
        </w:tc>
      </w:tr>
      <w:tr w:rsidR="001B225E" w:rsidRPr="002A1433" w14:paraId="5B8A51A9" w14:textId="77777777" w:rsidTr="00146DF8">
        <w:tc>
          <w:tcPr>
            <w:tcW w:w="495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9D2D4B3" w14:textId="77777777" w:rsidR="001B225E" w:rsidRPr="002A1433" w:rsidRDefault="001B225E" w:rsidP="00146DF8">
            <w:pPr>
              <w:spacing w:after="0" w:line="240" w:lineRule="auto"/>
              <w:rPr>
                <w:rFonts w:ascii="Arial" w:eastAsia="Arial" w:hAnsi="Arial" w:cs="Arial"/>
              </w:rPr>
            </w:pPr>
            <w:r w:rsidRPr="002A1433">
              <w:rPr>
                <w:rFonts w:ascii="Arial" w:eastAsia="Arial" w:hAnsi="Arial" w:cs="Arial"/>
              </w:rPr>
              <w:t>3. Used online review materials, video lectures, and digital resources to prepare for the LET.</w:t>
            </w: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836B4C3"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5C17F99" w14:textId="77777777" w:rsidR="001B225E" w:rsidRPr="002A1433" w:rsidRDefault="001B225E" w:rsidP="00146DF8">
            <w:pPr>
              <w:spacing w:after="0" w:line="240" w:lineRule="auto"/>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B48D37F" w14:textId="77777777" w:rsidR="001B225E" w:rsidRPr="002A1433" w:rsidRDefault="001B225E" w:rsidP="00146DF8">
            <w:pPr>
              <w:spacing w:after="0" w:line="240" w:lineRule="auto"/>
              <w:jc w:val="center"/>
              <w:rPr>
                <w:rFonts w:ascii="Arial" w:eastAsia="Arial" w:hAnsi="Arial" w:cs="Arial"/>
              </w:rPr>
            </w:pP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3E66A7C"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98FC521" w14:textId="77777777" w:rsidR="001B225E" w:rsidRPr="002A1433" w:rsidRDefault="001B225E" w:rsidP="00146DF8">
            <w:pPr>
              <w:spacing w:after="0" w:line="240" w:lineRule="auto"/>
              <w:jc w:val="center"/>
              <w:rPr>
                <w:rFonts w:ascii="Arial" w:eastAsia="Arial" w:hAnsi="Arial" w:cs="Arial"/>
              </w:rPr>
            </w:pPr>
          </w:p>
        </w:tc>
      </w:tr>
      <w:tr w:rsidR="001B225E" w:rsidRPr="002A1433" w14:paraId="3CCF9141" w14:textId="77777777" w:rsidTr="00146DF8">
        <w:tc>
          <w:tcPr>
            <w:tcW w:w="495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46BB5F5" w14:textId="77777777" w:rsidR="001B225E" w:rsidRPr="002A1433" w:rsidRDefault="001B225E" w:rsidP="00146DF8">
            <w:pPr>
              <w:spacing w:after="0" w:line="240" w:lineRule="auto"/>
              <w:rPr>
                <w:rFonts w:ascii="Arial" w:eastAsia="Arial" w:hAnsi="Arial" w:cs="Arial"/>
              </w:rPr>
            </w:pPr>
            <w:r w:rsidRPr="002A1433">
              <w:rPr>
                <w:rFonts w:ascii="Arial" w:eastAsia="Arial" w:hAnsi="Arial" w:cs="Arial"/>
              </w:rPr>
              <w:t>4. Take full-length mock LET examinations under timed conditions to simulate the actual exam.</w:t>
            </w: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330519F"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FB7FD87" w14:textId="77777777" w:rsidR="001B225E" w:rsidRPr="002A1433" w:rsidRDefault="001B225E" w:rsidP="00146DF8">
            <w:pPr>
              <w:spacing w:after="0" w:line="240" w:lineRule="auto"/>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08609CC" w14:textId="77777777" w:rsidR="001B225E" w:rsidRPr="002A1433" w:rsidRDefault="001B225E" w:rsidP="00146DF8">
            <w:pPr>
              <w:spacing w:after="0" w:line="240" w:lineRule="auto"/>
              <w:jc w:val="center"/>
              <w:rPr>
                <w:rFonts w:ascii="Arial" w:eastAsia="Arial" w:hAnsi="Arial" w:cs="Arial"/>
              </w:rPr>
            </w:pP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132A437"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ED281F0" w14:textId="77777777" w:rsidR="001B225E" w:rsidRPr="002A1433" w:rsidRDefault="001B225E" w:rsidP="00146DF8">
            <w:pPr>
              <w:spacing w:after="0" w:line="240" w:lineRule="auto"/>
              <w:jc w:val="center"/>
              <w:rPr>
                <w:rFonts w:ascii="Arial" w:eastAsia="Arial" w:hAnsi="Arial" w:cs="Arial"/>
              </w:rPr>
            </w:pPr>
          </w:p>
        </w:tc>
      </w:tr>
      <w:tr w:rsidR="001B225E" w:rsidRPr="002A1433" w14:paraId="5B0671B7" w14:textId="77777777" w:rsidTr="00146DF8">
        <w:tc>
          <w:tcPr>
            <w:tcW w:w="495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2045162" w14:textId="77777777" w:rsidR="001B225E" w:rsidRPr="002A1433" w:rsidRDefault="001B225E" w:rsidP="00146DF8">
            <w:pPr>
              <w:spacing w:after="0" w:line="240" w:lineRule="auto"/>
              <w:rPr>
                <w:rFonts w:ascii="Arial" w:eastAsia="Arial" w:hAnsi="Arial" w:cs="Arial"/>
              </w:rPr>
            </w:pPr>
            <w:r w:rsidRPr="002A1433">
              <w:rPr>
                <w:rFonts w:ascii="Arial" w:eastAsia="Arial" w:hAnsi="Arial" w:cs="Arial"/>
              </w:rPr>
              <w:t>5. Analyze the performance in mock exams to identify areas that need further review.</w:t>
            </w: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AB2C18A"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6B7BA08" w14:textId="77777777" w:rsidR="001B225E" w:rsidRPr="002A1433" w:rsidRDefault="001B225E" w:rsidP="00146DF8">
            <w:pPr>
              <w:spacing w:after="0" w:line="240" w:lineRule="auto"/>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16888B7" w14:textId="77777777" w:rsidR="001B225E" w:rsidRPr="002A1433" w:rsidRDefault="001B225E" w:rsidP="00146DF8">
            <w:pPr>
              <w:spacing w:after="0" w:line="240" w:lineRule="auto"/>
              <w:jc w:val="center"/>
              <w:rPr>
                <w:rFonts w:ascii="Arial" w:eastAsia="Arial" w:hAnsi="Arial" w:cs="Arial"/>
              </w:rPr>
            </w:pP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251BD14"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4CF97FB" w14:textId="77777777" w:rsidR="001B225E" w:rsidRPr="002A1433" w:rsidRDefault="001B225E" w:rsidP="00146DF8">
            <w:pPr>
              <w:spacing w:after="0" w:line="240" w:lineRule="auto"/>
              <w:jc w:val="center"/>
              <w:rPr>
                <w:rFonts w:ascii="Arial" w:eastAsia="Arial" w:hAnsi="Arial" w:cs="Arial"/>
              </w:rPr>
            </w:pPr>
          </w:p>
        </w:tc>
      </w:tr>
      <w:tr w:rsidR="001B225E" w:rsidRPr="002A1433" w14:paraId="47F7CC93" w14:textId="77777777" w:rsidTr="00146DF8">
        <w:tc>
          <w:tcPr>
            <w:tcW w:w="495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1456B26" w14:textId="77777777" w:rsidR="001B225E" w:rsidRPr="002A1433" w:rsidRDefault="001B225E" w:rsidP="00146DF8">
            <w:pPr>
              <w:spacing w:after="0" w:line="240" w:lineRule="auto"/>
              <w:rPr>
                <w:rFonts w:ascii="Arial" w:eastAsia="Arial" w:hAnsi="Arial" w:cs="Arial"/>
              </w:rPr>
            </w:pPr>
            <w:r w:rsidRPr="002A1433">
              <w:rPr>
                <w:rFonts w:ascii="Arial" w:eastAsia="Arial" w:hAnsi="Arial" w:cs="Arial"/>
              </w:rPr>
              <w:t>6. Focus on LET content domains that were previously scored low.</w:t>
            </w: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F2C5955"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36C0B7C" w14:textId="77777777" w:rsidR="001B225E" w:rsidRPr="002A1433" w:rsidRDefault="001B225E" w:rsidP="00146DF8">
            <w:pPr>
              <w:spacing w:after="0" w:line="240" w:lineRule="auto"/>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3018CC2" w14:textId="77777777" w:rsidR="001B225E" w:rsidRPr="002A1433" w:rsidRDefault="001B225E" w:rsidP="00146DF8">
            <w:pPr>
              <w:spacing w:after="0" w:line="240" w:lineRule="auto"/>
              <w:jc w:val="center"/>
              <w:rPr>
                <w:rFonts w:ascii="Arial" w:eastAsia="Arial" w:hAnsi="Arial" w:cs="Arial"/>
              </w:rPr>
            </w:pP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D81B9DB"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4C3D60E" w14:textId="77777777" w:rsidR="001B225E" w:rsidRPr="002A1433" w:rsidRDefault="001B225E" w:rsidP="00146DF8">
            <w:pPr>
              <w:spacing w:after="0" w:line="240" w:lineRule="auto"/>
              <w:jc w:val="center"/>
              <w:rPr>
                <w:rFonts w:ascii="Arial" w:eastAsia="Arial" w:hAnsi="Arial" w:cs="Arial"/>
              </w:rPr>
            </w:pPr>
          </w:p>
        </w:tc>
      </w:tr>
      <w:tr w:rsidR="001B225E" w:rsidRPr="002A1433" w14:paraId="4DF31479" w14:textId="77777777" w:rsidTr="00146DF8">
        <w:tc>
          <w:tcPr>
            <w:tcW w:w="495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86FF60D" w14:textId="77777777" w:rsidR="001B225E" w:rsidRPr="002A1433" w:rsidRDefault="001B225E" w:rsidP="00146DF8">
            <w:pPr>
              <w:spacing w:after="0" w:line="240" w:lineRule="auto"/>
              <w:rPr>
                <w:rFonts w:ascii="Arial" w:eastAsia="Arial" w:hAnsi="Arial" w:cs="Arial"/>
              </w:rPr>
            </w:pPr>
            <w:r w:rsidRPr="002A1433">
              <w:rPr>
                <w:rFonts w:ascii="Arial" w:eastAsia="Arial" w:hAnsi="Arial" w:cs="Arial"/>
              </w:rPr>
              <w:t>7. Practice answering multiple-choice questions to improve test-taking speed and accuracy.</w:t>
            </w: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A3F119C"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093730C" w14:textId="77777777" w:rsidR="001B225E" w:rsidRPr="002A1433" w:rsidRDefault="001B225E" w:rsidP="00146DF8">
            <w:pPr>
              <w:spacing w:after="0" w:line="240" w:lineRule="auto"/>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3B18A58" w14:textId="77777777" w:rsidR="001B225E" w:rsidRPr="002A1433" w:rsidRDefault="001B225E" w:rsidP="00146DF8">
            <w:pPr>
              <w:spacing w:after="0" w:line="240" w:lineRule="auto"/>
              <w:jc w:val="center"/>
              <w:rPr>
                <w:rFonts w:ascii="Arial" w:eastAsia="Arial" w:hAnsi="Arial" w:cs="Arial"/>
              </w:rPr>
            </w:pP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D153CE5"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2CDD863" w14:textId="77777777" w:rsidR="001B225E" w:rsidRPr="002A1433" w:rsidRDefault="001B225E" w:rsidP="00146DF8">
            <w:pPr>
              <w:spacing w:after="0" w:line="240" w:lineRule="auto"/>
              <w:jc w:val="center"/>
              <w:rPr>
                <w:rFonts w:ascii="Arial" w:eastAsia="Arial" w:hAnsi="Arial" w:cs="Arial"/>
              </w:rPr>
            </w:pPr>
          </w:p>
        </w:tc>
      </w:tr>
      <w:tr w:rsidR="001B225E" w:rsidRPr="002A1433" w14:paraId="0A7D9F54" w14:textId="77777777" w:rsidTr="00146DF8">
        <w:tc>
          <w:tcPr>
            <w:tcW w:w="495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1653CE1" w14:textId="77777777" w:rsidR="001B225E" w:rsidRPr="002A1433" w:rsidRDefault="001B225E" w:rsidP="00146DF8">
            <w:pPr>
              <w:spacing w:after="0" w:line="240" w:lineRule="auto"/>
              <w:rPr>
                <w:rFonts w:ascii="Arial" w:eastAsia="Arial" w:hAnsi="Arial" w:cs="Arial"/>
              </w:rPr>
            </w:pPr>
            <w:r w:rsidRPr="002A1433">
              <w:rPr>
                <w:rFonts w:ascii="Arial" w:eastAsia="Arial" w:hAnsi="Arial" w:cs="Arial"/>
              </w:rPr>
              <w:t>8. Reviewed the Table of Specifications (TOS) and LET competencies as a guide for my preparation.</w:t>
            </w: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3DD2BD4"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6E71E4F" w14:textId="77777777" w:rsidR="001B225E" w:rsidRPr="002A1433" w:rsidRDefault="001B225E" w:rsidP="00146DF8">
            <w:pPr>
              <w:spacing w:after="0" w:line="240" w:lineRule="auto"/>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B82AE2E" w14:textId="77777777" w:rsidR="001B225E" w:rsidRPr="002A1433" w:rsidRDefault="001B225E" w:rsidP="00146DF8">
            <w:pPr>
              <w:spacing w:after="0" w:line="240" w:lineRule="auto"/>
              <w:jc w:val="center"/>
              <w:rPr>
                <w:rFonts w:ascii="Arial" w:eastAsia="Arial" w:hAnsi="Arial" w:cs="Arial"/>
              </w:rPr>
            </w:pP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F60E4F6"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33CB1CB" w14:textId="77777777" w:rsidR="001B225E" w:rsidRPr="002A1433" w:rsidRDefault="001B225E" w:rsidP="00146DF8">
            <w:pPr>
              <w:spacing w:after="0" w:line="240" w:lineRule="auto"/>
              <w:jc w:val="center"/>
              <w:rPr>
                <w:rFonts w:ascii="Arial" w:eastAsia="Arial" w:hAnsi="Arial" w:cs="Arial"/>
              </w:rPr>
            </w:pPr>
          </w:p>
        </w:tc>
      </w:tr>
      <w:tr w:rsidR="001B225E" w:rsidRPr="002A1433" w14:paraId="1FE252A4" w14:textId="77777777" w:rsidTr="00146DF8">
        <w:tc>
          <w:tcPr>
            <w:tcW w:w="495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056002F" w14:textId="77777777" w:rsidR="001B225E" w:rsidRPr="002A1433" w:rsidRDefault="001B225E" w:rsidP="00146DF8">
            <w:pPr>
              <w:spacing w:after="0" w:line="240" w:lineRule="auto"/>
              <w:rPr>
                <w:rFonts w:ascii="Arial" w:eastAsia="Arial" w:hAnsi="Arial" w:cs="Arial"/>
              </w:rPr>
            </w:pPr>
            <w:r w:rsidRPr="002A1433">
              <w:rPr>
                <w:rFonts w:ascii="Arial" w:eastAsia="Arial" w:hAnsi="Arial" w:cs="Arial"/>
              </w:rPr>
              <w:t>9. Seek guidance from faculty members or mentors regarding effective LET review strategies.</w:t>
            </w: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E51B40F"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F758B00" w14:textId="77777777" w:rsidR="001B225E" w:rsidRPr="002A1433" w:rsidRDefault="001B225E" w:rsidP="00146DF8">
            <w:pPr>
              <w:spacing w:after="0" w:line="240" w:lineRule="auto"/>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B6259E3" w14:textId="77777777" w:rsidR="001B225E" w:rsidRPr="002A1433" w:rsidRDefault="001B225E" w:rsidP="00146DF8">
            <w:pPr>
              <w:spacing w:after="0" w:line="240" w:lineRule="auto"/>
              <w:jc w:val="center"/>
              <w:rPr>
                <w:rFonts w:ascii="Arial" w:eastAsia="Arial" w:hAnsi="Arial" w:cs="Arial"/>
              </w:rPr>
            </w:pP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71F3FF8"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4E5D327" w14:textId="77777777" w:rsidR="001B225E" w:rsidRPr="002A1433" w:rsidRDefault="001B225E" w:rsidP="00146DF8">
            <w:pPr>
              <w:spacing w:after="0" w:line="240" w:lineRule="auto"/>
              <w:jc w:val="center"/>
              <w:rPr>
                <w:rFonts w:ascii="Arial" w:eastAsia="Arial" w:hAnsi="Arial" w:cs="Arial"/>
              </w:rPr>
            </w:pPr>
          </w:p>
        </w:tc>
      </w:tr>
      <w:tr w:rsidR="001B225E" w:rsidRPr="002A1433" w14:paraId="37C4AE1B" w14:textId="77777777" w:rsidTr="00146DF8">
        <w:tc>
          <w:tcPr>
            <w:tcW w:w="495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8891E64" w14:textId="77777777" w:rsidR="001B225E" w:rsidRPr="002A1433" w:rsidRDefault="001B225E" w:rsidP="00146DF8">
            <w:pPr>
              <w:spacing w:after="0" w:line="240" w:lineRule="auto"/>
              <w:rPr>
                <w:rFonts w:ascii="Arial" w:eastAsia="Arial" w:hAnsi="Arial" w:cs="Arial"/>
              </w:rPr>
            </w:pPr>
            <w:r w:rsidRPr="002A1433">
              <w:rPr>
                <w:rFonts w:ascii="Arial" w:eastAsia="Arial" w:hAnsi="Arial" w:cs="Arial"/>
              </w:rPr>
              <w:t>10. Started the LET review well in advance rather than cramming close to the examination date.</w:t>
            </w: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F5FC0BD"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771E768" w14:textId="77777777" w:rsidR="001B225E" w:rsidRPr="002A1433" w:rsidRDefault="001B225E" w:rsidP="00146DF8">
            <w:pPr>
              <w:spacing w:after="0" w:line="240" w:lineRule="auto"/>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7C744F7" w14:textId="77777777" w:rsidR="001B225E" w:rsidRPr="002A1433" w:rsidRDefault="001B225E" w:rsidP="00146DF8">
            <w:pPr>
              <w:spacing w:after="0" w:line="240" w:lineRule="auto"/>
              <w:jc w:val="center"/>
              <w:rPr>
                <w:rFonts w:ascii="Arial" w:eastAsia="Arial" w:hAnsi="Arial" w:cs="Arial"/>
              </w:rPr>
            </w:pP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2AD9CD0"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9658C50" w14:textId="77777777" w:rsidR="001B225E" w:rsidRPr="002A1433" w:rsidRDefault="001B225E" w:rsidP="00146DF8">
            <w:pPr>
              <w:spacing w:after="0" w:line="240" w:lineRule="auto"/>
              <w:jc w:val="center"/>
              <w:rPr>
                <w:rFonts w:ascii="Arial" w:eastAsia="Arial" w:hAnsi="Arial" w:cs="Arial"/>
              </w:rPr>
            </w:pPr>
          </w:p>
        </w:tc>
      </w:tr>
    </w:tbl>
    <w:p w14:paraId="0F5821DF" w14:textId="77777777" w:rsidR="001B225E" w:rsidRPr="002A1433" w:rsidRDefault="001B225E" w:rsidP="001B225E">
      <w:pPr>
        <w:spacing w:before="240" w:after="0" w:line="240" w:lineRule="auto"/>
        <w:jc w:val="center"/>
        <w:rPr>
          <w:rFonts w:ascii="Arial" w:eastAsia="Arial" w:hAnsi="Arial" w:cs="Arial"/>
        </w:rPr>
      </w:pPr>
      <w:r w:rsidRPr="002A1433">
        <w:rPr>
          <w:rFonts w:ascii="Arial" w:eastAsia="Arial" w:hAnsi="Arial" w:cs="Arial"/>
          <w:b/>
          <w:bCs/>
          <w:u w:val="single"/>
        </w:rPr>
        <w:lastRenderedPageBreak/>
        <w:t>PART V: INSTITUTIONAL SUPPORT</w:t>
      </w:r>
    </w:p>
    <w:p w14:paraId="4318163E" w14:textId="77777777" w:rsidR="001B225E" w:rsidRPr="002A1433" w:rsidRDefault="001B225E" w:rsidP="001B225E">
      <w:pPr>
        <w:spacing w:before="80" w:after="0" w:line="240" w:lineRule="auto"/>
        <w:jc w:val="both"/>
        <w:rPr>
          <w:rFonts w:ascii="Arial" w:eastAsia="Arial" w:hAnsi="Arial" w:cs="Arial"/>
        </w:rPr>
      </w:pPr>
      <w:r w:rsidRPr="002A1433">
        <w:rPr>
          <w:rFonts w:ascii="Arial" w:eastAsia="Arial" w:hAnsi="Arial" w:cs="Arial"/>
        </w:rPr>
        <w:t>Direction: Please rate each statement by checking (</w:t>
      </w:r>
      <w:sdt>
        <w:sdtPr>
          <w:rPr>
            <w:rFonts w:ascii="Arial" w:hAnsi="Arial" w:cs="Arial"/>
          </w:rPr>
          <w:tag w:val="goog_rdk_13"/>
          <w:id w:val="-484950166"/>
        </w:sdtPr>
        <w:sdtContent>
          <w:r w:rsidRPr="002A1433">
            <w:rPr>
              <w:rFonts w:ascii="Segoe UI Symbol" w:eastAsia="Arial Unicode MS" w:hAnsi="Segoe UI Symbol" w:cs="Segoe UI Symbol"/>
            </w:rPr>
            <w:t>✓</w:t>
          </w:r>
        </w:sdtContent>
      </w:sdt>
      <w:r w:rsidRPr="002A1433">
        <w:rPr>
          <w:rFonts w:ascii="Arial" w:eastAsia="Arial" w:hAnsi="Arial" w:cs="Arial"/>
        </w:rPr>
        <w:t>) the column that corresponds to your assessment using the following scale:</w:t>
      </w:r>
    </w:p>
    <w:p w14:paraId="0E1A2523" w14:textId="77777777" w:rsidR="001B225E" w:rsidRPr="002A1433" w:rsidRDefault="001B225E" w:rsidP="001B225E">
      <w:pPr>
        <w:spacing w:before="80" w:after="0" w:line="240" w:lineRule="auto"/>
        <w:rPr>
          <w:rFonts w:ascii="Arial" w:eastAsia="Arial" w:hAnsi="Arial" w:cs="Arial"/>
        </w:rPr>
      </w:pPr>
      <w:r w:rsidRPr="002A1433">
        <w:rPr>
          <w:rFonts w:ascii="Arial" w:eastAsia="Arial" w:hAnsi="Arial" w:cs="Arial"/>
        </w:rPr>
        <w:t>5 – Strongly Agree / Highly Implemented</w:t>
      </w:r>
    </w:p>
    <w:p w14:paraId="1C0F76AD" w14:textId="77777777" w:rsidR="001B225E" w:rsidRPr="002A1433" w:rsidRDefault="001B225E" w:rsidP="001B225E">
      <w:pPr>
        <w:spacing w:before="80" w:after="0" w:line="240" w:lineRule="auto"/>
        <w:rPr>
          <w:rFonts w:ascii="Arial" w:eastAsia="Arial" w:hAnsi="Arial" w:cs="Arial"/>
        </w:rPr>
      </w:pPr>
      <w:r w:rsidRPr="002A1433">
        <w:rPr>
          <w:rFonts w:ascii="Arial" w:eastAsia="Arial" w:hAnsi="Arial" w:cs="Arial"/>
        </w:rPr>
        <w:t>4 – Agree / Implemented</w:t>
      </w:r>
    </w:p>
    <w:p w14:paraId="18487EDA" w14:textId="77777777" w:rsidR="001B225E" w:rsidRPr="002A1433" w:rsidRDefault="001B225E" w:rsidP="001B225E">
      <w:pPr>
        <w:spacing w:before="80" w:after="0" w:line="240" w:lineRule="auto"/>
        <w:rPr>
          <w:rFonts w:ascii="Arial" w:eastAsia="Arial" w:hAnsi="Arial" w:cs="Arial"/>
        </w:rPr>
      </w:pPr>
      <w:r w:rsidRPr="002A1433">
        <w:rPr>
          <w:rFonts w:ascii="Arial" w:eastAsia="Arial" w:hAnsi="Arial" w:cs="Arial"/>
        </w:rPr>
        <w:t>3 – Neutral / Moderately Implemented</w:t>
      </w:r>
    </w:p>
    <w:p w14:paraId="303726EC" w14:textId="77777777" w:rsidR="001B225E" w:rsidRPr="002A1433" w:rsidRDefault="001B225E" w:rsidP="001B225E">
      <w:pPr>
        <w:spacing w:before="80" w:after="0" w:line="240" w:lineRule="auto"/>
        <w:rPr>
          <w:rFonts w:ascii="Arial" w:eastAsia="Arial" w:hAnsi="Arial" w:cs="Arial"/>
        </w:rPr>
      </w:pPr>
      <w:r w:rsidRPr="002A1433">
        <w:rPr>
          <w:rFonts w:ascii="Arial" w:eastAsia="Arial" w:hAnsi="Arial" w:cs="Arial"/>
        </w:rPr>
        <w:t>2 – Disagree / Poorly Implemented</w:t>
      </w:r>
    </w:p>
    <w:p w14:paraId="4EDCE847" w14:textId="77777777" w:rsidR="001B225E" w:rsidRPr="002A1433" w:rsidRDefault="001B225E" w:rsidP="001B225E">
      <w:pPr>
        <w:spacing w:before="80" w:after="0" w:line="240" w:lineRule="auto"/>
        <w:rPr>
          <w:rFonts w:ascii="Arial" w:eastAsia="Arial" w:hAnsi="Arial" w:cs="Arial"/>
        </w:rPr>
      </w:pPr>
      <w:r w:rsidRPr="002A1433">
        <w:rPr>
          <w:rFonts w:ascii="Arial" w:eastAsia="Arial" w:hAnsi="Arial" w:cs="Arial"/>
        </w:rPr>
        <w:t>1 – Strongly Disagree / Not Implemented</w:t>
      </w:r>
    </w:p>
    <w:p w14:paraId="0BC7BCA5" w14:textId="77777777" w:rsidR="001B225E" w:rsidRPr="002A1433" w:rsidRDefault="001B225E" w:rsidP="001B225E">
      <w:pPr>
        <w:spacing w:before="60" w:after="0" w:line="240" w:lineRule="auto"/>
        <w:rPr>
          <w:rFonts w:ascii="Arial" w:eastAsia="Arial" w:hAnsi="Arial" w:cs="Arial"/>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8"/>
        <w:gridCol w:w="851"/>
        <w:gridCol w:w="709"/>
        <w:gridCol w:w="708"/>
        <w:gridCol w:w="709"/>
        <w:gridCol w:w="851"/>
      </w:tblGrid>
      <w:tr w:rsidR="001B225E" w:rsidRPr="002A1433" w14:paraId="0AF752ED" w14:textId="77777777" w:rsidTr="00146DF8">
        <w:tc>
          <w:tcPr>
            <w:tcW w:w="509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89CB90C" w14:textId="77777777" w:rsidR="001B225E" w:rsidRPr="002A1433" w:rsidRDefault="001B225E" w:rsidP="00146DF8">
            <w:pPr>
              <w:spacing w:after="0" w:line="240" w:lineRule="auto"/>
              <w:jc w:val="center"/>
              <w:rPr>
                <w:rFonts w:ascii="Arial" w:eastAsia="Arial" w:hAnsi="Arial" w:cs="Arial"/>
              </w:rPr>
            </w:pPr>
            <w:r w:rsidRPr="002A1433">
              <w:rPr>
                <w:rFonts w:ascii="Arial" w:eastAsia="Arial" w:hAnsi="Arial" w:cs="Arial"/>
                <w:b/>
                <w:bCs/>
              </w:rPr>
              <w:t>Indicators</w:t>
            </w: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F73B030" w14:textId="77777777" w:rsidR="001B225E" w:rsidRPr="002A1433" w:rsidRDefault="001B225E" w:rsidP="00146DF8">
            <w:pPr>
              <w:spacing w:after="0" w:line="240" w:lineRule="auto"/>
              <w:jc w:val="center"/>
              <w:rPr>
                <w:rFonts w:ascii="Arial" w:eastAsia="Arial" w:hAnsi="Arial" w:cs="Arial"/>
              </w:rPr>
            </w:pPr>
            <w:r w:rsidRPr="002A1433">
              <w:rPr>
                <w:rFonts w:ascii="Arial" w:eastAsia="Arial" w:hAnsi="Arial" w:cs="Arial"/>
                <w:b/>
                <w:bCs/>
              </w:rPr>
              <w:t>5</w:t>
            </w: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43B0F6F" w14:textId="77777777" w:rsidR="001B225E" w:rsidRPr="002A1433" w:rsidRDefault="001B225E" w:rsidP="00146DF8">
            <w:pPr>
              <w:spacing w:after="0" w:line="240" w:lineRule="auto"/>
              <w:jc w:val="center"/>
              <w:rPr>
                <w:rFonts w:ascii="Arial" w:eastAsia="Arial" w:hAnsi="Arial" w:cs="Arial"/>
              </w:rPr>
            </w:pPr>
            <w:r w:rsidRPr="002A1433">
              <w:rPr>
                <w:rFonts w:ascii="Arial" w:eastAsia="Arial" w:hAnsi="Arial" w:cs="Arial"/>
                <w:b/>
                <w:bCs/>
              </w:rPr>
              <w:t>4</w:t>
            </w: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8CBE1AD" w14:textId="77777777" w:rsidR="001B225E" w:rsidRPr="002A1433" w:rsidRDefault="001B225E" w:rsidP="00146DF8">
            <w:pPr>
              <w:spacing w:after="0" w:line="240" w:lineRule="auto"/>
              <w:jc w:val="center"/>
              <w:rPr>
                <w:rFonts w:ascii="Arial" w:eastAsia="Arial" w:hAnsi="Arial" w:cs="Arial"/>
              </w:rPr>
            </w:pPr>
            <w:r w:rsidRPr="002A1433">
              <w:rPr>
                <w:rFonts w:ascii="Arial" w:eastAsia="Arial" w:hAnsi="Arial" w:cs="Arial"/>
                <w:b/>
                <w:bCs/>
              </w:rPr>
              <w:t>3</w:t>
            </w: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09D8736" w14:textId="77777777" w:rsidR="001B225E" w:rsidRPr="002A1433" w:rsidRDefault="001B225E" w:rsidP="00146DF8">
            <w:pPr>
              <w:spacing w:after="0" w:line="240" w:lineRule="auto"/>
              <w:jc w:val="center"/>
              <w:rPr>
                <w:rFonts w:ascii="Arial" w:eastAsia="Arial" w:hAnsi="Arial" w:cs="Arial"/>
              </w:rPr>
            </w:pPr>
            <w:r w:rsidRPr="002A1433">
              <w:rPr>
                <w:rFonts w:ascii="Arial" w:eastAsia="Arial" w:hAnsi="Arial" w:cs="Arial"/>
                <w:b/>
                <w:bCs/>
              </w:rPr>
              <w:t>2</w:t>
            </w: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658E288" w14:textId="77777777" w:rsidR="001B225E" w:rsidRPr="002A1433" w:rsidRDefault="001B225E" w:rsidP="00146DF8">
            <w:pPr>
              <w:spacing w:after="0" w:line="240" w:lineRule="auto"/>
              <w:jc w:val="center"/>
              <w:rPr>
                <w:rFonts w:ascii="Arial" w:eastAsia="Arial" w:hAnsi="Arial" w:cs="Arial"/>
              </w:rPr>
            </w:pPr>
            <w:r w:rsidRPr="002A1433">
              <w:rPr>
                <w:rFonts w:ascii="Arial" w:eastAsia="Arial" w:hAnsi="Arial" w:cs="Arial"/>
                <w:b/>
                <w:bCs/>
              </w:rPr>
              <w:t>1</w:t>
            </w:r>
          </w:p>
        </w:tc>
      </w:tr>
      <w:tr w:rsidR="001B225E" w:rsidRPr="002A1433" w14:paraId="44B16AC2" w14:textId="77777777" w:rsidTr="00146DF8">
        <w:tc>
          <w:tcPr>
            <w:tcW w:w="509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D351308" w14:textId="77777777" w:rsidR="001B225E" w:rsidRPr="002A1433" w:rsidRDefault="001B225E" w:rsidP="00146DF8">
            <w:pPr>
              <w:spacing w:after="0" w:line="240" w:lineRule="auto"/>
              <w:rPr>
                <w:rFonts w:ascii="Arial" w:eastAsia="Arial" w:hAnsi="Arial" w:cs="Arial"/>
              </w:rPr>
            </w:pPr>
            <w:r w:rsidRPr="002A1433">
              <w:rPr>
                <w:rFonts w:ascii="Arial" w:eastAsia="Arial" w:hAnsi="Arial" w:cs="Arial"/>
              </w:rPr>
              <w:t>1. The institution provided structured and curriculum-integrated LET review programs.</w:t>
            </w: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827F7F2"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05FB0D2" w14:textId="77777777" w:rsidR="001B225E" w:rsidRPr="002A1433" w:rsidRDefault="001B225E" w:rsidP="00146DF8">
            <w:pPr>
              <w:spacing w:after="0" w:line="240" w:lineRule="auto"/>
              <w:jc w:val="center"/>
              <w:rPr>
                <w:rFonts w:ascii="Arial" w:eastAsia="Arial" w:hAnsi="Arial" w:cs="Arial"/>
              </w:rPr>
            </w:pP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20F1AB7"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880C1B0" w14:textId="77777777" w:rsidR="001B225E" w:rsidRPr="002A1433" w:rsidRDefault="001B225E" w:rsidP="00146DF8">
            <w:pPr>
              <w:spacing w:after="0" w:line="240" w:lineRule="auto"/>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E9351AF" w14:textId="77777777" w:rsidR="001B225E" w:rsidRPr="002A1433" w:rsidRDefault="001B225E" w:rsidP="00146DF8">
            <w:pPr>
              <w:spacing w:after="0" w:line="240" w:lineRule="auto"/>
              <w:jc w:val="center"/>
              <w:rPr>
                <w:rFonts w:ascii="Arial" w:eastAsia="Arial" w:hAnsi="Arial" w:cs="Arial"/>
              </w:rPr>
            </w:pPr>
          </w:p>
        </w:tc>
      </w:tr>
      <w:tr w:rsidR="001B225E" w:rsidRPr="002A1433" w14:paraId="356E3553" w14:textId="77777777" w:rsidTr="00146DF8">
        <w:tc>
          <w:tcPr>
            <w:tcW w:w="509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559798E" w14:textId="77777777" w:rsidR="001B225E" w:rsidRPr="002A1433" w:rsidRDefault="001B225E" w:rsidP="00146DF8">
            <w:pPr>
              <w:spacing w:after="0" w:line="240" w:lineRule="auto"/>
              <w:rPr>
                <w:rFonts w:ascii="Arial" w:eastAsia="Arial" w:hAnsi="Arial" w:cs="Arial"/>
              </w:rPr>
            </w:pPr>
            <w:r w:rsidRPr="002A1433">
              <w:rPr>
                <w:rFonts w:ascii="Arial" w:eastAsia="Arial" w:hAnsi="Arial" w:cs="Arial"/>
              </w:rPr>
              <w:t>2. Faculty members conducted mock LET examinations as part of our academic preparation.</w:t>
            </w: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49917B3"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02F0311" w14:textId="77777777" w:rsidR="001B225E" w:rsidRPr="002A1433" w:rsidRDefault="001B225E" w:rsidP="00146DF8">
            <w:pPr>
              <w:spacing w:after="0" w:line="240" w:lineRule="auto"/>
              <w:jc w:val="center"/>
              <w:rPr>
                <w:rFonts w:ascii="Arial" w:eastAsia="Arial" w:hAnsi="Arial" w:cs="Arial"/>
              </w:rPr>
            </w:pP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695A999"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698272D" w14:textId="77777777" w:rsidR="001B225E" w:rsidRPr="002A1433" w:rsidRDefault="001B225E" w:rsidP="00146DF8">
            <w:pPr>
              <w:spacing w:after="0" w:line="240" w:lineRule="auto"/>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623C5F5" w14:textId="77777777" w:rsidR="001B225E" w:rsidRPr="002A1433" w:rsidRDefault="001B225E" w:rsidP="00146DF8">
            <w:pPr>
              <w:spacing w:after="0" w:line="240" w:lineRule="auto"/>
              <w:jc w:val="center"/>
              <w:rPr>
                <w:rFonts w:ascii="Arial" w:eastAsia="Arial" w:hAnsi="Arial" w:cs="Arial"/>
              </w:rPr>
            </w:pPr>
          </w:p>
        </w:tc>
      </w:tr>
      <w:tr w:rsidR="001B225E" w:rsidRPr="002A1433" w14:paraId="78563C21" w14:textId="77777777" w:rsidTr="00146DF8">
        <w:tc>
          <w:tcPr>
            <w:tcW w:w="509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0008B84" w14:textId="77777777" w:rsidR="001B225E" w:rsidRPr="002A1433" w:rsidRDefault="001B225E" w:rsidP="00146DF8">
            <w:pPr>
              <w:spacing w:after="0" w:line="240" w:lineRule="auto"/>
              <w:rPr>
                <w:rFonts w:ascii="Arial" w:eastAsia="Arial" w:hAnsi="Arial" w:cs="Arial"/>
              </w:rPr>
            </w:pPr>
            <w:r w:rsidRPr="002A1433">
              <w:rPr>
                <w:rFonts w:ascii="Arial" w:eastAsia="Arial" w:hAnsi="Arial" w:cs="Arial"/>
              </w:rPr>
              <w:t>3. The institution offered mentoring and academic advising services to help me prepare for the LET.</w:t>
            </w: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FF5230B"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A4E198A" w14:textId="77777777" w:rsidR="001B225E" w:rsidRPr="002A1433" w:rsidRDefault="001B225E" w:rsidP="00146DF8">
            <w:pPr>
              <w:spacing w:after="0" w:line="240" w:lineRule="auto"/>
              <w:jc w:val="center"/>
              <w:rPr>
                <w:rFonts w:ascii="Arial" w:eastAsia="Arial" w:hAnsi="Arial" w:cs="Arial"/>
              </w:rPr>
            </w:pP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313693FB"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5D7DDA7" w14:textId="77777777" w:rsidR="001B225E" w:rsidRPr="002A1433" w:rsidRDefault="001B225E" w:rsidP="00146DF8">
            <w:pPr>
              <w:spacing w:after="0" w:line="240" w:lineRule="auto"/>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55EFE80" w14:textId="77777777" w:rsidR="001B225E" w:rsidRPr="002A1433" w:rsidRDefault="001B225E" w:rsidP="00146DF8">
            <w:pPr>
              <w:spacing w:after="0" w:line="240" w:lineRule="auto"/>
              <w:jc w:val="center"/>
              <w:rPr>
                <w:rFonts w:ascii="Arial" w:eastAsia="Arial" w:hAnsi="Arial" w:cs="Arial"/>
              </w:rPr>
            </w:pPr>
          </w:p>
        </w:tc>
      </w:tr>
      <w:tr w:rsidR="001B225E" w:rsidRPr="002A1433" w14:paraId="3CA78E92" w14:textId="77777777" w:rsidTr="00146DF8">
        <w:tc>
          <w:tcPr>
            <w:tcW w:w="509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F4DB0B5" w14:textId="77777777" w:rsidR="001B225E" w:rsidRPr="002A1433" w:rsidRDefault="001B225E" w:rsidP="00146DF8">
            <w:pPr>
              <w:spacing w:after="0" w:line="240" w:lineRule="auto"/>
              <w:rPr>
                <w:rFonts w:ascii="Arial" w:eastAsia="Arial" w:hAnsi="Arial" w:cs="Arial"/>
              </w:rPr>
            </w:pPr>
            <w:r w:rsidRPr="002A1433">
              <w:rPr>
                <w:rFonts w:ascii="Arial" w:eastAsia="Arial" w:hAnsi="Arial" w:cs="Arial"/>
              </w:rPr>
              <w:t>4. Counseling services were available to help me manage test anxiety and examination-related stress.</w:t>
            </w: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280C6D5"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15879E6" w14:textId="77777777" w:rsidR="001B225E" w:rsidRPr="002A1433" w:rsidRDefault="001B225E" w:rsidP="00146DF8">
            <w:pPr>
              <w:spacing w:after="0" w:line="240" w:lineRule="auto"/>
              <w:jc w:val="center"/>
              <w:rPr>
                <w:rFonts w:ascii="Arial" w:eastAsia="Arial" w:hAnsi="Arial" w:cs="Arial"/>
              </w:rPr>
            </w:pP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A493FF3"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727447D" w14:textId="77777777" w:rsidR="001B225E" w:rsidRPr="002A1433" w:rsidRDefault="001B225E" w:rsidP="00146DF8">
            <w:pPr>
              <w:spacing w:after="0" w:line="240" w:lineRule="auto"/>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87B48E0" w14:textId="77777777" w:rsidR="001B225E" w:rsidRPr="002A1433" w:rsidRDefault="001B225E" w:rsidP="00146DF8">
            <w:pPr>
              <w:spacing w:after="0" w:line="240" w:lineRule="auto"/>
              <w:jc w:val="center"/>
              <w:rPr>
                <w:rFonts w:ascii="Arial" w:eastAsia="Arial" w:hAnsi="Arial" w:cs="Arial"/>
              </w:rPr>
            </w:pPr>
          </w:p>
        </w:tc>
      </w:tr>
      <w:tr w:rsidR="001B225E" w:rsidRPr="002A1433" w14:paraId="3B5586EF" w14:textId="77777777" w:rsidTr="00146DF8">
        <w:tc>
          <w:tcPr>
            <w:tcW w:w="509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3153EAD" w14:textId="77777777" w:rsidR="001B225E" w:rsidRPr="002A1433" w:rsidRDefault="001B225E" w:rsidP="00146DF8">
            <w:pPr>
              <w:spacing w:after="0" w:line="240" w:lineRule="auto"/>
              <w:rPr>
                <w:rFonts w:ascii="Arial" w:eastAsia="Arial" w:hAnsi="Arial" w:cs="Arial"/>
              </w:rPr>
            </w:pPr>
            <w:r w:rsidRPr="002A1433">
              <w:rPr>
                <w:rFonts w:ascii="Arial" w:eastAsia="Arial" w:hAnsi="Arial" w:cs="Arial"/>
              </w:rPr>
              <w:t>5. The institution provided access to LET reviewers, past board examination materials, and practice tests.</w:t>
            </w: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11218D6"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E4FA71C" w14:textId="77777777" w:rsidR="001B225E" w:rsidRPr="002A1433" w:rsidRDefault="001B225E" w:rsidP="00146DF8">
            <w:pPr>
              <w:spacing w:after="0" w:line="240" w:lineRule="auto"/>
              <w:jc w:val="center"/>
              <w:rPr>
                <w:rFonts w:ascii="Arial" w:eastAsia="Arial" w:hAnsi="Arial" w:cs="Arial"/>
              </w:rPr>
            </w:pP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0CA8DBA"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5ABE706" w14:textId="77777777" w:rsidR="001B225E" w:rsidRPr="002A1433" w:rsidRDefault="001B225E" w:rsidP="00146DF8">
            <w:pPr>
              <w:spacing w:after="0" w:line="240" w:lineRule="auto"/>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ECA8B78" w14:textId="77777777" w:rsidR="001B225E" w:rsidRPr="002A1433" w:rsidRDefault="001B225E" w:rsidP="00146DF8">
            <w:pPr>
              <w:spacing w:after="0" w:line="240" w:lineRule="auto"/>
              <w:jc w:val="center"/>
              <w:rPr>
                <w:rFonts w:ascii="Arial" w:eastAsia="Arial" w:hAnsi="Arial" w:cs="Arial"/>
              </w:rPr>
            </w:pPr>
          </w:p>
        </w:tc>
      </w:tr>
      <w:tr w:rsidR="001B225E" w:rsidRPr="002A1433" w14:paraId="25D861D7" w14:textId="77777777" w:rsidTr="00146DF8">
        <w:tc>
          <w:tcPr>
            <w:tcW w:w="509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B2660E7" w14:textId="77777777" w:rsidR="001B225E" w:rsidRPr="002A1433" w:rsidRDefault="001B225E" w:rsidP="00146DF8">
            <w:pPr>
              <w:spacing w:after="0" w:line="240" w:lineRule="auto"/>
              <w:rPr>
                <w:rFonts w:ascii="Arial" w:eastAsia="Arial" w:hAnsi="Arial" w:cs="Arial"/>
              </w:rPr>
            </w:pPr>
            <w:r w:rsidRPr="002A1433">
              <w:rPr>
                <w:rFonts w:ascii="Arial" w:eastAsia="Arial" w:hAnsi="Arial" w:cs="Arial"/>
              </w:rPr>
              <w:t>6. Faculty members aligned their instruction with the competencies and content domains assessed in the LET.</w:t>
            </w: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A607534"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17D2C54" w14:textId="77777777" w:rsidR="001B225E" w:rsidRPr="002A1433" w:rsidRDefault="001B225E" w:rsidP="00146DF8">
            <w:pPr>
              <w:spacing w:after="0" w:line="240" w:lineRule="auto"/>
              <w:jc w:val="center"/>
              <w:rPr>
                <w:rFonts w:ascii="Arial" w:eastAsia="Arial" w:hAnsi="Arial" w:cs="Arial"/>
              </w:rPr>
            </w:pP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A1A3D3A"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BABA214" w14:textId="77777777" w:rsidR="001B225E" w:rsidRPr="002A1433" w:rsidRDefault="001B225E" w:rsidP="00146DF8">
            <w:pPr>
              <w:spacing w:after="0" w:line="240" w:lineRule="auto"/>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275A218" w14:textId="77777777" w:rsidR="001B225E" w:rsidRPr="002A1433" w:rsidRDefault="001B225E" w:rsidP="00146DF8">
            <w:pPr>
              <w:spacing w:after="0" w:line="240" w:lineRule="auto"/>
              <w:jc w:val="center"/>
              <w:rPr>
                <w:rFonts w:ascii="Arial" w:eastAsia="Arial" w:hAnsi="Arial" w:cs="Arial"/>
              </w:rPr>
            </w:pPr>
          </w:p>
        </w:tc>
      </w:tr>
      <w:tr w:rsidR="001B225E" w:rsidRPr="002A1433" w14:paraId="14D9E68C" w14:textId="77777777" w:rsidTr="00146DF8">
        <w:tc>
          <w:tcPr>
            <w:tcW w:w="509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92E36F7" w14:textId="77777777" w:rsidR="001B225E" w:rsidRPr="002A1433" w:rsidRDefault="001B225E" w:rsidP="00146DF8">
            <w:pPr>
              <w:spacing w:after="0" w:line="240" w:lineRule="auto"/>
              <w:rPr>
                <w:rFonts w:ascii="Arial" w:eastAsia="Arial" w:hAnsi="Arial" w:cs="Arial"/>
              </w:rPr>
            </w:pPr>
            <w:r w:rsidRPr="002A1433">
              <w:rPr>
                <w:rFonts w:ascii="Arial" w:eastAsia="Arial" w:hAnsi="Arial" w:cs="Arial"/>
              </w:rPr>
              <w:t>7. The institution conducted orientations and seminars specifically designed to prepare students for the LET.</w:t>
            </w: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CFF94F7"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7402D5DE" w14:textId="77777777" w:rsidR="001B225E" w:rsidRPr="002A1433" w:rsidRDefault="001B225E" w:rsidP="00146DF8">
            <w:pPr>
              <w:spacing w:after="0" w:line="240" w:lineRule="auto"/>
              <w:jc w:val="center"/>
              <w:rPr>
                <w:rFonts w:ascii="Arial" w:eastAsia="Arial" w:hAnsi="Arial" w:cs="Arial"/>
              </w:rPr>
            </w:pP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BD39585"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6F1BCA22" w14:textId="77777777" w:rsidR="001B225E" w:rsidRPr="002A1433" w:rsidRDefault="001B225E" w:rsidP="00146DF8">
            <w:pPr>
              <w:spacing w:after="0" w:line="240" w:lineRule="auto"/>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18266ABF" w14:textId="77777777" w:rsidR="001B225E" w:rsidRPr="002A1433" w:rsidRDefault="001B225E" w:rsidP="00146DF8">
            <w:pPr>
              <w:spacing w:after="0" w:line="240" w:lineRule="auto"/>
              <w:jc w:val="center"/>
              <w:rPr>
                <w:rFonts w:ascii="Arial" w:eastAsia="Arial" w:hAnsi="Arial" w:cs="Arial"/>
              </w:rPr>
            </w:pPr>
          </w:p>
        </w:tc>
      </w:tr>
      <w:tr w:rsidR="001B225E" w:rsidRPr="002A1433" w14:paraId="4E724063" w14:textId="77777777" w:rsidTr="00146DF8">
        <w:tc>
          <w:tcPr>
            <w:tcW w:w="509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066E5571" w14:textId="77777777" w:rsidR="001B225E" w:rsidRPr="002A1433" w:rsidRDefault="001B225E" w:rsidP="00146DF8">
            <w:pPr>
              <w:spacing w:after="0" w:line="240" w:lineRule="auto"/>
              <w:rPr>
                <w:rFonts w:ascii="Arial" w:eastAsia="Arial" w:hAnsi="Arial" w:cs="Arial"/>
              </w:rPr>
            </w:pPr>
            <w:r>
              <w:rPr>
                <w:rFonts w:ascii="Arial" w:eastAsia="Arial" w:hAnsi="Arial" w:cs="Arial"/>
              </w:rPr>
              <w:t>8</w:t>
            </w:r>
            <w:r w:rsidRPr="002A1433">
              <w:rPr>
                <w:rFonts w:ascii="Arial" w:eastAsia="Arial" w:hAnsi="Arial" w:cs="Arial"/>
              </w:rPr>
              <w:t>. Overall, the institutional support received from the institution significantly contributed to my LET preparation.</w:t>
            </w: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1D07597"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453BFBC5" w14:textId="77777777" w:rsidR="001B225E" w:rsidRPr="002A1433" w:rsidRDefault="001B225E" w:rsidP="00146DF8">
            <w:pPr>
              <w:spacing w:after="0" w:line="240" w:lineRule="auto"/>
              <w:jc w:val="center"/>
              <w:rPr>
                <w:rFonts w:ascii="Arial" w:eastAsia="Arial" w:hAnsi="Arial" w:cs="Arial"/>
              </w:rPr>
            </w:pPr>
          </w:p>
        </w:tc>
        <w:tc>
          <w:tcPr>
            <w:tcW w:w="70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9368D35" w14:textId="77777777" w:rsidR="001B225E" w:rsidRPr="002A1433" w:rsidRDefault="001B225E" w:rsidP="00146DF8">
            <w:pPr>
              <w:spacing w:after="0" w:line="240" w:lineRule="auto"/>
              <w:jc w:val="center"/>
              <w:rPr>
                <w:rFonts w:ascii="Arial" w:eastAsia="Arial" w:hAnsi="Arial" w:cs="Arial"/>
              </w:rPr>
            </w:pPr>
          </w:p>
        </w:tc>
        <w:tc>
          <w:tcPr>
            <w:tcW w:w="70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2CD3FF86" w14:textId="77777777" w:rsidR="001B225E" w:rsidRPr="002A1433" w:rsidRDefault="001B225E" w:rsidP="00146DF8">
            <w:pPr>
              <w:spacing w:after="0" w:line="240" w:lineRule="auto"/>
              <w:jc w:val="center"/>
              <w:rPr>
                <w:rFonts w:ascii="Arial" w:eastAsia="Arial" w:hAnsi="Arial" w:cs="Arial"/>
              </w:rPr>
            </w:pPr>
          </w:p>
        </w:tc>
        <w:tc>
          <w:tcPr>
            <w:tcW w:w="85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vAlign w:val="center"/>
          </w:tcPr>
          <w:p w14:paraId="5BFE8647" w14:textId="77777777" w:rsidR="001B225E" w:rsidRPr="002A1433" w:rsidRDefault="001B225E" w:rsidP="00146DF8">
            <w:pPr>
              <w:spacing w:after="0" w:line="240" w:lineRule="auto"/>
              <w:jc w:val="center"/>
              <w:rPr>
                <w:rFonts w:ascii="Arial" w:eastAsia="Arial" w:hAnsi="Arial" w:cs="Arial"/>
              </w:rPr>
            </w:pPr>
          </w:p>
        </w:tc>
      </w:tr>
    </w:tbl>
    <w:p w14:paraId="101CF3B4" w14:textId="77777777" w:rsidR="001B225E" w:rsidRDefault="001B225E" w:rsidP="001B225E">
      <w:pPr>
        <w:rPr>
          <w:rFonts w:ascii="Arial" w:eastAsia="Arial" w:hAnsi="Arial" w:cs="Arial"/>
          <w:b/>
          <w:bCs/>
        </w:rPr>
      </w:pPr>
    </w:p>
    <w:p w14:paraId="41BDFCC8" w14:textId="77777777" w:rsidR="001B225E" w:rsidRDefault="001B225E" w:rsidP="001B225E">
      <w:pPr>
        <w:rPr>
          <w:rFonts w:ascii="Arial" w:eastAsia="Arial" w:hAnsi="Arial" w:cs="Arial"/>
          <w:b/>
          <w:bCs/>
        </w:rPr>
      </w:pPr>
    </w:p>
    <w:p w14:paraId="30976DEF" w14:textId="77777777" w:rsidR="001B225E" w:rsidRPr="002A1433" w:rsidRDefault="001B225E" w:rsidP="001B225E">
      <w:pPr>
        <w:rPr>
          <w:rFonts w:ascii="Arial" w:eastAsia="Arial" w:hAnsi="Arial" w:cs="Arial"/>
          <w:b/>
          <w:bCs/>
        </w:rPr>
      </w:pPr>
    </w:p>
    <w:p w14:paraId="3C61252B" w14:textId="77777777" w:rsidR="001B225E" w:rsidRDefault="001B225E" w:rsidP="001B225E">
      <w:pPr>
        <w:spacing w:before="40" w:after="200" w:line="480" w:lineRule="auto"/>
        <w:jc w:val="both"/>
        <w:rPr>
          <w:rFonts w:ascii="Arial" w:eastAsia="Arial" w:hAnsi="Arial" w:cs="Arial"/>
        </w:rPr>
      </w:pPr>
      <w:r>
        <w:rPr>
          <w:noProof/>
        </w:rPr>
        <w:lastRenderedPageBreak/>
        <mc:AlternateContent>
          <mc:Choice Requires="wps">
            <w:drawing>
              <wp:anchor distT="0" distB="0" distL="114300" distR="114300" simplePos="0" relativeHeight="251665408" behindDoc="0" locked="0" layoutInCell="1" allowOverlap="1" wp14:anchorId="349F0A0A" wp14:editId="5450EBF6">
                <wp:simplePos x="0" y="0"/>
                <wp:positionH relativeFrom="column">
                  <wp:posOffset>54610</wp:posOffset>
                </wp:positionH>
                <wp:positionV relativeFrom="paragraph">
                  <wp:posOffset>329449</wp:posOffset>
                </wp:positionV>
                <wp:extent cx="3914775" cy="37020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3914775" cy="370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0DD5DF" w14:textId="77777777" w:rsidR="001B225E" w:rsidRPr="001862F8" w:rsidRDefault="001B225E" w:rsidP="001B225E">
                            <w:pPr>
                              <w:pStyle w:val="NoSpacing"/>
                              <w:numPr>
                                <w:ilvl w:val="0"/>
                                <w:numId w:val="11"/>
                              </w:numPr>
                              <w:ind w:left="709" w:hanging="349"/>
                              <w:rPr>
                                <w:rFonts w:ascii="Segoe UI" w:hAnsi="Segoe UI" w:cs="Segoe UI"/>
                                <w:b/>
                                <w:sz w:val="32"/>
                              </w:rPr>
                            </w:pPr>
                            <w:r w:rsidRPr="001862F8">
                              <w:rPr>
                                <w:rFonts w:ascii="Segoe UI" w:hAnsi="Segoe UI" w:cs="Segoe UI"/>
                                <w:b/>
                                <w:sz w:val="32"/>
                              </w:rPr>
                              <w:t>PERSONAL INFORMATION</w:t>
                            </w:r>
                          </w:p>
                          <w:p w14:paraId="7CD2924B" w14:textId="77777777" w:rsidR="001B225E" w:rsidRDefault="001B225E" w:rsidP="001B22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49F0A0A" id="_x0000_t202" coordsize="21600,21600" o:spt="202" path="m,l,21600r21600,l21600,xe">
                <v:stroke joinstyle="miter"/>
                <v:path gradientshapeok="t" o:connecttype="rect"/>
              </v:shapetype>
              <v:shape id="Text Box 30" o:spid="_x0000_s1031" type="#_x0000_t202" style="position:absolute;left:0;text-align:left;margin-left:4.3pt;margin-top:25.95pt;width:308.25pt;height:2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" filled="f" stroked="f" strokeweight=".5pt">
                <v:textbox>
                  <w:txbxContent>
                    <w:p w14:paraId="1B0DD5DF" w14:textId="77777777" w:rsidR="001B225E" w:rsidRPr="001862F8" w:rsidRDefault="001B225E" w:rsidP="001B225E">
                      <w:pPr>
                        <w:pStyle w:val="NoSpacing"/>
                        <w:numPr>
                          <w:ilvl w:val="0"/>
                          <w:numId w:val="11"/>
                        </w:numPr>
                        <w:ind w:left="709" w:hanging="349"/>
                        <w:rPr>
                          <w:rFonts w:ascii="Segoe UI" w:hAnsi="Segoe UI" w:cs="Segoe UI"/>
                          <w:b/>
                          <w:sz w:val="32"/>
                        </w:rPr>
                      </w:pPr>
                      <w:r w:rsidRPr="001862F8">
                        <w:rPr>
                          <w:rFonts w:ascii="Segoe UI" w:hAnsi="Segoe UI" w:cs="Segoe UI"/>
                          <w:b/>
                          <w:sz w:val="32"/>
                        </w:rPr>
                        <w:t>PERSONAL INFORMATION</w:t>
                      </w:r>
                    </w:p>
                    <w:p w14:paraId="7CD2924B" w14:textId="77777777" w:rsidR="001B225E" w:rsidRDefault="001B225E" w:rsidP="001B225E"/>
                  </w:txbxContent>
                </v:textbox>
              </v:shape>
            </w:pict>
          </mc:Fallback>
        </mc:AlternateContent>
      </w:r>
      <w:r>
        <w:rPr>
          <w:rFonts w:ascii="Arial" w:eastAsia="Arial" w:hAnsi="Arial" w:cs="Arial"/>
          <w:noProof/>
        </w:rPr>
        <w:drawing>
          <wp:anchor distT="0" distB="0" distL="114300" distR="114300" simplePos="0" relativeHeight="251682816" behindDoc="1" locked="0" layoutInCell="1" allowOverlap="1" wp14:anchorId="3F791D66" wp14:editId="2469B483">
            <wp:simplePos x="0" y="0"/>
            <wp:positionH relativeFrom="column">
              <wp:posOffset>4244340</wp:posOffset>
            </wp:positionH>
            <wp:positionV relativeFrom="paragraph">
              <wp:posOffset>-33077</wp:posOffset>
            </wp:positionV>
            <wp:extent cx="1231900" cy="1760720"/>
            <wp:effectExtent l="63500" t="63500" r="63500" b="68580"/>
            <wp:wrapNone/>
            <wp:docPr id="9047089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08995" name="Picture 904708995"/>
                    <pic:cNvPicPr/>
                  </pic:nvPicPr>
                  <pic:blipFill rotWithShape="1">
                    <a:blip r:embed="rId64">
                      <a:extLst>
                        <a:ext uri="{28A0092B-C50C-407E-A947-70E740481C1C}">
                          <a14:useLocalDpi xmlns:a14="http://schemas.microsoft.com/office/drawing/2010/main" val="0"/>
                        </a:ext>
                      </a:extLst>
                    </a:blip>
                    <a:srcRect t="1674"/>
                    <a:stretch>
                      <a:fillRect/>
                    </a:stretch>
                  </pic:blipFill>
                  <pic:spPr bwMode="auto">
                    <a:xfrm>
                      <a:off x="0" y="0"/>
                      <a:ext cx="1231900" cy="1760720"/>
                    </a:xfrm>
                    <a:prstGeom prst="rect">
                      <a:avLst/>
                    </a:prstGeom>
                    <a:ln w="5715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063ED2FF" wp14:editId="3331261A">
                <wp:simplePos x="0" y="0"/>
                <wp:positionH relativeFrom="column">
                  <wp:posOffset>-8890</wp:posOffset>
                </wp:positionH>
                <wp:positionV relativeFrom="paragraph">
                  <wp:posOffset>-133985</wp:posOffset>
                </wp:positionV>
                <wp:extent cx="4405630" cy="4673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405630" cy="467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86C1A6" w14:textId="77777777" w:rsidR="001B225E" w:rsidRDefault="001B225E" w:rsidP="001B225E">
                            <w:pPr>
                              <w:pStyle w:val="NoSpacing"/>
                              <w:rPr>
                                <w:rFonts w:ascii="Segoe UI" w:hAnsi="Segoe UI" w:cs="Segoe UI"/>
                                <w:b/>
                                <w:sz w:val="44"/>
                                <w:szCs w:val="44"/>
                              </w:rPr>
                            </w:pPr>
                            <w:r>
                              <w:rPr>
                                <w:rFonts w:ascii="Segoe UI" w:hAnsi="Segoe UI" w:cs="Segoe UI"/>
                                <w:b/>
                                <w:sz w:val="44"/>
                                <w:szCs w:val="44"/>
                              </w:rPr>
                              <w:t>ANNECELLE JOY S. ORIBIANA</w:t>
                            </w:r>
                          </w:p>
                          <w:p w14:paraId="65BFE3CE" w14:textId="77777777" w:rsidR="001B225E" w:rsidRDefault="001B225E" w:rsidP="001B225E">
                            <w:pPr>
                              <w:pStyle w:val="NoSpacing"/>
                              <w:rPr>
                                <w:rFonts w:ascii="Segoe UI" w:hAnsi="Segoe UI" w:cs="Segoe UI"/>
                                <w:b/>
                                <w:sz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ED2FF" id="Text Box 10" o:spid="_x0000_s1032" type="#_x0000_t202" style="position:absolute;left:0;text-align:left;margin-left:-.7pt;margin-top:-10.55pt;width:346.9pt;height:3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" filled="f" stroked="f" strokeweight=".5pt">
                <v:textbox>
                  <w:txbxContent>
                    <w:p w14:paraId="6D86C1A6" w14:textId="77777777" w:rsidR="001B225E" w:rsidRDefault="001B225E" w:rsidP="001B225E">
                      <w:pPr>
                        <w:pStyle w:val="NoSpacing"/>
                        <w:rPr>
                          <w:rFonts w:ascii="Segoe UI" w:hAnsi="Segoe UI" w:cs="Segoe UI"/>
                          <w:b/>
                          <w:sz w:val="44"/>
                          <w:szCs w:val="44"/>
                        </w:rPr>
                      </w:pPr>
                      <w:r>
                        <w:rPr>
                          <w:rFonts w:ascii="Segoe UI" w:hAnsi="Segoe UI" w:cs="Segoe UI"/>
                          <w:b/>
                          <w:sz w:val="44"/>
                          <w:szCs w:val="44"/>
                        </w:rPr>
                        <w:t>ANNECELLE JOY S. ORIBIANA</w:t>
                      </w:r>
                    </w:p>
                    <w:p w14:paraId="65BFE3CE" w14:textId="77777777" w:rsidR="001B225E" w:rsidRDefault="001B225E" w:rsidP="001B225E">
                      <w:pPr>
                        <w:pStyle w:val="NoSpacing"/>
                        <w:rPr>
                          <w:rFonts w:ascii="Segoe UI" w:hAnsi="Segoe UI" w:cs="Segoe UI"/>
                          <w:b/>
                          <w:sz w:val="48"/>
                        </w:rPr>
                      </w:pPr>
                    </w:p>
                  </w:txbxContent>
                </v:textbox>
              </v:shape>
            </w:pict>
          </mc:Fallback>
        </mc:AlternateContent>
      </w:r>
    </w:p>
    <w:p w14:paraId="75DBB710" w14:textId="77777777" w:rsidR="001B225E" w:rsidRPr="002A1433" w:rsidRDefault="001B225E" w:rsidP="001B225E">
      <w:pPr>
        <w:spacing w:before="40" w:after="200" w:line="480" w:lineRule="auto"/>
        <w:jc w:val="both"/>
        <w:rPr>
          <w:rFonts w:ascii="Arial" w:eastAsia="Arial" w:hAnsi="Arial" w:cs="Arial"/>
        </w:rPr>
      </w:pPr>
      <w:r>
        <w:rPr>
          <w:noProof/>
        </w:rPr>
        <mc:AlternateContent>
          <mc:Choice Requires="wps">
            <w:drawing>
              <wp:anchor distT="0" distB="0" distL="114300" distR="114300" simplePos="0" relativeHeight="251669504" behindDoc="1" locked="0" layoutInCell="1" allowOverlap="1" wp14:anchorId="7F8F8663" wp14:editId="40238717">
                <wp:simplePos x="0" y="0"/>
                <wp:positionH relativeFrom="column">
                  <wp:posOffset>403860</wp:posOffset>
                </wp:positionH>
                <wp:positionV relativeFrom="paragraph">
                  <wp:posOffset>159905</wp:posOffset>
                </wp:positionV>
                <wp:extent cx="5861050" cy="279273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792730"/>
                        </a:xfrm>
                        <a:prstGeom prst="rect">
                          <a:avLst/>
                        </a:prstGeom>
                        <a:noFill/>
                        <a:ln w="9525">
                          <a:noFill/>
                          <a:miter lim="800000"/>
                          <a:headEnd/>
                          <a:tailEnd/>
                        </a:ln>
                      </wps:spPr>
                      <wps:txbx>
                        <w:txbxContent>
                          <w:p w14:paraId="6561B172" w14:textId="77777777" w:rsidR="001B225E" w:rsidRDefault="001B225E" w:rsidP="001B225E">
                            <w:pPr>
                              <w:spacing w:line="240" w:lineRule="auto"/>
                              <w:rPr>
                                <w:color w:val="000000" w:themeColor="text1"/>
                              </w:rPr>
                            </w:pPr>
                            <w:r>
                              <w:rPr>
                                <w:color w:val="000000" w:themeColor="text1"/>
                              </w:rPr>
                              <w:t>Age</w:t>
                            </w:r>
                            <w:r>
                              <w:rPr>
                                <w:color w:val="000000" w:themeColor="text1"/>
                              </w:rPr>
                              <w:tab/>
                            </w:r>
                            <w:r>
                              <w:rPr>
                                <w:color w:val="000000" w:themeColor="text1"/>
                              </w:rPr>
                              <w:tab/>
                            </w:r>
                            <w:r>
                              <w:rPr>
                                <w:color w:val="000000" w:themeColor="text1"/>
                              </w:rPr>
                              <w:tab/>
                            </w:r>
                            <w:r>
                              <w:rPr>
                                <w:color w:val="000000" w:themeColor="text1"/>
                              </w:rPr>
                              <w:tab/>
                              <w:t>:</w:t>
                            </w:r>
                            <w:r>
                              <w:rPr>
                                <w:color w:val="000000" w:themeColor="text1"/>
                              </w:rPr>
                              <w:tab/>
                            </w:r>
                            <w:r>
                              <w:rPr>
                                <w:bCs/>
                              </w:rPr>
                              <w:t>32  years old</w:t>
                            </w:r>
                          </w:p>
                          <w:p w14:paraId="6FE14996" w14:textId="77777777" w:rsidR="001B225E" w:rsidRDefault="001B225E" w:rsidP="001B225E">
                            <w:pPr>
                              <w:spacing w:line="240" w:lineRule="auto"/>
                              <w:rPr>
                                <w:color w:val="000000" w:themeColor="text1"/>
                              </w:rPr>
                            </w:pPr>
                            <w:r>
                              <w:rPr>
                                <w:color w:val="000000" w:themeColor="text1"/>
                              </w:rPr>
                              <w:t>Date of Birth</w:t>
                            </w:r>
                            <w:r>
                              <w:rPr>
                                <w:color w:val="000000" w:themeColor="text1"/>
                              </w:rPr>
                              <w:tab/>
                            </w:r>
                            <w:r>
                              <w:rPr>
                                <w:color w:val="000000" w:themeColor="text1"/>
                              </w:rPr>
                              <w:tab/>
                            </w:r>
                            <w:r>
                              <w:rPr>
                                <w:color w:val="000000" w:themeColor="text1"/>
                              </w:rPr>
                              <w:tab/>
                              <w:t>:</w:t>
                            </w:r>
                            <w:r>
                              <w:rPr>
                                <w:color w:val="000000" w:themeColor="text1"/>
                              </w:rPr>
                              <w:tab/>
                            </w:r>
                            <w:r>
                              <w:rPr>
                                <w:bCs/>
                              </w:rPr>
                              <w:t>October 31, 1993</w:t>
                            </w:r>
                          </w:p>
                          <w:p w14:paraId="30D10444" w14:textId="77777777" w:rsidR="001B225E" w:rsidRDefault="001B225E" w:rsidP="001B225E">
                            <w:pPr>
                              <w:spacing w:line="240" w:lineRule="auto"/>
                              <w:rPr>
                                <w:bCs/>
                              </w:rPr>
                            </w:pPr>
                            <w:r>
                              <w:rPr>
                                <w:color w:val="000000" w:themeColor="text1"/>
                              </w:rPr>
                              <w:t>Birthplace</w:t>
                            </w:r>
                            <w:r>
                              <w:rPr>
                                <w:color w:val="000000" w:themeColor="text1"/>
                              </w:rPr>
                              <w:tab/>
                            </w:r>
                            <w:r>
                              <w:rPr>
                                <w:color w:val="000000" w:themeColor="text1"/>
                              </w:rPr>
                              <w:tab/>
                            </w:r>
                            <w:r>
                              <w:rPr>
                                <w:color w:val="000000" w:themeColor="text1"/>
                              </w:rPr>
                              <w:tab/>
                              <w:t>:</w:t>
                            </w:r>
                            <w:r>
                              <w:rPr>
                                <w:color w:val="000000" w:themeColor="text1"/>
                              </w:rPr>
                              <w:tab/>
                            </w:r>
                            <w:proofErr w:type="spellStart"/>
                            <w:r>
                              <w:rPr>
                                <w:bCs/>
                              </w:rPr>
                              <w:t>Polangui</w:t>
                            </w:r>
                            <w:proofErr w:type="spellEnd"/>
                            <w:r>
                              <w:rPr>
                                <w:bCs/>
                              </w:rPr>
                              <w:t>, Albay</w:t>
                            </w:r>
                          </w:p>
                          <w:p w14:paraId="5D9D7972" w14:textId="77777777" w:rsidR="001B225E" w:rsidRDefault="001B225E" w:rsidP="001B225E">
                            <w:pPr>
                              <w:spacing w:line="240" w:lineRule="auto"/>
                              <w:rPr>
                                <w:color w:val="000000" w:themeColor="text1"/>
                              </w:rPr>
                            </w:pPr>
                            <w:r>
                              <w:rPr>
                                <w:bCs/>
                              </w:rPr>
                              <w:t>Civil Status</w:t>
                            </w:r>
                            <w:r>
                              <w:rPr>
                                <w:bCs/>
                              </w:rPr>
                              <w:tab/>
                            </w:r>
                            <w:r>
                              <w:rPr>
                                <w:bCs/>
                              </w:rPr>
                              <w:tab/>
                            </w:r>
                            <w:r>
                              <w:rPr>
                                <w:bCs/>
                              </w:rPr>
                              <w:tab/>
                              <w:t>:</w:t>
                            </w:r>
                            <w:r>
                              <w:rPr>
                                <w:bCs/>
                              </w:rPr>
                              <w:tab/>
                              <w:t>Married</w:t>
                            </w:r>
                          </w:p>
                          <w:p w14:paraId="7D48F4F5" w14:textId="77777777" w:rsidR="001B225E" w:rsidRDefault="001B225E" w:rsidP="001B225E">
                            <w:pPr>
                              <w:spacing w:line="240" w:lineRule="auto"/>
                              <w:rPr>
                                <w:color w:val="000000" w:themeColor="text1"/>
                              </w:rPr>
                            </w:pPr>
                            <w:r>
                              <w:rPr>
                                <w:color w:val="000000" w:themeColor="text1"/>
                              </w:rPr>
                              <w:t>Citizenship</w:t>
                            </w:r>
                            <w:r>
                              <w:rPr>
                                <w:color w:val="000000" w:themeColor="text1"/>
                              </w:rPr>
                              <w:tab/>
                            </w:r>
                            <w:r>
                              <w:rPr>
                                <w:color w:val="000000" w:themeColor="text1"/>
                              </w:rPr>
                              <w:tab/>
                            </w:r>
                            <w:r>
                              <w:rPr>
                                <w:color w:val="000000" w:themeColor="text1"/>
                              </w:rPr>
                              <w:tab/>
                              <w:t>:</w:t>
                            </w:r>
                            <w:r>
                              <w:rPr>
                                <w:color w:val="000000" w:themeColor="text1"/>
                              </w:rPr>
                              <w:tab/>
                              <w:t>Filipino</w:t>
                            </w:r>
                          </w:p>
                          <w:p w14:paraId="72EA6671" w14:textId="77777777" w:rsidR="001B225E" w:rsidRDefault="001B225E" w:rsidP="001B225E">
                            <w:pPr>
                              <w:spacing w:line="240" w:lineRule="auto"/>
                              <w:rPr>
                                <w:color w:val="000000" w:themeColor="text1"/>
                              </w:rPr>
                            </w:pPr>
                            <w:r>
                              <w:rPr>
                                <w:color w:val="000000" w:themeColor="text1"/>
                              </w:rPr>
                              <w:t>Religion</w:t>
                            </w:r>
                            <w:r>
                              <w:rPr>
                                <w:color w:val="000000" w:themeColor="text1"/>
                              </w:rPr>
                              <w:tab/>
                            </w:r>
                            <w:r>
                              <w:rPr>
                                <w:color w:val="000000" w:themeColor="text1"/>
                              </w:rPr>
                              <w:tab/>
                            </w:r>
                            <w:r>
                              <w:rPr>
                                <w:color w:val="000000" w:themeColor="text1"/>
                              </w:rPr>
                              <w:tab/>
                              <w:t>:</w:t>
                            </w:r>
                            <w:r>
                              <w:rPr>
                                <w:color w:val="000000" w:themeColor="text1"/>
                              </w:rPr>
                              <w:tab/>
                              <w:t>Roman Catholic</w:t>
                            </w:r>
                          </w:p>
                          <w:p w14:paraId="2568FE9B" w14:textId="77777777" w:rsidR="001B225E" w:rsidRDefault="001B225E" w:rsidP="001B225E">
                            <w:pPr>
                              <w:rPr>
                                <w:bCs/>
                              </w:rPr>
                            </w:pPr>
                            <w:r>
                              <w:rPr>
                                <w:bCs/>
                              </w:rPr>
                              <w:t>Parents</w:t>
                            </w:r>
                            <w:r>
                              <w:rPr>
                                <w:bCs/>
                              </w:rPr>
                              <w:tab/>
                            </w:r>
                            <w:r>
                              <w:rPr>
                                <w:bCs/>
                              </w:rPr>
                              <w:tab/>
                            </w:r>
                            <w:r>
                              <w:rPr>
                                <w:bCs/>
                              </w:rPr>
                              <w:tab/>
                              <w:t>:</w:t>
                            </w:r>
                            <w:r>
                              <w:rPr>
                                <w:bCs/>
                              </w:rPr>
                              <w:tab/>
                              <w:t>Antonio S. Samar Jr.</w:t>
                            </w:r>
                          </w:p>
                          <w:p w14:paraId="47FC3608" w14:textId="77777777" w:rsidR="001B225E" w:rsidRDefault="001B225E" w:rsidP="001B225E">
                            <w:pPr>
                              <w:rPr>
                                <w:bCs/>
                              </w:rPr>
                            </w:pPr>
                            <w:r>
                              <w:rPr>
                                <w:bCs/>
                              </w:rPr>
                              <w:tab/>
                            </w:r>
                            <w:r>
                              <w:rPr>
                                <w:bCs/>
                              </w:rPr>
                              <w:tab/>
                            </w:r>
                            <w:r>
                              <w:rPr>
                                <w:bCs/>
                              </w:rPr>
                              <w:tab/>
                            </w:r>
                            <w:r>
                              <w:rPr>
                                <w:bCs/>
                              </w:rPr>
                              <w:tab/>
                            </w:r>
                            <w:r>
                              <w:rPr>
                                <w:bCs/>
                              </w:rPr>
                              <w:tab/>
                              <w:t>Cecilia L. Samar</w:t>
                            </w:r>
                          </w:p>
                          <w:p w14:paraId="31B1B3D0" w14:textId="77777777" w:rsidR="001B225E" w:rsidRDefault="001B225E" w:rsidP="001B225E">
                            <w:pPr>
                              <w:rPr>
                                <w:bCs/>
                              </w:rPr>
                            </w:pPr>
                            <w:r>
                              <w:rPr>
                                <w:bCs/>
                              </w:rPr>
                              <w:t>Spouse</w:t>
                            </w:r>
                            <w:r>
                              <w:rPr>
                                <w:bCs/>
                              </w:rPr>
                              <w:tab/>
                            </w:r>
                            <w:r>
                              <w:rPr>
                                <w:bCs/>
                              </w:rPr>
                              <w:tab/>
                            </w:r>
                            <w:r>
                              <w:rPr>
                                <w:bCs/>
                              </w:rPr>
                              <w:tab/>
                            </w:r>
                            <w:r>
                              <w:rPr>
                                <w:bCs/>
                              </w:rPr>
                              <w:tab/>
                              <w:t>:</w:t>
                            </w:r>
                            <w:r>
                              <w:rPr>
                                <w:bCs/>
                              </w:rPr>
                              <w:tab/>
                              <w:t xml:space="preserve">Jay-Arr P. </w:t>
                            </w:r>
                            <w:proofErr w:type="spellStart"/>
                            <w:r>
                              <w:rPr>
                                <w:bCs/>
                              </w:rPr>
                              <w:t>Oribiana</w:t>
                            </w:r>
                            <w:proofErr w:type="spellEnd"/>
                            <w:r>
                              <w:rPr>
                                <w:bCs/>
                              </w:rPr>
                              <w:tab/>
                            </w:r>
                          </w:p>
                          <w:p w14:paraId="094C036A" w14:textId="77777777" w:rsidR="001B225E" w:rsidRDefault="001B225E" w:rsidP="001B225E">
                            <w:pPr>
                              <w:rPr>
                                <w:b/>
                                <w:bCs/>
                              </w:rPr>
                            </w:pPr>
                            <w:r>
                              <w:rPr>
                                <w:bCs/>
                              </w:rPr>
                              <w:t>Child</w:t>
                            </w:r>
                            <w:r>
                              <w:rPr>
                                <w:bCs/>
                              </w:rPr>
                              <w:tab/>
                            </w:r>
                            <w:r>
                              <w:rPr>
                                <w:bCs/>
                              </w:rPr>
                              <w:tab/>
                            </w:r>
                            <w:r>
                              <w:rPr>
                                <w:bCs/>
                              </w:rPr>
                              <w:tab/>
                            </w:r>
                            <w:r>
                              <w:rPr>
                                <w:bCs/>
                              </w:rPr>
                              <w:tab/>
                              <w:t>:</w:t>
                            </w:r>
                            <w:r>
                              <w:rPr>
                                <w:bCs/>
                              </w:rPr>
                              <w:tab/>
                              <w:t xml:space="preserve">Aiden Jann S. </w:t>
                            </w:r>
                            <w:proofErr w:type="spellStart"/>
                            <w:r>
                              <w:rPr>
                                <w:bCs/>
                              </w:rPr>
                              <w:t>Oribiana</w:t>
                            </w:r>
                            <w:proofErr w:type="spellEnd"/>
                          </w:p>
                          <w:p w14:paraId="442BAC9C" w14:textId="77777777" w:rsidR="001B225E" w:rsidRDefault="001B225E" w:rsidP="001B225E">
                            <w:pPr>
                              <w:spacing w:line="240" w:lineRule="auto"/>
                              <w:rPr>
                                <w:color w:val="000000" w:themeColor="text1"/>
                              </w:rPr>
                            </w:pPr>
                          </w:p>
                          <w:p w14:paraId="5A89B1DD" w14:textId="77777777" w:rsidR="001B225E" w:rsidRDefault="001B225E" w:rsidP="001B225E">
                            <w:pPr>
                              <w:spacing w:line="240" w:lineRule="auto"/>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F8663" id="Text Box 4" o:spid="_x0000_s1033" type="#_x0000_t202" style="position:absolute;left:0;text-align:left;margin-left:31.8pt;margin-top:12.6pt;width:461.5pt;height:219.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" filled="f" stroked="f">
                <v:textbox>
                  <w:txbxContent>
                    <w:p w14:paraId="6561B172" w14:textId="77777777" w:rsidR="001B225E" w:rsidRDefault="001B225E" w:rsidP="001B225E">
                      <w:pPr>
                        <w:spacing w:line="240" w:lineRule="auto"/>
                        <w:rPr>
                          <w:color w:val="000000" w:themeColor="text1"/>
                        </w:rPr>
                      </w:pPr>
                      <w:r>
                        <w:rPr>
                          <w:color w:val="000000" w:themeColor="text1"/>
                        </w:rPr>
                        <w:t>Age</w:t>
                      </w:r>
                      <w:r>
                        <w:rPr>
                          <w:color w:val="000000" w:themeColor="text1"/>
                        </w:rPr>
                        <w:tab/>
                      </w:r>
                      <w:r>
                        <w:rPr>
                          <w:color w:val="000000" w:themeColor="text1"/>
                        </w:rPr>
                        <w:tab/>
                      </w:r>
                      <w:r>
                        <w:rPr>
                          <w:color w:val="000000" w:themeColor="text1"/>
                        </w:rPr>
                        <w:tab/>
                      </w:r>
                      <w:r>
                        <w:rPr>
                          <w:color w:val="000000" w:themeColor="text1"/>
                        </w:rPr>
                        <w:tab/>
                        <w:t>:</w:t>
                      </w:r>
                      <w:r>
                        <w:rPr>
                          <w:color w:val="000000" w:themeColor="text1"/>
                        </w:rPr>
                        <w:tab/>
                      </w:r>
                      <w:r>
                        <w:rPr>
                          <w:bCs/>
                        </w:rPr>
                        <w:t>32  years old</w:t>
                      </w:r>
                    </w:p>
                    <w:p w14:paraId="6FE14996" w14:textId="77777777" w:rsidR="001B225E" w:rsidRDefault="001B225E" w:rsidP="001B225E">
                      <w:pPr>
                        <w:spacing w:line="240" w:lineRule="auto"/>
                        <w:rPr>
                          <w:color w:val="000000" w:themeColor="text1"/>
                        </w:rPr>
                      </w:pPr>
                      <w:r>
                        <w:rPr>
                          <w:color w:val="000000" w:themeColor="text1"/>
                        </w:rPr>
                        <w:t>Date of Birth</w:t>
                      </w:r>
                      <w:r>
                        <w:rPr>
                          <w:color w:val="000000" w:themeColor="text1"/>
                        </w:rPr>
                        <w:tab/>
                      </w:r>
                      <w:r>
                        <w:rPr>
                          <w:color w:val="000000" w:themeColor="text1"/>
                        </w:rPr>
                        <w:tab/>
                      </w:r>
                      <w:r>
                        <w:rPr>
                          <w:color w:val="000000" w:themeColor="text1"/>
                        </w:rPr>
                        <w:tab/>
                        <w:t>:</w:t>
                      </w:r>
                      <w:r>
                        <w:rPr>
                          <w:color w:val="000000" w:themeColor="text1"/>
                        </w:rPr>
                        <w:tab/>
                      </w:r>
                      <w:r>
                        <w:rPr>
                          <w:bCs/>
                        </w:rPr>
                        <w:t>October 31, 1993</w:t>
                      </w:r>
                    </w:p>
                    <w:p w14:paraId="30D10444" w14:textId="77777777" w:rsidR="001B225E" w:rsidRDefault="001B225E" w:rsidP="001B225E">
                      <w:pPr>
                        <w:spacing w:line="240" w:lineRule="auto"/>
                        <w:rPr>
                          <w:bCs/>
                        </w:rPr>
                      </w:pPr>
                      <w:r>
                        <w:rPr>
                          <w:color w:val="000000" w:themeColor="text1"/>
                        </w:rPr>
                        <w:t>Birthplace</w:t>
                      </w:r>
                      <w:r>
                        <w:rPr>
                          <w:color w:val="000000" w:themeColor="text1"/>
                        </w:rPr>
                        <w:tab/>
                      </w:r>
                      <w:r>
                        <w:rPr>
                          <w:color w:val="000000" w:themeColor="text1"/>
                        </w:rPr>
                        <w:tab/>
                      </w:r>
                      <w:r>
                        <w:rPr>
                          <w:color w:val="000000" w:themeColor="text1"/>
                        </w:rPr>
                        <w:tab/>
                        <w:t>:</w:t>
                      </w:r>
                      <w:r>
                        <w:rPr>
                          <w:color w:val="000000" w:themeColor="text1"/>
                        </w:rPr>
                        <w:tab/>
                      </w:r>
                      <w:proofErr w:type="spellStart"/>
                      <w:r>
                        <w:rPr>
                          <w:bCs/>
                        </w:rPr>
                        <w:t>Polangui</w:t>
                      </w:r>
                      <w:proofErr w:type="spellEnd"/>
                      <w:r>
                        <w:rPr>
                          <w:bCs/>
                        </w:rPr>
                        <w:t>, Albay</w:t>
                      </w:r>
                    </w:p>
                    <w:p w14:paraId="5D9D7972" w14:textId="77777777" w:rsidR="001B225E" w:rsidRDefault="001B225E" w:rsidP="001B225E">
                      <w:pPr>
                        <w:spacing w:line="240" w:lineRule="auto"/>
                        <w:rPr>
                          <w:color w:val="000000" w:themeColor="text1"/>
                        </w:rPr>
                      </w:pPr>
                      <w:r>
                        <w:rPr>
                          <w:bCs/>
                        </w:rPr>
                        <w:t>Civil Status</w:t>
                      </w:r>
                      <w:r>
                        <w:rPr>
                          <w:bCs/>
                        </w:rPr>
                        <w:tab/>
                      </w:r>
                      <w:r>
                        <w:rPr>
                          <w:bCs/>
                        </w:rPr>
                        <w:tab/>
                      </w:r>
                      <w:r>
                        <w:rPr>
                          <w:bCs/>
                        </w:rPr>
                        <w:tab/>
                        <w:t>:</w:t>
                      </w:r>
                      <w:r>
                        <w:rPr>
                          <w:bCs/>
                        </w:rPr>
                        <w:tab/>
                        <w:t>Married</w:t>
                      </w:r>
                    </w:p>
                    <w:p w14:paraId="7D48F4F5" w14:textId="77777777" w:rsidR="001B225E" w:rsidRDefault="001B225E" w:rsidP="001B225E">
                      <w:pPr>
                        <w:spacing w:line="240" w:lineRule="auto"/>
                        <w:rPr>
                          <w:color w:val="000000" w:themeColor="text1"/>
                        </w:rPr>
                      </w:pPr>
                      <w:r>
                        <w:rPr>
                          <w:color w:val="000000" w:themeColor="text1"/>
                        </w:rPr>
                        <w:t>Citizenship</w:t>
                      </w:r>
                      <w:r>
                        <w:rPr>
                          <w:color w:val="000000" w:themeColor="text1"/>
                        </w:rPr>
                        <w:tab/>
                      </w:r>
                      <w:r>
                        <w:rPr>
                          <w:color w:val="000000" w:themeColor="text1"/>
                        </w:rPr>
                        <w:tab/>
                      </w:r>
                      <w:r>
                        <w:rPr>
                          <w:color w:val="000000" w:themeColor="text1"/>
                        </w:rPr>
                        <w:tab/>
                        <w:t>:</w:t>
                      </w:r>
                      <w:r>
                        <w:rPr>
                          <w:color w:val="000000" w:themeColor="text1"/>
                        </w:rPr>
                        <w:tab/>
                        <w:t>Filipino</w:t>
                      </w:r>
                    </w:p>
                    <w:p w14:paraId="72EA6671" w14:textId="77777777" w:rsidR="001B225E" w:rsidRDefault="001B225E" w:rsidP="001B225E">
                      <w:pPr>
                        <w:spacing w:line="240" w:lineRule="auto"/>
                        <w:rPr>
                          <w:color w:val="000000" w:themeColor="text1"/>
                        </w:rPr>
                      </w:pPr>
                      <w:r>
                        <w:rPr>
                          <w:color w:val="000000" w:themeColor="text1"/>
                        </w:rPr>
                        <w:t>Religion</w:t>
                      </w:r>
                      <w:r>
                        <w:rPr>
                          <w:color w:val="000000" w:themeColor="text1"/>
                        </w:rPr>
                        <w:tab/>
                      </w:r>
                      <w:r>
                        <w:rPr>
                          <w:color w:val="000000" w:themeColor="text1"/>
                        </w:rPr>
                        <w:tab/>
                      </w:r>
                      <w:r>
                        <w:rPr>
                          <w:color w:val="000000" w:themeColor="text1"/>
                        </w:rPr>
                        <w:tab/>
                        <w:t>:</w:t>
                      </w:r>
                      <w:r>
                        <w:rPr>
                          <w:color w:val="000000" w:themeColor="text1"/>
                        </w:rPr>
                        <w:tab/>
                        <w:t>Roman Catholic</w:t>
                      </w:r>
                    </w:p>
                    <w:p w14:paraId="2568FE9B" w14:textId="77777777" w:rsidR="001B225E" w:rsidRDefault="001B225E" w:rsidP="001B225E">
                      <w:pPr>
                        <w:rPr>
                          <w:bCs/>
                        </w:rPr>
                      </w:pPr>
                      <w:r>
                        <w:rPr>
                          <w:bCs/>
                        </w:rPr>
                        <w:t>Parents</w:t>
                      </w:r>
                      <w:r>
                        <w:rPr>
                          <w:bCs/>
                        </w:rPr>
                        <w:tab/>
                      </w:r>
                      <w:r>
                        <w:rPr>
                          <w:bCs/>
                        </w:rPr>
                        <w:tab/>
                      </w:r>
                      <w:r>
                        <w:rPr>
                          <w:bCs/>
                        </w:rPr>
                        <w:tab/>
                        <w:t>:</w:t>
                      </w:r>
                      <w:r>
                        <w:rPr>
                          <w:bCs/>
                        </w:rPr>
                        <w:tab/>
                        <w:t>Antonio S. Samar Jr.</w:t>
                      </w:r>
                    </w:p>
                    <w:p w14:paraId="47FC3608" w14:textId="77777777" w:rsidR="001B225E" w:rsidRDefault="001B225E" w:rsidP="001B225E">
                      <w:pPr>
                        <w:rPr>
                          <w:bCs/>
                        </w:rPr>
                      </w:pPr>
                      <w:r>
                        <w:rPr>
                          <w:bCs/>
                        </w:rPr>
                        <w:tab/>
                      </w:r>
                      <w:r>
                        <w:rPr>
                          <w:bCs/>
                        </w:rPr>
                        <w:tab/>
                      </w:r>
                      <w:r>
                        <w:rPr>
                          <w:bCs/>
                        </w:rPr>
                        <w:tab/>
                      </w:r>
                      <w:r>
                        <w:rPr>
                          <w:bCs/>
                        </w:rPr>
                        <w:tab/>
                      </w:r>
                      <w:r>
                        <w:rPr>
                          <w:bCs/>
                        </w:rPr>
                        <w:tab/>
                        <w:t>Cecilia L. Samar</w:t>
                      </w:r>
                    </w:p>
                    <w:p w14:paraId="31B1B3D0" w14:textId="77777777" w:rsidR="001B225E" w:rsidRDefault="001B225E" w:rsidP="001B225E">
                      <w:pPr>
                        <w:rPr>
                          <w:bCs/>
                        </w:rPr>
                      </w:pPr>
                      <w:r>
                        <w:rPr>
                          <w:bCs/>
                        </w:rPr>
                        <w:t>Spouse</w:t>
                      </w:r>
                      <w:r>
                        <w:rPr>
                          <w:bCs/>
                        </w:rPr>
                        <w:tab/>
                      </w:r>
                      <w:r>
                        <w:rPr>
                          <w:bCs/>
                        </w:rPr>
                        <w:tab/>
                      </w:r>
                      <w:r>
                        <w:rPr>
                          <w:bCs/>
                        </w:rPr>
                        <w:tab/>
                      </w:r>
                      <w:r>
                        <w:rPr>
                          <w:bCs/>
                        </w:rPr>
                        <w:tab/>
                        <w:t>:</w:t>
                      </w:r>
                      <w:r>
                        <w:rPr>
                          <w:bCs/>
                        </w:rPr>
                        <w:tab/>
                        <w:t xml:space="preserve">Jay-Arr P. </w:t>
                      </w:r>
                      <w:proofErr w:type="spellStart"/>
                      <w:r>
                        <w:rPr>
                          <w:bCs/>
                        </w:rPr>
                        <w:t>Oribiana</w:t>
                      </w:r>
                      <w:proofErr w:type="spellEnd"/>
                      <w:r>
                        <w:rPr>
                          <w:bCs/>
                        </w:rPr>
                        <w:tab/>
                      </w:r>
                    </w:p>
                    <w:p w14:paraId="094C036A" w14:textId="77777777" w:rsidR="001B225E" w:rsidRDefault="001B225E" w:rsidP="001B225E">
                      <w:pPr>
                        <w:rPr>
                          <w:b/>
                          <w:bCs/>
                        </w:rPr>
                      </w:pPr>
                      <w:r>
                        <w:rPr>
                          <w:bCs/>
                        </w:rPr>
                        <w:t>Child</w:t>
                      </w:r>
                      <w:r>
                        <w:rPr>
                          <w:bCs/>
                        </w:rPr>
                        <w:tab/>
                      </w:r>
                      <w:r>
                        <w:rPr>
                          <w:bCs/>
                        </w:rPr>
                        <w:tab/>
                      </w:r>
                      <w:r>
                        <w:rPr>
                          <w:bCs/>
                        </w:rPr>
                        <w:tab/>
                      </w:r>
                      <w:r>
                        <w:rPr>
                          <w:bCs/>
                        </w:rPr>
                        <w:tab/>
                        <w:t>:</w:t>
                      </w:r>
                      <w:r>
                        <w:rPr>
                          <w:bCs/>
                        </w:rPr>
                        <w:tab/>
                        <w:t xml:space="preserve">Aiden Jann S. </w:t>
                      </w:r>
                      <w:proofErr w:type="spellStart"/>
                      <w:r>
                        <w:rPr>
                          <w:bCs/>
                        </w:rPr>
                        <w:t>Oribiana</w:t>
                      </w:r>
                      <w:proofErr w:type="spellEnd"/>
                    </w:p>
                    <w:p w14:paraId="442BAC9C" w14:textId="77777777" w:rsidR="001B225E" w:rsidRDefault="001B225E" w:rsidP="001B225E">
                      <w:pPr>
                        <w:spacing w:line="240" w:lineRule="auto"/>
                        <w:rPr>
                          <w:color w:val="000000" w:themeColor="text1"/>
                        </w:rPr>
                      </w:pPr>
                    </w:p>
                    <w:p w14:paraId="5A89B1DD" w14:textId="77777777" w:rsidR="001B225E" w:rsidRDefault="001B225E" w:rsidP="001B225E">
                      <w:pPr>
                        <w:spacing w:line="240" w:lineRule="auto"/>
                        <w:rPr>
                          <w:color w:val="000000" w:themeColor="text1"/>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E025240" wp14:editId="2A1A3360">
                <wp:simplePos x="0" y="0"/>
                <wp:positionH relativeFrom="column">
                  <wp:posOffset>437515</wp:posOffset>
                </wp:positionH>
                <wp:positionV relativeFrom="paragraph">
                  <wp:posOffset>11900535</wp:posOffset>
                </wp:positionV>
                <wp:extent cx="3609975" cy="37020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609975" cy="370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62EB83" w14:textId="77777777" w:rsidR="001B225E" w:rsidRPr="001862F8" w:rsidRDefault="001B225E" w:rsidP="001B225E">
                            <w:pPr>
                              <w:pStyle w:val="NoSpacing"/>
                              <w:rPr>
                                <w:rFonts w:ascii="Segoe UI" w:hAnsi="Segoe UI" w:cs="Segoe UI"/>
                                <w:b/>
                                <w:sz w:val="32"/>
                              </w:rPr>
                            </w:pPr>
                            <w:r w:rsidRPr="001862F8">
                              <w:rPr>
                                <w:rFonts w:ascii="Segoe UI" w:hAnsi="Segoe UI" w:cs="Segoe UI"/>
                                <w:b/>
                                <w:sz w:val="32"/>
                              </w:rPr>
                              <w:t>III. WORK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E025240" id="Text Box 11" o:spid="_x0000_s1034" type="#_x0000_t202" style="position:absolute;left:0;text-align:left;margin-left:34.45pt;margin-top:937.05pt;width:284.25pt;height:29.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" filled="f" stroked="f" strokeweight=".5pt">
                <v:textbox>
                  <w:txbxContent>
                    <w:p w14:paraId="1D62EB83" w14:textId="77777777" w:rsidR="001B225E" w:rsidRPr="001862F8" w:rsidRDefault="001B225E" w:rsidP="001B225E">
                      <w:pPr>
                        <w:pStyle w:val="NoSpacing"/>
                        <w:rPr>
                          <w:rFonts w:ascii="Segoe UI" w:hAnsi="Segoe UI" w:cs="Segoe UI"/>
                          <w:b/>
                          <w:sz w:val="32"/>
                        </w:rPr>
                      </w:pPr>
                      <w:r w:rsidRPr="001862F8">
                        <w:rPr>
                          <w:rFonts w:ascii="Segoe UI" w:hAnsi="Segoe UI" w:cs="Segoe UI"/>
                          <w:b/>
                          <w:sz w:val="32"/>
                        </w:rPr>
                        <w:t>III. WORK EXPERIENCE</w:t>
                      </w:r>
                    </w:p>
                  </w:txbxContent>
                </v:textbox>
              </v:shape>
            </w:pict>
          </mc:Fallback>
        </mc:AlternateContent>
      </w:r>
    </w:p>
    <w:p w14:paraId="090AD5DB" w14:textId="77777777" w:rsidR="001B225E" w:rsidRDefault="001B225E" w:rsidP="001B225E">
      <w:pPr>
        <w:spacing w:before="40" w:after="200" w:line="480" w:lineRule="auto"/>
        <w:jc w:val="both"/>
        <w:rPr>
          <w:rFonts w:ascii="Arial" w:eastAsia="Arial" w:hAnsi="Arial" w:cs="Arial"/>
        </w:rPr>
      </w:pPr>
    </w:p>
    <w:p w14:paraId="7FBADB64" w14:textId="77777777" w:rsidR="001B225E" w:rsidRDefault="001B225E" w:rsidP="001B225E">
      <w:pPr>
        <w:spacing w:before="40" w:after="200" w:line="480" w:lineRule="auto"/>
        <w:jc w:val="both"/>
        <w:rPr>
          <w:rFonts w:ascii="Arial" w:eastAsia="Arial" w:hAnsi="Arial" w:cs="Arial"/>
        </w:rPr>
      </w:pPr>
    </w:p>
    <w:p w14:paraId="3E7F8B4E" w14:textId="77777777" w:rsidR="001B225E" w:rsidRDefault="001B225E" w:rsidP="001B225E">
      <w:pPr>
        <w:spacing w:before="40" w:after="200" w:line="480" w:lineRule="auto"/>
        <w:jc w:val="both"/>
        <w:rPr>
          <w:rFonts w:ascii="Arial" w:eastAsia="Arial" w:hAnsi="Arial" w:cs="Arial"/>
        </w:rPr>
      </w:pPr>
    </w:p>
    <w:p w14:paraId="3E101277" w14:textId="77777777" w:rsidR="001B225E" w:rsidRDefault="001B225E" w:rsidP="001B225E">
      <w:pPr>
        <w:spacing w:before="40" w:after="200" w:line="480" w:lineRule="auto"/>
        <w:jc w:val="both"/>
        <w:rPr>
          <w:rFonts w:ascii="Arial" w:eastAsia="Arial" w:hAnsi="Arial" w:cs="Arial"/>
        </w:rPr>
      </w:pPr>
    </w:p>
    <w:p w14:paraId="09A144FD" w14:textId="77777777" w:rsidR="001B225E" w:rsidRDefault="001B225E" w:rsidP="001B225E">
      <w:pPr>
        <w:spacing w:line="480" w:lineRule="auto"/>
        <w:jc w:val="both"/>
        <w:rPr>
          <w:rFonts w:ascii="Arial" w:eastAsia="Arial" w:hAnsi="Arial" w:cs="Arial"/>
        </w:rPr>
      </w:pPr>
      <w:r>
        <w:rPr>
          <w:noProof/>
        </w:rPr>
        <mc:AlternateContent>
          <mc:Choice Requires="wps">
            <w:drawing>
              <wp:anchor distT="0" distB="0" distL="114300" distR="114300" simplePos="0" relativeHeight="251667456" behindDoc="0" locked="0" layoutInCell="1" allowOverlap="1" wp14:anchorId="4A31A059" wp14:editId="6CE15231">
                <wp:simplePos x="0" y="0"/>
                <wp:positionH relativeFrom="column">
                  <wp:posOffset>407670</wp:posOffset>
                </wp:positionH>
                <wp:positionV relativeFrom="paragraph">
                  <wp:posOffset>339205</wp:posOffset>
                </wp:positionV>
                <wp:extent cx="3609975" cy="370205"/>
                <wp:effectExtent l="0" t="0" r="0" b="0"/>
                <wp:wrapNone/>
                <wp:docPr id="1235700619" name="Text Box 1235700619"/>
                <wp:cNvGraphicFramePr/>
                <a:graphic xmlns:a="http://schemas.openxmlformats.org/drawingml/2006/main">
                  <a:graphicData uri="http://schemas.microsoft.com/office/word/2010/wordprocessingShape">
                    <wps:wsp>
                      <wps:cNvSpPr txBox="1"/>
                      <wps:spPr>
                        <a:xfrm>
                          <a:off x="0" y="0"/>
                          <a:ext cx="3609975" cy="370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1FBBA4" w14:textId="77777777" w:rsidR="001B225E" w:rsidRPr="001862F8" w:rsidRDefault="001B225E" w:rsidP="001B225E">
                            <w:pPr>
                              <w:pStyle w:val="NoSpacing"/>
                              <w:rPr>
                                <w:rFonts w:ascii="Segoe UI" w:hAnsi="Segoe UI" w:cs="Segoe UI"/>
                                <w:b/>
                                <w:sz w:val="32"/>
                              </w:rPr>
                            </w:pPr>
                            <w:r w:rsidRPr="001862F8">
                              <w:rPr>
                                <w:rFonts w:ascii="Segoe UI" w:hAnsi="Segoe UI" w:cs="Segoe UI"/>
                                <w:b/>
                                <w:sz w:val="32"/>
                              </w:rPr>
                              <w:t>II. EDUCATIONAL ATTAINMENT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A31A059" id="Text Box 1235700619" o:spid="_x0000_s1035" type="#_x0000_t202" style="position:absolute;left:0;text-align:left;margin-left:32.1pt;margin-top:26.7pt;width:284.25pt;height:2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" filled="f" stroked="f" strokeweight=".5pt">
                <v:textbox>
                  <w:txbxContent>
                    <w:p w14:paraId="321FBBA4" w14:textId="77777777" w:rsidR="001B225E" w:rsidRPr="001862F8" w:rsidRDefault="001B225E" w:rsidP="001B225E">
                      <w:pPr>
                        <w:pStyle w:val="NoSpacing"/>
                        <w:rPr>
                          <w:rFonts w:ascii="Segoe UI" w:hAnsi="Segoe UI" w:cs="Segoe UI"/>
                          <w:b/>
                          <w:sz w:val="32"/>
                        </w:rPr>
                      </w:pPr>
                      <w:r w:rsidRPr="001862F8">
                        <w:rPr>
                          <w:rFonts w:ascii="Segoe UI" w:hAnsi="Segoe UI" w:cs="Segoe UI"/>
                          <w:b/>
                          <w:sz w:val="32"/>
                        </w:rPr>
                        <w:t>II. EDUCATIONAL ATTAINMENT</w:t>
                      </w:r>
                    </w:p>
                  </w:txbxContent>
                </v:textbox>
              </v:shape>
            </w:pict>
          </mc:Fallback>
        </mc:AlternateContent>
      </w:r>
    </w:p>
    <w:p w14:paraId="0AE044A7" w14:textId="77777777" w:rsidR="001B225E" w:rsidRDefault="001B225E" w:rsidP="001B225E">
      <w:pPr>
        <w:rPr>
          <w:rFonts w:ascii="Arial" w:eastAsia="Arial" w:hAnsi="Arial" w:cs="Arial"/>
        </w:rPr>
      </w:pPr>
      <w:r>
        <w:rPr>
          <w:noProof/>
        </w:rPr>
        <mc:AlternateContent>
          <mc:Choice Requires="wps">
            <w:drawing>
              <wp:anchor distT="0" distB="0" distL="114300" distR="114300" simplePos="0" relativeHeight="251672576" behindDoc="0" locked="0" layoutInCell="1" allowOverlap="1" wp14:anchorId="1B1B162B" wp14:editId="792E268A">
                <wp:simplePos x="0" y="0"/>
                <wp:positionH relativeFrom="column">
                  <wp:posOffset>276225</wp:posOffset>
                </wp:positionH>
                <wp:positionV relativeFrom="paragraph">
                  <wp:posOffset>2830830</wp:posOffset>
                </wp:positionV>
                <wp:extent cx="3609975" cy="370205"/>
                <wp:effectExtent l="0" t="0" r="0" b="0"/>
                <wp:wrapNone/>
                <wp:docPr id="503350119" name="Text Box 503350119"/>
                <wp:cNvGraphicFramePr/>
                <a:graphic xmlns:a="http://schemas.openxmlformats.org/drawingml/2006/main">
                  <a:graphicData uri="http://schemas.microsoft.com/office/word/2010/wordprocessingShape">
                    <wps:wsp>
                      <wps:cNvSpPr txBox="1"/>
                      <wps:spPr>
                        <a:xfrm>
                          <a:off x="0" y="0"/>
                          <a:ext cx="3609975" cy="370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E511AA" w14:textId="77777777" w:rsidR="001B225E" w:rsidRPr="001862F8" w:rsidRDefault="001B225E" w:rsidP="001B225E">
                            <w:pPr>
                              <w:pStyle w:val="NoSpacing"/>
                              <w:rPr>
                                <w:rFonts w:ascii="Segoe UI" w:hAnsi="Segoe UI" w:cs="Segoe UI"/>
                                <w:b/>
                                <w:sz w:val="32"/>
                              </w:rPr>
                            </w:pPr>
                            <w:r>
                              <w:rPr>
                                <w:rFonts w:ascii="Segoe UI" w:hAnsi="Segoe UI" w:cs="Segoe UI"/>
                                <w:b/>
                                <w:sz w:val="32"/>
                              </w:rPr>
                              <w:t>I</w:t>
                            </w:r>
                            <w:r w:rsidRPr="001862F8">
                              <w:rPr>
                                <w:rFonts w:ascii="Segoe UI" w:hAnsi="Segoe UI" w:cs="Segoe UI"/>
                                <w:b/>
                                <w:sz w:val="32"/>
                              </w:rPr>
                              <w:t xml:space="preserve">II. </w:t>
                            </w:r>
                            <w:r>
                              <w:rPr>
                                <w:rFonts w:ascii="Segoe UI" w:hAnsi="Segoe UI" w:cs="Segoe UI"/>
                                <w:b/>
                                <w:sz w:val="32"/>
                              </w:rPr>
                              <w:t>WORK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B1B162B" id="Text Box 503350119" o:spid="_x0000_s1036" type="#_x0000_t202" style="position:absolute;margin-left:21.75pt;margin-top:222.9pt;width:284.25pt;height:2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" filled="f" stroked="f" strokeweight=".5pt">
                <v:textbox>
                  <w:txbxContent>
                    <w:p w14:paraId="51E511AA" w14:textId="77777777" w:rsidR="001B225E" w:rsidRPr="001862F8" w:rsidRDefault="001B225E" w:rsidP="001B225E">
                      <w:pPr>
                        <w:pStyle w:val="NoSpacing"/>
                        <w:rPr>
                          <w:rFonts w:ascii="Segoe UI" w:hAnsi="Segoe UI" w:cs="Segoe UI"/>
                          <w:b/>
                          <w:sz w:val="32"/>
                        </w:rPr>
                      </w:pPr>
                      <w:r>
                        <w:rPr>
                          <w:rFonts w:ascii="Segoe UI" w:hAnsi="Segoe UI" w:cs="Segoe UI"/>
                          <w:b/>
                          <w:sz w:val="32"/>
                        </w:rPr>
                        <w:t>I</w:t>
                      </w:r>
                      <w:r w:rsidRPr="001862F8">
                        <w:rPr>
                          <w:rFonts w:ascii="Segoe UI" w:hAnsi="Segoe UI" w:cs="Segoe UI"/>
                          <w:b/>
                          <w:sz w:val="32"/>
                        </w:rPr>
                        <w:t xml:space="preserve">II. </w:t>
                      </w:r>
                      <w:r>
                        <w:rPr>
                          <w:rFonts w:ascii="Segoe UI" w:hAnsi="Segoe UI" w:cs="Segoe UI"/>
                          <w:b/>
                          <w:sz w:val="32"/>
                        </w:rPr>
                        <w:t>WORK EXPERIENCE</w:t>
                      </w:r>
                    </w:p>
                  </w:txbxContent>
                </v:textbox>
              </v:shape>
            </w:pict>
          </mc:Fallback>
        </mc:AlternateContent>
      </w:r>
      <w:r>
        <w:rPr>
          <w:noProof/>
        </w:rPr>
        <mc:AlternateContent>
          <mc:Choice Requires="wps">
            <w:drawing>
              <wp:anchor distT="0" distB="0" distL="114300" distR="114300" simplePos="0" relativeHeight="251671552" behindDoc="1" locked="0" layoutInCell="1" allowOverlap="1" wp14:anchorId="7A8981CD" wp14:editId="0845977A">
                <wp:simplePos x="0" y="0"/>
                <wp:positionH relativeFrom="column">
                  <wp:posOffset>409575</wp:posOffset>
                </wp:positionH>
                <wp:positionV relativeFrom="paragraph">
                  <wp:posOffset>3033683</wp:posOffset>
                </wp:positionV>
                <wp:extent cx="5991225" cy="861060"/>
                <wp:effectExtent l="0" t="0" r="0" b="0"/>
                <wp:wrapThrough wrapText="bothSides">
                  <wp:wrapPolygon edited="0">
                    <wp:start x="229" y="637"/>
                    <wp:lineTo x="229" y="20708"/>
                    <wp:lineTo x="21337" y="20708"/>
                    <wp:lineTo x="21337" y="637"/>
                    <wp:lineTo x="229" y="637"/>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861060"/>
                        </a:xfrm>
                        <a:prstGeom prst="rect">
                          <a:avLst/>
                        </a:prstGeom>
                        <a:noFill/>
                        <a:ln w="9525">
                          <a:noFill/>
                          <a:miter lim="800000"/>
                          <a:headEnd/>
                          <a:tailEnd/>
                        </a:ln>
                      </wps:spPr>
                      <wps:txbx>
                        <w:txbxContent>
                          <w:p w14:paraId="4316B041" w14:textId="77777777" w:rsidR="001B225E" w:rsidRDefault="001B225E" w:rsidP="001B225E">
                            <w:pPr>
                              <w:pStyle w:val="NoSpacing"/>
                              <w:rPr>
                                <w:rFonts w:ascii="Arial" w:hAnsi="Arial" w:cs="Arial"/>
                                <w:b/>
                                <w:sz w:val="24"/>
                                <w:szCs w:val="24"/>
                              </w:rPr>
                            </w:pPr>
                          </w:p>
                          <w:p w14:paraId="58747552" w14:textId="77777777" w:rsidR="001B225E" w:rsidRDefault="001B225E" w:rsidP="001B225E">
                            <w:pPr>
                              <w:pStyle w:val="NoSpacing"/>
                              <w:rPr>
                                <w:rFonts w:ascii="Arial" w:hAnsi="Arial" w:cs="Arial"/>
                                <w:b/>
                                <w:sz w:val="24"/>
                                <w:szCs w:val="24"/>
                              </w:rPr>
                            </w:pPr>
                            <w:r>
                              <w:rPr>
                                <w:rFonts w:ascii="Arial" w:hAnsi="Arial" w:cs="Arial"/>
                                <w:b/>
                                <w:sz w:val="24"/>
                                <w:szCs w:val="24"/>
                              </w:rPr>
                              <w:t>TEACHER 1</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LIGAO NATIONAL HIGH SCHOOL</w:t>
                            </w:r>
                            <w:r>
                              <w:rPr>
                                <w:rFonts w:ascii="Arial" w:hAnsi="Arial" w:cs="Arial"/>
                                <w:b/>
                                <w:sz w:val="24"/>
                                <w:szCs w:val="24"/>
                              </w:rPr>
                              <w:tab/>
                            </w:r>
                            <w:r>
                              <w:rPr>
                                <w:rFonts w:ascii="Arial" w:hAnsi="Arial" w:cs="Arial"/>
                                <w:b/>
                                <w:sz w:val="24"/>
                                <w:szCs w:val="24"/>
                              </w:rPr>
                              <w:tab/>
                            </w:r>
                          </w:p>
                          <w:p w14:paraId="06C59E1D" w14:textId="77777777" w:rsidR="001B225E" w:rsidRDefault="001B225E" w:rsidP="001B225E">
                            <w:pPr>
                              <w:spacing w:after="0" w:line="240"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spellStart"/>
                            <w:r>
                              <w:rPr>
                                <w:color w:val="000000" w:themeColor="text1"/>
                              </w:rPr>
                              <w:t>Guilid</w:t>
                            </w:r>
                            <w:proofErr w:type="spellEnd"/>
                            <w:r>
                              <w:rPr>
                                <w:color w:val="000000" w:themeColor="text1"/>
                              </w:rPr>
                              <w:t xml:space="preserve"> </w:t>
                            </w:r>
                            <w:proofErr w:type="spellStart"/>
                            <w:r>
                              <w:rPr>
                                <w:color w:val="000000" w:themeColor="text1"/>
                              </w:rPr>
                              <w:t>Ligao</w:t>
                            </w:r>
                            <w:proofErr w:type="spellEnd"/>
                            <w:r>
                              <w:rPr>
                                <w:color w:val="000000" w:themeColor="text1"/>
                              </w:rPr>
                              <w:t xml:space="preserve"> City</w:t>
                            </w:r>
                          </w:p>
                          <w:p w14:paraId="664F7169" w14:textId="77777777" w:rsidR="001B225E" w:rsidRDefault="001B225E" w:rsidP="001B225E">
                            <w:pPr>
                              <w:spacing w:after="0" w:line="240"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June 18, 2018 – August 12, 2021</w:t>
                            </w:r>
                          </w:p>
                          <w:p w14:paraId="10BEAFCD" w14:textId="77777777" w:rsidR="001B225E" w:rsidRDefault="001B225E" w:rsidP="001B225E">
                            <w:pPr>
                              <w:spacing w:line="240" w:lineRule="auto"/>
                              <w:rPr>
                                <w:color w:val="000000" w:themeColor="text1"/>
                              </w:rPr>
                            </w:pPr>
                          </w:p>
                          <w:p w14:paraId="7E6AF91A" w14:textId="77777777" w:rsidR="001B225E" w:rsidRDefault="001B225E" w:rsidP="001B225E">
                            <w:pPr>
                              <w:spacing w:line="240" w:lineRule="auto"/>
                              <w:rPr>
                                <w:color w:val="000000" w:themeColor="text1"/>
                              </w:rPr>
                            </w:pPr>
                          </w:p>
                          <w:p w14:paraId="68E34C09" w14:textId="77777777" w:rsidR="001B225E" w:rsidRDefault="001B225E" w:rsidP="001B225E">
                            <w:pPr>
                              <w:spacing w:line="240" w:lineRule="auto"/>
                              <w:rPr>
                                <w:color w:val="000000" w:themeColor="text1"/>
                              </w:rPr>
                            </w:pPr>
                          </w:p>
                          <w:p w14:paraId="72E8DD31" w14:textId="77777777" w:rsidR="001B225E" w:rsidRDefault="001B225E" w:rsidP="001B225E">
                            <w:pPr>
                              <w:spacing w:line="240" w:lineRule="auto"/>
                              <w:rPr>
                                <w:color w:val="000000" w:themeColor="text1"/>
                              </w:rPr>
                            </w:pPr>
                          </w:p>
                          <w:p w14:paraId="6A7A9E87" w14:textId="77777777" w:rsidR="001B225E" w:rsidRDefault="001B225E" w:rsidP="001B225E">
                            <w:pPr>
                              <w:spacing w:line="240" w:lineRule="auto"/>
                              <w:rPr>
                                <w:color w:val="000000" w:themeColor="text1"/>
                              </w:rPr>
                            </w:pPr>
                          </w:p>
                          <w:p w14:paraId="7D20994D" w14:textId="77777777" w:rsidR="001B225E" w:rsidRDefault="001B225E" w:rsidP="001B225E">
                            <w:pPr>
                              <w:spacing w:line="240" w:lineRule="auto"/>
                              <w:rPr>
                                <w:color w:val="000000" w:themeColor="text1"/>
                              </w:rPr>
                            </w:pPr>
                          </w:p>
                          <w:p w14:paraId="66A60D44" w14:textId="77777777" w:rsidR="001B225E" w:rsidRDefault="001B225E" w:rsidP="001B225E">
                            <w:pPr>
                              <w:spacing w:line="240" w:lineRule="auto"/>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981CD" id="Text Box 14" o:spid="_x0000_s1037" type="#_x0000_t202" style="position:absolute;margin-left:32.25pt;margin-top:238.85pt;width:471.75pt;height:67.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" filled="f" stroked="f">
                <v:textbox>
                  <w:txbxContent>
                    <w:p w14:paraId="4316B041" w14:textId="77777777" w:rsidR="001B225E" w:rsidRDefault="001B225E" w:rsidP="001B225E">
                      <w:pPr>
                        <w:pStyle w:val="NoSpacing"/>
                        <w:rPr>
                          <w:rFonts w:ascii="Arial" w:hAnsi="Arial" w:cs="Arial"/>
                          <w:b/>
                          <w:sz w:val="24"/>
                          <w:szCs w:val="24"/>
                        </w:rPr>
                      </w:pPr>
                    </w:p>
                    <w:p w14:paraId="58747552" w14:textId="77777777" w:rsidR="001B225E" w:rsidRDefault="001B225E" w:rsidP="001B225E">
                      <w:pPr>
                        <w:pStyle w:val="NoSpacing"/>
                        <w:rPr>
                          <w:rFonts w:ascii="Arial" w:hAnsi="Arial" w:cs="Arial"/>
                          <w:b/>
                          <w:sz w:val="24"/>
                          <w:szCs w:val="24"/>
                        </w:rPr>
                      </w:pPr>
                      <w:r>
                        <w:rPr>
                          <w:rFonts w:ascii="Arial" w:hAnsi="Arial" w:cs="Arial"/>
                          <w:b/>
                          <w:sz w:val="24"/>
                          <w:szCs w:val="24"/>
                        </w:rPr>
                        <w:t>TEACHER 1</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LIGAO NATIONAL HIGH SCHOOL</w:t>
                      </w:r>
                      <w:r>
                        <w:rPr>
                          <w:rFonts w:ascii="Arial" w:hAnsi="Arial" w:cs="Arial"/>
                          <w:b/>
                          <w:sz w:val="24"/>
                          <w:szCs w:val="24"/>
                        </w:rPr>
                        <w:tab/>
                      </w:r>
                      <w:r>
                        <w:rPr>
                          <w:rFonts w:ascii="Arial" w:hAnsi="Arial" w:cs="Arial"/>
                          <w:b/>
                          <w:sz w:val="24"/>
                          <w:szCs w:val="24"/>
                        </w:rPr>
                        <w:tab/>
                      </w:r>
                    </w:p>
                    <w:p w14:paraId="06C59E1D" w14:textId="77777777" w:rsidR="001B225E" w:rsidRDefault="001B225E" w:rsidP="001B225E">
                      <w:pPr>
                        <w:spacing w:after="0" w:line="240"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spellStart"/>
                      <w:r>
                        <w:rPr>
                          <w:color w:val="000000" w:themeColor="text1"/>
                        </w:rPr>
                        <w:t>Guilid</w:t>
                      </w:r>
                      <w:proofErr w:type="spellEnd"/>
                      <w:r>
                        <w:rPr>
                          <w:color w:val="000000" w:themeColor="text1"/>
                        </w:rPr>
                        <w:t xml:space="preserve"> </w:t>
                      </w:r>
                      <w:proofErr w:type="spellStart"/>
                      <w:r>
                        <w:rPr>
                          <w:color w:val="000000" w:themeColor="text1"/>
                        </w:rPr>
                        <w:t>Ligao</w:t>
                      </w:r>
                      <w:proofErr w:type="spellEnd"/>
                      <w:r>
                        <w:rPr>
                          <w:color w:val="000000" w:themeColor="text1"/>
                        </w:rPr>
                        <w:t xml:space="preserve"> City</w:t>
                      </w:r>
                    </w:p>
                    <w:p w14:paraId="664F7169" w14:textId="77777777" w:rsidR="001B225E" w:rsidRDefault="001B225E" w:rsidP="001B225E">
                      <w:pPr>
                        <w:spacing w:after="0" w:line="240"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June 18, 2018 – August 12, 2021</w:t>
                      </w:r>
                    </w:p>
                    <w:p w14:paraId="10BEAFCD" w14:textId="77777777" w:rsidR="001B225E" w:rsidRDefault="001B225E" w:rsidP="001B225E">
                      <w:pPr>
                        <w:spacing w:line="240" w:lineRule="auto"/>
                        <w:rPr>
                          <w:color w:val="000000" w:themeColor="text1"/>
                        </w:rPr>
                      </w:pPr>
                    </w:p>
                    <w:p w14:paraId="7E6AF91A" w14:textId="77777777" w:rsidR="001B225E" w:rsidRDefault="001B225E" w:rsidP="001B225E">
                      <w:pPr>
                        <w:spacing w:line="240" w:lineRule="auto"/>
                        <w:rPr>
                          <w:color w:val="000000" w:themeColor="text1"/>
                        </w:rPr>
                      </w:pPr>
                    </w:p>
                    <w:p w14:paraId="68E34C09" w14:textId="77777777" w:rsidR="001B225E" w:rsidRDefault="001B225E" w:rsidP="001B225E">
                      <w:pPr>
                        <w:spacing w:line="240" w:lineRule="auto"/>
                        <w:rPr>
                          <w:color w:val="000000" w:themeColor="text1"/>
                        </w:rPr>
                      </w:pPr>
                    </w:p>
                    <w:p w14:paraId="72E8DD31" w14:textId="77777777" w:rsidR="001B225E" w:rsidRDefault="001B225E" w:rsidP="001B225E">
                      <w:pPr>
                        <w:spacing w:line="240" w:lineRule="auto"/>
                        <w:rPr>
                          <w:color w:val="000000" w:themeColor="text1"/>
                        </w:rPr>
                      </w:pPr>
                    </w:p>
                    <w:p w14:paraId="6A7A9E87" w14:textId="77777777" w:rsidR="001B225E" w:rsidRDefault="001B225E" w:rsidP="001B225E">
                      <w:pPr>
                        <w:spacing w:line="240" w:lineRule="auto"/>
                        <w:rPr>
                          <w:color w:val="000000" w:themeColor="text1"/>
                        </w:rPr>
                      </w:pPr>
                    </w:p>
                    <w:p w14:paraId="7D20994D" w14:textId="77777777" w:rsidR="001B225E" w:rsidRDefault="001B225E" w:rsidP="001B225E">
                      <w:pPr>
                        <w:spacing w:line="240" w:lineRule="auto"/>
                        <w:rPr>
                          <w:color w:val="000000" w:themeColor="text1"/>
                        </w:rPr>
                      </w:pPr>
                    </w:p>
                    <w:p w14:paraId="66A60D44" w14:textId="77777777" w:rsidR="001B225E" w:rsidRDefault="001B225E" w:rsidP="001B225E">
                      <w:pPr>
                        <w:spacing w:line="240" w:lineRule="auto"/>
                        <w:rPr>
                          <w:color w:val="000000" w:themeColor="text1"/>
                        </w:rPr>
                      </w:pPr>
                    </w:p>
                  </w:txbxContent>
                </v:textbox>
                <w10:wrap type="through"/>
              </v:shape>
            </w:pict>
          </mc:Fallback>
        </mc:AlternateContent>
      </w:r>
      <w:r>
        <w:rPr>
          <w:noProof/>
        </w:rPr>
        <mc:AlternateContent>
          <mc:Choice Requires="wps">
            <w:drawing>
              <wp:anchor distT="0" distB="0" distL="114300" distR="114300" simplePos="0" relativeHeight="251668480" behindDoc="1" locked="0" layoutInCell="1" allowOverlap="1" wp14:anchorId="70D0DC7D" wp14:editId="17A797F5">
                <wp:simplePos x="0" y="0"/>
                <wp:positionH relativeFrom="column">
                  <wp:posOffset>407035</wp:posOffset>
                </wp:positionH>
                <wp:positionV relativeFrom="paragraph">
                  <wp:posOffset>202565</wp:posOffset>
                </wp:positionV>
                <wp:extent cx="5991225" cy="2560320"/>
                <wp:effectExtent l="0" t="0" r="0" b="0"/>
                <wp:wrapThrough wrapText="bothSides">
                  <wp:wrapPolygon edited="0">
                    <wp:start x="229" y="214"/>
                    <wp:lineTo x="229" y="21321"/>
                    <wp:lineTo x="21291" y="21321"/>
                    <wp:lineTo x="21337" y="214"/>
                    <wp:lineTo x="229" y="214"/>
                  </wp:wrapPolygon>
                </wp:wrapThrough>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560320"/>
                        </a:xfrm>
                        <a:prstGeom prst="rect">
                          <a:avLst/>
                        </a:prstGeom>
                        <a:noFill/>
                        <a:ln w="9525">
                          <a:noFill/>
                          <a:miter lim="800000"/>
                          <a:headEnd/>
                          <a:tailEnd/>
                        </a:ln>
                      </wps:spPr>
                      <wps:txbx>
                        <w:txbxContent>
                          <w:p w14:paraId="431D6456" w14:textId="77777777" w:rsidR="001B225E" w:rsidRDefault="001B225E" w:rsidP="001B225E">
                            <w:pPr>
                              <w:spacing w:after="0" w:line="240" w:lineRule="auto"/>
                              <w:rPr>
                                <w:color w:val="000000" w:themeColor="text1"/>
                              </w:rPr>
                            </w:pPr>
                            <w:r w:rsidRPr="0033784E">
                              <w:rPr>
                                <w:b/>
                                <w:bCs/>
                                <w:color w:val="000000" w:themeColor="text1"/>
                              </w:rPr>
                              <w:t>GRADUATE STUDIES</w:t>
                            </w:r>
                            <w:r>
                              <w:rPr>
                                <w:b/>
                                <w:bCs/>
                                <w:color w:val="000000" w:themeColor="text1"/>
                              </w:rPr>
                              <w:tab/>
                            </w:r>
                            <w:r>
                              <w:rPr>
                                <w:b/>
                                <w:bCs/>
                                <w:color w:val="000000" w:themeColor="text1"/>
                              </w:rPr>
                              <w:tab/>
                            </w:r>
                            <w:r>
                              <w:rPr>
                                <w:b/>
                                <w:bCs/>
                                <w:color w:val="000000" w:themeColor="text1"/>
                              </w:rPr>
                              <w:tab/>
                            </w:r>
                            <w:r w:rsidRPr="001862F8">
                              <w:rPr>
                                <w:color w:val="000000" w:themeColor="text1"/>
                              </w:rPr>
                              <w:t xml:space="preserve">University </w:t>
                            </w:r>
                            <w:r>
                              <w:rPr>
                                <w:color w:val="000000" w:themeColor="text1"/>
                              </w:rPr>
                              <w:t>o</w:t>
                            </w:r>
                            <w:r w:rsidRPr="001862F8">
                              <w:rPr>
                                <w:color w:val="000000" w:themeColor="text1"/>
                              </w:rPr>
                              <w:t>f Saint Anthony</w:t>
                            </w:r>
                          </w:p>
                          <w:p w14:paraId="599F1F04" w14:textId="77777777" w:rsidR="001B225E" w:rsidRPr="001862F8" w:rsidRDefault="001B225E" w:rsidP="001B225E">
                            <w:pPr>
                              <w:spacing w:after="0" w:line="240" w:lineRule="auto"/>
                              <w:ind w:left="2880" w:firstLine="720"/>
                              <w:rPr>
                                <w:color w:val="000000" w:themeColor="text1"/>
                              </w:rPr>
                            </w:pPr>
                            <w:r w:rsidRPr="001862F8">
                              <w:rPr>
                                <w:color w:val="000000" w:themeColor="text1"/>
                              </w:rPr>
                              <w:t>Master of Arts in Education</w:t>
                            </w:r>
                          </w:p>
                          <w:p w14:paraId="4875CC3F" w14:textId="77777777" w:rsidR="001B225E" w:rsidRDefault="001B225E" w:rsidP="001B225E">
                            <w:pPr>
                              <w:spacing w:after="0" w:line="240" w:lineRule="auto"/>
                              <w:ind w:left="2880" w:firstLine="720"/>
                              <w:rPr>
                                <w:color w:val="000000" w:themeColor="text1"/>
                              </w:rPr>
                            </w:pPr>
                            <w:r w:rsidRPr="001862F8">
                              <w:rPr>
                                <w:color w:val="000000" w:themeColor="text1"/>
                              </w:rPr>
                              <w:t>Major in MAPEH</w:t>
                            </w:r>
                          </w:p>
                          <w:p w14:paraId="6A296706" w14:textId="77777777" w:rsidR="001B225E" w:rsidRPr="001862F8" w:rsidRDefault="001B225E" w:rsidP="001B225E">
                            <w:pPr>
                              <w:spacing w:line="240" w:lineRule="auto"/>
                              <w:ind w:left="2880" w:firstLine="720"/>
                              <w:rPr>
                                <w:color w:val="000000" w:themeColor="text1"/>
                              </w:rPr>
                            </w:pPr>
                            <w:r>
                              <w:rPr>
                                <w:color w:val="000000" w:themeColor="text1"/>
                              </w:rPr>
                              <w:t>2021</w:t>
                            </w:r>
                          </w:p>
                          <w:p w14:paraId="51623EB9" w14:textId="77777777" w:rsidR="001B225E" w:rsidRDefault="001B225E" w:rsidP="001B225E">
                            <w:pPr>
                              <w:pStyle w:val="NoSpacing"/>
                              <w:rPr>
                                <w:rFonts w:ascii="Arial" w:hAnsi="Arial" w:cs="Arial"/>
                                <w:sz w:val="24"/>
                                <w:szCs w:val="24"/>
                              </w:rPr>
                            </w:pPr>
                            <w:r>
                              <w:rPr>
                                <w:rFonts w:ascii="Arial" w:hAnsi="Arial" w:cs="Arial"/>
                                <w:b/>
                                <w:sz w:val="24"/>
                                <w:szCs w:val="24"/>
                              </w:rPr>
                              <w:t>TERTIARY</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roofErr w:type="spellStart"/>
                            <w:r>
                              <w:rPr>
                                <w:rFonts w:ascii="Arial" w:hAnsi="Arial" w:cs="Arial"/>
                                <w:sz w:val="24"/>
                                <w:szCs w:val="24"/>
                              </w:rPr>
                              <w:t>Polangui</w:t>
                            </w:r>
                            <w:proofErr w:type="spellEnd"/>
                            <w:r>
                              <w:rPr>
                                <w:rFonts w:ascii="Arial" w:hAnsi="Arial" w:cs="Arial"/>
                                <w:sz w:val="24"/>
                                <w:szCs w:val="24"/>
                              </w:rPr>
                              <w:t xml:space="preserve"> Community College</w:t>
                            </w:r>
                          </w:p>
                          <w:p w14:paraId="410D2E7A" w14:textId="77777777" w:rsidR="001B225E" w:rsidRDefault="001B225E" w:rsidP="001B225E">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roofErr w:type="spellStart"/>
                            <w:r>
                              <w:rPr>
                                <w:rFonts w:ascii="Arial" w:hAnsi="Arial" w:cs="Arial"/>
                                <w:sz w:val="24"/>
                                <w:szCs w:val="24"/>
                              </w:rPr>
                              <w:t>Polangui</w:t>
                            </w:r>
                            <w:proofErr w:type="spellEnd"/>
                            <w:r>
                              <w:rPr>
                                <w:rFonts w:ascii="Arial" w:hAnsi="Arial" w:cs="Arial"/>
                                <w:sz w:val="24"/>
                                <w:szCs w:val="24"/>
                              </w:rPr>
                              <w:t>, Albay</w:t>
                            </w:r>
                            <w:r>
                              <w:rPr>
                                <w:rFonts w:ascii="Arial" w:hAnsi="Arial" w:cs="Arial"/>
                                <w:sz w:val="24"/>
                                <w:szCs w:val="24"/>
                              </w:rPr>
                              <w:tab/>
                            </w:r>
                            <w:r>
                              <w:rPr>
                                <w:rFonts w:ascii="Arial" w:hAnsi="Arial" w:cs="Arial"/>
                                <w:sz w:val="24"/>
                                <w:szCs w:val="24"/>
                              </w:rPr>
                              <w:tab/>
                            </w:r>
                            <w:r>
                              <w:rPr>
                                <w:rFonts w:ascii="Arial" w:hAnsi="Arial" w:cs="Arial"/>
                                <w:sz w:val="24"/>
                                <w:szCs w:val="24"/>
                              </w:rPr>
                              <w:tab/>
                            </w:r>
                          </w:p>
                          <w:p w14:paraId="31BCCE0C" w14:textId="77777777" w:rsidR="001B225E" w:rsidRDefault="001B225E" w:rsidP="001B225E">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2017</w:t>
                            </w:r>
                          </w:p>
                          <w:p w14:paraId="33396007" w14:textId="77777777" w:rsidR="001B225E" w:rsidRDefault="001B225E" w:rsidP="001B225E">
                            <w:pPr>
                              <w:pStyle w:val="NoSpacing"/>
                              <w:rPr>
                                <w:rFonts w:ascii="Arial" w:hAnsi="Arial" w:cs="Arial"/>
                                <w:b/>
                                <w:sz w:val="24"/>
                                <w:szCs w:val="24"/>
                              </w:rPr>
                            </w:pPr>
                            <w:r>
                              <w:rPr>
                                <w:rFonts w:ascii="Arial" w:hAnsi="Arial" w:cs="Arial"/>
                                <w:b/>
                                <w:sz w:val="24"/>
                                <w:szCs w:val="24"/>
                              </w:rPr>
                              <w:t>SECONDARY</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St. Peter’s Academy</w:t>
                            </w:r>
                          </w:p>
                          <w:p w14:paraId="3B25B2D4" w14:textId="77777777" w:rsidR="001B225E" w:rsidRDefault="001B225E" w:rsidP="001B225E">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Polangui</w:t>
                            </w:r>
                            <w:proofErr w:type="spellEnd"/>
                            <w:r>
                              <w:rPr>
                                <w:rFonts w:ascii="Arial" w:hAnsi="Arial" w:cs="Arial"/>
                                <w:sz w:val="24"/>
                                <w:szCs w:val="24"/>
                              </w:rPr>
                              <w:t>, Albay</w:t>
                            </w:r>
                          </w:p>
                          <w:p w14:paraId="304A3107" w14:textId="77777777" w:rsidR="001B225E" w:rsidRDefault="001B225E" w:rsidP="001B225E">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2010</w:t>
                            </w:r>
                          </w:p>
                          <w:p w14:paraId="2947B45C" w14:textId="77777777" w:rsidR="001B225E" w:rsidRDefault="001B225E" w:rsidP="001B225E">
                            <w:pPr>
                              <w:pStyle w:val="NoSpacing"/>
                              <w:rPr>
                                <w:rFonts w:ascii="Arial" w:hAnsi="Arial" w:cs="Arial"/>
                                <w:b/>
                                <w:sz w:val="24"/>
                                <w:szCs w:val="24"/>
                              </w:rPr>
                            </w:pPr>
                            <w:r>
                              <w:rPr>
                                <w:rFonts w:ascii="Arial" w:hAnsi="Arial" w:cs="Arial"/>
                                <w:b/>
                                <w:sz w:val="24"/>
                                <w:szCs w:val="24"/>
                              </w:rPr>
                              <w:t>ELEMENTARY</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St. Peter’s Academy</w:t>
                            </w:r>
                          </w:p>
                          <w:p w14:paraId="3EDEE698" w14:textId="77777777" w:rsidR="001B225E" w:rsidRDefault="001B225E" w:rsidP="001B225E">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Polangui</w:t>
                            </w:r>
                            <w:proofErr w:type="spellEnd"/>
                            <w:r>
                              <w:rPr>
                                <w:rFonts w:ascii="Arial" w:hAnsi="Arial" w:cs="Arial"/>
                                <w:sz w:val="24"/>
                                <w:szCs w:val="24"/>
                              </w:rPr>
                              <w:t>, Albay</w:t>
                            </w:r>
                          </w:p>
                          <w:p w14:paraId="08411F67" w14:textId="77777777" w:rsidR="001B225E" w:rsidRPr="0033784E" w:rsidRDefault="001B225E" w:rsidP="001B225E">
                            <w:pPr>
                              <w:pStyle w:val="NoSpacing"/>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0DC7D" id="Text Box 23" o:spid="_x0000_s1038" type="#_x0000_t202" style="position:absolute;margin-left:32.05pt;margin-top:15.95pt;width:471.75pt;height:201.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" filled="f" stroked="f">
                <v:textbox>
                  <w:txbxContent>
                    <w:p w14:paraId="431D6456" w14:textId="77777777" w:rsidR="001B225E" w:rsidRDefault="001B225E" w:rsidP="001B225E">
                      <w:pPr>
                        <w:spacing w:after="0" w:line="240" w:lineRule="auto"/>
                        <w:rPr>
                          <w:color w:val="000000" w:themeColor="text1"/>
                        </w:rPr>
                      </w:pPr>
                      <w:r w:rsidRPr="0033784E">
                        <w:rPr>
                          <w:b/>
                          <w:bCs/>
                          <w:color w:val="000000" w:themeColor="text1"/>
                        </w:rPr>
                        <w:t>GRADUATE STUDIES</w:t>
                      </w:r>
                      <w:r>
                        <w:rPr>
                          <w:b/>
                          <w:bCs/>
                          <w:color w:val="000000" w:themeColor="text1"/>
                        </w:rPr>
                        <w:tab/>
                      </w:r>
                      <w:r>
                        <w:rPr>
                          <w:b/>
                          <w:bCs/>
                          <w:color w:val="000000" w:themeColor="text1"/>
                        </w:rPr>
                        <w:tab/>
                      </w:r>
                      <w:r>
                        <w:rPr>
                          <w:b/>
                          <w:bCs/>
                          <w:color w:val="000000" w:themeColor="text1"/>
                        </w:rPr>
                        <w:tab/>
                      </w:r>
                      <w:r w:rsidRPr="001862F8">
                        <w:rPr>
                          <w:color w:val="000000" w:themeColor="text1"/>
                        </w:rPr>
                        <w:t xml:space="preserve">University </w:t>
                      </w:r>
                      <w:r>
                        <w:rPr>
                          <w:color w:val="000000" w:themeColor="text1"/>
                        </w:rPr>
                        <w:t>o</w:t>
                      </w:r>
                      <w:r w:rsidRPr="001862F8">
                        <w:rPr>
                          <w:color w:val="000000" w:themeColor="text1"/>
                        </w:rPr>
                        <w:t>f Saint Anthony</w:t>
                      </w:r>
                    </w:p>
                    <w:p w14:paraId="599F1F04" w14:textId="77777777" w:rsidR="001B225E" w:rsidRPr="001862F8" w:rsidRDefault="001B225E" w:rsidP="001B225E">
                      <w:pPr>
                        <w:spacing w:after="0" w:line="240" w:lineRule="auto"/>
                        <w:ind w:left="2880" w:firstLine="720"/>
                        <w:rPr>
                          <w:color w:val="000000" w:themeColor="text1"/>
                        </w:rPr>
                      </w:pPr>
                      <w:r w:rsidRPr="001862F8">
                        <w:rPr>
                          <w:color w:val="000000" w:themeColor="text1"/>
                        </w:rPr>
                        <w:t>Master of Arts in Education</w:t>
                      </w:r>
                    </w:p>
                    <w:p w14:paraId="4875CC3F" w14:textId="77777777" w:rsidR="001B225E" w:rsidRDefault="001B225E" w:rsidP="001B225E">
                      <w:pPr>
                        <w:spacing w:after="0" w:line="240" w:lineRule="auto"/>
                        <w:ind w:left="2880" w:firstLine="720"/>
                        <w:rPr>
                          <w:color w:val="000000" w:themeColor="text1"/>
                        </w:rPr>
                      </w:pPr>
                      <w:r w:rsidRPr="001862F8">
                        <w:rPr>
                          <w:color w:val="000000" w:themeColor="text1"/>
                        </w:rPr>
                        <w:t>Major in MAPEH</w:t>
                      </w:r>
                    </w:p>
                    <w:p w14:paraId="6A296706" w14:textId="77777777" w:rsidR="001B225E" w:rsidRPr="001862F8" w:rsidRDefault="001B225E" w:rsidP="001B225E">
                      <w:pPr>
                        <w:spacing w:line="240" w:lineRule="auto"/>
                        <w:ind w:left="2880" w:firstLine="720"/>
                        <w:rPr>
                          <w:color w:val="000000" w:themeColor="text1"/>
                        </w:rPr>
                      </w:pPr>
                      <w:r>
                        <w:rPr>
                          <w:color w:val="000000" w:themeColor="text1"/>
                        </w:rPr>
                        <w:t>2021</w:t>
                      </w:r>
                    </w:p>
                    <w:p w14:paraId="51623EB9" w14:textId="77777777" w:rsidR="001B225E" w:rsidRDefault="001B225E" w:rsidP="001B225E">
                      <w:pPr>
                        <w:pStyle w:val="NoSpacing"/>
                        <w:rPr>
                          <w:rFonts w:ascii="Arial" w:hAnsi="Arial" w:cs="Arial"/>
                          <w:sz w:val="24"/>
                          <w:szCs w:val="24"/>
                        </w:rPr>
                      </w:pPr>
                      <w:r>
                        <w:rPr>
                          <w:rFonts w:ascii="Arial" w:hAnsi="Arial" w:cs="Arial"/>
                          <w:b/>
                          <w:sz w:val="24"/>
                          <w:szCs w:val="24"/>
                        </w:rPr>
                        <w:t>TERTIARY</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roofErr w:type="spellStart"/>
                      <w:r>
                        <w:rPr>
                          <w:rFonts w:ascii="Arial" w:hAnsi="Arial" w:cs="Arial"/>
                          <w:sz w:val="24"/>
                          <w:szCs w:val="24"/>
                        </w:rPr>
                        <w:t>Polangui</w:t>
                      </w:r>
                      <w:proofErr w:type="spellEnd"/>
                      <w:r>
                        <w:rPr>
                          <w:rFonts w:ascii="Arial" w:hAnsi="Arial" w:cs="Arial"/>
                          <w:sz w:val="24"/>
                          <w:szCs w:val="24"/>
                        </w:rPr>
                        <w:t xml:space="preserve"> Community College</w:t>
                      </w:r>
                    </w:p>
                    <w:p w14:paraId="410D2E7A" w14:textId="77777777" w:rsidR="001B225E" w:rsidRDefault="001B225E" w:rsidP="001B225E">
                      <w:pPr>
                        <w:pStyle w:val="NoSpacing"/>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roofErr w:type="spellStart"/>
                      <w:r>
                        <w:rPr>
                          <w:rFonts w:ascii="Arial" w:hAnsi="Arial" w:cs="Arial"/>
                          <w:sz w:val="24"/>
                          <w:szCs w:val="24"/>
                        </w:rPr>
                        <w:t>Polangui</w:t>
                      </w:r>
                      <w:proofErr w:type="spellEnd"/>
                      <w:r>
                        <w:rPr>
                          <w:rFonts w:ascii="Arial" w:hAnsi="Arial" w:cs="Arial"/>
                          <w:sz w:val="24"/>
                          <w:szCs w:val="24"/>
                        </w:rPr>
                        <w:t>, Albay</w:t>
                      </w:r>
                      <w:r>
                        <w:rPr>
                          <w:rFonts w:ascii="Arial" w:hAnsi="Arial" w:cs="Arial"/>
                          <w:sz w:val="24"/>
                          <w:szCs w:val="24"/>
                        </w:rPr>
                        <w:tab/>
                      </w:r>
                      <w:r>
                        <w:rPr>
                          <w:rFonts w:ascii="Arial" w:hAnsi="Arial" w:cs="Arial"/>
                          <w:sz w:val="24"/>
                          <w:szCs w:val="24"/>
                        </w:rPr>
                        <w:tab/>
                      </w:r>
                      <w:r>
                        <w:rPr>
                          <w:rFonts w:ascii="Arial" w:hAnsi="Arial" w:cs="Arial"/>
                          <w:sz w:val="24"/>
                          <w:szCs w:val="24"/>
                        </w:rPr>
                        <w:tab/>
                      </w:r>
                    </w:p>
                    <w:p w14:paraId="31BCCE0C" w14:textId="77777777" w:rsidR="001B225E" w:rsidRDefault="001B225E" w:rsidP="001B225E">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2017</w:t>
                      </w:r>
                    </w:p>
                    <w:p w14:paraId="33396007" w14:textId="77777777" w:rsidR="001B225E" w:rsidRDefault="001B225E" w:rsidP="001B225E">
                      <w:pPr>
                        <w:pStyle w:val="NoSpacing"/>
                        <w:rPr>
                          <w:rFonts w:ascii="Arial" w:hAnsi="Arial" w:cs="Arial"/>
                          <w:b/>
                          <w:sz w:val="24"/>
                          <w:szCs w:val="24"/>
                        </w:rPr>
                      </w:pPr>
                      <w:r>
                        <w:rPr>
                          <w:rFonts w:ascii="Arial" w:hAnsi="Arial" w:cs="Arial"/>
                          <w:b/>
                          <w:sz w:val="24"/>
                          <w:szCs w:val="24"/>
                        </w:rPr>
                        <w:t>SECONDARY</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St. Peter’s Academy</w:t>
                      </w:r>
                    </w:p>
                    <w:p w14:paraId="3B25B2D4" w14:textId="77777777" w:rsidR="001B225E" w:rsidRDefault="001B225E" w:rsidP="001B225E">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Polangui</w:t>
                      </w:r>
                      <w:proofErr w:type="spellEnd"/>
                      <w:r>
                        <w:rPr>
                          <w:rFonts w:ascii="Arial" w:hAnsi="Arial" w:cs="Arial"/>
                          <w:sz w:val="24"/>
                          <w:szCs w:val="24"/>
                        </w:rPr>
                        <w:t>, Albay</w:t>
                      </w:r>
                    </w:p>
                    <w:p w14:paraId="304A3107" w14:textId="77777777" w:rsidR="001B225E" w:rsidRDefault="001B225E" w:rsidP="001B225E">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2010</w:t>
                      </w:r>
                    </w:p>
                    <w:p w14:paraId="2947B45C" w14:textId="77777777" w:rsidR="001B225E" w:rsidRDefault="001B225E" w:rsidP="001B225E">
                      <w:pPr>
                        <w:pStyle w:val="NoSpacing"/>
                        <w:rPr>
                          <w:rFonts w:ascii="Arial" w:hAnsi="Arial" w:cs="Arial"/>
                          <w:b/>
                          <w:sz w:val="24"/>
                          <w:szCs w:val="24"/>
                        </w:rPr>
                      </w:pPr>
                      <w:r>
                        <w:rPr>
                          <w:rFonts w:ascii="Arial" w:hAnsi="Arial" w:cs="Arial"/>
                          <w:b/>
                          <w:sz w:val="24"/>
                          <w:szCs w:val="24"/>
                        </w:rPr>
                        <w:t>ELEMENTARY</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St. Peter’s Academy</w:t>
                      </w:r>
                    </w:p>
                    <w:p w14:paraId="3EDEE698" w14:textId="77777777" w:rsidR="001B225E" w:rsidRDefault="001B225E" w:rsidP="001B225E">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Polangui</w:t>
                      </w:r>
                      <w:proofErr w:type="spellEnd"/>
                      <w:r>
                        <w:rPr>
                          <w:rFonts w:ascii="Arial" w:hAnsi="Arial" w:cs="Arial"/>
                          <w:sz w:val="24"/>
                          <w:szCs w:val="24"/>
                        </w:rPr>
                        <w:t>, Albay</w:t>
                      </w:r>
                    </w:p>
                    <w:p w14:paraId="08411F67" w14:textId="77777777" w:rsidR="001B225E" w:rsidRPr="0033784E" w:rsidRDefault="001B225E" w:rsidP="001B225E">
                      <w:pPr>
                        <w:pStyle w:val="NoSpacing"/>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2006</w:t>
                      </w:r>
                    </w:p>
                  </w:txbxContent>
                </v:textbox>
                <w10:wrap type="through"/>
              </v:shape>
            </w:pict>
          </mc:Fallback>
        </mc:AlternateContent>
      </w:r>
      <w:r>
        <w:rPr>
          <w:noProof/>
        </w:rPr>
        <mc:AlternateContent>
          <mc:Choice Requires="wps">
            <w:drawing>
              <wp:anchor distT="0" distB="0" distL="114300" distR="114300" simplePos="0" relativeHeight="251681792" behindDoc="1" locked="0" layoutInCell="1" allowOverlap="1" wp14:anchorId="137D3EBD" wp14:editId="46DC9CFF">
                <wp:simplePos x="0" y="0"/>
                <wp:positionH relativeFrom="column">
                  <wp:posOffset>399877</wp:posOffset>
                </wp:positionH>
                <wp:positionV relativeFrom="paragraph">
                  <wp:posOffset>3761164</wp:posOffset>
                </wp:positionV>
                <wp:extent cx="5991225" cy="861060"/>
                <wp:effectExtent l="0" t="0" r="0" b="0"/>
                <wp:wrapThrough wrapText="bothSides">
                  <wp:wrapPolygon edited="0">
                    <wp:start x="229" y="637"/>
                    <wp:lineTo x="229" y="20708"/>
                    <wp:lineTo x="21337" y="20708"/>
                    <wp:lineTo x="21337" y="637"/>
                    <wp:lineTo x="229" y="637"/>
                  </wp:wrapPolygon>
                </wp:wrapThrough>
                <wp:docPr id="2139560759" name="Text Box 2139560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861060"/>
                        </a:xfrm>
                        <a:prstGeom prst="rect">
                          <a:avLst/>
                        </a:prstGeom>
                        <a:noFill/>
                        <a:ln w="9525">
                          <a:noFill/>
                          <a:miter lim="800000"/>
                          <a:headEnd/>
                          <a:tailEnd/>
                        </a:ln>
                      </wps:spPr>
                      <wps:txbx>
                        <w:txbxContent>
                          <w:p w14:paraId="50751F80" w14:textId="77777777" w:rsidR="001B225E" w:rsidRDefault="001B225E" w:rsidP="001B225E">
                            <w:pPr>
                              <w:pStyle w:val="NoSpacing"/>
                              <w:rPr>
                                <w:rFonts w:ascii="Arial" w:hAnsi="Arial" w:cs="Arial"/>
                                <w:b/>
                                <w:sz w:val="24"/>
                                <w:szCs w:val="24"/>
                              </w:rPr>
                            </w:pPr>
                          </w:p>
                          <w:p w14:paraId="38466484" w14:textId="77777777" w:rsidR="001B225E" w:rsidRDefault="001B225E" w:rsidP="001B225E">
                            <w:pPr>
                              <w:pStyle w:val="NoSpacing"/>
                              <w:rPr>
                                <w:rFonts w:ascii="Arial" w:hAnsi="Arial" w:cs="Arial"/>
                                <w:b/>
                                <w:sz w:val="24"/>
                                <w:szCs w:val="24"/>
                              </w:rPr>
                            </w:pPr>
                            <w:r>
                              <w:rPr>
                                <w:rFonts w:ascii="Arial" w:hAnsi="Arial" w:cs="Arial"/>
                                <w:b/>
                                <w:sz w:val="24"/>
                                <w:szCs w:val="24"/>
                              </w:rPr>
                              <w:t>ASSISTANT PROFESSOR II</w:t>
                            </w:r>
                            <w:r>
                              <w:rPr>
                                <w:rFonts w:ascii="Arial" w:hAnsi="Arial" w:cs="Arial"/>
                                <w:b/>
                                <w:sz w:val="24"/>
                                <w:szCs w:val="24"/>
                              </w:rPr>
                              <w:tab/>
                              <w:t>POLANGUI COMMUNITY COLLEGE</w:t>
                            </w:r>
                            <w:r>
                              <w:rPr>
                                <w:rFonts w:ascii="Arial" w:hAnsi="Arial" w:cs="Arial"/>
                                <w:b/>
                                <w:sz w:val="24"/>
                                <w:szCs w:val="24"/>
                              </w:rPr>
                              <w:tab/>
                            </w:r>
                            <w:r>
                              <w:rPr>
                                <w:rFonts w:ascii="Arial" w:hAnsi="Arial" w:cs="Arial"/>
                                <w:b/>
                                <w:sz w:val="24"/>
                                <w:szCs w:val="24"/>
                              </w:rPr>
                              <w:tab/>
                            </w:r>
                          </w:p>
                          <w:p w14:paraId="7F8AEED2" w14:textId="77777777" w:rsidR="001B225E" w:rsidRDefault="001B225E" w:rsidP="001B225E">
                            <w:pPr>
                              <w:spacing w:after="0" w:line="240"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spellStart"/>
                            <w:r>
                              <w:rPr>
                                <w:color w:val="000000" w:themeColor="text1"/>
                              </w:rPr>
                              <w:t>Polangui</w:t>
                            </w:r>
                            <w:proofErr w:type="spellEnd"/>
                            <w:r>
                              <w:rPr>
                                <w:color w:val="000000" w:themeColor="text1"/>
                              </w:rPr>
                              <w:t>, Albay</w:t>
                            </w:r>
                          </w:p>
                          <w:p w14:paraId="0FF8EA73" w14:textId="77777777" w:rsidR="001B225E" w:rsidRDefault="001B225E" w:rsidP="001B225E">
                            <w:pPr>
                              <w:spacing w:after="0" w:line="240"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August 13, 2021</w:t>
                            </w:r>
                          </w:p>
                          <w:p w14:paraId="5B46F081" w14:textId="77777777" w:rsidR="001B225E" w:rsidRDefault="001B225E" w:rsidP="001B225E">
                            <w:pPr>
                              <w:spacing w:line="240" w:lineRule="auto"/>
                              <w:rPr>
                                <w:color w:val="000000" w:themeColor="text1"/>
                              </w:rPr>
                            </w:pPr>
                          </w:p>
                          <w:p w14:paraId="4B855D94" w14:textId="77777777" w:rsidR="001B225E" w:rsidRDefault="001B225E" w:rsidP="001B225E">
                            <w:pPr>
                              <w:spacing w:line="240" w:lineRule="auto"/>
                              <w:rPr>
                                <w:color w:val="000000" w:themeColor="text1"/>
                              </w:rPr>
                            </w:pPr>
                          </w:p>
                          <w:p w14:paraId="5663D300" w14:textId="77777777" w:rsidR="001B225E" w:rsidRDefault="001B225E" w:rsidP="001B225E">
                            <w:pPr>
                              <w:spacing w:line="240" w:lineRule="auto"/>
                              <w:rPr>
                                <w:color w:val="000000" w:themeColor="text1"/>
                              </w:rPr>
                            </w:pPr>
                          </w:p>
                          <w:p w14:paraId="4EA297D7" w14:textId="77777777" w:rsidR="001B225E" w:rsidRDefault="001B225E" w:rsidP="001B225E">
                            <w:pPr>
                              <w:spacing w:line="240" w:lineRule="auto"/>
                              <w:rPr>
                                <w:color w:val="000000" w:themeColor="text1"/>
                              </w:rPr>
                            </w:pPr>
                          </w:p>
                          <w:p w14:paraId="4EA80213" w14:textId="77777777" w:rsidR="001B225E" w:rsidRDefault="001B225E" w:rsidP="001B225E">
                            <w:pPr>
                              <w:spacing w:line="240" w:lineRule="auto"/>
                              <w:rPr>
                                <w:color w:val="000000" w:themeColor="text1"/>
                              </w:rPr>
                            </w:pPr>
                          </w:p>
                          <w:p w14:paraId="1E646D1E" w14:textId="77777777" w:rsidR="001B225E" w:rsidRDefault="001B225E" w:rsidP="001B225E">
                            <w:pPr>
                              <w:spacing w:line="240" w:lineRule="auto"/>
                              <w:rPr>
                                <w:color w:val="000000" w:themeColor="text1"/>
                              </w:rPr>
                            </w:pPr>
                          </w:p>
                          <w:p w14:paraId="0DBAE60D" w14:textId="77777777" w:rsidR="001B225E" w:rsidRDefault="001B225E" w:rsidP="001B225E">
                            <w:pPr>
                              <w:spacing w:line="240" w:lineRule="auto"/>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D3EBD" id="Text Box 2139560759" o:spid="_x0000_s1039" type="#_x0000_t202" style="position:absolute;margin-left:31.5pt;margin-top:296.15pt;width:471.75pt;height:67.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" filled="f" stroked="f">
                <v:textbox>
                  <w:txbxContent>
                    <w:p w14:paraId="50751F80" w14:textId="77777777" w:rsidR="001B225E" w:rsidRDefault="001B225E" w:rsidP="001B225E">
                      <w:pPr>
                        <w:pStyle w:val="NoSpacing"/>
                        <w:rPr>
                          <w:rFonts w:ascii="Arial" w:hAnsi="Arial" w:cs="Arial"/>
                          <w:b/>
                          <w:sz w:val="24"/>
                          <w:szCs w:val="24"/>
                        </w:rPr>
                      </w:pPr>
                    </w:p>
                    <w:p w14:paraId="38466484" w14:textId="77777777" w:rsidR="001B225E" w:rsidRDefault="001B225E" w:rsidP="001B225E">
                      <w:pPr>
                        <w:pStyle w:val="NoSpacing"/>
                        <w:rPr>
                          <w:rFonts w:ascii="Arial" w:hAnsi="Arial" w:cs="Arial"/>
                          <w:b/>
                          <w:sz w:val="24"/>
                          <w:szCs w:val="24"/>
                        </w:rPr>
                      </w:pPr>
                      <w:r>
                        <w:rPr>
                          <w:rFonts w:ascii="Arial" w:hAnsi="Arial" w:cs="Arial"/>
                          <w:b/>
                          <w:sz w:val="24"/>
                          <w:szCs w:val="24"/>
                        </w:rPr>
                        <w:t>ASSISTANT PROFESSOR II</w:t>
                      </w:r>
                      <w:r>
                        <w:rPr>
                          <w:rFonts w:ascii="Arial" w:hAnsi="Arial" w:cs="Arial"/>
                          <w:b/>
                          <w:sz w:val="24"/>
                          <w:szCs w:val="24"/>
                        </w:rPr>
                        <w:tab/>
                        <w:t>POLANGUI COMMUNITY COLLEGE</w:t>
                      </w:r>
                      <w:r>
                        <w:rPr>
                          <w:rFonts w:ascii="Arial" w:hAnsi="Arial" w:cs="Arial"/>
                          <w:b/>
                          <w:sz w:val="24"/>
                          <w:szCs w:val="24"/>
                        </w:rPr>
                        <w:tab/>
                      </w:r>
                      <w:r>
                        <w:rPr>
                          <w:rFonts w:ascii="Arial" w:hAnsi="Arial" w:cs="Arial"/>
                          <w:b/>
                          <w:sz w:val="24"/>
                          <w:szCs w:val="24"/>
                        </w:rPr>
                        <w:tab/>
                      </w:r>
                    </w:p>
                    <w:p w14:paraId="7F8AEED2" w14:textId="77777777" w:rsidR="001B225E" w:rsidRDefault="001B225E" w:rsidP="001B225E">
                      <w:pPr>
                        <w:spacing w:after="0" w:line="240"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spellStart"/>
                      <w:r>
                        <w:rPr>
                          <w:color w:val="000000" w:themeColor="text1"/>
                        </w:rPr>
                        <w:t>Polangui</w:t>
                      </w:r>
                      <w:proofErr w:type="spellEnd"/>
                      <w:r>
                        <w:rPr>
                          <w:color w:val="000000" w:themeColor="text1"/>
                        </w:rPr>
                        <w:t>, Albay</w:t>
                      </w:r>
                    </w:p>
                    <w:p w14:paraId="0FF8EA73" w14:textId="77777777" w:rsidR="001B225E" w:rsidRDefault="001B225E" w:rsidP="001B225E">
                      <w:pPr>
                        <w:spacing w:after="0" w:line="240"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August 13, 2021</w:t>
                      </w:r>
                    </w:p>
                    <w:p w14:paraId="5B46F081" w14:textId="77777777" w:rsidR="001B225E" w:rsidRDefault="001B225E" w:rsidP="001B225E">
                      <w:pPr>
                        <w:spacing w:line="240" w:lineRule="auto"/>
                        <w:rPr>
                          <w:color w:val="000000" w:themeColor="text1"/>
                        </w:rPr>
                      </w:pPr>
                    </w:p>
                    <w:p w14:paraId="4B855D94" w14:textId="77777777" w:rsidR="001B225E" w:rsidRDefault="001B225E" w:rsidP="001B225E">
                      <w:pPr>
                        <w:spacing w:line="240" w:lineRule="auto"/>
                        <w:rPr>
                          <w:color w:val="000000" w:themeColor="text1"/>
                        </w:rPr>
                      </w:pPr>
                    </w:p>
                    <w:p w14:paraId="5663D300" w14:textId="77777777" w:rsidR="001B225E" w:rsidRDefault="001B225E" w:rsidP="001B225E">
                      <w:pPr>
                        <w:spacing w:line="240" w:lineRule="auto"/>
                        <w:rPr>
                          <w:color w:val="000000" w:themeColor="text1"/>
                        </w:rPr>
                      </w:pPr>
                    </w:p>
                    <w:p w14:paraId="4EA297D7" w14:textId="77777777" w:rsidR="001B225E" w:rsidRDefault="001B225E" w:rsidP="001B225E">
                      <w:pPr>
                        <w:spacing w:line="240" w:lineRule="auto"/>
                        <w:rPr>
                          <w:color w:val="000000" w:themeColor="text1"/>
                        </w:rPr>
                      </w:pPr>
                    </w:p>
                    <w:p w14:paraId="4EA80213" w14:textId="77777777" w:rsidR="001B225E" w:rsidRDefault="001B225E" w:rsidP="001B225E">
                      <w:pPr>
                        <w:spacing w:line="240" w:lineRule="auto"/>
                        <w:rPr>
                          <w:color w:val="000000" w:themeColor="text1"/>
                        </w:rPr>
                      </w:pPr>
                    </w:p>
                    <w:p w14:paraId="1E646D1E" w14:textId="77777777" w:rsidR="001B225E" w:rsidRDefault="001B225E" w:rsidP="001B225E">
                      <w:pPr>
                        <w:spacing w:line="240" w:lineRule="auto"/>
                        <w:rPr>
                          <w:color w:val="000000" w:themeColor="text1"/>
                        </w:rPr>
                      </w:pPr>
                    </w:p>
                    <w:p w14:paraId="0DBAE60D" w14:textId="77777777" w:rsidR="001B225E" w:rsidRDefault="001B225E" w:rsidP="001B225E">
                      <w:pPr>
                        <w:spacing w:line="240" w:lineRule="auto"/>
                        <w:rPr>
                          <w:color w:val="000000" w:themeColor="text1"/>
                        </w:rPr>
                      </w:pPr>
                    </w:p>
                  </w:txbxContent>
                </v:textbox>
                <w10:wrap type="through"/>
              </v:shape>
            </w:pict>
          </mc:Fallback>
        </mc:AlternateContent>
      </w:r>
      <w:r>
        <w:rPr>
          <w:rFonts w:ascii="Arial" w:eastAsia="Arial" w:hAnsi="Arial" w:cs="Arial"/>
        </w:rPr>
        <w:br w:type="page"/>
      </w:r>
    </w:p>
    <w:p w14:paraId="58B66A9F" w14:textId="77777777" w:rsidR="001B225E" w:rsidRDefault="001B225E" w:rsidP="001B225E">
      <w:pPr>
        <w:spacing w:line="480" w:lineRule="auto"/>
        <w:jc w:val="both"/>
        <w:rPr>
          <w:rFonts w:ascii="Arial" w:eastAsia="Arial" w:hAnsi="Arial" w:cs="Arial"/>
        </w:rPr>
      </w:pPr>
      <w:r>
        <w:rPr>
          <w:noProof/>
        </w:rPr>
        <w:lastRenderedPageBreak/>
        <mc:AlternateContent>
          <mc:Choice Requires="wps">
            <w:drawing>
              <wp:anchor distT="0" distB="0" distL="114300" distR="114300" simplePos="0" relativeHeight="251677696" behindDoc="0" locked="0" layoutInCell="1" allowOverlap="1" wp14:anchorId="187FAF4B" wp14:editId="75747CC0">
                <wp:simplePos x="0" y="0"/>
                <wp:positionH relativeFrom="column">
                  <wp:posOffset>549910</wp:posOffset>
                </wp:positionH>
                <wp:positionV relativeFrom="paragraph">
                  <wp:posOffset>2536190</wp:posOffset>
                </wp:positionV>
                <wp:extent cx="3167380" cy="369570"/>
                <wp:effectExtent l="0" t="0" r="0" b="0"/>
                <wp:wrapNone/>
                <wp:docPr id="162489034" name="Text Box 162489034"/>
                <wp:cNvGraphicFramePr/>
                <a:graphic xmlns:a="http://schemas.openxmlformats.org/drawingml/2006/main">
                  <a:graphicData uri="http://schemas.microsoft.com/office/word/2010/wordprocessingShape">
                    <wps:wsp>
                      <wps:cNvSpPr txBox="1"/>
                      <wps:spPr>
                        <a:xfrm>
                          <a:off x="0" y="0"/>
                          <a:ext cx="3167380" cy="369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2F5C52" w14:textId="77777777" w:rsidR="001B225E" w:rsidRPr="007D75A7" w:rsidRDefault="001B225E" w:rsidP="001B225E">
                            <w:pPr>
                              <w:pStyle w:val="NoSpacing"/>
                              <w:rPr>
                                <w:rFonts w:ascii="Segoe UI" w:hAnsi="Segoe UI" w:cs="Segoe UI"/>
                                <w:b/>
                                <w:sz w:val="32"/>
                                <w:lang w:val="en-PH"/>
                              </w:rPr>
                            </w:pPr>
                            <w:r w:rsidRPr="007D75A7">
                              <w:rPr>
                                <w:rFonts w:ascii="Segoe UI" w:hAnsi="Segoe UI" w:cs="Segoe UI"/>
                                <w:b/>
                                <w:sz w:val="32"/>
                                <w:lang w:val="en-PH"/>
                              </w:rPr>
                              <w:t>V</w:t>
                            </w:r>
                            <w:r>
                              <w:rPr>
                                <w:rFonts w:ascii="Segoe UI" w:hAnsi="Segoe UI" w:cs="Segoe UI"/>
                                <w:b/>
                                <w:sz w:val="32"/>
                                <w:lang w:val="en-PH"/>
                              </w:rPr>
                              <w:t>I</w:t>
                            </w:r>
                            <w:r w:rsidRPr="007D75A7">
                              <w:rPr>
                                <w:rFonts w:ascii="Segoe UI" w:hAnsi="Segoe UI" w:cs="Segoe UI"/>
                                <w:b/>
                                <w:sz w:val="32"/>
                                <w:lang w:val="en-PH"/>
                              </w:rPr>
                              <w:t xml:space="preserve">. </w:t>
                            </w:r>
                            <w:r>
                              <w:rPr>
                                <w:rFonts w:ascii="Segoe UI" w:hAnsi="Segoe UI" w:cs="Segoe UI"/>
                                <w:b/>
                                <w:sz w:val="32"/>
                                <w:lang w:val="en-PH"/>
                              </w:rPr>
                              <w:t>TRAININGS ATTENDED</w:t>
                            </w:r>
                          </w:p>
                          <w:p w14:paraId="3FF5BCA9" w14:textId="77777777" w:rsidR="001B225E" w:rsidRDefault="001B225E" w:rsidP="001B225E">
                            <w:pPr>
                              <w:pStyle w:val="NoSpacing"/>
                              <w:rPr>
                                <w:rFonts w:ascii="Segoe UI" w:hAnsi="Segoe UI" w:cs="Segoe UI"/>
                                <w:b/>
                                <w:sz w:val="32"/>
                                <w:u w:val="single"/>
                                <w:lang w:val="en-PH"/>
                              </w:rPr>
                            </w:pPr>
                          </w:p>
                          <w:p w14:paraId="5153776F" w14:textId="77777777" w:rsidR="001B225E" w:rsidRDefault="001B225E" w:rsidP="001B225E">
                            <w:pPr>
                              <w:pStyle w:val="NoSpacing"/>
                              <w:rPr>
                                <w:rFonts w:ascii="Segoe UI" w:hAnsi="Segoe UI" w:cs="Segoe UI"/>
                                <w:b/>
                                <w:sz w:val="32"/>
                                <w:u w:val="single"/>
                                <w:lang w:val="en-PH"/>
                              </w:rPr>
                            </w:pPr>
                          </w:p>
                          <w:p w14:paraId="0A19C793" w14:textId="77777777" w:rsidR="001B225E" w:rsidRDefault="001B225E" w:rsidP="001B225E">
                            <w:pPr>
                              <w:pStyle w:val="NoSpacing"/>
                              <w:rPr>
                                <w:rFonts w:ascii="Segoe UI" w:hAnsi="Segoe UI" w:cs="Segoe UI"/>
                                <w:b/>
                                <w:sz w:val="32"/>
                                <w:u w:val="single"/>
                                <w:lang w:val="en-PH"/>
                              </w:rPr>
                            </w:pPr>
                          </w:p>
                          <w:p w14:paraId="1A0A1B9C" w14:textId="77777777" w:rsidR="001B225E" w:rsidRDefault="001B225E" w:rsidP="001B225E">
                            <w:pPr>
                              <w:pStyle w:val="NoSpacing"/>
                              <w:rPr>
                                <w:rFonts w:ascii="Segoe UI" w:hAnsi="Segoe UI" w:cs="Segoe UI"/>
                                <w:b/>
                                <w:sz w:val="32"/>
                                <w:u w:val="single"/>
                                <w:lang w:val="en-PH"/>
                              </w:rPr>
                            </w:pPr>
                          </w:p>
                          <w:p w14:paraId="10D1F4E9" w14:textId="77777777" w:rsidR="001B225E" w:rsidRDefault="001B225E" w:rsidP="001B225E">
                            <w:pPr>
                              <w:pStyle w:val="NoSpacing"/>
                              <w:rPr>
                                <w:rFonts w:ascii="Segoe UI" w:hAnsi="Segoe UI" w:cs="Segoe UI"/>
                                <w:b/>
                                <w:sz w:val="32"/>
                                <w:u w:val="single"/>
                                <w:lang w:val="en-PH"/>
                              </w:rPr>
                            </w:pPr>
                          </w:p>
                          <w:p w14:paraId="61AD3BD3" w14:textId="77777777" w:rsidR="001B225E" w:rsidRDefault="001B225E" w:rsidP="001B225E">
                            <w:pPr>
                              <w:pStyle w:val="NoSpacing"/>
                              <w:rPr>
                                <w:rFonts w:ascii="Segoe UI" w:hAnsi="Segoe UI" w:cs="Segoe UI"/>
                                <w:b/>
                                <w:sz w:val="32"/>
                                <w:u w:val="single"/>
                                <w:lang w:val="en-PH"/>
                              </w:rPr>
                            </w:pPr>
                          </w:p>
                          <w:p w14:paraId="4DDCFBCC" w14:textId="77777777" w:rsidR="001B225E" w:rsidRDefault="001B225E" w:rsidP="001B225E">
                            <w:pPr>
                              <w:pStyle w:val="NoSpacing"/>
                              <w:rPr>
                                <w:rFonts w:ascii="Segoe UI" w:hAnsi="Segoe UI" w:cs="Segoe UI"/>
                                <w:b/>
                                <w:sz w:val="32"/>
                                <w:u w:val="single"/>
                                <w:lang w:val="en-PH"/>
                              </w:rPr>
                            </w:pPr>
                          </w:p>
                          <w:p w14:paraId="31B49B66" w14:textId="77777777" w:rsidR="001B225E" w:rsidRDefault="001B225E" w:rsidP="001B225E">
                            <w:pPr>
                              <w:pStyle w:val="NoSpacing"/>
                              <w:rPr>
                                <w:rFonts w:ascii="Segoe UI" w:hAnsi="Segoe UI" w:cs="Segoe UI"/>
                                <w:b/>
                                <w:sz w:val="32"/>
                                <w:u w:val="single"/>
                                <w:lang w:val="en-PH"/>
                              </w:rPr>
                            </w:pPr>
                          </w:p>
                          <w:p w14:paraId="78BA6D2C" w14:textId="77777777" w:rsidR="001B225E" w:rsidRDefault="001B225E" w:rsidP="001B225E">
                            <w:pPr>
                              <w:pStyle w:val="NoSpacing"/>
                              <w:rPr>
                                <w:rFonts w:ascii="Segoe UI" w:hAnsi="Segoe UI" w:cs="Segoe UI"/>
                                <w:b/>
                                <w:sz w:val="32"/>
                                <w:u w:val="single"/>
                                <w:lang w:val="en-P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7FAF4B" id="Text Box 162489034" o:spid="_x0000_s1040" type="#_x0000_t202" style="position:absolute;left:0;text-align:left;margin-left:43.3pt;margin-top:199.7pt;width:249.4pt;height:29.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" filled="f" stroked="f" strokeweight=".5pt">
                <v:textbox>
                  <w:txbxContent>
                    <w:p w14:paraId="7C2F5C52" w14:textId="77777777" w:rsidR="001B225E" w:rsidRPr="007D75A7" w:rsidRDefault="001B225E" w:rsidP="001B225E">
                      <w:pPr>
                        <w:pStyle w:val="NoSpacing"/>
                        <w:rPr>
                          <w:rFonts w:ascii="Segoe UI" w:hAnsi="Segoe UI" w:cs="Segoe UI"/>
                          <w:b/>
                          <w:sz w:val="32"/>
                          <w:lang w:val="en-PH"/>
                        </w:rPr>
                      </w:pPr>
                      <w:r w:rsidRPr="007D75A7">
                        <w:rPr>
                          <w:rFonts w:ascii="Segoe UI" w:hAnsi="Segoe UI" w:cs="Segoe UI"/>
                          <w:b/>
                          <w:sz w:val="32"/>
                          <w:lang w:val="en-PH"/>
                        </w:rPr>
                        <w:t>V</w:t>
                      </w:r>
                      <w:r>
                        <w:rPr>
                          <w:rFonts w:ascii="Segoe UI" w:hAnsi="Segoe UI" w:cs="Segoe UI"/>
                          <w:b/>
                          <w:sz w:val="32"/>
                          <w:lang w:val="en-PH"/>
                        </w:rPr>
                        <w:t>I</w:t>
                      </w:r>
                      <w:r w:rsidRPr="007D75A7">
                        <w:rPr>
                          <w:rFonts w:ascii="Segoe UI" w:hAnsi="Segoe UI" w:cs="Segoe UI"/>
                          <w:b/>
                          <w:sz w:val="32"/>
                          <w:lang w:val="en-PH"/>
                        </w:rPr>
                        <w:t xml:space="preserve">. </w:t>
                      </w:r>
                      <w:r>
                        <w:rPr>
                          <w:rFonts w:ascii="Segoe UI" w:hAnsi="Segoe UI" w:cs="Segoe UI"/>
                          <w:b/>
                          <w:sz w:val="32"/>
                          <w:lang w:val="en-PH"/>
                        </w:rPr>
                        <w:t>TRAININGS ATTENDED</w:t>
                      </w:r>
                    </w:p>
                    <w:p w14:paraId="3FF5BCA9" w14:textId="77777777" w:rsidR="001B225E" w:rsidRDefault="001B225E" w:rsidP="001B225E">
                      <w:pPr>
                        <w:pStyle w:val="NoSpacing"/>
                        <w:rPr>
                          <w:rFonts w:ascii="Segoe UI" w:hAnsi="Segoe UI" w:cs="Segoe UI"/>
                          <w:b/>
                          <w:sz w:val="32"/>
                          <w:u w:val="single"/>
                          <w:lang w:val="en-PH"/>
                        </w:rPr>
                      </w:pPr>
                    </w:p>
                    <w:p w14:paraId="5153776F" w14:textId="77777777" w:rsidR="001B225E" w:rsidRDefault="001B225E" w:rsidP="001B225E">
                      <w:pPr>
                        <w:pStyle w:val="NoSpacing"/>
                        <w:rPr>
                          <w:rFonts w:ascii="Segoe UI" w:hAnsi="Segoe UI" w:cs="Segoe UI"/>
                          <w:b/>
                          <w:sz w:val="32"/>
                          <w:u w:val="single"/>
                          <w:lang w:val="en-PH"/>
                        </w:rPr>
                      </w:pPr>
                    </w:p>
                    <w:p w14:paraId="0A19C793" w14:textId="77777777" w:rsidR="001B225E" w:rsidRDefault="001B225E" w:rsidP="001B225E">
                      <w:pPr>
                        <w:pStyle w:val="NoSpacing"/>
                        <w:rPr>
                          <w:rFonts w:ascii="Segoe UI" w:hAnsi="Segoe UI" w:cs="Segoe UI"/>
                          <w:b/>
                          <w:sz w:val="32"/>
                          <w:u w:val="single"/>
                          <w:lang w:val="en-PH"/>
                        </w:rPr>
                      </w:pPr>
                    </w:p>
                    <w:p w14:paraId="1A0A1B9C" w14:textId="77777777" w:rsidR="001B225E" w:rsidRDefault="001B225E" w:rsidP="001B225E">
                      <w:pPr>
                        <w:pStyle w:val="NoSpacing"/>
                        <w:rPr>
                          <w:rFonts w:ascii="Segoe UI" w:hAnsi="Segoe UI" w:cs="Segoe UI"/>
                          <w:b/>
                          <w:sz w:val="32"/>
                          <w:u w:val="single"/>
                          <w:lang w:val="en-PH"/>
                        </w:rPr>
                      </w:pPr>
                    </w:p>
                    <w:p w14:paraId="10D1F4E9" w14:textId="77777777" w:rsidR="001B225E" w:rsidRDefault="001B225E" w:rsidP="001B225E">
                      <w:pPr>
                        <w:pStyle w:val="NoSpacing"/>
                        <w:rPr>
                          <w:rFonts w:ascii="Segoe UI" w:hAnsi="Segoe UI" w:cs="Segoe UI"/>
                          <w:b/>
                          <w:sz w:val="32"/>
                          <w:u w:val="single"/>
                          <w:lang w:val="en-PH"/>
                        </w:rPr>
                      </w:pPr>
                    </w:p>
                    <w:p w14:paraId="61AD3BD3" w14:textId="77777777" w:rsidR="001B225E" w:rsidRDefault="001B225E" w:rsidP="001B225E">
                      <w:pPr>
                        <w:pStyle w:val="NoSpacing"/>
                        <w:rPr>
                          <w:rFonts w:ascii="Segoe UI" w:hAnsi="Segoe UI" w:cs="Segoe UI"/>
                          <w:b/>
                          <w:sz w:val="32"/>
                          <w:u w:val="single"/>
                          <w:lang w:val="en-PH"/>
                        </w:rPr>
                      </w:pPr>
                    </w:p>
                    <w:p w14:paraId="4DDCFBCC" w14:textId="77777777" w:rsidR="001B225E" w:rsidRDefault="001B225E" w:rsidP="001B225E">
                      <w:pPr>
                        <w:pStyle w:val="NoSpacing"/>
                        <w:rPr>
                          <w:rFonts w:ascii="Segoe UI" w:hAnsi="Segoe UI" w:cs="Segoe UI"/>
                          <w:b/>
                          <w:sz w:val="32"/>
                          <w:u w:val="single"/>
                          <w:lang w:val="en-PH"/>
                        </w:rPr>
                      </w:pPr>
                    </w:p>
                    <w:p w14:paraId="31B49B66" w14:textId="77777777" w:rsidR="001B225E" w:rsidRDefault="001B225E" w:rsidP="001B225E">
                      <w:pPr>
                        <w:pStyle w:val="NoSpacing"/>
                        <w:rPr>
                          <w:rFonts w:ascii="Segoe UI" w:hAnsi="Segoe UI" w:cs="Segoe UI"/>
                          <w:b/>
                          <w:sz w:val="32"/>
                          <w:u w:val="single"/>
                          <w:lang w:val="en-PH"/>
                        </w:rPr>
                      </w:pPr>
                    </w:p>
                    <w:p w14:paraId="78BA6D2C" w14:textId="77777777" w:rsidR="001B225E" w:rsidRDefault="001B225E" w:rsidP="001B225E">
                      <w:pPr>
                        <w:pStyle w:val="NoSpacing"/>
                        <w:rPr>
                          <w:rFonts w:ascii="Segoe UI" w:hAnsi="Segoe UI" w:cs="Segoe UI"/>
                          <w:b/>
                          <w:sz w:val="32"/>
                          <w:u w:val="single"/>
                          <w:lang w:val="en-PH"/>
                        </w:rPr>
                      </w:pPr>
                    </w:p>
                  </w:txbxContent>
                </v:textbox>
              </v:shape>
            </w:pict>
          </mc:Fallback>
        </mc:AlternateContent>
      </w:r>
      <w:r>
        <w:rPr>
          <w:noProof/>
        </w:rPr>
        <mc:AlternateContent>
          <mc:Choice Requires="wps">
            <w:drawing>
              <wp:anchor distT="0" distB="0" distL="114300" distR="114300" simplePos="0" relativeHeight="251674624" behindDoc="1" locked="0" layoutInCell="1" allowOverlap="1" wp14:anchorId="10E2CDE9" wp14:editId="6802165E">
                <wp:simplePos x="0" y="0"/>
                <wp:positionH relativeFrom="column">
                  <wp:posOffset>-1309370</wp:posOffset>
                </wp:positionH>
                <wp:positionV relativeFrom="paragraph">
                  <wp:posOffset>777875</wp:posOffset>
                </wp:positionV>
                <wp:extent cx="6896100" cy="169037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690370"/>
                        </a:xfrm>
                        <a:prstGeom prst="rect">
                          <a:avLst/>
                        </a:prstGeom>
                        <a:noFill/>
                        <a:ln w="9525">
                          <a:noFill/>
                          <a:miter lim="800000"/>
                          <a:headEnd/>
                          <a:tailEnd/>
                        </a:ln>
                      </wps:spPr>
                      <wps:txbx>
                        <w:txbxContent>
                          <w:p w14:paraId="15D4FBA4" w14:textId="77777777" w:rsidR="001B225E" w:rsidRDefault="001B225E" w:rsidP="001B225E">
                            <w:pPr>
                              <w:spacing w:line="256" w:lineRule="auto"/>
                            </w:pPr>
                          </w:p>
                          <w:p w14:paraId="26C6802C" w14:textId="77777777" w:rsidR="001B225E" w:rsidRDefault="001B225E" w:rsidP="001B225E">
                            <w:pPr>
                              <w:pStyle w:val="ListParagraph"/>
                              <w:numPr>
                                <w:ilvl w:val="3"/>
                                <w:numId w:val="12"/>
                              </w:numPr>
                              <w:tabs>
                                <w:tab w:val="num" w:pos="3600"/>
                              </w:tabs>
                              <w:spacing w:after="0" w:line="256" w:lineRule="auto"/>
                              <w:ind w:left="3600"/>
                              <w:rPr>
                                <w:rFonts w:ascii="Arial" w:hAnsi="Arial" w:cs="Arial"/>
                              </w:rPr>
                            </w:pPr>
                            <w:r>
                              <w:rPr>
                                <w:rFonts w:ascii="Arial" w:hAnsi="Arial" w:cs="Arial"/>
                              </w:rPr>
                              <w:t>Execute tasks assigned efficiently and effectively.</w:t>
                            </w:r>
                          </w:p>
                          <w:p w14:paraId="282FD74D" w14:textId="77777777" w:rsidR="001B225E" w:rsidRDefault="001B225E" w:rsidP="001B225E">
                            <w:pPr>
                              <w:pStyle w:val="ListParagraph"/>
                              <w:numPr>
                                <w:ilvl w:val="3"/>
                                <w:numId w:val="12"/>
                              </w:numPr>
                              <w:tabs>
                                <w:tab w:val="num" w:pos="3600"/>
                              </w:tabs>
                              <w:spacing w:after="0" w:line="256" w:lineRule="auto"/>
                              <w:ind w:left="3600"/>
                              <w:rPr>
                                <w:rFonts w:ascii="Arial" w:hAnsi="Arial" w:cs="Arial"/>
                              </w:rPr>
                            </w:pPr>
                            <w:r>
                              <w:rPr>
                                <w:rFonts w:ascii="Arial" w:hAnsi="Arial" w:cs="Arial"/>
                              </w:rPr>
                              <w:t>Coordinate with the supervisor and colleagues on problems encountered.</w:t>
                            </w:r>
                          </w:p>
                          <w:p w14:paraId="4E636B1B" w14:textId="77777777" w:rsidR="001B225E" w:rsidRDefault="001B225E" w:rsidP="001B225E">
                            <w:pPr>
                              <w:pStyle w:val="ListParagraph"/>
                              <w:numPr>
                                <w:ilvl w:val="3"/>
                                <w:numId w:val="12"/>
                              </w:numPr>
                              <w:tabs>
                                <w:tab w:val="num" w:pos="3600"/>
                              </w:tabs>
                              <w:spacing w:after="0" w:line="256" w:lineRule="auto"/>
                              <w:ind w:left="3600"/>
                              <w:rPr>
                                <w:rFonts w:ascii="Arial" w:hAnsi="Arial" w:cs="Arial"/>
                              </w:rPr>
                            </w:pPr>
                            <w:r>
                              <w:rPr>
                                <w:rFonts w:ascii="Arial" w:hAnsi="Arial" w:cs="Arial"/>
                              </w:rPr>
                              <w:t>Communicate well and politely with the clients and co-workers.</w:t>
                            </w:r>
                          </w:p>
                          <w:p w14:paraId="5710C53F" w14:textId="77777777" w:rsidR="001B225E" w:rsidRDefault="001B225E" w:rsidP="001B225E">
                            <w:pPr>
                              <w:pStyle w:val="ListParagraph"/>
                              <w:numPr>
                                <w:ilvl w:val="3"/>
                                <w:numId w:val="12"/>
                              </w:numPr>
                              <w:tabs>
                                <w:tab w:val="num" w:pos="3600"/>
                              </w:tabs>
                              <w:spacing w:after="0" w:line="256" w:lineRule="auto"/>
                              <w:ind w:left="3600"/>
                              <w:rPr>
                                <w:rFonts w:ascii="Arial" w:hAnsi="Arial" w:cs="Arial"/>
                              </w:rPr>
                            </w:pPr>
                            <w:r>
                              <w:rPr>
                                <w:rFonts w:ascii="Arial" w:hAnsi="Arial" w:cs="Arial"/>
                              </w:rPr>
                              <w:t xml:space="preserve">Knows how to operate a computer.         </w:t>
                            </w:r>
                          </w:p>
                          <w:p w14:paraId="396BE4F1" w14:textId="77777777" w:rsidR="001B225E" w:rsidRDefault="001B225E" w:rsidP="001B225E">
                            <w:pPr>
                              <w:pStyle w:val="ListParagraph"/>
                              <w:numPr>
                                <w:ilvl w:val="3"/>
                                <w:numId w:val="12"/>
                              </w:numPr>
                              <w:tabs>
                                <w:tab w:val="num" w:pos="3600"/>
                              </w:tabs>
                              <w:spacing w:after="0" w:line="256" w:lineRule="auto"/>
                              <w:ind w:left="3600"/>
                              <w:rPr>
                                <w:rFonts w:ascii="Arial" w:hAnsi="Arial" w:cs="Arial"/>
                              </w:rPr>
                            </w:pPr>
                            <w:r>
                              <w:rPr>
                                <w:rFonts w:ascii="Arial" w:hAnsi="Arial" w:cs="Arial"/>
                              </w:rPr>
                              <w:t>Coaching and Officiating skills in Sports (Arnis and Badminton).</w:t>
                            </w:r>
                          </w:p>
                          <w:p w14:paraId="7B3AD055" w14:textId="77777777" w:rsidR="001B225E" w:rsidRPr="00511028" w:rsidRDefault="001B225E" w:rsidP="001B225E">
                            <w:pPr>
                              <w:pStyle w:val="ListParagraph"/>
                              <w:numPr>
                                <w:ilvl w:val="3"/>
                                <w:numId w:val="12"/>
                              </w:numPr>
                              <w:tabs>
                                <w:tab w:val="num" w:pos="3600"/>
                              </w:tabs>
                              <w:spacing w:after="0" w:line="256" w:lineRule="auto"/>
                              <w:ind w:left="3600"/>
                              <w:rPr>
                                <w:rFonts w:ascii="Arial" w:hAnsi="Arial" w:cs="Arial"/>
                              </w:rPr>
                            </w:pPr>
                            <w:r>
                              <w:rPr>
                                <w:rFonts w:ascii="Arial" w:hAnsi="Arial" w:cs="Arial"/>
                              </w:rPr>
                              <w:t>Perform other duties and functions as directed.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2CDE9" id="Text Box 38" o:spid="_x0000_s1041" type="#_x0000_t202" style="position:absolute;left:0;text-align:left;margin-left:-103.1pt;margin-top:61.25pt;width:543pt;height:133.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" filled="f" stroked="f">
                <v:textbox>
                  <w:txbxContent>
                    <w:p w14:paraId="15D4FBA4" w14:textId="77777777" w:rsidR="001B225E" w:rsidRDefault="001B225E" w:rsidP="001B225E">
                      <w:pPr>
                        <w:spacing w:line="256" w:lineRule="auto"/>
                      </w:pPr>
                    </w:p>
                    <w:p w14:paraId="26C6802C" w14:textId="77777777" w:rsidR="001B225E" w:rsidRDefault="001B225E" w:rsidP="001B225E">
                      <w:pPr>
                        <w:pStyle w:val="ListParagraph"/>
                        <w:numPr>
                          <w:ilvl w:val="3"/>
                          <w:numId w:val="12"/>
                        </w:numPr>
                        <w:tabs>
                          <w:tab w:val="num" w:pos="3600"/>
                        </w:tabs>
                        <w:spacing w:after="0" w:line="256" w:lineRule="auto"/>
                        <w:ind w:left="3600"/>
                        <w:rPr>
                          <w:rFonts w:ascii="Arial" w:hAnsi="Arial" w:cs="Arial"/>
                        </w:rPr>
                      </w:pPr>
                      <w:r>
                        <w:rPr>
                          <w:rFonts w:ascii="Arial" w:hAnsi="Arial" w:cs="Arial"/>
                        </w:rPr>
                        <w:t>Execute tasks assigned efficiently and effectively.</w:t>
                      </w:r>
                    </w:p>
                    <w:p w14:paraId="282FD74D" w14:textId="77777777" w:rsidR="001B225E" w:rsidRDefault="001B225E" w:rsidP="001B225E">
                      <w:pPr>
                        <w:pStyle w:val="ListParagraph"/>
                        <w:numPr>
                          <w:ilvl w:val="3"/>
                          <w:numId w:val="12"/>
                        </w:numPr>
                        <w:tabs>
                          <w:tab w:val="num" w:pos="3600"/>
                        </w:tabs>
                        <w:spacing w:after="0" w:line="256" w:lineRule="auto"/>
                        <w:ind w:left="3600"/>
                        <w:rPr>
                          <w:rFonts w:ascii="Arial" w:hAnsi="Arial" w:cs="Arial"/>
                        </w:rPr>
                      </w:pPr>
                      <w:r>
                        <w:rPr>
                          <w:rFonts w:ascii="Arial" w:hAnsi="Arial" w:cs="Arial"/>
                        </w:rPr>
                        <w:t>Coordinate with the supervisor and colleagues on problems encountered.</w:t>
                      </w:r>
                    </w:p>
                    <w:p w14:paraId="4E636B1B" w14:textId="77777777" w:rsidR="001B225E" w:rsidRDefault="001B225E" w:rsidP="001B225E">
                      <w:pPr>
                        <w:pStyle w:val="ListParagraph"/>
                        <w:numPr>
                          <w:ilvl w:val="3"/>
                          <w:numId w:val="12"/>
                        </w:numPr>
                        <w:tabs>
                          <w:tab w:val="num" w:pos="3600"/>
                        </w:tabs>
                        <w:spacing w:after="0" w:line="256" w:lineRule="auto"/>
                        <w:ind w:left="3600"/>
                        <w:rPr>
                          <w:rFonts w:ascii="Arial" w:hAnsi="Arial" w:cs="Arial"/>
                        </w:rPr>
                      </w:pPr>
                      <w:r>
                        <w:rPr>
                          <w:rFonts w:ascii="Arial" w:hAnsi="Arial" w:cs="Arial"/>
                        </w:rPr>
                        <w:t>Communicate well and politely with the clients and co-workers.</w:t>
                      </w:r>
                    </w:p>
                    <w:p w14:paraId="5710C53F" w14:textId="77777777" w:rsidR="001B225E" w:rsidRDefault="001B225E" w:rsidP="001B225E">
                      <w:pPr>
                        <w:pStyle w:val="ListParagraph"/>
                        <w:numPr>
                          <w:ilvl w:val="3"/>
                          <w:numId w:val="12"/>
                        </w:numPr>
                        <w:tabs>
                          <w:tab w:val="num" w:pos="3600"/>
                        </w:tabs>
                        <w:spacing w:after="0" w:line="256" w:lineRule="auto"/>
                        <w:ind w:left="3600"/>
                        <w:rPr>
                          <w:rFonts w:ascii="Arial" w:hAnsi="Arial" w:cs="Arial"/>
                        </w:rPr>
                      </w:pPr>
                      <w:r>
                        <w:rPr>
                          <w:rFonts w:ascii="Arial" w:hAnsi="Arial" w:cs="Arial"/>
                        </w:rPr>
                        <w:t xml:space="preserve">Knows how to operate a computer.         </w:t>
                      </w:r>
                    </w:p>
                    <w:p w14:paraId="396BE4F1" w14:textId="77777777" w:rsidR="001B225E" w:rsidRDefault="001B225E" w:rsidP="001B225E">
                      <w:pPr>
                        <w:pStyle w:val="ListParagraph"/>
                        <w:numPr>
                          <w:ilvl w:val="3"/>
                          <w:numId w:val="12"/>
                        </w:numPr>
                        <w:tabs>
                          <w:tab w:val="num" w:pos="3600"/>
                        </w:tabs>
                        <w:spacing w:after="0" w:line="256" w:lineRule="auto"/>
                        <w:ind w:left="3600"/>
                        <w:rPr>
                          <w:rFonts w:ascii="Arial" w:hAnsi="Arial" w:cs="Arial"/>
                        </w:rPr>
                      </w:pPr>
                      <w:r>
                        <w:rPr>
                          <w:rFonts w:ascii="Arial" w:hAnsi="Arial" w:cs="Arial"/>
                        </w:rPr>
                        <w:t>Coaching and Officiating skills in Sports (Arnis and Badminton).</w:t>
                      </w:r>
                    </w:p>
                    <w:p w14:paraId="7B3AD055" w14:textId="77777777" w:rsidR="001B225E" w:rsidRPr="00511028" w:rsidRDefault="001B225E" w:rsidP="001B225E">
                      <w:pPr>
                        <w:pStyle w:val="ListParagraph"/>
                        <w:numPr>
                          <w:ilvl w:val="3"/>
                          <w:numId w:val="12"/>
                        </w:numPr>
                        <w:tabs>
                          <w:tab w:val="num" w:pos="3600"/>
                        </w:tabs>
                        <w:spacing w:after="0" w:line="256" w:lineRule="auto"/>
                        <w:ind w:left="3600"/>
                        <w:rPr>
                          <w:rFonts w:ascii="Arial" w:hAnsi="Arial" w:cs="Arial"/>
                        </w:rPr>
                      </w:pPr>
                      <w:r>
                        <w:rPr>
                          <w:rFonts w:ascii="Arial" w:hAnsi="Arial" w:cs="Arial"/>
                        </w:rPr>
                        <w:t>Perform other duties and functions as directed.</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321133A" wp14:editId="16EB744F">
                <wp:simplePos x="0" y="0"/>
                <wp:positionH relativeFrom="column">
                  <wp:posOffset>493395</wp:posOffset>
                </wp:positionH>
                <wp:positionV relativeFrom="paragraph">
                  <wp:posOffset>578485</wp:posOffset>
                </wp:positionV>
                <wp:extent cx="3167380" cy="369570"/>
                <wp:effectExtent l="0" t="0" r="0" b="0"/>
                <wp:wrapNone/>
                <wp:docPr id="571310618" name="Text Box 571310618"/>
                <wp:cNvGraphicFramePr/>
                <a:graphic xmlns:a="http://schemas.openxmlformats.org/drawingml/2006/main">
                  <a:graphicData uri="http://schemas.microsoft.com/office/word/2010/wordprocessingShape">
                    <wps:wsp>
                      <wps:cNvSpPr txBox="1"/>
                      <wps:spPr>
                        <a:xfrm>
                          <a:off x="0" y="0"/>
                          <a:ext cx="3167380" cy="369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EA5F2D" w14:textId="77777777" w:rsidR="001B225E" w:rsidRPr="007D75A7" w:rsidRDefault="001B225E" w:rsidP="001B225E">
                            <w:pPr>
                              <w:pStyle w:val="NoSpacing"/>
                              <w:rPr>
                                <w:rFonts w:ascii="Segoe UI" w:hAnsi="Segoe UI" w:cs="Segoe UI"/>
                                <w:b/>
                                <w:sz w:val="32"/>
                                <w:lang w:val="en-PH"/>
                              </w:rPr>
                            </w:pPr>
                            <w:r w:rsidRPr="007D75A7">
                              <w:rPr>
                                <w:rFonts w:ascii="Segoe UI" w:hAnsi="Segoe UI" w:cs="Segoe UI"/>
                                <w:b/>
                                <w:sz w:val="32"/>
                                <w:lang w:val="en-PH"/>
                              </w:rPr>
                              <w:t>V. SPECIAL SKILLS</w:t>
                            </w:r>
                          </w:p>
                          <w:p w14:paraId="5A5201EF" w14:textId="77777777" w:rsidR="001B225E" w:rsidRDefault="001B225E" w:rsidP="001B225E">
                            <w:pPr>
                              <w:pStyle w:val="NoSpacing"/>
                              <w:rPr>
                                <w:rFonts w:ascii="Segoe UI" w:hAnsi="Segoe UI" w:cs="Segoe UI"/>
                                <w:b/>
                                <w:sz w:val="32"/>
                                <w:u w:val="single"/>
                                <w:lang w:val="en-PH"/>
                              </w:rPr>
                            </w:pPr>
                          </w:p>
                          <w:p w14:paraId="17211DB2" w14:textId="77777777" w:rsidR="001B225E" w:rsidRDefault="001B225E" w:rsidP="001B225E">
                            <w:pPr>
                              <w:pStyle w:val="NoSpacing"/>
                              <w:rPr>
                                <w:rFonts w:ascii="Segoe UI" w:hAnsi="Segoe UI" w:cs="Segoe UI"/>
                                <w:b/>
                                <w:sz w:val="32"/>
                                <w:u w:val="single"/>
                                <w:lang w:val="en-PH"/>
                              </w:rPr>
                            </w:pPr>
                          </w:p>
                          <w:p w14:paraId="6C7CF068" w14:textId="77777777" w:rsidR="001B225E" w:rsidRDefault="001B225E" w:rsidP="001B225E">
                            <w:pPr>
                              <w:pStyle w:val="NoSpacing"/>
                              <w:rPr>
                                <w:rFonts w:ascii="Segoe UI" w:hAnsi="Segoe UI" w:cs="Segoe UI"/>
                                <w:b/>
                                <w:sz w:val="32"/>
                                <w:u w:val="single"/>
                                <w:lang w:val="en-PH"/>
                              </w:rPr>
                            </w:pPr>
                          </w:p>
                          <w:p w14:paraId="101FAF35" w14:textId="77777777" w:rsidR="001B225E" w:rsidRDefault="001B225E" w:rsidP="001B225E">
                            <w:pPr>
                              <w:pStyle w:val="NoSpacing"/>
                              <w:rPr>
                                <w:rFonts w:ascii="Segoe UI" w:hAnsi="Segoe UI" w:cs="Segoe UI"/>
                                <w:b/>
                                <w:sz w:val="32"/>
                                <w:u w:val="single"/>
                                <w:lang w:val="en-PH"/>
                              </w:rPr>
                            </w:pPr>
                          </w:p>
                          <w:p w14:paraId="2A914D9C" w14:textId="77777777" w:rsidR="001B225E" w:rsidRDefault="001B225E" w:rsidP="001B225E">
                            <w:pPr>
                              <w:pStyle w:val="NoSpacing"/>
                              <w:rPr>
                                <w:rFonts w:ascii="Segoe UI" w:hAnsi="Segoe UI" w:cs="Segoe UI"/>
                                <w:b/>
                                <w:sz w:val="32"/>
                                <w:u w:val="single"/>
                                <w:lang w:val="en-PH"/>
                              </w:rPr>
                            </w:pPr>
                          </w:p>
                          <w:p w14:paraId="235B2CD8" w14:textId="77777777" w:rsidR="001B225E" w:rsidRDefault="001B225E" w:rsidP="001B225E">
                            <w:pPr>
                              <w:pStyle w:val="NoSpacing"/>
                              <w:rPr>
                                <w:rFonts w:ascii="Segoe UI" w:hAnsi="Segoe UI" w:cs="Segoe UI"/>
                                <w:b/>
                                <w:sz w:val="32"/>
                                <w:u w:val="single"/>
                                <w:lang w:val="en-PH"/>
                              </w:rPr>
                            </w:pPr>
                          </w:p>
                          <w:p w14:paraId="7BD425C5" w14:textId="77777777" w:rsidR="001B225E" w:rsidRDefault="001B225E" w:rsidP="001B225E">
                            <w:pPr>
                              <w:pStyle w:val="NoSpacing"/>
                              <w:rPr>
                                <w:rFonts w:ascii="Segoe UI" w:hAnsi="Segoe UI" w:cs="Segoe UI"/>
                                <w:b/>
                                <w:sz w:val="32"/>
                                <w:u w:val="single"/>
                                <w:lang w:val="en-PH"/>
                              </w:rPr>
                            </w:pPr>
                          </w:p>
                          <w:p w14:paraId="14B9E577" w14:textId="77777777" w:rsidR="001B225E" w:rsidRDefault="001B225E" w:rsidP="001B225E">
                            <w:pPr>
                              <w:pStyle w:val="NoSpacing"/>
                              <w:rPr>
                                <w:rFonts w:ascii="Segoe UI" w:hAnsi="Segoe UI" w:cs="Segoe UI"/>
                                <w:b/>
                                <w:sz w:val="32"/>
                                <w:u w:val="single"/>
                                <w:lang w:val="en-PH"/>
                              </w:rPr>
                            </w:pPr>
                          </w:p>
                          <w:p w14:paraId="3AA4B31D" w14:textId="77777777" w:rsidR="001B225E" w:rsidRDefault="001B225E" w:rsidP="001B225E">
                            <w:pPr>
                              <w:pStyle w:val="NoSpacing"/>
                              <w:rPr>
                                <w:rFonts w:ascii="Segoe UI" w:hAnsi="Segoe UI" w:cs="Segoe UI"/>
                                <w:b/>
                                <w:sz w:val="32"/>
                                <w:u w:val="single"/>
                                <w:lang w:val="en-P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21133A" id="Text Box 571310618" o:spid="_x0000_s1042" type="#_x0000_t202" style="position:absolute;left:0;text-align:left;margin-left:38.85pt;margin-top:45.55pt;width:249.4pt;height:29.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" filled="f" stroked="f" strokeweight=".5pt">
                <v:textbox>
                  <w:txbxContent>
                    <w:p w14:paraId="20EA5F2D" w14:textId="77777777" w:rsidR="001B225E" w:rsidRPr="007D75A7" w:rsidRDefault="001B225E" w:rsidP="001B225E">
                      <w:pPr>
                        <w:pStyle w:val="NoSpacing"/>
                        <w:rPr>
                          <w:rFonts w:ascii="Segoe UI" w:hAnsi="Segoe UI" w:cs="Segoe UI"/>
                          <w:b/>
                          <w:sz w:val="32"/>
                          <w:lang w:val="en-PH"/>
                        </w:rPr>
                      </w:pPr>
                      <w:r w:rsidRPr="007D75A7">
                        <w:rPr>
                          <w:rFonts w:ascii="Segoe UI" w:hAnsi="Segoe UI" w:cs="Segoe UI"/>
                          <w:b/>
                          <w:sz w:val="32"/>
                          <w:lang w:val="en-PH"/>
                        </w:rPr>
                        <w:t>V. SPECIAL SKILLS</w:t>
                      </w:r>
                    </w:p>
                    <w:p w14:paraId="5A5201EF" w14:textId="77777777" w:rsidR="001B225E" w:rsidRDefault="001B225E" w:rsidP="001B225E">
                      <w:pPr>
                        <w:pStyle w:val="NoSpacing"/>
                        <w:rPr>
                          <w:rFonts w:ascii="Segoe UI" w:hAnsi="Segoe UI" w:cs="Segoe UI"/>
                          <w:b/>
                          <w:sz w:val="32"/>
                          <w:u w:val="single"/>
                          <w:lang w:val="en-PH"/>
                        </w:rPr>
                      </w:pPr>
                    </w:p>
                    <w:p w14:paraId="17211DB2" w14:textId="77777777" w:rsidR="001B225E" w:rsidRDefault="001B225E" w:rsidP="001B225E">
                      <w:pPr>
                        <w:pStyle w:val="NoSpacing"/>
                        <w:rPr>
                          <w:rFonts w:ascii="Segoe UI" w:hAnsi="Segoe UI" w:cs="Segoe UI"/>
                          <w:b/>
                          <w:sz w:val="32"/>
                          <w:u w:val="single"/>
                          <w:lang w:val="en-PH"/>
                        </w:rPr>
                      </w:pPr>
                    </w:p>
                    <w:p w14:paraId="6C7CF068" w14:textId="77777777" w:rsidR="001B225E" w:rsidRDefault="001B225E" w:rsidP="001B225E">
                      <w:pPr>
                        <w:pStyle w:val="NoSpacing"/>
                        <w:rPr>
                          <w:rFonts w:ascii="Segoe UI" w:hAnsi="Segoe UI" w:cs="Segoe UI"/>
                          <w:b/>
                          <w:sz w:val="32"/>
                          <w:u w:val="single"/>
                          <w:lang w:val="en-PH"/>
                        </w:rPr>
                      </w:pPr>
                    </w:p>
                    <w:p w14:paraId="101FAF35" w14:textId="77777777" w:rsidR="001B225E" w:rsidRDefault="001B225E" w:rsidP="001B225E">
                      <w:pPr>
                        <w:pStyle w:val="NoSpacing"/>
                        <w:rPr>
                          <w:rFonts w:ascii="Segoe UI" w:hAnsi="Segoe UI" w:cs="Segoe UI"/>
                          <w:b/>
                          <w:sz w:val="32"/>
                          <w:u w:val="single"/>
                          <w:lang w:val="en-PH"/>
                        </w:rPr>
                      </w:pPr>
                    </w:p>
                    <w:p w14:paraId="2A914D9C" w14:textId="77777777" w:rsidR="001B225E" w:rsidRDefault="001B225E" w:rsidP="001B225E">
                      <w:pPr>
                        <w:pStyle w:val="NoSpacing"/>
                        <w:rPr>
                          <w:rFonts w:ascii="Segoe UI" w:hAnsi="Segoe UI" w:cs="Segoe UI"/>
                          <w:b/>
                          <w:sz w:val="32"/>
                          <w:u w:val="single"/>
                          <w:lang w:val="en-PH"/>
                        </w:rPr>
                      </w:pPr>
                    </w:p>
                    <w:p w14:paraId="235B2CD8" w14:textId="77777777" w:rsidR="001B225E" w:rsidRDefault="001B225E" w:rsidP="001B225E">
                      <w:pPr>
                        <w:pStyle w:val="NoSpacing"/>
                        <w:rPr>
                          <w:rFonts w:ascii="Segoe UI" w:hAnsi="Segoe UI" w:cs="Segoe UI"/>
                          <w:b/>
                          <w:sz w:val="32"/>
                          <w:u w:val="single"/>
                          <w:lang w:val="en-PH"/>
                        </w:rPr>
                      </w:pPr>
                    </w:p>
                    <w:p w14:paraId="7BD425C5" w14:textId="77777777" w:rsidR="001B225E" w:rsidRDefault="001B225E" w:rsidP="001B225E">
                      <w:pPr>
                        <w:pStyle w:val="NoSpacing"/>
                        <w:rPr>
                          <w:rFonts w:ascii="Segoe UI" w:hAnsi="Segoe UI" w:cs="Segoe UI"/>
                          <w:b/>
                          <w:sz w:val="32"/>
                          <w:u w:val="single"/>
                          <w:lang w:val="en-PH"/>
                        </w:rPr>
                      </w:pPr>
                    </w:p>
                    <w:p w14:paraId="14B9E577" w14:textId="77777777" w:rsidR="001B225E" w:rsidRDefault="001B225E" w:rsidP="001B225E">
                      <w:pPr>
                        <w:pStyle w:val="NoSpacing"/>
                        <w:rPr>
                          <w:rFonts w:ascii="Segoe UI" w:hAnsi="Segoe UI" w:cs="Segoe UI"/>
                          <w:b/>
                          <w:sz w:val="32"/>
                          <w:u w:val="single"/>
                          <w:lang w:val="en-PH"/>
                        </w:rPr>
                      </w:pPr>
                    </w:p>
                    <w:p w14:paraId="3AA4B31D" w14:textId="77777777" w:rsidR="001B225E" w:rsidRDefault="001B225E" w:rsidP="001B225E">
                      <w:pPr>
                        <w:pStyle w:val="NoSpacing"/>
                        <w:rPr>
                          <w:rFonts w:ascii="Segoe UI" w:hAnsi="Segoe UI" w:cs="Segoe UI"/>
                          <w:b/>
                          <w:sz w:val="32"/>
                          <w:u w:val="single"/>
                          <w:lang w:val="en-PH"/>
                        </w:rPr>
                      </w:pPr>
                    </w:p>
                  </w:txbxContent>
                </v:textbox>
              </v:shape>
            </w:pict>
          </mc:Fallback>
        </mc:AlternateContent>
      </w:r>
      <w:r>
        <w:rPr>
          <w:noProof/>
        </w:rPr>
        <mc:AlternateContent>
          <mc:Choice Requires="wps">
            <w:drawing>
              <wp:anchor distT="0" distB="0" distL="114300" distR="114300" simplePos="0" relativeHeight="251676672" behindDoc="1" locked="0" layoutInCell="1" allowOverlap="1" wp14:anchorId="61D9C52D" wp14:editId="7A6E3E50">
                <wp:simplePos x="0" y="0"/>
                <wp:positionH relativeFrom="column">
                  <wp:posOffset>2704465</wp:posOffset>
                </wp:positionH>
                <wp:positionV relativeFrom="paragraph">
                  <wp:posOffset>92075</wp:posOffset>
                </wp:positionV>
                <wp:extent cx="3620770" cy="476250"/>
                <wp:effectExtent l="0" t="0" r="0" b="0"/>
                <wp:wrapThrough wrapText="bothSides">
                  <wp:wrapPolygon edited="0">
                    <wp:start x="379" y="1152"/>
                    <wp:lineTo x="379" y="20160"/>
                    <wp:lineTo x="21138" y="20160"/>
                    <wp:lineTo x="21138" y="1152"/>
                    <wp:lineTo x="379" y="1152"/>
                  </wp:wrapPolygon>
                </wp:wrapThrough>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476250"/>
                        </a:xfrm>
                        <a:prstGeom prst="rect">
                          <a:avLst/>
                        </a:prstGeom>
                        <a:noFill/>
                        <a:ln w="9525">
                          <a:noFill/>
                          <a:miter lim="800000"/>
                          <a:headEnd/>
                          <a:tailEnd/>
                        </a:ln>
                      </wps:spPr>
                      <wps:txbx>
                        <w:txbxContent>
                          <w:p w14:paraId="2D1B969C" w14:textId="77777777" w:rsidR="001B225E" w:rsidRDefault="001B225E" w:rsidP="001B225E">
                            <w:pPr>
                              <w:spacing w:after="0" w:line="240" w:lineRule="auto"/>
                              <w:rPr>
                                <w:b/>
                                <w:color w:val="000000" w:themeColor="text1"/>
                              </w:rPr>
                            </w:pPr>
                            <w:r>
                              <w:rPr>
                                <w:b/>
                                <w:color w:val="000000" w:themeColor="text1"/>
                              </w:rPr>
                              <w:t>LICENSE PROFESSIONAL TEACHER</w:t>
                            </w:r>
                          </w:p>
                          <w:p w14:paraId="166DB24B" w14:textId="77777777" w:rsidR="001B225E" w:rsidRDefault="001B225E" w:rsidP="001B225E">
                            <w:pPr>
                              <w:spacing w:after="0" w:line="240" w:lineRule="auto"/>
                              <w:rPr>
                                <w:color w:val="000000" w:themeColor="text1"/>
                              </w:rPr>
                            </w:pPr>
                            <w:r>
                              <w:rPr>
                                <w:color w:val="000000" w:themeColor="text1"/>
                              </w:rPr>
                              <w:t>September 2017</w:t>
                            </w:r>
                          </w:p>
                          <w:p w14:paraId="095DB600" w14:textId="77777777" w:rsidR="001B225E" w:rsidRDefault="001B225E" w:rsidP="001B225E">
                            <w:pPr>
                              <w:spacing w:after="0" w:line="240" w:lineRule="auto"/>
                              <w:rPr>
                                <w:color w:val="000000" w:themeColor="text1"/>
                              </w:rPr>
                            </w:pPr>
                          </w:p>
                          <w:p w14:paraId="6B1BCDCD" w14:textId="77777777" w:rsidR="001B225E" w:rsidRDefault="001B225E" w:rsidP="001B225E">
                            <w:pPr>
                              <w:spacing w:after="0" w:line="240" w:lineRule="auto"/>
                              <w:jc w:val="center"/>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9C52D" id="Text Box 19" o:spid="_x0000_s1043" type="#_x0000_t202" style="position:absolute;left:0;text-align:left;margin-left:212.95pt;margin-top:7.25pt;width:285.1pt;height:3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" filled="f" stroked="f">
                <v:textbox>
                  <w:txbxContent>
                    <w:p w14:paraId="2D1B969C" w14:textId="77777777" w:rsidR="001B225E" w:rsidRDefault="001B225E" w:rsidP="001B225E">
                      <w:pPr>
                        <w:spacing w:after="0" w:line="240" w:lineRule="auto"/>
                        <w:rPr>
                          <w:b/>
                          <w:color w:val="000000" w:themeColor="text1"/>
                        </w:rPr>
                      </w:pPr>
                      <w:r>
                        <w:rPr>
                          <w:b/>
                          <w:color w:val="000000" w:themeColor="text1"/>
                        </w:rPr>
                        <w:t>LICENSE PROFESSIONAL TEACHER</w:t>
                      </w:r>
                    </w:p>
                    <w:p w14:paraId="166DB24B" w14:textId="77777777" w:rsidR="001B225E" w:rsidRDefault="001B225E" w:rsidP="001B225E">
                      <w:pPr>
                        <w:spacing w:after="0" w:line="240" w:lineRule="auto"/>
                        <w:rPr>
                          <w:color w:val="000000" w:themeColor="text1"/>
                        </w:rPr>
                      </w:pPr>
                      <w:r>
                        <w:rPr>
                          <w:color w:val="000000" w:themeColor="text1"/>
                        </w:rPr>
                        <w:t>September 2017</w:t>
                      </w:r>
                    </w:p>
                    <w:p w14:paraId="095DB600" w14:textId="77777777" w:rsidR="001B225E" w:rsidRDefault="001B225E" w:rsidP="001B225E">
                      <w:pPr>
                        <w:spacing w:after="0" w:line="240" w:lineRule="auto"/>
                        <w:rPr>
                          <w:color w:val="000000" w:themeColor="text1"/>
                        </w:rPr>
                      </w:pPr>
                    </w:p>
                    <w:p w14:paraId="6B1BCDCD" w14:textId="77777777" w:rsidR="001B225E" w:rsidRDefault="001B225E" w:rsidP="001B225E">
                      <w:pPr>
                        <w:spacing w:after="0" w:line="240" w:lineRule="auto"/>
                        <w:jc w:val="center"/>
                        <w:rPr>
                          <w:color w:val="000000" w:themeColor="text1"/>
                        </w:rPr>
                      </w:pPr>
                    </w:p>
                  </w:txbxContent>
                </v:textbox>
                <w10:wrap type="through"/>
              </v:shape>
            </w:pict>
          </mc:Fallback>
        </mc:AlternateContent>
      </w:r>
      <w:r>
        <w:rPr>
          <w:noProof/>
        </w:rPr>
        <mc:AlternateContent>
          <mc:Choice Requires="wps">
            <w:drawing>
              <wp:anchor distT="0" distB="0" distL="114300" distR="114300" simplePos="0" relativeHeight="251675648" behindDoc="0" locked="0" layoutInCell="1" allowOverlap="1" wp14:anchorId="725983A3" wp14:editId="6F1BF8BA">
                <wp:simplePos x="0" y="0"/>
                <wp:positionH relativeFrom="column">
                  <wp:posOffset>488950</wp:posOffset>
                </wp:positionH>
                <wp:positionV relativeFrom="paragraph">
                  <wp:posOffset>-1270</wp:posOffset>
                </wp:positionV>
                <wp:extent cx="3171825" cy="3810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17182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DED319" w14:textId="77777777" w:rsidR="001B225E" w:rsidRPr="007D75A7" w:rsidRDefault="001B225E" w:rsidP="001B225E">
                            <w:pPr>
                              <w:pStyle w:val="NoSpacing"/>
                              <w:rPr>
                                <w:rFonts w:ascii="Segoe UI" w:hAnsi="Segoe UI" w:cs="Segoe UI"/>
                                <w:b/>
                                <w:sz w:val="32"/>
                              </w:rPr>
                            </w:pPr>
                            <w:r w:rsidRPr="007D75A7">
                              <w:rPr>
                                <w:rFonts w:ascii="Segoe UI" w:hAnsi="Segoe UI" w:cs="Segoe UI"/>
                                <w:b/>
                                <w:sz w:val="32"/>
                              </w:rPr>
                              <w:t>IV. ELIGIBILITY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25983A3" id="Text Box 16" o:spid="_x0000_s1044" type="#_x0000_t202" style="position:absolute;left:0;text-align:left;margin-left:38.5pt;margin-top:-.1pt;width:249.75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" filled="f" stroked="f" strokeweight=".5pt">
                <v:textbox>
                  <w:txbxContent>
                    <w:p w14:paraId="08DED319" w14:textId="77777777" w:rsidR="001B225E" w:rsidRPr="007D75A7" w:rsidRDefault="001B225E" w:rsidP="001B225E">
                      <w:pPr>
                        <w:pStyle w:val="NoSpacing"/>
                        <w:rPr>
                          <w:rFonts w:ascii="Segoe UI" w:hAnsi="Segoe UI" w:cs="Segoe UI"/>
                          <w:b/>
                          <w:sz w:val="32"/>
                        </w:rPr>
                      </w:pPr>
                      <w:r w:rsidRPr="007D75A7">
                        <w:rPr>
                          <w:rFonts w:ascii="Segoe UI" w:hAnsi="Segoe UI" w:cs="Segoe UI"/>
                          <w:b/>
                          <w:sz w:val="32"/>
                        </w:rPr>
                        <w:t>IV. ELIGIBILITY</w:t>
                      </w:r>
                    </w:p>
                  </w:txbxContent>
                </v:textbox>
              </v:shape>
            </w:pict>
          </mc:Fallback>
        </mc:AlternateContent>
      </w:r>
      <w:r>
        <w:rPr>
          <w:noProof/>
        </w:rPr>
        <mc:AlternateContent>
          <mc:Choice Requires="wps">
            <w:drawing>
              <wp:anchor distT="0" distB="0" distL="114300" distR="114300" simplePos="0" relativeHeight="251678720" behindDoc="1" locked="0" layoutInCell="1" allowOverlap="1" wp14:anchorId="1F21E2CC" wp14:editId="72065CE3">
                <wp:simplePos x="0" y="0"/>
                <wp:positionH relativeFrom="column">
                  <wp:posOffset>-1311275</wp:posOffset>
                </wp:positionH>
                <wp:positionV relativeFrom="paragraph">
                  <wp:posOffset>2879725</wp:posOffset>
                </wp:positionV>
                <wp:extent cx="6896100" cy="54127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5412740"/>
                        </a:xfrm>
                        <a:prstGeom prst="rect">
                          <a:avLst/>
                        </a:prstGeom>
                        <a:noFill/>
                        <a:ln w="9525">
                          <a:noFill/>
                          <a:miter lim="800000"/>
                          <a:headEnd/>
                          <a:tailEnd/>
                        </a:ln>
                      </wps:spPr>
                      <wps:txbx>
                        <w:txbxContent>
                          <w:p w14:paraId="490F9A1C" w14:textId="77777777" w:rsidR="001B225E" w:rsidRDefault="001B225E" w:rsidP="001B225E">
                            <w:pPr>
                              <w:spacing w:line="256" w:lineRule="auto"/>
                            </w:pPr>
                          </w:p>
                          <w:p w14:paraId="7697FCBC" w14:textId="77777777" w:rsidR="001B225E" w:rsidRPr="00C46053" w:rsidRDefault="001B225E" w:rsidP="001B225E">
                            <w:pPr>
                              <w:pStyle w:val="ListParagraph"/>
                              <w:numPr>
                                <w:ilvl w:val="3"/>
                                <w:numId w:val="12"/>
                              </w:numPr>
                              <w:tabs>
                                <w:tab w:val="num" w:pos="3600"/>
                              </w:tabs>
                              <w:spacing w:after="0" w:line="256" w:lineRule="auto"/>
                              <w:ind w:left="3600"/>
                              <w:rPr>
                                <w:rFonts w:ascii="Arial" w:hAnsi="Arial" w:cs="Arial"/>
                                <w:bCs/>
                              </w:rPr>
                            </w:pPr>
                            <w:r w:rsidRPr="00C46053">
                              <w:rPr>
                                <w:rFonts w:ascii="Arial" w:hAnsi="Arial" w:cs="Arial"/>
                                <w:bCs/>
                                <w:spacing w:val="-2"/>
                              </w:rPr>
                              <w:t>PDFDS-Sorsogon</w:t>
                            </w:r>
                            <w:r w:rsidRPr="00C46053">
                              <w:rPr>
                                <w:rFonts w:ascii="Arial" w:hAnsi="Arial" w:cs="Arial"/>
                                <w:bCs/>
                                <w:spacing w:val="7"/>
                              </w:rPr>
                              <w:t xml:space="preserve"> </w:t>
                            </w:r>
                            <w:r w:rsidRPr="00C46053">
                              <w:rPr>
                                <w:rFonts w:ascii="Arial" w:hAnsi="Arial" w:cs="Arial"/>
                                <w:bCs/>
                                <w:spacing w:val="-2"/>
                              </w:rPr>
                              <w:t>1st</w:t>
                            </w:r>
                            <w:r w:rsidRPr="00C46053">
                              <w:rPr>
                                <w:rFonts w:ascii="Arial" w:hAnsi="Arial" w:cs="Arial"/>
                                <w:bCs/>
                                <w:spacing w:val="8"/>
                              </w:rPr>
                              <w:t xml:space="preserve"> </w:t>
                            </w:r>
                            <w:proofErr w:type="spellStart"/>
                            <w:r w:rsidRPr="00C46053">
                              <w:rPr>
                                <w:rFonts w:ascii="Arial" w:hAnsi="Arial" w:cs="Arial"/>
                                <w:bCs/>
                                <w:spacing w:val="-2"/>
                              </w:rPr>
                              <w:t>Kunday</w:t>
                            </w:r>
                            <w:proofErr w:type="spellEnd"/>
                            <w:r w:rsidRPr="00C46053">
                              <w:rPr>
                                <w:rFonts w:ascii="Arial" w:hAnsi="Arial" w:cs="Arial"/>
                                <w:bCs/>
                                <w:spacing w:val="-2"/>
                              </w:rPr>
                              <w:t>:</w:t>
                            </w:r>
                            <w:r w:rsidRPr="00C46053">
                              <w:rPr>
                                <w:rFonts w:ascii="Arial" w:hAnsi="Arial" w:cs="Arial"/>
                                <w:bCs/>
                                <w:spacing w:val="7"/>
                              </w:rPr>
                              <w:t xml:space="preserve"> </w:t>
                            </w:r>
                            <w:r w:rsidRPr="00C46053">
                              <w:rPr>
                                <w:rFonts w:ascii="Arial" w:hAnsi="Arial" w:cs="Arial"/>
                                <w:bCs/>
                                <w:spacing w:val="-2"/>
                              </w:rPr>
                              <w:t>Folk Dance</w:t>
                            </w:r>
                            <w:r w:rsidRPr="00C46053">
                              <w:rPr>
                                <w:rFonts w:ascii="Arial" w:hAnsi="Arial" w:cs="Arial"/>
                                <w:bCs/>
                                <w:spacing w:val="8"/>
                              </w:rPr>
                              <w:t xml:space="preserve"> </w:t>
                            </w:r>
                            <w:r w:rsidRPr="00C46053">
                              <w:rPr>
                                <w:rFonts w:ascii="Arial" w:hAnsi="Arial" w:cs="Arial"/>
                                <w:bCs/>
                                <w:spacing w:val="-2"/>
                              </w:rPr>
                              <w:t>Seminar-Workshop (December 2025)</w:t>
                            </w:r>
                          </w:p>
                          <w:p w14:paraId="3FC7ACF6" w14:textId="77777777" w:rsidR="001B225E" w:rsidRPr="00C46053" w:rsidRDefault="001B225E" w:rsidP="001B225E">
                            <w:pPr>
                              <w:pStyle w:val="ListParagraph"/>
                              <w:numPr>
                                <w:ilvl w:val="3"/>
                                <w:numId w:val="12"/>
                              </w:numPr>
                              <w:tabs>
                                <w:tab w:val="num" w:pos="3600"/>
                              </w:tabs>
                              <w:spacing w:after="0" w:line="256" w:lineRule="auto"/>
                              <w:ind w:left="3600"/>
                              <w:rPr>
                                <w:rFonts w:ascii="Arial" w:hAnsi="Arial" w:cs="Arial"/>
                                <w:bCs/>
                              </w:rPr>
                            </w:pPr>
                            <w:r w:rsidRPr="00C46053">
                              <w:rPr>
                                <w:rFonts w:ascii="Arial" w:hAnsi="Arial" w:cs="Arial"/>
                                <w:bCs/>
                                <w:w w:val="105"/>
                              </w:rPr>
                              <w:t>6th</w:t>
                            </w:r>
                            <w:r w:rsidRPr="00C46053">
                              <w:rPr>
                                <w:rFonts w:ascii="Arial" w:hAnsi="Arial" w:cs="Arial"/>
                                <w:bCs/>
                                <w:spacing w:val="-6"/>
                                <w:w w:val="105"/>
                              </w:rPr>
                              <w:t xml:space="preserve"> </w:t>
                            </w:r>
                            <w:r w:rsidRPr="00C46053">
                              <w:rPr>
                                <w:rFonts w:ascii="Arial" w:hAnsi="Arial" w:cs="Arial"/>
                                <w:bCs/>
                                <w:w w:val="105"/>
                              </w:rPr>
                              <w:t>International</w:t>
                            </w:r>
                            <w:r w:rsidRPr="00C46053">
                              <w:rPr>
                                <w:rFonts w:ascii="Arial" w:hAnsi="Arial" w:cs="Arial"/>
                                <w:bCs/>
                                <w:spacing w:val="-6"/>
                                <w:w w:val="105"/>
                              </w:rPr>
                              <w:t xml:space="preserve"> </w:t>
                            </w:r>
                            <w:r w:rsidRPr="00C46053">
                              <w:rPr>
                                <w:rFonts w:ascii="Arial" w:hAnsi="Arial" w:cs="Arial"/>
                                <w:bCs/>
                                <w:w w:val="105"/>
                              </w:rPr>
                              <w:t>Seminar-Workshop:</w:t>
                            </w:r>
                            <w:r w:rsidRPr="00C46053">
                              <w:rPr>
                                <w:rFonts w:ascii="Arial" w:hAnsi="Arial" w:cs="Arial"/>
                                <w:bCs/>
                                <w:spacing w:val="-6"/>
                                <w:w w:val="105"/>
                              </w:rPr>
                              <w:t xml:space="preserve"> </w:t>
                            </w:r>
                            <w:r w:rsidRPr="00C46053">
                              <w:rPr>
                                <w:rFonts w:ascii="Arial" w:hAnsi="Arial" w:cs="Arial"/>
                                <w:bCs/>
                                <w:w w:val="105"/>
                              </w:rPr>
                              <w:t>Enhancing</w:t>
                            </w:r>
                            <w:r w:rsidRPr="00C46053">
                              <w:rPr>
                                <w:rFonts w:ascii="Arial" w:hAnsi="Arial" w:cs="Arial"/>
                                <w:bCs/>
                                <w:spacing w:val="-6"/>
                                <w:w w:val="105"/>
                              </w:rPr>
                              <w:t xml:space="preserve"> </w:t>
                            </w:r>
                            <w:r w:rsidRPr="00C46053">
                              <w:rPr>
                                <w:rFonts w:ascii="Arial" w:hAnsi="Arial" w:cs="Arial"/>
                                <w:bCs/>
                                <w:w w:val="105"/>
                              </w:rPr>
                              <w:t>Physical</w:t>
                            </w:r>
                            <w:r w:rsidRPr="00C46053">
                              <w:rPr>
                                <w:rFonts w:ascii="Arial" w:hAnsi="Arial" w:cs="Arial"/>
                                <w:bCs/>
                                <w:spacing w:val="-6"/>
                                <w:w w:val="105"/>
                              </w:rPr>
                              <w:t xml:space="preserve"> </w:t>
                            </w:r>
                            <w:r w:rsidRPr="00C46053">
                              <w:rPr>
                                <w:rFonts w:ascii="Arial" w:hAnsi="Arial" w:cs="Arial"/>
                                <w:bCs/>
                                <w:w w:val="105"/>
                              </w:rPr>
                              <w:t>Education</w:t>
                            </w:r>
                            <w:r w:rsidRPr="00C46053">
                              <w:rPr>
                                <w:rFonts w:ascii="Arial" w:hAnsi="Arial" w:cs="Arial"/>
                                <w:bCs/>
                                <w:spacing w:val="-6"/>
                                <w:w w:val="105"/>
                              </w:rPr>
                              <w:t xml:space="preserve"> </w:t>
                            </w:r>
                            <w:r w:rsidRPr="00C46053">
                              <w:rPr>
                                <w:rFonts w:ascii="Arial" w:hAnsi="Arial" w:cs="Arial"/>
                                <w:bCs/>
                                <w:w w:val="105"/>
                              </w:rPr>
                              <w:t>Teachers’</w:t>
                            </w:r>
                            <w:r w:rsidRPr="00C46053">
                              <w:rPr>
                                <w:rFonts w:ascii="Arial" w:hAnsi="Arial" w:cs="Arial"/>
                                <w:bCs/>
                                <w:spacing w:val="-6"/>
                                <w:w w:val="105"/>
                              </w:rPr>
                              <w:t xml:space="preserve"> </w:t>
                            </w:r>
                            <w:r w:rsidRPr="00C46053">
                              <w:rPr>
                                <w:rFonts w:ascii="Arial" w:hAnsi="Arial" w:cs="Arial"/>
                                <w:bCs/>
                                <w:w w:val="105"/>
                              </w:rPr>
                              <w:t>Competencies,</w:t>
                            </w:r>
                            <w:r w:rsidRPr="00C46053">
                              <w:rPr>
                                <w:rFonts w:ascii="Arial" w:hAnsi="Arial" w:cs="Arial"/>
                                <w:bCs/>
                                <w:spacing w:val="-6"/>
                                <w:w w:val="105"/>
                              </w:rPr>
                              <w:t xml:space="preserve"> </w:t>
                            </w:r>
                            <w:r w:rsidRPr="00C46053">
                              <w:rPr>
                                <w:rFonts w:ascii="Arial" w:hAnsi="Arial" w:cs="Arial"/>
                                <w:bCs/>
                                <w:w w:val="105"/>
                              </w:rPr>
                              <w:t>A</w:t>
                            </w:r>
                            <w:r w:rsidRPr="00C46053">
                              <w:rPr>
                                <w:rFonts w:ascii="Arial" w:hAnsi="Arial" w:cs="Arial"/>
                                <w:bCs/>
                                <w:spacing w:val="-6"/>
                                <w:w w:val="105"/>
                              </w:rPr>
                              <w:t xml:space="preserve"> </w:t>
                            </w:r>
                            <w:r w:rsidRPr="00C46053">
                              <w:rPr>
                                <w:rFonts w:ascii="Arial" w:hAnsi="Arial" w:cs="Arial"/>
                                <w:bCs/>
                                <w:w w:val="105"/>
                              </w:rPr>
                              <w:t>Continuous</w:t>
                            </w:r>
                            <w:r w:rsidRPr="00C46053">
                              <w:rPr>
                                <w:rFonts w:ascii="Arial" w:hAnsi="Arial" w:cs="Arial"/>
                                <w:bCs/>
                                <w:spacing w:val="40"/>
                                <w:w w:val="105"/>
                              </w:rPr>
                              <w:t xml:space="preserve"> </w:t>
                            </w:r>
                            <w:r w:rsidRPr="00C46053">
                              <w:rPr>
                                <w:rFonts w:ascii="Arial" w:hAnsi="Arial" w:cs="Arial"/>
                                <w:bCs/>
                                <w:w w:val="105"/>
                              </w:rPr>
                              <w:t>Training Program for Dance, Fitness, Sports, And Research (November 2025)</w:t>
                            </w:r>
                          </w:p>
                          <w:p w14:paraId="6A432C29" w14:textId="77777777" w:rsidR="001B225E" w:rsidRPr="00C46053" w:rsidRDefault="001B225E" w:rsidP="001B225E">
                            <w:pPr>
                              <w:pStyle w:val="ListParagraph"/>
                              <w:numPr>
                                <w:ilvl w:val="3"/>
                                <w:numId w:val="12"/>
                              </w:numPr>
                              <w:tabs>
                                <w:tab w:val="num" w:pos="3600"/>
                              </w:tabs>
                              <w:spacing w:after="0" w:line="256" w:lineRule="auto"/>
                              <w:ind w:left="3600"/>
                              <w:rPr>
                                <w:rFonts w:ascii="Arial" w:hAnsi="Arial" w:cs="Arial"/>
                                <w:bCs/>
                              </w:rPr>
                            </w:pPr>
                            <w:r w:rsidRPr="00C46053">
                              <w:rPr>
                                <w:rFonts w:ascii="Arial" w:hAnsi="Arial" w:cs="Arial"/>
                                <w:bCs/>
                                <w:spacing w:val="-2"/>
                              </w:rPr>
                              <w:t>Local</w:t>
                            </w:r>
                            <w:r w:rsidRPr="00C46053">
                              <w:rPr>
                                <w:rFonts w:ascii="Arial" w:hAnsi="Arial" w:cs="Arial"/>
                                <w:bCs/>
                                <w:spacing w:val="-1"/>
                              </w:rPr>
                              <w:t xml:space="preserve"> </w:t>
                            </w:r>
                            <w:r w:rsidRPr="00C46053">
                              <w:rPr>
                                <w:rFonts w:ascii="Arial" w:hAnsi="Arial" w:cs="Arial"/>
                                <w:bCs/>
                                <w:spacing w:val="-2"/>
                              </w:rPr>
                              <w:t>To</w:t>
                            </w:r>
                            <w:r w:rsidRPr="00C46053">
                              <w:rPr>
                                <w:rFonts w:ascii="Arial" w:hAnsi="Arial" w:cs="Arial"/>
                                <w:bCs/>
                              </w:rPr>
                              <w:t xml:space="preserve"> </w:t>
                            </w:r>
                            <w:r w:rsidRPr="00C46053">
                              <w:rPr>
                                <w:rFonts w:ascii="Arial" w:hAnsi="Arial" w:cs="Arial"/>
                                <w:bCs/>
                                <w:spacing w:val="-2"/>
                              </w:rPr>
                              <w:t>Global:</w:t>
                            </w:r>
                            <w:r w:rsidRPr="00C46053">
                              <w:rPr>
                                <w:rFonts w:ascii="Arial" w:hAnsi="Arial" w:cs="Arial"/>
                                <w:bCs/>
                              </w:rPr>
                              <w:t xml:space="preserve"> </w:t>
                            </w:r>
                            <w:r w:rsidRPr="00C46053">
                              <w:rPr>
                                <w:rFonts w:ascii="Arial" w:hAnsi="Arial" w:cs="Arial"/>
                                <w:bCs/>
                                <w:spacing w:val="-2"/>
                              </w:rPr>
                              <w:t>Harnessing</w:t>
                            </w:r>
                            <w:r w:rsidRPr="00C46053">
                              <w:rPr>
                                <w:rFonts w:ascii="Arial" w:hAnsi="Arial" w:cs="Arial"/>
                                <w:bCs/>
                              </w:rPr>
                              <w:t xml:space="preserve"> </w:t>
                            </w:r>
                            <w:r w:rsidRPr="00C46053">
                              <w:rPr>
                                <w:rFonts w:ascii="Arial" w:hAnsi="Arial" w:cs="Arial"/>
                                <w:bCs/>
                                <w:spacing w:val="-2"/>
                              </w:rPr>
                              <w:t>The</w:t>
                            </w:r>
                            <w:r w:rsidRPr="00C46053">
                              <w:rPr>
                                <w:rFonts w:ascii="Arial" w:hAnsi="Arial" w:cs="Arial"/>
                                <w:bCs/>
                                <w:spacing w:val="-1"/>
                              </w:rPr>
                              <w:t xml:space="preserve"> </w:t>
                            </w:r>
                            <w:r w:rsidRPr="00C46053">
                              <w:rPr>
                                <w:rFonts w:ascii="Arial" w:hAnsi="Arial" w:cs="Arial"/>
                                <w:bCs/>
                                <w:spacing w:val="-2"/>
                              </w:rPr>
                              <w:t>Power</w:t>
                            </w:r>
                            <w:r w:rsidRPr="00C46053">
                              <w:rPr>
                                <w:rFonts w:ascii="Arial" w:hAnsi="Arial" w:cs="Arial"/>
                                <w:bCs/>
                              </w:rPr>
                              <w:t xml:space="preserve"> </w:t>
                            </w:r>
                            <w:r w:rsidRPr="00C46053">
                              <w:rPr>
                                <w:rFonts w:ascii="Arial" w:hAnsi="Arial" w:cs="Arial"/>
                                <w:bCs/>
                                <w:spacing w:val="-2"/>
                              </w:rPr>
                              <w:t>of</w:t>
                            </w:r>
                            <w:r w:rsidRPr="00C46053">
                              <w:rPr>
                                <w:rFonts w:ascii="Arial" w:hAnsi="Arial" w:cs="Arial"/>
                                <w:bCs/>
                              </w:rPr>
                              <w:t xml:space="preserve"> </w:t>
                            </w:r>
                            <w:r w:rsidRPr="00C46053">
                              <w:rPr>
                                <w:rFonts w:ascii="Arial" w:hAnsi="Arial" w:cs="Arial"/>
                                <w:bCs/>
                                <w:spacing w:val="-2"/>
                              </w:rPr>
                              <w:t>Lucs</w:t>
                            </w:r>
                            <w:r w:rsidRPr="00C46053">
                              <w:rPr>
                                <w:rFonts w:ascii="Arial" w:hAnsi="Arial" w:cs="Arial"/>
                                <w:bCs/>
                              </w:rPr>
                              <w:t xml:space="preserve"> </w:t>
                            </w:r>
                            <w:r w:rsidRPr="00C46053">
                              <w:rPr>
                                <w:rFonts w:ascii="Arial" w:hAnsi="Arial" w:cs="Arial"/>
                                <w:bCs/>
                                <w:spacing w:val="-2"/>
                              </w:rPr>
                              <w:t>for</w:t>
                            </w:r>
                            <w:r w:rsidRPr="00C46053">
                              <w:rPr>
                                <w:rFonts w:ascii="Arial" w:hAnsi="Arial" w:cs="Arial"/>
                                <w:bCs/>
                              </w:rPr>
                              <w:t xml:space="preserve"> </w:t>
                            </w:r>
                            <w:r w:rsidRPr="00C46053">
                              <w:rPr>
                                <w:rFonts w:ascii="Arial" w:hAnsi="Arial" w:cs="Arial"/>
                                <w:bCs/>
                                <w:spacing w:val="-2"/>
                              </w:rPr>
                              <w:t>Sustainable</w:t>
                            </w:r>
                            <w:r w:rsidRPr="00C46053">
                              <w:rPr>
                                <w:rFonts w:ascii="Arial" w:hAnsi="Arial" w:cs="Arial"/>
                                <w:bCs/>
                                <w:spacing w:val="-1"/>
                              </w:rPr>
                              <w:t xml:space="preserve"> </w:t>
                            </w:r>
                            <w:r w:rsidRPr="00C46053">
                              <w:rPr>
                                <w:rFonts w:ascii="Arial" w:hAnsi="Arial" w:cs="Arial"/>
                                <w:bCs/>
                                <w:spacing w:val="-2"/>
                              </w:rPr>
                              <w:t>Develop (October 2025)</w:t>
                            </w:r>
                          </w:p>
                          <w:p w14:paraId="2E021615" w14:textId="77777777" w:rsidR="001B225E" w:rsidRPr="00C46053" w:rsidRDefault="001B225E" w:rsidP="001B225E">
                            <w:pPr>
                              <w:pStyle w:val="ListParagraph"/>
                              <w:numPr>
                                <w:ilvl w:val="3"/>
                                <w:numId w:val="12"/>
                              </w:numPr>
                              <w:tabs>
                                <w:tab w:val="num" w:pos="3600"/>
                              </w:tabs>
                              <w:spacing w:after="0" w:line="256" w:lineRule="auto"/>
                              <w:ind w:left="3600"/>
                              <w:rPr>
                                <w:rFonts w:ascii="Arial" w:hAnsi="Arial" w:cs="Arial"/>
                                <w:bCs/>
                              </w:rPr>
                            </w:pPr>
                            <w:r w:rsidRPr="00C46053">
                              <w:rPr>
                                <w:rFonts w:ascii="Arial" w:hAnsi="Arial" w:cs="Arial"/>
                                <w:bCs/>
                                <w:spacing w:val="-2"/>
                              </w:rPr>
                              <w:t>Preparing</w:t>
                            </w:r>
                            <w:r w:rsidRPr="00C46053">
                              <w:rPr>
                                <w:rFonts w:ascii="Arial" w:hAnsi="Arial" w:cs="Arial"/>
                                <w:bCs/>
                                <w:spacing w:val="3"/>
                              </w:rPr>
                              <w:t xml:space="preserve"> </w:t>
                            </w:r>
                            <w:r w:rsidRPr="00C46053">
                              <w:rPr>
                                <w:rFonts w:ascii="Arial" w:hAnsi="Arial" w:cs="Arial"/>
                                <w:bCs/>
                                <w:spacing w:val="-2"/>
                              </w:rPr>
                              <w:t>Future</w:t>
                            </w:r>
                            <w:r w:rsidRPr="00C46053">
                              <w:rPr>
                                <w:rFonts w:ascii="Arial" w:hAnsi="Arial" w:cs="Arial"/>
                                <w:bCs/>
                                <w:spacing w:val="4"/>
                              </w:rPr>
                              <w:t xml:space="preserve"> </w:t>
                            </w:r>
                            <w:r w:rsidRPr="00C46053">
                              <w:rPr>
                                <w:rFonts w:ascii="Arial" w:hAnsi="Arial" w:cs="Arial"/>
                                <w:bCs/>
                                <w:spacing w:val="-2"/>
                              </w:rPr>
                              <w:t>Educators</w:t>
                            </w:r>
                            <w:r w:rsidRPr="00C46053">
                              <w:rPr>
                                <w:rFonts w:ascii="Arial" w:hAnsi="Arial" w:cs="Arial"/>
                                <w:bCs/>
                                <w:spacing w:val="4"/>
                              </w:rPr>
                              <w:t xml:space="preserve"> </w:t>
                            </w:r>
                            <w:r w:rsidRPr="00C46053">
                              <w:rPr>
                                <w:rFonts w:ascii="Arial" w:hAnsi="Arial" w:cs="Arial"/>
                                <w:bCs/>
                                <w:spacing w:val="-2"/>
                              </w:rPr>
                              <w:t>for</w:t>
                            </w:r>
                            <w:r w:rsidRPr="00C46053">
                              <w:rPr>
                                <w:rFonts w:ascii="Arial" w:hAnsi="Arial" w:cs="Arial"/>
                                <w:bCs/>
                                <w:spacing w:val="4"/>
                              </w:rPr>
                              <w:t xml:space="preserve"> </w:t>
                            </w:r>
                            <w:r w:rsidRPr="00C46053">
                              <w:rPr>
                                <w:rFonts w:ascii="Arial" w:hAnsi="Arial" w:cs="Arial"/>
                                <w:bCs/>
                                <w:spacing w:val="-2"/>
                              </w:rPr>
                              <w:t>an</w:t>
                            </w:r>
                            <w:r w:rsidRPr="00C46053">
                              <w:rPr>
                                <w:rFonts w:ascii="Arial" w:hAnsi="Arial" w:cs="Arial"/>
                                <w:bCs/>
                                <w:spacing w:val="4"/>
                              </w:rPr>
                              <w:t xml:space="preserve"> </w:t>
                            </w:r>
                            <w:r w:rsidRPr="00C46053">
                              <w:rPr>
                                <w:rFonts w:ascii="Arial" w:hAnsi="Arial" w:cs="Arial"/>
                                <w:bCs/>
                                <w:spacing w:val="-2"/>
                              </w:rPr>
                              <w:t>AI-Driven</w:t>
                            </w:r>
                            <w:r w:rsidRPr="00C46053">
                              <w:rPr>
                                <w:rFonts w:ascii="Arial" w:hAnsi="Arial" w:cs="Arial"/>
                                <w:bCs/>
                                <w:spacing w:val="4"/>
                              </w:rPr>
                              <w:t xml:space="preserve"> </w:t>
                            </w:r>
                            <w:r w:rsidRPr="00C46053">
                              <w:rPr>
                                <w:rFonts w:ascii="Arial" w:hAnsi="Arial" w:cs="Arial"/>
                                <w:bCs/>
                                <w:spacing w:val="-2"/>
                              </w:rPr>
                              <w:t>World (September 2025)</w:t>
                            </w:r>
                          </w:p>
                          <w:p w14:paraId="211600C4" w14:textId="77777777" w:rsidR="001B225E" w:rsidRPr="00C46053" w:rsidRDefault="001B225E" w:rsidP="001B225E">
                            <w:pPr>
                              <w:pStyle w:val="ListParagraph"/>
                              <w:numPr>
                                <w:ilvl w:val="3"/>
                                <w:numId w:val="12"/>
                              </w:numPr>
                              <w:tabs>
                                <w:tab w:val="num" w:pos="3600"/>
                              </w:tabs>
                              <w:spacing w:after="0" w:line="256" w:lineRule="auto"/>
                              <w:ind w:left="3600"/>
                              <w:rPr>
                                <w:rFonts w:ascii="Arial" w:hAnsi="Arial" w:cs="Arial"/>
                                <w:bCs/>
                              </w:rPr>
                            </w:pPr>
                            <w:r w:rsidRPr="00C46053">
                              <w:rPr>
                                <w:rFonts w:ascii="Arial" w:hAnsi="Arial" w:cs="Arial"/>
                                <w:bCs/>
                              </w:rPr>
                              <w:t>Steam</w:t>
                            </w:r>
                            <w:r w:rsidRPr="00C46053">
                              <w:rPr>
                                <w:rFonts w:ascii="Arial" w:hAnsi="Arial" w:cs="Arial"/>
                                <w:bCs/>
                                <w:spacing w:val="-6"/>
                              </w:rPr>
                              <w:t xml:space="preserve"> </w:t>
                            </w:r>
                            <w:r w:rsidRPr="00C46053">
                              <w:rPr>
                                <w:rFonts w:ascii="Arial" w:hAnsi="Arial" w:cs="Arial"/>
                                <w:bCs/>
                              </w:rPr>
                              <w:t>In</w:t>
                            </w:r>
                            <w:r w:rsidRPr="00C46053">
                              <w:rPr>
                                <w:rFonts w:ascii="Arial" w:hAnsi="Arial" w:cs="Arial"/>
                                <w:bCs/>
                                <w:spacing w:val="-6"/>
                              </w:rPr>
                              <w:t xml:space="preserve"> </w:t>
                            </w:r>
                            <w:r w:rsidRPr="00C46053">
                              <w:rPr>
                                <w:rFonts w:ascii="Arial" w:hAnsi="Arial" w:cs="Arial"/>
                                <w:bCs/>
                              </w:rPr>
                              <w:t>the</w:t>
                            </w:r>
                            <w:r w:rsidRPr="00C46053">
                              <w:rPr>
                                <w:rFonts w:ascii="Arial" w:hAnsi="Arial" w:cs="Arial"/>
                                <w:bCs/>
                                <w:spacing w:val="-6"/>
                              </w:rPr>
                              <w:t xml:space="preserve"> </w:t>
                            </w:r>
                            <w:r w:rsidRPr="00C46053">
                              <w:rPr>
                                <w:rFonts w:ascii="Arial" w:hAnsi="Arial" w:cs="Arial"/>
                                <w:bCs/>
                              </w:rPr>
                              <w:t>Digital</w:t>
                            </w:r>
                            <w:r w:rsidRPr="00C46053">
                              <w:rPr>
                                <w:rFonts w:ascii="Arial" w:hAnsi="Arial" w:cs="Arial"/>
                                <w:bCs/>
                                <w:spacing w:val="-6"/>
                              </w:rPr>
                              <w:t xml:space="preserve"> </w:t>
                            </w:r>
                            <w:r w:rsidRPr="00C46053">
                              <w:rPr>
                                <w:rFonts w:ascii="Arial" w:hAnsi="Arial" w:cs="Arial"/>
                                <w:bCs/>
                              </w:rPr>
                              <w:t>Age:</w:t>
                            </w:r>
                            <w:r w:rsidRPr="00C46053">
                              <w:rPr>
                                <w:rFonts w:ascii="Arial" w:hAnsi="Arial" w:cs="Arial"/>
                                <w:bCs/>
                                <w:spacing w:val="-6"/>
                              </w:rPr>
                              <w:t xml:space="preserve"> </w:t>
                            </w:r>
                            <w:r w:rsidRPr="00C46053">
                              <w:rPr>
                                <w:rFonts w:ascii="Arial" w:hAnsi="Arial" w:cs="Arial"/>
                                <w:bCs/>
                              </w:rPr>
                              <w:t>Innovation</w:t>
                            </w:r>
                            <w:r w:rsidRPr="00C46053">
                              <w:rPr>
                                <w:rFonts w:ascii="Arial" w:hAnsi="Arial" w:cs="Arial"/>
                                <w:bCs/>
                                <w:spacing w:val="-6"/>
                              </w:rPr>
                              <w:t xml:space="preserve"> </w:t>
                            </w:r>
                            <w:r w:rsidRPr="00C46053">
                              <w:rPr>
                                <w:rFonts w:ascii="Arial" w:hAnsi="Arial" w:cs="Arial"/>
                                <w:bCs/>
                              </w:rPr>
                              <w:t>in</w:t>
                            </w:r>
                            <w:r w:rsidRPr="00C46053">
                              <w:rPr>
                                <w:rFonts w:ascii="Arial" w:hAnsi="Arial" w:cs="Arial"/>
                                <w:bCs/>
                                <w:spacing w:val="-5"/>
                              </w:rPr>
                              <w:t xml:space="preserve"> </w:t>
                            </w:r>
                            <w:r w:rsidRPr="00C46053">
                              <w:rPr>
                                <w:rFonts w:ascii="Arial" w:hAnsi="Arial" w:cs="Arial"/>
                                <w:bCs/>
                              </w:rPr>
                              <w:t>Steam</w:t>
                            </w:r>
                            <w:r w:rsidRPr="00C46053">
                              <w:rPr>
                                <w:rFonts w:ascii="Arial" w:hAnsi="Arial" w:cs="Arial"/>
                                <w:bCs/>
                                <w:spacing w:val="-6"/>
                              </w:rPr>
                              <w:t xml:space="preserve"> </w:t>
                            </w:r>
                            <w:r w:rsidRPr="00C46053">
                              <w:rPr>
                                <w:rFonts w:ascii="Arial" w:hAnsi="Arial" w:cs="Arial"/>
                                <w:bCs/>
                              </w:rPr>
                              <w:t>Education</w:t>
                            </w:r>
                            <w:r w:rsidRPr="00C46053">
                              <w:rPr>
                                <w:rFonts w:ascii="Arial" w:hAnsi="Arial" w:cs="Arial"/>
                                <w:bCs/>
                                <w:spacing w:val="-6"/>
                              </w:rPr>
                              <w:t xml:space="preserve"> </w:t>
                            </w:r>
                            <w:r w:rsidRPr="00C46053">
                              <w:rPr>
                                <w:rFonts w:ascii="Arial" w:hAnsi="Arial" w:cs="Arial"/>
                                <w:bCs/>
                              </w:rPr>
                              <w:t>and</w:t>
                            </w:r>
                            <w:r w:rsidRPr="00C46053">
                              <w:rPr>
                                <w:rFonts w:ascii="Arial" w:hAnsi="Arial" w:cs="Arial"/>
                                <w:bCs/>
                                <w:spacing w:val="-5"/>
                              </w:rPr>
                              <w:t xml:space="preserve"> </w:t>
                            </w:r>
                            <w:r w:rsidRPr="00C46053">
                              <w:rPr>
                                <w:rFonts w:ascii="Arial" w:hAnsi="Arial" w:cs="Arial"/>
                                <w:bCs/>
                              </w:rPr>
                              <w:t>Technology</w:t>
                            </w:r>
                            <w:r w:rsidRPr="00C46053">
                              <w:rPr>
                                <w:rFonts w:ascii="Arial" w:hAnsi="Arial" w:cs="Arial"/>
                                <w:bCs/>
                                <w:spacing w:val="40"/>
                              </w:rPr>
                              <w:t xml:space="preserve"> </w:t>
                            </w:r>
                            <w:r w:rsidRPr="00C46053">
                              <w:rPr>
                                <w:rFonts w:ascii="Arial" w:hAnsi="Arial" w:cs="Arial"/>
                                <w:bCs/>
                                <w:spacing w:val="-2"/>
                              </w:rPr>
                              <w:t>Integration (March 2025)</w:t>
                            </w:r>
                          </w:p>
                          <w:p w14:paraId="64283093" w14:textId="77777777" w:rsidR="001B225E" w:rsidRPr="00C46053" w:rsidRDefault="001B225E" w:rsidP="001B225E">
                            <w:pPr>
                              <w:pStyle w:val="ListParagraph"/>
                              <w:numPr>
                                <w:ilvl w:val="3"/>
                                <w:numId w:val="12"/>
                              </w:numPr>
                              <w:tabs>
                                <w:tab w:val="num" w:pos="3600"/>
                              </w:tabs>
                              <w:spacing w:after="0" w:line="256" w:lineRule="auto"/>
                              <w:ind w:left="3600"/>
                              <w:rPr>
                                <w:rFonts w:ascii="Arial" w:hAnsi="Arial" w:cs="Arial"/>
                                <w:bCs/>
                              </w:rPr>
                            </w:pPr>
                            <w:r w:rsidRPr="00C46053">
                              <w:rPr>
                                <w:rFonts w:ascii="Arial" w:hAnsi="Arial" w:cs="Arial"/>
                                <w:bCs/>
                                <w:spacing w:val="-2"/>
                              </w:rPr>
                              <w:t>Research</w:t>
                            </w:r>
                            <w:r w:rsidRPr="00C46053">
                              <w:rPr>
                                <w:rFonts w:ascii="Arial" w:hAnsi="Arial" w:cs="Arial"/>
                                <w:bCs/>
                                <w:spacing w:val="6"/>
                              </w:rPr>
                              <w:t xml:space="preserve"> </w:t>
                            </w:r>
                            <w:r w:rsidRPr="00C46053">
                              <w:rPr>
                                <w:rFonts w:ascii="Arial" w:hAnsi="Arial" w:cs="Arial"/>
                                <w:bCs/>
                                <w:spacing w:val="-2"/>
                              </w:rPr>
                              <w:t>Capsule</w:t>
                            </w:r>
                            <w:r w:rsidRPr="00C46053">
                              <w:rPr>
                                <w:rFonts w:ascii="Arial" w:hAnsi="Arial" w:cs="Arial"/>
                                <w:bCs/>
                                <w:spacing w:val="7"/>
                              </w:rPr>
                              <w:t xml:space="preserve"> </w:t>
                            </w:r>
                            <w:r w:rsidRPr="00C46053">
                              <w:rPr>
                                <w:rFonts w:ascii="Arial" w:hAnsi="Arial" w:cs="Arial"/>
                                <w:bCs/>
                                <w:spacing w:val="-2"/>
                              </w:rPr>
                              <w:t>Presentation</w:t>
                            </w:r>
                            <w:r w:rsidRPr="00C46053">
                              <w:rPr>
                                <w:rFonts w:ascii="Arial" w:hAnsi="Arial" w:cs="Arial"/>
                                <w:bCs/>
                                <w:spacing w:val="7"/>
                              </w:rPr>
                              <w:t xml:space="preserve"> </w:t>
                            </w:r>
                            <w:r w:rsidRPr="00C46053">
                              <w:rPr>
                                <w:rFonts w:ascii="Arial" w:hAnsi="Arial" w:cs="Arial"/>
                                <w:bCs/>
                                <w:spacing w:val="-2"/>
                              </w:rPr>
                              <w:t>Webinar (February 2025)</w:t>
                            </w:r>
                          </w:p>
                          <w:p w14:paraId="74DC5B47" w14:textId="77777777" w:rsidR="001B225E" w:rsidRPr="00C46053" w:rsidRDefault="001B225E" w:rsidP="001B225E">
                            <w:pPr>
                              <w:pStyle w:val="ListParagraph"/>
                              <w:numPr>
                                <w:ilvl w:val="3"/>
                                <w:numId w:val="12"/>
                              </w:numPr>
                              <w:tabs>
                                <w:tab w:val="num" w:pos="3600"/>
                              </w:tabs>
                              <w:spacing w:after="0" w:line="256" w:lineRule="auto"/>
                              <w:ind w:left="3600"/>
                              <w:rPr>
                                <w:rFonts w:ascii="Arial" w:hAnsi="Arial" w:cs="Arial"/>
                                <w:bCs/>
                              </w:rPr>
                            </w:pPr>
                            <w:r w:rsidRPr="00C46053">
                              <w:rPr>
                                <w:rFonts w:ascii="Arial" w:hAnsi="Arial" w:cs="Arial"/>
                                <w:bCs/>
                              </w:rPr>
                              <w:t>PDCA</w:t>
                            </w:r>
                            <w:r w:rsidRPr="00C46053">
                              <w:rPr>
                                <w:rFonts w:ascii="Arial" w:hAnsi="Arial" w:cs="Arial"/>
                                <w:bCs/>
                                <w:spacing w:val="6"/>
                              </w:rPr>
                              <w:t xml:space="preserve"> </w:t>
                            </w:r>
                            <w:r w:rsidRPr="00C46053">
                              <w:rPr>
                                <w:rFonts w:ascii="Arial" w:hAnsi="Arial" w:cs="Arial"/>
                                <w:bCs/>
                              </w:rPr>
                              <w:t>Method</w:t>
                            </w:r>
                            <w:r w:rsidRPr="00C46053">
                              <w:rPr>
                                <w:rFonts w:ascii="Arial" w:hAnsi="Arial" w:cs="Arial"/>
                                <w:bCs/>
                                <w:spacing w:val="7"/>
                              </w:rPr>
                              <w:t xml:space="preserve"> </w:t>
                            </w:r>
                            <w:r w:rsidRPr="00C46053">
                              <w:rPr>
                                <w:rFonts w:ascii="Arial" w:hAnsi="Arial" w:cs="Arial"/>
                                <w:bCs/>
                              </w:rPr>
                              <w:t>Fundamentals</w:t>
                            </w:r>
                            <w:r w:rsidRPr="00C46053">
                              <w:rPr>
                                <w:rFonts w:ascii="Arial" w:hAnsi="Arial" w:cs="Arial"/>
                                <w:bCs/>
                                <w:spacing w:val="7"/>
                              </w:rPr>
                              <w:t xml:space="preserve"> </w:t>
                            </w:r>
                            <w:r w:rsidRPr="00C46053">
                              <w:rPr>
                                <w:rFonts w:ascii="Arial" w:hAnsi="Arial" w:cs="Arial"/>
                                <w:bCs/>
                                <w:spacing w:val="-2"/>
                              </w:rPr>
                              <w:t>Course (August 2024)</w:t>
                            </w:r>
                          </w:p>
                          <w:p w14:paraId="44A6B7DE" w14:textId="77777777" w:rsidR="001B225E" w:rsidRPr="00C46053" w:rsidRDefault="001B225E" w:rsidP="001B225E">
                            <w:pPr>
                              <w:pStyle w:val="ListParagraph"/>
                              <w:numPr>
                                <w:ilvl w:val="3"/>
                                <w:numId w:val="12"/>
                              </w:numPr>
                              <w:tabs>
                                <w:tab w:val="num" w:pos="3600"/>
                              </w:tabs>
                              <w:spacing w:after="0" w:line="256" w:lineRule="auto"/>
                              <w:ind w:left="3600"/>
                              <w:rPr>
                                <w:rFonts w:ascii="Arial" w:hAnsi="Arial" w:cs="Arial"/>
                                <w:bCs/>
                              </w:rPr>
                            </w:pPr>
                            <w:r w:rsidRPr="00C46053">
                              <w:rPr>
                                <w:rFonts w:ascii="Arial" w:hAnsi="Arial" w:cs="Arial"/>
                                <w:bCs/>
                                <w:spacing w:val="-2"/>
                                <w:w w:val="105"/>
                              </w:rPr>
                              <w:t>Transformative Learning in</w:t>
                            </w:r>
                            <w:r w:rsidRPr="00C46053">
                              <w:rPr>
                                <w:rFonts w:ascii="Arial" w:hAnsi="Arial" w:cs="Arial"/>
                                <w:bCs/>
                                <w:spacing w:val="-3"/>
                                <w:w w:val="105"/>
                              </w:rPr>
                              <w:t xml:space="preserve"> </w:t>
                            </w:r>
                            <w:r w:rsidRPr="00C46053">
                              <w:rPr>
                                <w:rFonts w:ascii="Arial" w:hAnsi="Arial" w:cs="Arial"/>
                                <w:bCs/>
                                <w:spacing w:val="-2"/>
                                <w:w w:val="105"/>
                              </w:rPr>
                              <w:t>the Great Outdoors: Unleashing the Potential of</w:t>
                            </w:r>
                            <w:r w:rsidRPr="00C46053">
                              <w:rPr>
                                <w:rFonts w:ascii="Arial" w:hAnsi="Arial" w:cs="Arial"/>
                                <w:bCs/>
                                <w:spacing w:val="40"/>
                                <w:w w:val="105"/>
                              </w:rPr>
                              <w:t xml:space="preserve"> </w:t>
                            </w:r>
                            <w:r w:rsidRPr="00C46053">
                              <w:rPr>
                                <w:rFonts w:ascii="Arial" w:hAnsi="Arial" w:cs="Arial"/>
                                <w:bCs/>
                                <w:w w:val="105"/>
                              </w:rPr>
                              <w:t>Experiential</w:t>
                            </w:r>
                            <w:r w:rsidRPr="00C46053">
                              <w:rPr>
                                <w:rFonts w:ascii="Arial" w:hAnsi="Arial" w:cs="Arial"/>
                                <w:bCs/>
                                <w:spacing w:val="-8"/>
                                <w:w w:val="105"/>
                              </w:rPr>
                              <w:t xml:space="preserve"> </w:t>
                            </w:r>
                            <w:r w:rsidRPr="00C46053">
                              <w:rPr>
                                <w:rFonts w:ascii="Arial" w:hAnsi="Arial" w:cs="Arial"/>
                                <w:bCs/>
                                <w:w w:val="105"/>
                              </w:rPr>
                              <w:t>Education (April 2024)</w:t>
                            </w:r>
                          </w:p>
                          <w:p w14:paraId="4AE889E7" w14:textId="77777777" w:rsidR="001B225E" w:rsidRPr="00033B66" w:rsidRDefault="001B225E" w:rsidP="001B225E">
                            <w:pPr>
                              <w:pStyle w:val="ListParagraph"/>
                              <w:numPr>
                                <w:ilvl w:val="3"/>
                                <w:numId w:val="12"/>
                              </w:numPr>
                              <w:tabs>
                                <w:tab w:val="num" w:pos="3600"/>
                              </w:tabs>
                              <w:spacing w:after="0" w:line="256" w:lineRule="auto"/>
                              <w:ind w:left="3600"/>
                              <w:rPr>
                                <w:rFonts w:ascii="Arial" w:hAnsi="Arial" w:cs="Arial"/>
                              </w:rPr>
                            </w:pPr>
                            <w:r w:rsidRPr="00033B66">
                              <w:rPr>
                                <w:rFonts w:ascii="Arial" w:hAnsi="Arial" w:cs="Arial"/>
                              </w:rPr>
                              <w:t xml:space="preserve">International Seminar Workshop/Training </w:t>
                            </w:r>
                            <w:r>
                              <w:rPr>
                                <w:rFonts w:ascii="Arial" w:hAnsi="Arial" w:cs="Arial"/>
                              </w:rPr>
                              <w:t>o</w:t>
                            </w:r>
                            <w:r w:rsidRPr="00033B66">
                              <w:rPr>
                                <w:rFonts w:ascii="Arial" w:hAnsi="Arial" w:cs="Arial"/>
                              </w:rPr>
                              <w:t>n Effective Teaching: The Dance Arts (April 2018)</w:t>
                            </w:r>
                          </w:p>
                          <w:p w14:paraId="55FF3CFB" w14:textId="77777777" w:rsidR="001B225E" w:rsidRPr="00033B66" w:rsidRDefault="001B225E" w:rsidP="001B225E">
                            <w:pPr>
                              <w:pStyle w:val="ListParagraph"/>
                              <w:numPr>
                                <w:ilvl w:val="3"/>
                                <w:numId w:val="12"/>
                              </w:numPr>
                              <w:tabs>
                                <w:tab w:val="num" w:pos="3600"/>
                              </w:tabs>
                              <w:spacing w:after="0" w:line="256" w:lineRule="auto"/>
                              <w:ind w:left="3600"/>
                              <w:rPr>
                                <w:rFonts w:ascii="Arial" w:hAnsi="Arial" w:cs="Arial"/>
                              </w:rPr>
                            </w:pPr>
                            <w:r w:rsidRPr="00033B66">
                              <w:rPr>
                                <w:rFonts w:ascii="Arial" w:hAnsi="Arial" w:cs="Arial"/>
                              </w:rPr>
                              <w:t>International Seminar Workshop</w:t>
                            </w:r>
                            <w:r>
                              <w:rPr>
                                <w:rFonts w:ascii="Arial" w:hAnsi="Arial" w:cs="Arial"/>
                              </w:rPr>
                              <w:t xml:space="preserve"> o</w:t>
                            </w:r>
                            <w:r w:rsidRPr="00033B66">
                              <w:rPr>
                                <w:rFonts w:ascii="Arial" w:hAnsi="Arial" w:cs="Arial"/>
                              </w:rPr>
                              <w:t>n Sports, Health, Arts</w:t>
                            </w:r>
                            <w:r>
                              <w:rPr>
                                <w:rFonts w:ascii="Arial" w:hAnsi="Arial" w:cs="Arial"/>
                              </w:rPr>
                              <w:t>,</w:t>
                            </w:r>
                            <w:r w:rsidRPr="00033B66">
                              <w:rPr>
                                <w:rFonts w:ascii="Arial" w:hAnsi="Arial" w:cs="Arial"/>
                              </w:rPr>
                              <w:t xml:space="preserve"> </w:t>
                            </w:r>
                            <w:r>
                              <w:rPr>
                                <w:rFonts w:ascii="Arial" w:hAnsi="Arial" w:cs="Arial"/>
                              </w:rPr>
                              <w:t>a</w:t>
                            </w:r>
                            <w:r w:rsidRPr="00033B66">
                              <w:rPr>
                                <w:rFonts w:ascii="Arial" w:hAnsi="Arial" w:cs="Arial"/>
                              </w:rPr>
                              <w:t>nd Music Education (April 2019)</w:t>
                            </w:r>
                          </w:p>
                          <w:p w14:paraId="3BD34FC3" w14:textId="77777777" w:rsidR="001B225E" w:rsidRPr="00033B66" w:rsidRDefault="001B225E" w:rsidP="001B225E">
                            <w:pPr>
                              <w:pStyle w:val="ListParagraph"/>
                              <w:numPr>
                                <w:ilvl w:val="3"/>
                                <w:numId w:val="12"/>
                              </w:numPr>
                              <w:tabs>
                                <w:tab w:val="num" w:pos="3600"/>
                              </w:tabs>
                              <w:spacing w:after="0" w:line="256" w:lineRule="auto"/>
                              <w:ind w:left="3600"/>
                              <w:rPr>
                                <w:rFonts w:ascii="Arial" w:hAnsi="Arial" w:cs="Arial"/>
                              </w:rPr>
                            </w:pPr>
                            <w:r w:rsidRPr="00033B66">
                              <w:rPr>
                                <w:rFonts w:ascii="Arial" w:hAnsi="Arial" w:cs="Arial"/>
                              </w:rPr>
                              <w:t xml:space="preserve">Division Training-Workshop </w:t>
                            </w:r>
                            <w:r>
                              <w:rPr>
                                <w:rFonts w:ascii="Arial" w:hAnsi="Arial" w:cs="Arial"/>
                              </w:rPr>
                              <w:t>o</w:t>
                            </w:r>
                            <w:r w:rsidRPr="00033B66">
                              <w:rPr>
                                <w:rFonts w:ascii="Arial" w:hAnsi="Arial" w:cs="Arial"/>
                              </w:rPr>
                              <w:t xml:space="preserve">n Coaching </w:t>
                            </w:r>
                            <w:r>
                              <w:rPr>
                                <w:rFonts w:ascii="Arial" w:hAnsi="Arial" w:cs="Arial"/>
                              </w:rPr>
                              <w:t>a</w:t>
                            </w:r>
                            <w:r w:rsidRPr="00033B66">
                              <w:rPr>
                                <w:rFonts w:ascii="Arial" w:hAnsi="Arial" w:cs="Arial"/>
                              </w:rPr>
                              <w:t xml:space="preserve">nd Officiating </w:t>
                            </w:r>
                            <w:r>
                              <w:rPr>
                                <w:rFonts w:ascii="Arial" w:hAnsi="Arial" w:cs="Arial"/>
                              </w:rPr>
                              <w:t>a</w:t>
                            </w:r>
                            <w:r w:rsidRPr="00033B66">
                              <w:rPr>
                                <w:rFonts w:ascii="Arial" w:hAnsi="Arial" w:cs="Arial"/>
                              </w:rPr>
                              <w:t xml:space="preserve">nd Accreditation </w:t>
                            </w:r>
                            <w:r>
                              <w:rPr>
                                <w:rFonts w:ascii="Arial" w:hAnsi="Arial" w:cs="Arial"/>
                              </w:rPr>
                              <w:t>i</w:t>
                            </w:r>
                            <w:r w:rsidRPr="00033B66">
                              <w:rPr>
                                <w:rFonts w:ascii="Arial" w:hAnsi="Arial" w:cs="Arial"/>
                              </w:rPr>
                              <w:t>n Selected Sports Events (November 2019)</w:t>
                            </w:r>
                          </w:p>
                          <w:p w14:paraId="34A7B8DE" w14:textId="77777777" w:rsidR="001B225E" w:rsidRPr="00033B66" w:rsidRDefault="001B225E" w:rsidP="001B225E">
                            <w:pPr>
                              <w:pStyle w:val="ListParagraph"/>
                              <w:numPr>
                                <w:ilvl w:val="3"/>
                                <w:numId w:val="12"/>
                              </w:numPr>
                              <w:tabs>
                                <w:tab w:val="num" w:pos="3600"/>
                              </w:tabs>
                              <w:spacing w:after="0" w:line="256" w:lineRule="auto"/>
                              <w:ind w:left="3600"/>
                              <w:rPr>
                                <w:rFonts w:ascii="Arial" w:hAnsi="Arial" w:cs="Arial"/>
                              </w:rPr>
                            </w:pPr>
                            <w:r w:rsidRPr="00033B66">
                              <w:rPr>
                                <w:rFonts w:ascii="Arial" w:hAnsi="Arial" w:cs="Arial"/>
                              </w:rPr>
                              <w:t xml:space="preserve">Webinar Series </w:t>
                            </w:r>
                            <w:r>
                              <w:rPr>
                                <w:rFonts w:ascii="Arial" w:hAnsi="Arial" w:cs="Arial"/>
                              </w:rPr>
                              <w:t>o</w:t>
                            </w:r>
                            <w:r w:rsidRPr="00033B66">
                              <w:rPr>
                                <w:rFonts w:ascii="Arial" w:hAnsi="Arial" w:cs="Arial"/>
                              </w:rPr>
                              <w:t xml:space="preserve">n The Upskilling </w:t>
                            </w:r>
                            <w:r>
                              <w:rPr>
                                <w:rFonts w:ascii="Arial" w:hAnsi="Arial" w:cs="Arial"/>
                              </w:rPr>
                              <w:t>o</w:t>
                            </w:r>
                            <w:r w:rsidRPr="00033B66">
                              <w:rPr>
                                <w:rFonts w:ascii="Arial" w:hAnsi="Arial" w:cs="Arial"/>
                              </w:rPr>
                              <w:t xml:space="preserve">f Teaching </w:t>
                            </w:r>
                            <w:r>
                              <w:rPr>
                                <w:rFonts w:ascii="Arial" w:hAnsi="Arial" w:cs="Arial"/>
                              </w:rPr>
                              <w:t>o</w:t>
                            </w:r>
                            <w:r w:rsidRPr="00033B66">
                              <w:rPr>
                                <w:rFonts w:ascii="Arial" w:hAnsi="Arial" w:cs="Arial"/>
                              </w:rPr>
                              <w:t>n Online/Offline Learning Modality (July 2020)</w:t>
                            </w:r>
                          </w:p>
                          <w:p w14:paraId="216BEC00" w14:textId="77777777" w:rsidR="001B225E" w:rsidRPr="00051BB2" w:rsidRDefault="001B225E" w:rsidP="001B225E">
                            <w:pPr>
                              <w:spacing w:line="256" w:lineRule="auto"/>
                            </w:pPr>
                          </w:p>
                          <w:p w14:paraId="44497D30" w14:textId="77777777" w:rsidR="001B225E" w:rsidRDefault="001B225E" w:rsidP="001B225E">
                            <w:pPr>
                              <w:pStyle w:val="ListParagraph"/>
                              <w:ind w:left="2880"/>
                              <w:rPr>
                                <w:rFonts w:ascii="Arial" w:hAnsi="Arial" w:cs="Arial"/>
                              </w:rPr>
                            </w:pPr>
                          </w:p>
                          <w:p w14:paraId="52547553" w14:textId="77777777" w:rsidR="001B225E" w:rsidRDefault="001B225E" w:rsidP="001B225E">
                            <w:pPr>
                              <w:pStyle w:val="NoSpacing"/>
                              <w:spacing w:line="276" w:lineRule="auto"/>
                            </w:pPr>
                          </w:p>
                          <w:p w14:paraId="0D25D7A8" w14:textId="77777777" w:rsidR="001B225E" w:rsidRDefault="001B225E" w:rsidP="001B225E">
                            <w:pPr>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1E2CC" id="Text Box 5" o:spid="_x0000_s1045" type="#_x0000_t202" style="position:absolute;left:0;text-align:left;margin-left:-103.25pt;margin-top:226.75pt;width:543pt;height:42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" filled="f" stroked="f">
                <v:textbox>
                  <w:txbxContent>
                    <w:p w14:paraId="490F9A1C" w14:textId="77777777" w:rsidR="001B225E" w:rsidRDefault="001B225E" w:rsidP="001B225E">
                      <w:pPr>
                        <w:spacing w:line="256" w:lineRule="auto"/>
                      </w:pPr>
                    </w:p>
                    <w:p w14:paraId="7697FCBC" w14:textId="77777777" w:rsidR="001B225E" w:rsidRPr="00C46053" w:rsidRDefault="001B225E" w:rsidP="001B225E">
                      <w:pPr>
                        <w:pStyle w:val="ListParagraph"/>
                        <w:numPr>
                          <w:ilvl w:val="3"/>
                          <w:numId w:val="12"/>
                        </w:numPr>
                        <w:tabs>
                          <w:tab w:val="num" w:pos="3600"/>
                        </w:tabs>
                        <w:spacing w:after="0" w:line="256" w:lineRule="auto"/>
                        <w:ind w:left="3600"/>
                        <w:rPr>
                          <w:rFonts w:ascii="Arial" w:hAnsi="Arial" w:cs="Arial"/>
                          <w:bCs/>
                        </w:rPr>
                      </w:pPr>
                      <w:r w:rsidRPr="00C46053">
                        <w:rPr>
                          <w:rFonts w:ascii="Arial" w:hAnsi="Arial" w:cs="Arial"/>
                          <w:bCs/>
                          <w:spacing w:val="-2"/>
                        </w:rPr>
                        <w:t>PDFDS-Sorsogon</w:t>
                      </w:r>
                      <w:r w:rsidRPr="00C46053">
                        <w:rPr>
                          <w:rFonts w:ascii="Arial" w:hAnsi="Arial" w:cs="Arial"/>
                          <w:bCs/>
                          <w:spacing w:val="7"/>
                        </w:rPr>
                        <w:t xml:space="preserve"> </w:t>
                      </w:r>
                      <w:r w:rsidRPr="00C46053">
                        <w:rPr>
                          <w:rFonts w:ascii="Arial" w:hAnsi="Arial" w:cs="Arial"/>
                          <w:bCs/>
                          <w:spacing w:val="-2"/>
                        </w:rPr>
                        <w:t>1st</w:t>
                      </w:r>
                      <w:r w:rsidRPr="00C46053">
                        <w:rPr>
                          <w:rFonts w:ascii="Arial" w:hAnsi="Arial" w:cs="Arial"/>
                          <w:bCs/>
                          <w:spacing w:val="8"/>
                        </w:rPr>
                        <w:t xml:space="preserve"> </w:t>
                      </w:r>
                      <w:proofErr w:type="spellStart"/>
                      <w:r w:rsidRPr="00C46053">
                        <w:rPr>
                          <w:rFonts w:ascii="Arial" w:hAnsi="Arial" w:cs="Arial"/>
                          <w:bCs/>
                          <w:spacing w:val="-2"/>
                        </w:rPr>
                        <w:t>Kunday</w:t>
                      </w:r>
                      <w:proofErr w:type="spellEnd"/>
                      <w:r w:rsidRPr="00C46053">
                        <w:rPr>
                          <w:rFonts w:ascii="Arial" w:hAnsi="Arial" w:cs="Arial"/>
                          <w:bCs/>
                          <w:spacing w:val="-2"/>
                        </w:rPr>
                        <w:t>:</w:t>
                      </w:r>
                      <w:r w:rsidRPr="00C46053">
                        <w:rPr>
                          <w:rFonts w:ascii="Arial" w:hAnsi="Arial" w:cs="Arial"/>
                          <w:bCs/>
                          <w:spacing w:val="7"/>
                        </w:rPr>
                        <w:t xml:space="preserve"> </w:t>
                      </w:r>
                      <w:r w:rsidRPr="00C46053">
                        <w:rPr>
                          <w:rFonts w:ascii="Arial" w:hAnsi="Arial" w:cs="Arial"/>
                          <w:bCs/>
                          <w:spacing w:val="-2"/>
                        </w:rPr>
                        <w:t>Folk Dance</w:t>
                      </w:r>
                      <w:r w:rsidRPr="00C46053">
                        <w:rPr>
                          <w:rFonts w:ascii="Arial" w:hAnsi="Arial" w:cs="Arial"/>
                          <w:bCs/>
                          <w:spacing w:val="8"/>
                        </w:rPr>
                        <w:t xml:space="preserve"> </w:t>
                      </w:r>
                      <w:r w:rsidRPr="00C46053">
                        <w:rPr>
                          <w:rFonts w:ascii="Arial" w:hAnsi="Arial" w:cs="Arial"/>
                          <w:bCs/>
                          <w:spacing w:val="-2"/>
                        </w:rPr>
                        <w:t>Seminar-Workshop (December 2025)</w:t>
                      </w:r>
                    </w:p>
                    <w:p w14:paraId="3FC7ACF6" w14:textId="77777777" w:rsidR="001B225E" w:rsidRPr="00C46053" w:rsidRDefault="001B225E" w:rsidP="001B225E">
                      <w:pPr>
                        <w:pStyle w:val="ListParagraph"/>
                        <w:numPr>
                          <w:ilvl w:val="3"/>
                          <w:numId w:val="12"/>
                        </w:numPr>
                        <w:tabs>
                          <w:tab w:val="num" w:pos="3600"/>
                        </w:tabs>
                        <w:spacing w:after="0" w:line="256" w:lineRule="auto"/>
                        <w:ind w:left="3600"/>
                        <w:rPr>
                          <w:rFonts w:ascii="Arial" w:hAnsi="Arial" w:cs="Arial"/>
                          <w:bCs/>
                        </w:rPr>
                      </w:pPr>
                      <w:r w:rsidRPr="00C46053">
                        <w:rPr>
                          <w:rFonts w:ascii="Arial" w:hAnsi="Arial" w:cs="Arial"/>
                          <w:bCs/>
                          <w:w w:val="105"/>
                        </w:rPr>
                        <w:t>6th</w:t>
                      </w:r>
                      <w:r w:rsidRPr="00C46053">
                        <w:rPr>
                          <w:rFonts w:ascii="Arial" w:hAnsi="Arial" w:cs="Arial"/>
                          <w:bCs/>
                          <w:spacing w:val="-6"/>
                          <w:w w:val="105"/>
                        </w:rPr>
                        <w:t xml:space="preserve"> </w:t>
                      </w:r>
                      <w:r w:rsidRPr="00C46053">
                        <w:rPr>
                          <w:rFonts w:ascii="Arial" w:hAnsi="Arial" w:cs="Arial"/>
                          <w:bCs/>
                          <w:w w:val="105"/>
                        </w:rPr>
                        <w:t>International</w:t>
                      </w:r>
                      <w:r w:rsidRPr="00C46053">
                        <w:rPr>
                          <w:rFonts w:ascii="Arial" w:hAnsi="Arial" w:cs="Arial"/>
                          <w:bCs/>
                          <w:spacing w:val="-6"/>
                          <w:w w:val="105"/>
                        </w:rPr>
                        <w:t xml:space="preserve"> </w:t>
                      </w:r>
                      <w:r w:rsidRPr="00C46053">
                        <w:rPr>
                          <w:rFonts w:ascii="Arial" w:hAnsi="Arial" w:cs="Arial"/>
                          <w:bCs/>
                          <w:w w:val="105"/>
                        </w:rPr>
                        <w:t>Seminar-Workshop:</w:t>
                      </w:r>
                      <w:r w:rsidRPr="00C46053">
                        <w:rPr>
                          <w:rFonts w:ascii="Arial" w:hAnsi="Arial" w:cs="Arial"/>
                          <w:bCs/>
                          <w:spacing w:val="-6"/>
                          <w:w w:val="105"/>
                        </w:rPr>
                        <w:t xml:space="preserve"> </w:t>
                      </w:r>
                      <w:r w:rsidRPr="00C46053">
                        <w:rPr>
                          <w:rFonts w:ascii="Arial" w:hAnsi="Arial" w:cs="Arial"/>
                          <w:bCs/>
                          <w:w w:val="105"/>
                        </w:rPr>
                        <w:t>Enhancing</w:t>
                      </w:r>
                      <w:r w:rsidRPr="00C46053">
                        <w:rPr>
                          <w:rFonts w:ascii="Arial" w:hAnsi="Arial" w:cs="Arial"/>
                          <w:bCs/>
                          <w:spacing w:val="-6"/>
                          <w:w w:val="105"/>
                        </w:rPr>
                        <w:t xml:space="preserve"> </w:t>
                      </w:r>
                      <w:r w:rsidRPr="00C46053">
                        <w:rPr>
                          <w:rFonts w:ascii="Arial" w:hAnsi="Arial" w:cs="Arial"/>
                          <w:bCs/>
                          <w:w w:val="105"/>
                        </w:rPr>
                        <w:t>Physical</w:t>
                      </w:r>
                      <w:r w:rsidRPr="00C46053">
                        <w:rPr>
                          <w:rFonts w:ascii="Arial" w:hAnsi="Arial" w:cs="Arial"/>
                          <w:bCs/>
                          <w:spacing w:val="-6"/>
                          <w:w w:val="105"/>
                        </w:rPr>
                        <w:t xml:space="preserve"> </w:t>
                      </w:r>
                      <w:r w:rsidRPr="00C46053">
                        <w:rPr>
                          <w:rFonts w:ascii="Arial" w:hAnsi="Arial" w:cs="Arial"/>
                          <w:bCs/>
                          <w:w w:val="105"/>
                        </w:rPr>
                        <w:t>Education</w:t>
                      </w:r>
                      <w:r w:rsidRPr="00C46053">
                        <w:rPr>
                          <w:rFonts w:ascii="Arial" w:hAnsi="Arial" w:cs="Arial"/>
                          <w:bCs/>
                          <w:spacing w:val="-6"/>
                          <w:w w:val="105"/>
                        </w:rPr>
                        <w:t xml:space="preserve"> </w:t>
                      </w:r>
                      <w:r w:rsidRPr="00C46053">
                        <w:rPr>
                          <w:rFonts w:ascii="Arial" w:hAnsi="Arial" w:cs="Arial"/>
                          <w:bCs/>
                          <w:w w:val="105"/>
                        </w:rPr>
                        <w:t>Teachers’</w:t>
                      </w:r>
                      <w:r w:rsidRPr="00C46053">
                        <w:rPr>
                          <w:rFonts w:ascii="Arial" w:hAnsi="Arial" w:cs="Arial"/>
                          <w:bCs/>
                          <w:spacing w:val="-6"/>
                          <w:w w:val="105"/>
                        </w:rPr>
                        <w:t xml:space="preserve"> </w:t>
                      </w:r>
                      <w:r w:rsidRPr="00C46053">
                        <w:rPr>
                          <w:rFonts w:ascii="Arial" w:hAnsi="Arial" w:cs="Arial"/>
                          <w:bCs/>
                          <w:w w:val="105"/>
                        </w:rPr>
                        <w:t>Competencies,</w:t>
                      </w:r>
                      <w:r w:rsidRPr="00C46053">
                        <w:rPr>
                          <w:rFonts w:ascii="Arial" w:hAnsi="Arial" w:cs="Arial"/>
                          <w:bCs/>
                          <w:spacing w:val="-6"/>
                          <w:w w:val="105"/>
                        </w:rPr>
                        <w:t xml:space="preserve"> </w:t>
                      </w:r>
                      <w:r w:rsidRPr="00C46053">
                        <w:rPr>
                          <w:rFonts w:ascii="Arial" w:hAnsi="Arial" w:cs="Arial"/>
                          <w:bCs/>
                          <w:w w:val="105"/>
                        </w:rPr>
                        <w:t>A</w:t>
                      </w:r>
                      <w:r w:rsidRPr="00C46053">
                        <w:rPr>
                          <w:rFonts w:ascii="Arial" w:hAnsi="Arial" w:cs="Arial"/>
                          <w:bCs/>
                          <w:spacing w:val="-6"/>
                          <w:w w:val="105"/>
                        </w:rPr>
                        <w:t xml:space="preserve"> </w:t>
                      </w:r>
                      <w:r w:rsidRPr="00C46053">
                        <w:rPr>
                          <w:rFonts w:ascii="Arial" w:hAnsi="Arial" w:cs="Arial"/>
                          <w:bCs/>
                          <w:w w:val="105"/>
                        </w:rPr>
                        <w:t>Continuous</w:t>
                      </w:r>
                      <w:r w:rsidRPr="00C46053">
                        <w:rPr>
                          <w:rFonts w:ascii="Arial" w:hAnsi="Arial" w:cs="Arial"/>
                          <w:bCs/>
                          <w:spacing w:val="40"/>
                          <w:w w:val="105"/>
                        </w:rPr>
                        <w:t xml:space="preserve"> </w:t>
                      </w:r>
                      <w:r w:rsidRPr="00C46053">
                        <w:rPr>
                          <w:rFonts w:ascii="Arial" w:hAnsi="Arial" w:cs="Arial"/>
                          <w:bCs/>
                          <w:w w:val="105"/>
                        </w:rPr>
                        <w:t>Training Program for Dance, Fitness, Sports, And Research (November 2025)</w:t>
                      </w:r>
                    </w:p>
                    <w:p w14:paraId="6A432C29" w14:textId="77777777" w:rsidR="001B225E" w:rsidRPr="00C46053" w:rsidRDefault="001B225E" w:rsidP="001B225E">
                      <w:pPr>
                        <w:pStyle w:val="ListParagraph"/>
                        <w:numPr>
                          <w:ilvl w:val="3"/>
                          <w:numId w:val="12"/>
                        </w:numPr>
                        <w:tabs>
                          <w:tab w:val="num" w:pos="3600"/>
                        </w:tabs>
                        <w:spacing w:after="0" w:line="256" w:lineRule="auto"/>
                        <w:ind w:left="3600"/>
                        <w:rPr>
                          <w:rFonts w:ascii="Arial" w:hAnsi="Arial" w:cs="Arial"/>
                          <w:bCs/>
                        </w:rPr>
                      </w:pPr>
                      <w:r w:rsidRPr="00C46053">
                        <w:rPr>
                          <w:rFonts w:ascii="Arial" w:hAnsi="Arial" w:cs="Arial"/>
                          <w:bCs/>
                          <w:spacing w:val="-2"/>
                        </w:rPr>
                        <w:t>Local</w:t>
                      </w:r>
                      <w:r w:rsidRPr="00C46053">
                        <w:rPr>
                          <w:rFonts w:ascii="Arial" w:hAnsi="Arial" w:cs="Arial"/>
                          <w:bCs/>
                          <w:spacing w:val="-1"/>
                        </w:rPr>
                        <w:t xml:space="preserve"> </w:t>
                      </w:r>
                      <w:r w:rsidRPr="00C46053">
                        <w:rPr>
                          <w:rFonts w:ascii="Arial" w:hAnsi="Arial" w:cs="Arial"/>
                          <w:bCs/>
                          <w:spacing w:val="-2"/>
                        </w:rPr>
                        <w:t>To</w:t>
                      </w:r>
                      <w:r w:rsidRPr="00C46053">
                        <w:rPr>
                          <w:rFonts w:ascii="Arial" w:hAnsi="Arial" w:cs="Arial"/>
                          <w:bCs/>
                        </w:rPr>
                        <w:t xml:space="preserve"> </w:t>
                      </w:r>
                      <w:r w:rsidRPr="00C46053">
                        <w:rPr>
                          <w:rFonts w:ascii="Arial" w:hAnsi="Arial" w:cs="Arial"/>
                          <w:bCs/>
                          <w:spacing w:val="-2"/>
                        </w:rPr>
                        <w:t>Global:</w:t>
                      </w:r>
                      <w:r w:rsidRPr="00C46053">
                        <w:rPr>
                          <w:rFonts w:ascii="Arial" w:hAnsi="Arial" w:cs="Arial"/>
                          <w:bCs/>
                        </w:rPr>
                        <w:t xml:space="preserve"> </w:t>
                      </w:r>
                      <w:r w:rsidRPr="00C46053">
                        <w:rPr>
                          <w:rFonts w:ascii="Arial" w:hAnsi="Arial" w:cs="Arial"/>
                          <w:bCs/>
                          <w:spacing w:val="-2"/>
                        </w:rPr>
                        <w:t>Harnessing</w:t>
                      </w:r>
                      <w:r w:rsidRPr="00C46053">
                        <w:rPr>
                          <w:rFonts w:ascii="Arial" w:hAnsi="Arial" w:cs="Arial"/>
                          <w:bCs/>
                        </w:rPr>
                        <w:t xml:space="preserve"> </w:t>
                      </w:r>
                      <w:r w:rsidRPr="00C46053">
                        <w:rPr>
                          <w:rFonts w:ascii="Arial" w:hAnsi="Arial" w:cs="Arial"/>
                          <w:bCs/>
                          <w:spacing w:val="-2"/>
                        </w:rPr>
                        <w:t>The</w:t>
                      </w:r>
                      <w:r w:rsidRPr="00C46053">
                        <w:rPr>
                          <w:rFonts w:ascii="Arial" w:hAnsi="Arial" w:cs="Arial"/>
                          <w:bCs/>
                          <w:spacing w:val="-1"/>
                        </w:rPr>
                        <w:t xml:space="preserve"> </w:t>
                      </w:r>
                      <w:r w:rsidRPr="00C46053">
                        <w:rPr>
                          <w:rFonts w:ascii="Arial" w:hAnsi="Arial" w:cs="Arial"/>
                          <w:bCs/>
                          <w:spacing w:val="-2"/>
                        </w:rPr>
                        <w:t>Power</w:t>
                      </w:r>
                      <w:r w:rsidRPr="00C46053">
                        <w:rPr>
                          <w:rFonts w:ascii="Arial" w:hAnsi="Arial" w:cs="Arial"/>
                          <w:bCs/>
                        </w:rPr>
                        <w:t xml:space="preserve"> </w:t>
                      </w:r>
                      <w:r w:rsidRPr="00C46053">
                        <w:rPr>
                          <w:rFonts w:ascii="Arial" w:hAnsi="Arial" w:cs="Arial"/>
                          <w:bCs/>
                          <w:spacing w:val="-2"/>
                        </w:rPr>
                        <w:t>of</w:t>
                      </w:r>
                      <w:r w:rsidRPr="00C46053">
                        <w:rPr>
                          <w:rFonts w:ascii="Arial" w:hAnsi="Arial" w:cs="Arial"/>
                          <w:bCs/>
                        </w:rPr>
                        <w:t xml:space="preserve"> </w:t>
                      </w:r>
                      <w:r w:rsidRPr="00C46053">
                        <w:rPr>
                          <w:rFonts w:ascii="Arial" w:hAnsi="Arial" w:cs="Arial"/>
                          <w:bCs/>
                          <w:spacing w:val="-2"/>
                        </w:rPr>
                        <w:t>Lucs</w:t>
                      </w:r>
                      <w:r w:rsidRPr="00C46053">
                        <w:rPr>
                          <w:rFonts w:ascii="Arial" w:hAnsi="Arial" w:cs="Arial"/>
                          <w:bCs/>
                        </w:rPr>
                        <w:t xml:space="preserve"> </w:t>
                      </w:r>
                      <w:r w:rsidRPr="00C46053">
                        <w:rPr>
                          <w:rFonts w:ascii="Arial" w:hAnsi="Arial" w:cs="Arial"/>
                          <w:bCs/>
                          <w:spacing w:val="-2"/>
                        </w:rPr>
                        <w:t>for</w:t>
                      </w:r>
                      <w:r w:rsidRPr="00C46053">
                        <w:rPr>
                          <w:rFonts w:ascii="Arial" w:hAnsi="Arial" w:cs="Arial"/>
                          <w:bCs/>
                        </w:rPr>
                        <w:t xml:space="preserve"> </w:t>
                      </w:r>
                      <w:r w:rsidRPr="00C46053">
                        <w:rPr>
                          <w:rFonts w:ascii="Arial" w:hAnsi="Arial" w:cs="Arial"/>
                          <w:bCs/>
                          <w:spacing w:val="-2"/>
                        </w:rPr>
                        <w:t>Sustainable</w:t>
                      </w:r>
                      <w:r w:rsidRPr="00C46053">
                        <w:rPr>
                          <w:rFonts w:ascii="Arial" w:hAnsi="Arial" w:cs="Arial"/>
                          <w:bCs/>
                          <w:spacing w:val="-1"/>
                        </w:rPr>
                        <w:t xml:space="preserve"> </w:t>
                      </w:r>
                      <w:r w:rsidRPr="00C46053">
                        <w:rPr>
                          <w:rFonts w:ascii="Arial" w:hAnsi="Arial" w:cs="Arial"/>
                          <w:bCs/>
                          <w:spacing w:val="-2"/>
                        </w:rPr>
                        <w:t>Develop (October 2025)</w:t>
                      </w:r>
                    </w:p>
                    <w:p w14:paraId="2E021615" w14:textId="77777777" w:rsidR="001B225E" w:rsidRPr="00C46053" w:rsidRDefault="001B225E" w:rsidP="001B225E">
                      <w:pPr>
                        <w:pStyle w:val="ListParagraph"/>
                        <w:numPr>
                          <w:ilvl w:val="3"/>
                          <w:numId w:val="12"/>
                        </w:numPr>
                        <w:tabs>
                          <w:tab w:val="num" w:pos="3600"/>
                        </w:tabs>
                        <w:spacing w:after="0" w:line="256" w:lineRule="auto"/>
                        <w:ind w:left="3600"/>
                        <w:rPr>
                          <w:rFonts w:ascii="Arial" w:hAnsi="Arial" w:cs="Arial"/>
                          <w:bCs/>
                        </w:rPr>
                      </w:pPr>
                      <w:r w:rsidRPr="00C46053">
                        <w:rPr>
                          <w:rFonts w:ascii="Arial" w:hAnsi="Arial" w:cs="Arial"/>
                          <w:bCs/>
                          <w:spacing w:val="-2"/>
                        </w:rPr>
                        <w:t>Preparing</w:t>
                      </w:r>
                      <w:r w:rsidRPr="00C46053">
                        <w:rPr>
                          <w:rFonts w:ascii="Arial" w:hAnsi="Arial" w:cs="Arial"/>
                          <w:bCs/>
                          <w:spacing w:val="3"/>
                        </w:rPr>
                        <w:t xml:space="preserve"> </w:t>
                      </w:r>
                      <w:r w:rsidRPr="00C46053">
                        <w:rPr>
                          <w:rFonts w:ascii="Arial" w:hAnsi="Arial" w:cs="Arial"/>
                          <w:bCs/>
                          <w:spacing w:val="-2"/>
                        </w:rPr>
                        <w:t>Future</w:t>
                      </w:r>
                      <w:r w:rsidRPr="00C46053">
                        <w:rPr>
                          <w:rFonts w:ascii="Arial" w:hAnsi="Arial" w:cs="Arial"/>
                          <w:bCs/>
                          <w:spacing w:val="4"/>
                        </w:rPr>
                        <w:t xml:space="preserve"> </w:t>
                      </w:r>
                      <w:r w:rsidRPr="00C46053">
                        <w:rPr>
                          <w:rFonts w:ascii="Arial" w:hAnsi="Arial" w:cs="Arial"/>
                          <w:bCs/>
                          <w:spacing w:val="-2"/>
                        </w:rPr>
                        <w:t>Educators</w:t>
                      </w:r>
                      <w:r w:rsidRPr="00C46053">
                        <w:rPr>
                          <w:rFonts w:ascii="Arial" w:hAnsi="Arial" w:cs="Arial"/>
                          <w:bCs/>
                          <w:spacing w:val="4"/>
                        </w:rPr>
                        <w:t xml:space="preserve"> </w:t>
                      </w:r>
                      <w:r w:rsidRPr="00C46053">
                        <w:rPr>
                          <w:rFonts w:ascii="Arial" w:hAnsi="Arial" w:cs="Arial"/>
                          <w:bCs/>
                          <w:spacing w:val="-2"/>
                        </w:rPr>
                        <w:t>for</w:t>
                      </w:r>
                      <w:r w:rsidRPr="00C46053">
                        <w:rPr>
                          <w:rFonts w:ascii="Arial" w:hAnsi="Arial" w:cs="Arial"/>
                          <w:bCs/>
                          <w:spacing w:val="4"/>
                        </w:rPr>
                        <w:t xml:space="preserve"> </w:t>
                      </w:r>
                      <w:r w:rsidRPr="00C46053">
                        <w:rPr>
                          <w:rFonts w:ascii="Arial" w:hAnsi="Arial" w:cs="Arial"/>
                          <w:bCs/>
                          <w:spacing w:val="-2"/>
                        </w:rPr>
                        <w:t>an</w:t>
                      </w:r>
                      <w:r w:rsidRPr="00C46053">
                        <w:rPr>
                          <w:rFonts w:ascii="Arial" w:hAnsi="Arial" w:cs="Arial"/>
                          <w:bCs/>
                          <w:spacing w:val="4"/>
                        </w:rPr>
                        <w:t xml:space="preserve"> </w:t>
                      </w:r>
                      <w:r w:rsidRPr="00C46053">
                        <w:rPr>
                          <w:rFonts w:ascii="Arial" w:hAnsi="Arial" w:cs="Arial"/>
                          <w:bCs/>
                          <w:spacing w:val="-2"/>
                        </w:rPr>
                        <w:t>AI-Driven</w:t>
                      </w:r>
                      <w:r w:rsidRPr="00C46053">
                        <w:rPr>
                          <w:rFonts w:ascii="Arial" w:hAnsi="Arial" w:cs="Arial"/>
                          <w:bCs/>
                          <w:spacing w:val="4"/>
                        </w:rPr>
                        <w:t xml:space="preserve"> </w:t>
                      </w:r>
                      <w:r w:rsidRPr="00C46053">
                        <w:rPr>
                          <w:rFonts w:ascii="Arial" w:hAnsi="Arial" w:cs="Arial"/>
                          <w:bCs/>
                          <w:spacing w:val="-2"/>
                        </w:rPr>
                        <w:t>World (September 2025)</w:t>
                      </w:r>
                    </w:p>
                    <w:p w14:paraId="211600C4" w14:textId="77777777" w:rsidR="001B225E" w:rsidRPr="00C46053" w:rsidRDefault="001B225E" w:rsidP="001B225E">
                      <w:pPr>
                        <w:pStyle w:val="ListParagraph"/>
                        <w:numPr>
                          <w:ilvl w:val="3"/>
                          <w:numId w:val="12"/>
                        </w:numPr>
                        <w:tabs>
                          <w:tab w:val="num" w:pos="3600"/>
                        </w:tabs>
                        <w:spacing w:after="0" w:line="256" w:lineRule="auto"/>
                        <w:ind w:left="3600"/>
                        <w:rPr>
                          <w:rFonts w:ascii="Arial" w:hAnsi="Arial" w:cs="Arial"/>
                          <w:bCs/>
                        </w:rPr>
                      </w:pPr>
                      <w:r w:rsidRPr="00C46053">
                        <w:rPr>
                          <w:rFonts w:ascii="Arial" w:hAnsi="Arial" w:cs="Arial"/>
                          <w:bCs/>
                        </w:rPr>
                        <w:t>Steam</w:t>
                      </w:r>
                      <w:r w:rsidRPr="00C46053">
                        <w:rPr>
                          <w:rFonts w:ascii="Arial" w:hAnsi="Arial" w:cs="Arial"/>
                          <w:bCs/>
                          <w:spacing w:val="-6"/>
                        </w:rPr>
                        <w:t xml:space="preserve"> </w:t>
                      </w:r>
                      <w:r w:rsidRPr="00C46053">
                        <w:rPr>
                          <w:rFonts w:ascii="Arial" w:hAnsi="Arial" w:cs="Arial"/>
                          <w:bCs/>
                        </w:rPr>
                        <w:t>In</w:t>
                      </w:r>
                      <w:r w:rsidRPr="00C46053">
                        <w:rPr>
                          <w:rFonts w:ascii="Arial" w:hAnsi="Arial" w:cs="Arial"/>
                          <w:bCs/>
                          <w:spacing w:val="-6"/>
                        </w:rPr>
                        <w:t xml:space="preserve"> </w:t>
                      </w:r>
                      <w:r w:rsidRPr="00C46053">
                        <w:rPr>
                          <w:rFonts w:ascii="Arial" w:hAnsi="Arial" w:cs="Arial"/>
                          <w:bCs/>
                        </w:rPr>
                        <w:t>the</w:t>
                      </w:r>
                      <w:r w:rsidRPr="00C46053">
                        <w:rPr>
                          <w:rFonts w:ascii="Arial" w:hAnsi="Arial" w:cs="Arial"/>
                          <w:bCs/>
                          <w:spacing w:val="-6"/>
                        </w:rPr>
                        <w:t xml:space="preserve"> </w:t>
                      </w:r>
                      <w:r w:rsidRPr="00C46053">
                        <w:rPr>
                          <w:rFonts w:ascii="Arial" w:hAnsi="Arial" w:cs="Arial"/>
                          <w:bCs/>
                        </w:rPr>
                        <w:t>Digital</w:t>
                      </w:r>
                      <w:r w:rsidRPr="00C46053">
                        <w:rPr>
                          <w:rFonts w:ascii="Arial" w:hAnsi="Arial" w:cs="Arial"/>
                          <w:bCs/>
                          <w:spacing w:val="-6"/>
                        </w:rPr>
                        <w:t xml:space="preserve"> </w:t>
                      </w:r>
                      <w:r w:rsidRPr="00C46053">
                        <w:rPr>
                          <w:rFonts w:ascii="Arial" w:hAnsi="Arial" w:cs="Arial"/>
                          <w:bCs/>
                        </w:rPr>
                        <w:t>Age:</w:t>
                      </w:r>
                      <w:r w:rsidRPr="00C46053">
                        <w:rPr>
                          <w:rFonts w:ascii="Arial" w:hAnsi="Arial" w:cs="Arial"/>
                          <w:bCs/>
                          <w:spacing w:val="-6"/>
                        </w:rPr>
                        <w:t xml:space="preserve"> </w:t>
                      </w:r>
                      <w:r w:rsidRPr="00C46053">
                        <w:rPr>
                          <w:rFonts w:ascii="Arial" w:hAnsi="Arial" w:cs="Arial"/>
                          <w:bCs/>
                        </w:rPr>
                        <w:t>Innovation</w:t>
                      </w:r>
                      <w:r w:rsidRPr="00C46053">
                        <w:rPr>
                          <w:rFonts w:ascii="Arial" w:hAnsi="Arial" w:cs="Arial"/>
                          <w:bCs/>
                          <w:spacing w:val="-6"/>
                        </w:rPr>
                        <w:t xml:space="preserve"> </w:t>
                      </w:r>
                      <w:r w:rsidRPr="00C46053">
                        <w:rPr>
                          <w:rFonts w:ascii="Arial" w:hAnsi="Arial" w:cs="Arial"/>
                          <w:bCs/>
                        </w:rPr>
                        <w:t>in</w:t>
                      </w:r>
                      <w:r w:rsidRPr="00C46053">
                        <w:rPr>
                          <w:rFonts w:ascii="Arial" w:hAnsi="Arial" w:cs="Arial"/>
                          <w:bCs/>
                          <w:spacing w:val="-5"/>
                        </w:rPr>
                        <w:t xml:space="preserve"> </w:t>
                      </w:r>
                      <w:r w:rsidRPr="00C46053">
                        <w:rPr>
                          <w:rFonts w:ascii="Arial" w:hAnsi="Arial" w:cs="Arial"/>
                          <w:bCs/>
                        </w:rPr>
                        <w:t>Steam</w:t>
                      </w:r>
                      <w:r w:rsidRPr="00C46053">
                        <w:rPr>
                          <w:rFonts w:ascii="Arial" w:hAnsi="Arial" w:cs="Arial"/>
                          <w:bCs/>
                          <w:spacing w:val="-6"/>
                        </w:rPr>
                        <w:t xml:space="preserve"> </w:t>
                      </w:r>
                      <w:r w:rsidRPr="00C46053">
                        <w:rPr>
                          <w:rFonts w:ascii="Arial" w:hAnsi="Arial" w:cs="Arial"/>
                          <w:bCs/>
                        </w:rPr>
                        <w:t>Education</w:t>
                      </w:r>
                      <w:r w:rsidRPr="00C46053">
                        <w:rPr>
                          <w:rFonts w:ascii="Arial" w:hAnsi="Arial" w:cs="Arial"/>
                          <w:bCs/>
                          <w:spacing w:val="-6"/>
                        </w:rPr>
                        <w:t xml:space="preserve"> </w:t>
                      </w:r>
                      <w:r w:rsidRPr="00C46053">
                        <w:rPr>
                          <w:rFonts w:ascii="Arial" w:hAnsi="Arial" w:cs="Arial"/>
                          <w:bCs/>
                        </w:rPr>
                        <w:t>and</w:t>
                      </w:r>
                      <w:r w:rsidRPr="00C46053">
                        <w:rPr>
                          <w:rFonts w:ascii="Arial" w:hAnsi="Arial" w:cs="Arial"/>
                          <w:bCs/>
                          <w:spacing w:val="-5"/>
                        </w:rPr>
                        <w:t xml:space="preserve"> </w:t>
                      </w:r>
                      <w:r w:rsidRPr="00C46053">
                        <w:rPr>
                          <w:rFonts w:ascii="Arial" w:hAnsi="Arial" w:cs="Arial"/>
                          <w:bCs/>
                        </w:rPr>
                        <w:t>Technology</w:t>
                      </w:r>
                      <w:r w:rsidRPr="00C46053">
                        <w:rPr>
                          <w:rFonts w:ascii="Arial" w:hAnsi="Arial" w:cs="Arial"/>
                          <w:bCs/>
                          <w:spacing w:val="40"/>
                        </w:rPr>
                        <w:t xml:space="preserve"> </w:t>
                      </w:r>
                      <w:r w:rsidRPr="00C46053">
                        <w:rPr>
                          <w:rFonts w:ascii="Arial" w:hAnsi="Arial" w:cs="Arial"/>
                          <w:bCs/>
                          <w:spacing w:val="-2"/>
                        </w:rPr>
                        <w:t>Integration (March 2025)</w:t>
                      </w:r>
                    </w:p>
                    <w:p w14:paraId="64283093" w14:textId="77777777" w:rsidR="001B225E" w:rsidRPr="00C46053" w:rsidRDefault="001B225E" w:rsidP="001B225E">
                      <w:pPr>
                        <w:pStyle w:val="ListParagraph"/>
                        <w:numPr>
                          <w:ilvl w:val="3"/>
                          <w:numId w:val="12"/>
                        </w:numPr>
                        <w:tabs>
                          <w:tab w:val="num" w:pos="3600"/>
                        </w:tabs>
                        <w:spacing w:after="0" w:line="256" w:lineRule="auto"/>
                        <w:ind w:left="3600"/>
                        <w:rPr>
                          <w:rFonts w:ascii="Arial" w:hAnsi="Arial" w:cs="Arial"/>
                          <w:bCs/>
                        </w:rPr>
                      </w:pPr>
                      <w:r w:rsidRPr="00C46053">
                        <w:rPr>
                          <w:rFonts w:ascii="Arial" w:hAnsi="Arial" w:cs="Arial"/>
                          <w:bCs/>
                          <w:spacing w:val="-2"/>
                        </w:rPr>
                        <w:t>Research</w:t>
                      </w:r>
                      <w:r w:rsidRPr="00C46053">
                        <w:rPr>
                          <w:rFonts w:ascii="Arial" w:hAnsi="Arial" w:cs="Arial"/>
                          <w:bCs/>
                          <w:spacing w:val="6"/>
                        </w:rPr>
                        <w:t xml:space="preserve"> </w:t>
                      </w:r>
                      <w:r w:rsidRPr="00C46053">
                        <w:rPr>
                          <w:rFonts w:ascii="Arial" w:hAnsi="Arial" w:cs="Arial"/>
                          <w:bCs/>
                          <w:spacing w:val="-2"/>
                        </w:rPr>
                        <w:t>Capsule</w:t>
                      </w:r>
                      <w:r w:rsidRPr="00C46053">
                        <w:rPr>
                          <w:rFonts w:ascii="Arial" w:hAnsi="Arial" w:cs="Arial"/>
                          <w:bCs/>
                          <w:spacing w:val="7"/>
                        </w:rPr>
                        <w:t xml:space="preserve"> </w:t>
                      </w:r>
                      <w:r w:rsidRPr="00C46053">
                        <w:rPr>
                          <w:rFonts w:ascii="Arial" w:hAnsi="Arial" w:cs="Arial"/>
                          <w:bCs/>
                          <w:spacing w:val="-2"/>
                        </w:rPr>
                        <w:t>Presentation</w:t>
                      </w:r>
                      <w:r w:rsidRPr="00C46053">
                        <w:rPr>
                          <w:rFonts w:ascii="Arial" w:hAnsi="Arial" w:cs="Arial"/>
                          <w:bCs/>
                          <w:spacing w:val="7"/>
                        </w:rPr>
                        <w:t xml:space="preserve"> </w:t>
                      </w:r>
                      <w:r w:rsidRPr="00C46053">
                        <w:rPr>
                          <w:rFonts w:ascii="Arial" w:hAnsi="Arial" w:cs="Arial"/>
                          <w:bCs/>
                          <w:spacing w:val="-2"/>
                        </w:rPr>
                        <w:t>Webinar (February 2025)</w:t>
                      </w:r>
                    </w:p>
                    <w:p w14:paraId="74DC5B47" w14:textId="77777777" w:rsidR="001B225E" w:rsidRPr="00C46053" w:rsidRDefault="001B225E" w:rsidP="001B225E">
                      <w:pPr>
                        <w:pStyle w:val="ListParagraph"/>
                        <w:numPr>
                          <w:ilvl w:val="3"/>
                          <w:numId w:val="12"/>
                        </w:numPr>
                        <w:tabs>
                          <w:tab w:val="num" w:pos="3600"/>
                        </w:tabs>
                        <w:spacing w:after="0" w:line="256" w:lineRule="auto"/>
                        <w:ind w:left="3600"/>
                        <w:rPr>
                          <w:rFonts w:ascii="Arial" w:hAnsi="Arial" w:cs="Arial"/>
                          <w:bCs/>
                        </w:rPr>
                      </w:pPr>
                      <w:r w:rsidRPr="00C46053">
                        <w:rPr>
                          <w:rFonts w:ascii="Arial" w:hAnsi="Arial" w:cs="Arial"/>
                          <w:bCs/>
                        </w:rPr>
                        <w:t>PDCA</w:t>
                      </w:r>
                      <w:r w:rsidRPr="00C46053">
                        <w:rPr>
                          <w:rFonts w:ascii="Arial" w:hAnsi="Arial" w:cs="Arial"/>
                          <w:bCs/>
                          <w:spacing w:val="6"/>
                        </w:rPr>
                        <w:t xml:space="preserve"> </w:t>
                      </w:r>
                      <w:r w:rsidRPr="00C46053">
                        <w:rPr>
                          <w:rFonts w:ascii="Arial" w:hAnsi="Arial" w:cs="Arial"/>
                          <w:bCs/>
                        </w:rPr>
                        <w:t>Method</w:t>
                      </w:r>
                      <w:r w:rsidRPr="00C46053">
                        <w:rPr>
                          <w:rFonts w:ascii="Arial" w:hAnsi="Arial" w:cs="Arial"/>
                          <w:bCs/>
                          <w:spacing w:val="7"/>
                        </w:rPr>
                        <w:t xml:space="preserve"> </w:t>
                      </w:r>
                      <w:r w:rsidRPr="00C46053">
                        <w:rPr>
                          <w:rFonts w:ascii="Arial" w:hAnsi="Arial" w:cs="Arial"/>
                          <w:bCs/>
                        </w:rPr>
                        <w:t>Fundamentals</w:t>
                      </w:r>
                      <w:r w:rsidRPr="00C46053">
                        <w:rPr>
                          <w:rFonts w:ascii="Arial" w:hAnsi="Arial" w:cs="Arial"/>
                          <w:bCs/>
                          <w:spacing w:val="7"/>
                        </w:rPr>
                        <w:t xml:space="preserve"> </w:t>
                      </w:r>
                      <w:r w:rsidRPr="00C46053">
                        <w:rPr>
                          <w:rFonts w:ascii="Arial" w:hAnsi="Arial" w:cs="Arial"/>
                          <w:bCs/>
                          <w:spacing w:val="-2"/>
                        </w:rPr>
                        <w:t>Course (August 2024)</w:t>
                      </w:r>
                    </w:p>
                    <w:p w14:paraId="44A6B7DE" w14:textId="77777777" w:rsidR="001B225E" w:rsidRPr="00C46053" w:rsidRDefault="001B225E" w:rsidP="001B225E">
                      <w:pPr>
                        <w:pStyle w:val="ListParagraph"/>
                        <w:numPr>
                          <w:ilvl w:val="3"/>
                          <w:numId w:val="12"/>
                        </w:numPr>
                        <w:tabs>
                          <w:tab w:val="num" w:pos="3600"/>
                        </w:tabs>
                        <w:spacing w:after="0" w:line="256" w:lineRule="auto"/>
                        <w:ind w:left="3600"/>
                        <w:rPr>
                          <w:rFonts w:ascii="Arial" w:hAnsi="Arial" w:cs="Arial"/>
                          <w:bCs/>
                        </w:rPr>
                      </w:pPr>
                      <w:r w:rsidRPr="00C46053">
                        <w:rPr>
                          <w:rFonts w:ascii="Arial" w:hAnsi="Arial" w:cs="Arial"/>
                          <w:bCs/>
                          <w:spacing w:val="-2"/>
                          <w:w w:val="105"/>
                        </w:rPr>
                        <w:t>Transformative Learning in</w:t>
                      </w:r>
                      <w:r w:rsidRPr="00C46053">
                        <w:rPr>
                          <w:rFonts w:ascii="Arial" w:hAnsi="Arial" w:cs="Arial"/>
                          <w:bCs/>
                          <w:spacing w:val="-3"/>
                          <w:w w:val="105"/>
                        </w:rPr>
                        <w:t xml:space="preserve"> </w:t>
                      </w:r>
                      <w:r w:rsidRPr="00C46053">
                        <w:rPr>
                          <w:rFonts w:ascii="Arial" w:hAnsi="Arial" w:cs="Arial"/>
                          <w:bCs/>
                          <w:spacing w:val="-2"/>
                          <w:w w:val="105"/>
                        </w:rPr>
                        <w:t>the Great Outdoors: Unleashing the Potential of</w:t>
                      </w:r>
                      <w:r w:rsidRPr="00C46053">
                        <w:rPr>
                          <w:rFonts w:ascii="Arial" w:hAnsi="Arial" w:cs="Arial"/>
                          <w:bCs/>
                          <w:spacing w:val="40"/>
                          <w:w w:val="105"/>
                        </w:rPr>
                        <w:t xml:space="preserve"> </w:t>
                      </w:r>
                      <w:r w:rsidRPr="00C46053">
                        <w:rPr>
                          <w:rFonts w:ascii="Arial" w:hAnsi="Arial" w:cs="Arial"/>
                          <w:bCs/>
                          <w:w w:val="105"/>
                        </w:rPr>
                        <w:t>Experiential</w:t>
                      </w:r>
                      <w:r w:rsidRPr="00C46053">
                        <w:rPr>
                          <w:rFonts w:ascii="Arial" w:hAnsi="Arial" w:cs="Arial"/>
                          <w:bCs/>
                          <w:spacing w:val="-8"/>
                          <w:w w:val="105"/>
                        </w:rPr>
                        <w:t xml:space="preserve"> </w:t>
                      </w:r>
                      <w:r w:rsidRPr="00C46053">
                        <w:rPr>
                          <w:rFonts w:ascii="Arial" w:hAnsi="Arial" w:cs="Arial"/>
                          <w:bCs/>
                          <w:w w:val="105"/>
                        </w:rPr>
                        <w:t>Education (April 2024)</w:t>
                      </w:r>
                    </w:p>
                    <w:p w14:paraId="4AE889E7" w14:textId="77777777" w:rsidR="001B225E" w:rsidRPr="00033B66" w:rsidRDefault="001B225E" w:rsidP="001B225E">
                      <w:pPr>
                        <w:pStyle w:val="ListParagraph"/>
                        <w:numPr>
                          <w:ilvl w:val="3"/>
                          <w:numId w:val="12"/>
                        </w:numPr>
                        <w:tabs>
                          <w:tab w:val="num" w:pos="3600"/>
                        </w:tabs>
                        <w:spacing w:after="0" w:line="256" w:lineRule="auto"/>
                        <w:ind w:left="3600"/>
                        <w:rPr>
                          <w:rFonts w:ascii="Arial" w:hAnsi="Arial" w:cs="Arial"/>
                        </w:rPr>
                      </w:pPr>
                      <w:r w:rsidRPr="00033B66">
                        <w:rPr>
                          <w:rFonts w:ascii="Arial" w:hAnsi="Arial" w:cs="Arial"/>
                        </w:rPr>
                        <w:t xml:space="preserve">International Seminar Workshop/Training </w:t>
                      </w:r>
                      <w:r>
                        <w:rPr>
                          <w:rFonts w:ascii="Arial" w:hAnsi="Arial" w:cs="Arial"/>
                        </w:rPr>
                        <w:t>o</w:t>
                      </w:r>
                      <w:r w:rsidRPr="00033B66">
                        <w:rPr>
                          <w:rFonts w:ascii="Arial" w:hAnsi="Arial" w:cs="Arial"/>
                        </w:rPr>
                        <w:t>n Effective Teaching: The Dance Arts (April 2018)</w:t>
                      </w:r>
                    </w:p>
                    <w:p w14:paraId="55FF3CFB" w14:textId="77777777" w:rsidR="001B225E" w:rsidRPr="00033B66" w:rsidRDefault="001B225E" w:rsidP="001B225E">
                      <w:pPr>
                        <w:pStyle w:val="ListParagraph"/>
                        <w:numPr>
                          <w:ilvl w:val="3"/>
                          <w:numId w:val="12"/>
                        </w:numPr>
                        <w:tabs>
                          <w:tab w:val="num" w:pos="3600"/>
                        </w:tabs>
                        <w:spacing w:after="0" w:line="256" w:lineRule="auto"/>
                        <w:ind w:left="3600"/>
                        <w:rPr>
                          <w:rFonts w:ascii="Arial" w:hAnsi="Arial" w:cs="Arial"/>
                        </w:rPr>
                      </w:pPr>
                      <w:r w:rsidRPr="00033B66">
                        <w:rPr>
                          <w:rFonts w:ascii="Arial" w:hAnsi="Arial" w:cs="Arial"/>
                        </w:rPr>
                        <w:t>International Seminar Workshop</w:t>
                      </w:r>
                      <w:r>
                        <w:rPr>
                          <w:rFonts w:ascii="Arial" w:hAnsi="Arial" w:cs="Arial"/>
                        </w:rPr>
                        <w:t xml:space="preserve"> o</w:t>
                      </w:r>
                      <w:r w:rsidRPr="00033B66">
                        <w:rPr>
                          <w:rFonts w:ascii="Arial" w:hAnsi="Arial" w:cs="Arial"/>
                        </w:rPr>
                        <w:t>n Sports, Health, Arts</w:t>
                      </w:r>
                      <w:r>
                        <w:rPr>
                          <w:rFonts w:ascii="Arial" w:hAnsi="Arial" w:cs="Arial"/>
                        </w:rPr>
                        <w:t>,</w:t>
                      </w:r>
                      <w:r w:rsidRPr="00033B66">
                        <w:rPr>
                          <w:rFonts w:ascii="Arial" w:hAnsi="Arial" w:cs="Arial"/>
                        </w:rPr>
                        <w:t xml:space="preserve"> </w:t>
                      </w:r>
                      <w:r>
                        <w:rPr>
                          <w:rFonts w:ascii="Arial" w:hAnsi="Arial" w:cs="Arial"/>
                        </w:rPr>
                        <w:t>a</w:t>
                      </w:r>
                      <w:r w:rsidRPr="00033B66">
                        <w:rPr>
                          <w:rFonts w:ascii="Arial" w:hAnsi="Arial" w:cs="Arial"/>
                        </w:rPr>
                        <w:t>nd Music Education (April 2019)</w:t>
                      </w:r>
                    </w:p>
                    <w:p w14:paraId="3BD34FC3" w14:textId="77777777" w:rsidR="001B225E" w:rsidRPr="00033B66" w:rsidRDefault="001B225E" w:rsidP="001B225E">
                      <w:pPr>
                        <w:pStyle w:val="ListParagraph"/>
                        <w:numPr>
                          <w:ilvl w:val="3"/>
                          <w:numId w:val="12"/>
                        </w:numPr>
                        <w:tabs>
                          <w:tab w:val="num" w:pos="3600"/>
                        </w:tabs>
                        <w:spacing w:after="0" w:line="256" w:lineRule="auto"/>
                        <w:ind w:left="3600"/>
                        <w:rPr>
                          <w:rFonts w:ascii="Arial" w:hAnsi="Arial" w:cs="Arial"/>
                        </w:rPr>
                      </w:pPr>
                      <w:r w:rsidRPr="00033B66">
                        <w:rPr>
                          <w:rFonts w:ascii="Arial" w:hAnsi="Arial" w:cs="Arial"/>
                        </w:rPr>
                        <w:t xml:space="preserve">Division Training-Workshop </w:t>
                      </w:r>
                      <w:r>
                        <w:rPr>
                          <w:rFonts w:ascii="Arial" w:hAnsi="Arial" w:cs="Arial"/>
                        </w:rPr>
                        <w:t>o</w:t>
                      </w:r>
                      <w:r w:rsidRPr="00033B66">
                        <w:rPr>
                          <w:rFonts w:ascii="Arial" w:hAnsi="Arial" w:cs="Arial"/>
                        </w:rPr>
                        <w:t xml:space="preserve">n Coaching </w:t>
                      </w:r>
                      <w:r>
                        <w:rPr>
                          <w:rFonts w:ascii="Arial" w:hAnsi="Arial" w:cs="Arial"/>
                        </w:rPr>
                        <w:t>a</w:t>
                      </w:r>
                      <w:r w:rsidRPr="00033B66">
                        <w:rPr>
                          <w:rFonts w:ascii="Arial" w:hAnsi="Arial" w:cs="Arial"/>
                        </w:rPr>
                        <w:t xml:space="preserve">nd Officiating </w:t>
                      </w:r>
                      <w:r>
                        <w:rPr>
                          <w:rFonts w:ascii="Arial" w:hAnsi="Arial" w:cs="Arial"/>
                        </w:rPr>
                        <w:t>a</w:t>
                      </w:r>
                      <w:r w:rsidRPr="00033B66">
                        <w:rPr>
                          <w:rFonts w:ascii="Arial" w:hAnsi="Arial" w:cs="Arial"/>
                        </w:rPr>
                        <w:t xml:space="preserve">nd Accreditation </w:t>
                      </w:r>
                      <w:r>
                        <w:rPr>
                          <w:rFonts w:ascii="Arial" w:hAnsi="Arial" w:cs="Arial"/>
                        </w:rPr>
                        <w:t>i</w:t>
                      </w:r>
                      <w:r w:rsidRPr="00033B66">
                        <w:rPr>
                          <w:rFonts w:ascii="Arial" w:hAnsi="Arial" w:cs="Arial"/>
                        </w:rPr>
                        <w:t>n Selected Sports Events (November 2019)</w:t>
                      </w:r>
                    </w:p>
                    <w:p w14:paraId="34A7B8DE" w14:textId="77777777" w:rsidR="001B225E" w:rsidRPr="00033B66" w:rsidRDefault="001B225E" w:rsidP="001B225E">
                      <w:pPr>
                        <w:pStyle w:val="ListParagraph"/>
                        <w:numPr>
                          <w:ilvl w:val="3"/>
                          <w:numId w:val="12"/>
                        </w:numPr>
                        <w:tabs>
                          <w:tab w:val="num" w:pos="3600"/>
                        </w:tabs>
                        <w:spacing w:after="0" w:line="256" w:lineRule="auto"/>
                        <w:ind w:left="3600"/>
                        <w:rPr>
                          <w:rFonts w:ascii="Arial" w:hAnsi="Arial" w:cs="Arial"/>
                        </w:rPr>
                      </w:pPr>
                      <w:r w:rsidRPr="00033B66">
                        <w:rPr>
                          <w:rFonts w:ascii="Arial" w:hAnsi="Arial" w:cs="Arial"/>
                        </w:rPr>
                        <w:t xml:space="preserve">Webinar Series </w:t>
                      </w:r>
                      <w:r>
                        <w:rPr>
                          <w:rFonts w:ascii="Arial" w:hAnsi="Arial" w:cs="Arial"/>
                        </w:rPr>
                        <w:t>o</w:t>
                      </w:r>
                      <w:r w:rsidRPr="00033B66">
                        <w:rPr>
                          <w:rFonts w:ascii="Arial" w:hAnsi="Arial" w:cs="Arial"/>
                        </w:rPr>
                        <w:t xml:space="preserve">n The Upskilling </w:t>
                      </w:r>
                      <w:r>
                        <w:rPr>
                          <w:rFonts w:ascii="Arial" w:hAnsi="Arial" w:cs="Arial"/>
                        </w:rPr>
                        <w:t>o</w:t>
                      </w:r>
                      <w:r w:rsidRPr="00033B66">
                        <w:rPr>
                          <w:rFonts w:ascii="Arial" w:hAnsi="Arial" w:cs="Arial"/>
                        </w:rPr>
                        <w:t xml:space="preserve">f Teaching </w:t>
                      </w:r>
                      <w:r>
                        <w:rPr>
                          <w:rFonts w:ascii="Arial" w:hAnsi="Arial" w:cs="Arial"/>
                        </w:rPr>
                        <w:t>o</w:t>
                      </w:r>
                      <w:r w:rsidRPr="00033B66">
                        <w:rPr>
                          <w:rFonts w:ascii="Arial" w:hAnsi="Arial" w:cs="Arial"/>
                        </w:rPr>
                        <w:t>n Online/Offline Learning Modality (July 2020)</w:t>
                      </w:r>
                    </w:p>
                    <w:p w14:paraId="216BEC00" w14:textId="77777777" w:rsidR="001B225E" w:rsidRPr="00051BB2" w:rsidRDefault="001B225E" w:rsidP="001B225E">
                      <w:pPr>
                        <w:spacing w:line="256" w:lineRule="auto"/>
                      </w:pPr>
                    </w:p>
                    <w:p w14:paraId="44497D30" w14:textId="77777777" w:rsidR="001B225E" w:rsidRDefault="001B225E" w:rsidP="001B225E">
                      <w:pPr>
                        <w:pStyle w:val="ListParagraph"/>
                        <w:ind w:left="2880"/>
                        <w:rPr>
                          <w:rFonts w:ascii="Arial" w:hAnsi="Arial" w:cs="Arial"/>
                        </w:rPr>
                      </w:pPr>
                    </w:p>
                    <w:p w14:paraId="52547553" w14:textId="77777777" w:rsidR="001B225E" w:rsidRDefault="001B225E" w:rsidP="001B225E">
                      <w:pPr>
                        <w:pStyle w:val="NoSpacing"/>
                        <w:spacing w:line="276" w:lineRule="auto"/>
                      </w:pPr>
                    </w:p>
                    <w:p w14:paraId="0D25D7A8" w14:textId="77777777" w:rsidR="001B225E" w:rsidRDefault="001B225E" w:rsidP="001B225E">
                      <w:pPr>
                        <w:rPr>
                          <w:color w:val="000000" w:themeColor="text1"/>
                        </w:rPr>
                      </w:pPr>
                    </w:p>
                  </w:txbxContent>
                </v:textbox>
              </v:shape>
            </w:pict>
          </mc:Fallback>
        </mc:AlternateContent>
      </w:r>
      <w:r>
        <w:rPr>
          <w:noProof/>
        </w:rPr>
        <mc:AlternateContent>
          <mc:Choice Requires="wps">
            <w:drawing>
              <wp:anchor distT="0" distB="0" distL="114300" distR="114300" simplePos="0" relativeHeight="251679744" behindDoc="1" locked="0" layoutInCell="1" allowOverlap="1" wp14:anchorId="792653D1" wp14:editId="4E6A7395">
                <wp:simplePos x="0" y="0"/>
                <wp:positionH relativeFrom="column">
                  <wp:posOffset>-1919605</wp:posOffset>
                </wp:positionH>
                <wp:positionV relativeFrom="paragraph">
                  <wp:posOffset>11830685</wp:posOffset>
                </wp:positionV>
                <wp:extent cx="6896100" cy="181102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811020"/>
                        </a:xfrm>
                        <a:prstGeom prst="rect">
                          <a:avLst/>
                        </a:prstGeom>
                        <a:noFill/>
                        <a:ln w="9525">
                          <a:noFill/>
                          <a:miter lim="800000"/>
                          <a:headEnd/>
                          <a:tailEnd/>
                        </a:ln>
                      </wps:spPr>
                      <wps:txbx>
                        <w:txbxContent>
                          <w:p w14:paraId="455C5BD3" w14:textId="77777777" w:rsidR="001B225E" w:rsidRDefault="001B225E" w:rsidP="001B225E">
                            <w:pPr>
                              <w:spacing w:line="256" w:lineRule="auto"/>
                            </w:pPr>
                          </w:p>
                          <w:p w14:paraId="033B94D5" w14:textId="77777777" w:rsidR="001B225E" w:rsidRDefault="001B225E" w:rsidP="001B225E">
                            <w:pPr>
                              <w:pStyle w:val="ListParagraph"/>
                              <w:numPr>
                                <w:ilvl w:val="3"/>
                                <w:numId w:val="12"/>
                              </w:numPr>
                              <w:tabs>
                                <w:tab w:val="num" w:pos="3600"/>
                              </w:tabs>
                              <w:spacing w:after="0" w:line="256" w:lineRule="auto"/>
                              <w:ind w:left="3600"/>
                              <w:rPr>
                                <w:rFonts w:ascii="Arial" w:hAnsi="Arial" w:cs="Arial"/>
                              </w:rPr>
                            </w:pPr>
                            <w:r>
                              <w:rPr>
                                <w:rFonts w:ascii="Arial" w:hAnsi="Arial" w:cs="Arial"/>
                              </w:rPr>
                              <w:t>School Level</w:t>
                            </w:r>
                          </w:p>
                          <w:p w14:paraId="1FC9676D" w14:textId="77777777" w:rsidR="001B225E" w:rsidRPr="00771053" w:rsidRDefault="001B225E" w:rsidP="001B225E">
                            <w:pPr>
                              <w:pStyle w:val="ListParagraph"/>
                              <w:numPr>
                                <w:ilvl w:val="5"/>
                                <w:numId w:val="12"/>
                              </w:numPr>
                              <w:spacing w:after="0" w:line="256" w:lineRule="auto"/>
                              <w:rPr>
                                <w:rFonts w:ascii="Arial" w:hAnsi="Arial" w:cs="Arial"/>
                              </w:rPr>
                            </w:pPr>
                            <w:r>
                              <w:rPr>
                                <w:rFonts w:ascii="Arial" w:hAnsi="Arial" w:cs="Arial"/>
                              </w:rPr>
                              <w:t>Demo Teacher Awardee 2019</w:t>
                            </w:r>
                          </w:p>
                          <w:p w14:paraId="0C919559" w14:textId="77777777" w:rsidR="001B225E" w:rsidRDefault="001B225E" w:rsidP="001B225E">
                            <w:pPr>
                              <w:pStyle w:val="ListParagraph"/>
                              <w:numPr>
                                <w:ilvl w:val="3"/>
                                <w:numId w:val="12"/>
                              </w:numPr>
                              <w:tabs>
                                <w:tab w:val="num" w:pos="3600"/>
                              </w:tabs>
                              <w:spacing w:after="0" w:line="256" w:lineRule="auto"/>
                              <w:ind w:left="3600"/>
                              <w:rPr>
                                <w:rFonts w:ascii="Arial" w:hAnsi="Arial" w:cs="Arial"/>
                              </w:rPr>
                            </w:pPr>
                            <w:r>
                              <w:rPr>
                                <w:rFonts w:ascii="Arial" w:hAnsi="Arial" w:cs="Arial"/>
                              </w:rPr>
                              <w:t>Division Level</w:t>
                            </w:r>
                          </w:p>
                          <w:p w14:paraId="481B2C28" w14:textId="77777777" w:rsidR="001B225E" w:rsidRDefault="001B225E" w:rsidP="001B225E">
                            <w:pPr>
                              <w:pStyle w:val="ListParagraph"/>
                              <w:numPr>
                                <w:ilvl w:val="5"/>
                                <w:numId w:val="12"/>
                              </w:numPr>
                              <w:spacing w:after="0" w:line="256" w:lineRule="auto"/>
                              <w:rPr>
                                <w:rFonts w:ascii="Arial" w:hAnsi="Arial" w:cs="Arial"/>
                              </w:rPr>
                            </w:pPr>
                            <w:r>
                              <w:rPr>
                                <w:rFonts w:ascii="Arial" w:hAnsi="Arial" w:cs="Arial"/>
                              </w:rPr>
                              <w:t>City Meet 2018 Badminton Coach Champion</w:t>
                            </w:r>
                          </w:p>
                          <w:p w14:paraId="5579D68B" w14:textId="77777777" w:rsidR="001B225E" w:rsidRPr="00771053" w:rsidRDefault="001B225E" w:rsidP="001B225E">
                            <w:pPr>
                              <w:pStyle w:val="ListParagraph"/>
                              <w:numPr>
                                <w:ilvl w:val="5"/>
                                <w:numId w:val="12"/>
                              </w:numPr>
                              <w:spacing w:after="0" w:line="256" w:lineRule="auto"/>
                              <w:rPr>
                                <w:rFonts w:ascii="Arial" w:hAnsi="Arial" w:cs="Arial"/>
                              </w:rPr>
                            </w:pPr>
                            <w:r>
                              <w:rPr>
                                <w:rFonts w:ascii="Arial" w:hAnsi="Arial" w:cs="Arial"/>
                              </w:rPr>
                              <w:t>City Meet 2019 Badminton Coach Champion</w:t>
                            </w:r>
                          </w:p>
                          <w:p w14:paraId="3E286E6F" w14:textId="77777777" w:rsidR="001B225E" w:rsidRPr="00051BB2" w:rsidRDefault="001B225E" w:rsidP="001B225E">
                            <w:pPr>
                              <w:spacing w:line="256" w:lineRule="auto"/>
                            </w:pPr>
                          </w:p>
                          <w:p w14:paraId="30216D4B" w14:textId="77777777" w:rsidR="001B225E" w:rsidRDefault="001B225E" w:rsidP="001B225E">
                            <w:pPr>
                              <w:pStyle w:val="ListParagraph"/>
                              <w:ind w:left="2880"/>
                              <w:rPr>
                                <w:rFonts w:ascii="Arial" w:hAnsi="Arial" w:cs="Arial"/>
                              </w:rPr>
                            </w:pPr>
                          </w:p>
                          <w:p w14:paraId="0D6AAF57" w14:textId="77777777" w:rsidR="001B225E" w:rsidRDefault="001B225E" w:rsidP="001B225E">
                            <w:pPr>
                              <w:pStyle w:val="NoSpacing"/>
                              <w:spacing w:line="276" w:lineRule="auto"/>
                            </w:pPr>
                          </w:p>
                          <w:p w14:paraId="50D54EF5" w14:textId="77777777" w:rsidR="001B225E" w:rsidRDefault="001B225E" w:rsidP="001B225E">
                            <w:pPr>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653D1" id="Text Box 9" o:spid="_x0000_s1046" type="#_x0000_t202" style="position:absolute;left:0;text-align:left;margin-left:-151.15pt;margin-top:931.55pt;width:543pt;height:142.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" filled="f" stroked="f">
                <v:textbox>
                  <w:txbxContent>
                    <w:p w14:paraId="455C5BD3" w14:textId="77777777" w:rsidR="001B225E" w:rsidRDefault="001B225E" w:rsidP="001B225E">
                      <w:pPr>
                        <w:spacing w:line="256" w:lineRule="auto"/>
                      </w:pPr>
                    </w:p>
                    <w:p w14:paraId="033B94D5" w14:textId="77777777" w:rsidR="001B225E" w:rsidRDefault="001B225E" w:rsidP="001B225E">
                      <w:pPr>
                        <w:pStyle w:val="ListParagraph"/>
                        <w:numPr>
                          <w:ilvl w:val="3"/>
                          <w:numId w:val="12"/>
                        </w:numPr>
                        <w:tabs>
                          <w:tab w:val="num" w:pos="3600"/>
                        </w:tabs>
                        <w:spacing w:after="0" w:line="256" w:lineRule="auto"/>
                        <w:ind w:left="3600"/>
                        <w:rPr>
                          <w:rFonts w:ascii="Arial" w:hAnsi="Arial" w:cs="Arial"/>
                        </w:rPr>
                      </w:pPr>
                      <w:r>
                        <w:rPr>
                          <w:rFonts w:ascii="Arial" w:hAnsi="Arial" w:cs="Arial"/>
                        </w:rPr>
                        <w:t>School Level</w:t>
                      </w:r>
                    </w:p>
                    <w:p w14:paraId="1FC9676D" w14:textId="77777777" w:rsidR="001B225E" w:rsidRPr="00771053" w:rsidRDefault="001B225E" w:rsidP="001B225E">
                      <w:pPr>
                        <w:pStyle w:val="ListParagraph"/>
                        <w:numPr>
                          <w:ilvl w:val="5"/>
                          <w:numId w:val="12"/>
                        </w:numPr>
                        <w:spacing w:after="0" w:line="256" w:lineRule="auto"/>
                        <w:rPr>
                          <w:rFonts w:ascii="Arial" w:hAnsi="Arial" w:cs="Arial"/>
                        </w:rPr>
                      </w:pPr>
                      <w:r>
                        <w:rPr>
                          <w:rFonts w:ascii="Arial" w:hAnsi="Arial" w:cs="Arial"/>
                        </w:rPr>
                        <w:t>Demo Teacher Awardee 2019</w:t>
                      </w:r>
                    </w:p>
                    <w:p w14:paraId="0C919559" w14:textId="77777777" w:rsidR="001B225E" w:rsidRDefault="001B225E" w:rsidP="001B225E">
                      <w:pPr>
                        <w:pStyle w:val="ListParagraph"/>
                        <w:numPr>
                          <w:ilvl w:val="3"/>
                          <w:numId w:val="12"/>
                        </w:numPr>
                        <w:tabs>
                          <w:tab w:val="num" w:pos="3600"/>
                        </w:tabs>
                        <w:spacing w:after="0" w:line="256" w:lineRule="auto"/>
                        <w:ind w:left="3600"/>
                        <w:rPr>
                          <w:rFonts w:ascii="Arial" w:hAnsi="Arial" w:cs="Arial"/>
                        </w:rPr>
                      </w:pPr>
                      <w:r>
                        <w:rPr>
                          <w:rFonts w:ascii="Arial" w:hAnsi="Arial" w:cs="Arial"/>
                        </w:rPr>
                        <w:t>Division Level</w:t>
                      </w:r>
                    </w:p>
                    <w:p w14:paraId="481B2C28" w14:textId="77777777" w:rsidR="001B225E" w:rsidRDefault="001B225E" w:rsidP="001B225E">
                      <w:pPr>
                        <w:pStyle w:val="ListParagraph"/>
                        <w:numPr>
                          <w:ilvl w:val="5"/>
                          <w:numId w:val="12"/>
                        </w:numPr>
                        <w:spacing w:after="0" w:line="256" w:lineRule="auto"/>
                        <w:rPr>
                          <w:rFonts w:ascii="Arial" w:hAnsi="Arial" w:cs="Arial"/>
                        </w:rPr>
                      </w:pPr>
                      <w:r>
                        <w:rPr>
                          <w:rFonts w:ascii="Arial" w:hAnsi="Arial" w:cs="Arial"/>
                        </w:rPr>
                        <w:t>City Meet 2018 Badminton Coach Champion</w:t>
                      </w:r>
                    </w:p>
                    <w:p w14:paraId="5579D68B" w14:textId="77777777" w:rsidR="001B225E" w:rsidRPr="00771053" w:rsidRDefault="001B225E" w:rsidP="001B225E">
                      <w:pPr>
                        <w:pStyle w:val="ListParagraph"/>
                        <w:numPr>
                          <w:ilvl w:val="5"/>
                          <w:numId w:val="12"/>
                        </w:numPr>
                        <w:spacing w:after="0" w:line="256" w:lineRule="auto"/>
                        <w:rPr>
                          <w:rFonts w:ascii="Arial" w:hAnsi="Arial" w:cs="Arial"/>
                        </w:rPr>
                      </w:pPr>
                      <w:r>
                        <w:rPr>
                          <w:rFonts w:ascii="Arial" w:hAnsi="Arial" w:cs="Arial"/>
                        </w:rPr>
                        <w:t>City Meet 2019 Badminton Coach Champion</w:t>
                      </w:r>
                    </w:p>
                    <w:p w14:paraId="3E286E6F" w14:textId="77777777" w:rsidR="001B225E" w:rsidRPr="00051BB2" w:rsidRDefault="001B225E" w:rsidP="001B225E">
                      <w:pPr>
                        <w:spacing w:line="256" w:lineRule="auto"/>
                      </w:pPr>
                    </w:p>
                    <w:p w14:paraId="30216D4B" w14:textId="77777777" w:rsidR="001B225E" w:rsidRDefault="001B225E" w:rsidP="001B225E">
                      <w:pPr>
                        <w:pStyle w:val="ListParagraph"/>
                        <w:ind w:left="2880"/>
                        <w:rPr>
                          <w:rFonts w:ascii="Arial" w:hAnsi="Arial" w:cs="Arial"/>
                        </w:rPr>
                      </w:pPr>
                    </w:p>
                    <w:p w14:paraId="0D6AAF57" w14:textId="77777777" w:rsidR="001B225E" w:rsidRDefault="001B225E" w:rsidP="001B225E">
                      <w:pPr>
                        <w:pStyle w:val="NoSpacing"/>
                        <w:spacing w:line="276" w:lineRule="auto"/>
                      </w:pPr>
                    </w:p>
                    <w:p w14:paraId="50D54EF5" w14:textId="77777777" w:rsidR="001B225E" w:rsidRDefault="001B225E" w:rsidP="001B225E">
                      <w:pPr>
                        <w:rPr>
                          <w:color w:val="000000" w:themeColor="text1"/>
                        </w:rPr>
                      </w:pP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64E1024E" wp14:editId="272248BF">
                <wp:simplePos x="0" y="0"/>
                <wp:positionH relativeFrom="column">
                  <wp:posOffset>1136416</wp:posOffset>
                </wp:positionH>
                <wp:positionV relativeFrom="paragraph">
                  <wp:posOffset>11421344</wp:posOffset>
                </wp:positionV>
                <wp:extent cx="3167380" cy="369570"/>
                <wp:effectExtent l="0" t="0" r="0" b="0"/>
                <wp:wrapNone/>
                <wp:docPr id="8" name="Text Box 8"/>
                <wp:cNvGraphicFramePr/>
                <a:graphic xmlns:a="http://schemas.openxmlformats.org/drawingml/2006/main">
                  <a:graphicData uri="http://schemas.microsoft.com/office/word/2010/wordprocessingShape">
                    <wps:wsp>
                      <wps:cNvSpPr txBox="1"/>
                      <wps:spPr>
                        <a:xfrm>
                          <a:off x="0" y="0"/>
                          <a:ext cx="3167380" cy="3695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FABA00" w14:textId="77777777" w:rsidR="001B225E" w:rsidRPr="007D75A7" w:rsidRDefault="001B225E" w:rsidP="001B225E">
                            <w:pPr>
                              <w:pStyle w:val="NoSpacing"/>
                              <w:rPr>
                                <w:rFonts w:ascii="Segoe UI" w:hAnsi="Segoe UI" w:cs="Segoe UI"/>
                                <w:b/>
                                <w:sz w:val="32"/>
                                <w:lang w:val="en-PH"/>
                              </w:rPr>
                            </w:pPr>
                            <w:r w:rsidRPr="007D75A7">
                              <w:rPr>
                                <w:rFonts w:ascii="Segoe UI" w:hAnsi="Segoe UI" w:cs="Segoe UI"/>
                                <w:b/>
                                <w:sz w:val="32"/>
                                <w:lang w:val="en-PH"/>
                              </w:rPr>
                              <w:t>V</w:t>
                            </w:r>
                            <w:r>
                              <w:rPr>
                                <w:rFonts w:ascii="Segoe UI" w:hAnsi="Segoe UI" w:cs="Segoe UI"/>
                                <w:b/>
                                <w:sz w:val="32"/>
                                <w:lang w:val="en-PH"/>
                              </w:rPr>
                              <w:t>II</w:t>
                            </w:r>
                            <w:r w:rsidRPr="007D75A7">
                              <w:rPr>
                                <w:rFonts w:ascii="Segoe UI" w:hAnsi="Segoe UI" w:cs="Segoe UI"/>
                                <w:b/>
                                <w:sz w:val="32"/>
                                <w:lang w:val="en-PH"/>
                              </w:rPr>
                              <w:t xml:space="preserve">. </w:t>
                            </w:r>
                            <w:r>
                              <w:rPr>
                                <w:rFonts w:ascii="Segoe UI" w:hAnsi="Segoe UI" w:cs="Segoe UI"/>
                                <w:b/>
                                <w:sz w:val="32"/>
                                <w:lang w:val="en-PH"/>
                              </w:rPr>
                              <w:t>AWARD/S RECEIVED</w:t>
                            </w:r>
                          </w:p>
                          <w:p w14:paraId="5CBE80F8" w14:textId="77777777" w:rsidR="001B225E" w:rsidRDefault="001B225E" w:rsidP="001B225E">
                            <w:pPr>
                              <w:pStyle w:val="NoSpacing"/>
                              <w:rPr>
                                <w:rFonts w:ascii="Segoe UI" w:hAnsi="Segoe UI" w:cs="Segoe UI"/>
                                <w:b/>
                                <w:sz w:val="32"/>
                                <w:u w:val="single"/>
                                <w:lang w:val="en-PH"/>
                              </w:rPr>
                            </w:pPr>
                          </w:p>
                          <w:p w14:paraId="13668463" w14:textId="77777777" w:rsidR="001B225E" w:rsidRDefault="001B225E" w:rsidP="001B225E">
                            <w:pPr>
                              <w:pStyle w:val="NoSpacing"/>
                              <w:rPr>
                                <w:rFonts w:ascii="Segoe UI" w:hAnsi="Segoe UI" w:cs="Segoe UI"/>
                                <w:b/>
                                <w:sz w:val="32"/>
                                <w:u w:val="single"/>
                                <w:lang w:val="en-PH"/>
                              </w:rPr>
                            </w:pPr>
                          </w:p>
                          <w:p w14:paraId="5EF178B8" w14:textId="77777777" w:rsidR="001B225E" w:rsidRDefault="001B225E" w:rsidP="001B225E">
                            <w:pPr>
                              <w:pStyle w:val="NoSpacing"/>
                              <w:rPr>
                                <w:rFonts w:ascii="Segoe UI" w:hAnsi="Segoe UI" w:cs="Segoe UI"/>
                                <w:b/>
                                <w:sz w:val="32"/>
                                <w:u w:val="single"/>
                                <w:lang w:val="en-PH"/>
                              </w:rPr>
                            </w:pPr>
                          </w:p>
                          <w:p w14:paraId="70B111DE" w14:textId="77777777" w:rsidR="001B225E" w:rsidRDefault="001B225E" w:rsidP="001B225E">
                            <w:pPr>
                              <w:pStyle w:val="NoSpacing"/>
                              <w:rPr>
                                <w:rFonts w:ascii="Segoe UI" w:hAnsi="Segoe UI" w:cs="Segoe UI"/>
                                <w:b/>
                                <w:sz w:val="32"/>
                                <w:u w:val="single"/>
                                <w:lang w:val="en-PH"/>
                              </w:rPr>
                            </w:pPr>
                          </w:p>
                          <w:p w14:paraId="5407687C" w14:textId="77777777" w:rsidR="001B225E" w:rsidRDefault="001B225E" w:rsidP="001B225E">
                            <w:pPr>
                              <w:pStyle w:val="NoSpacing"/>
                              <w:rPr>
                                <w:rFonts w:ascii="Segoe UI" w:hAnsi="Segoe UI" w:cs="Segoe UI"/>
                                <w:b/>
                                <w:sz w:val="32"/>
                                <w:u w:val="single"/>
                                <w:lang w:val="en-PH"/>
                              </w:rPr>
                            </w:pPr>
                          </w:p>
                          <w:p w14:paraId="3B403A09" w14:textId="77777777" w:rsidR="001B225E" w:rsidRDefault="001B225E" w:rsidP="001B225E">
                            <w:pPr>
                              <w:pStyle w:val="NoSpacing"/>
                              <w:rPr>
                                <w:rFonts w:ascii="Segoe UI" w:hAnsi="Segoe UI" w:cs="Segoe UI"/>
                                <w:b/>
                                <w:sz w:val="32"/>
                                <w:u w:val="single"/>
                                <w:lang w:val="en-PH"/>
                              </w:rPr>
                            </w:pPr>
                          </w:p>
                          <w:p w14:paraId="29FF2EB5" w14:textId="77777777" w:rsidR="001B225E" w:rsidRDefault="001B225E" w:rsidP="001B225E">
                            <w:pPr>
                              <w:pStyle w:val="NoSpacing"/>
                              <w:rPr>
                                <w:rFonts w:ascii="Segoe UI" w:hAnsi="Segoe UI" w:cs="Segoe UI"/>
                                <w:b/>
                                <w:sz w:val="32"/>
                                <w:u w:val="single"/>
                                <w:lang w:val="en-PH"/>
                              </w:rPr>
                            </w:pPr>
                          </w:p>
                          <w:p w14:paraId="3DAF9B83" w14:textId="77777777" w:rsidR="001B225E" w:rsidRDefault="001B225E" w:rsidP="001B225E">
                            <w:pPr>
                              <w:pStyle w:val="NoSpacing"/>
                              <w:rPr>
                                <w:rFonts w:ascii="Segoe UI" w:hAnsi="Segoe UI" w:cs="Segoe UI"/>
                                <w:b/>
                                <w:sz w:val="32"/>
                                <w:u w:val="single"/>
                                <w:lang w:val="en-PH"/>
                              </w:rPr>
                            </w:pPr>
                          </w:p>
                          <w:p w14:paraId="14EDCE8E" w14:textId="77777777" w:rsidR="001B225E" w:rsidRDefault="001B225E" w:rsidP="001B225E">
                            <w:pPr>
                              <w:pStyle w:val="NoSpacing"/>
                              <w:rPr>
                                <w:rFonts w:ascii="Segoe UI" w:hAnsi="Segoe UI" w:cs="Segoe UI"/>
                                <w:b/>
                                <w:sz w:val="32"/>
                                <w:u w:val="single"/>
                                <w:lang w:val="en-P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E1024E" id="Text Box 8" o:spid="_x0000_s1047" type="#_x0000_t202" style="position:absolute;left:0;text-align:left;margin-left:89.5pt;margin-top:899.3pt;width:249.4pt;height:29.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" filled="f" stroked="f" strokeweight=".5pt">
                <v:textbox>
                  <w:txbxContent>
                    <w:p w14:paraId="7BFABA00" w14:textId="77777777" w:rsidR="001B225E" w:rsidRPr="007D75A7" w:rsidRDefault="001B225E" w:rsidP="001B225E">
                      <w:pPr>
                        <w:pStyle w:val="NoSpacing"/>
                        <w:rPr>
                          <w:rFonts w:ascii="Segoe UI" w:hAnsi="Segoe UI" w:cs="Segoe UI"/>
                          <w:b/>
                          <w:sz w:val="32"/>
                          <w:lang w:val="en-PH"/>
                        </w:rPr>
                      </w:pPr>
                      <w:r w:rsidRPr="007D75A7">
                        <w:rPr>
                          <w:rFonts w:ascii="Segoe UI" w:hAnsi="Segoe UI" w:cs="Segoe UI"/>
                          <w:b/>
                          <w:sz w:val="32"/>
                          <w:lang w:val="en-PH"/>
                        </w:rPr>
                        <w:t>V</w:t>
                      </w:r>
                      <w:r>
                        <w:rPr>
                          <w:rFonts w:ascii="Segoe UI" w:hAnsi="Segoe UI" w:cs="Segoe UI"/>
                          <w:b/>
                          <w:sz w:val="32"/>
                          <w:lang w:val="en-PH"/>
                        </w:rPr>
                        <w:t>II</w:t>
                      </w:r>
                      <w:r w:rsidRPr="007D75A7">
                        <w:rPr>
                          <w:rFonts w:ascii="Segoe UI" w:hAnsi="Segoe UI" w:cs="Segoe UI"/>
                          <w:b/>
                          <w:sz w:val="32"/>
                          <w:lang w:val="en-PH"/>
                        </w:rPr>
                        <w:t xml:space="preserve">. </w:t>
                      </w:r>
                      <w:r>
                        <w:rPr>
                          <w:rFonts w:ascii="Segoe UI" w:hAnsi="Segoe UI" w:cs="Segoe UI"/>
                          <w:b/>
                          <w:sz w:val="32"/>
                          <w:lang w:val="en-PH"/>
                        </w:rPr>
                        <w:t>AWARD/S RECEIVED</w:t>
                      </w:r>
                    </w:p>
                    <w:p w14:paraId="5CBE80F8" w14:textId="77777777" w:rsidR="001B225E" w:rsidRDefault="001B225E" w:rsidP="001B225E">
                      <w:pPr>
                        <w:pStyle w:val="NoSpacing"/>
                        <w:rPr>
                          <w:rFonts w:ascii="Segoe UI" w:hAnsi="Segoe UI" w:cs="Segoe UI"/>
                          <w:b/>
                          <w:sz w:val="32"/>
                          <w:u w:val="single"/>
                          <w:lang w:val="en-PH"/>
                        </w:rPr>
                      </w:pPr>
                    </w:p>
                    <w:p w14:paraId="13668463" w14:textId="77777777" w:rsidR="001B225E" w:rsidRDefault="001B225E" w:rsidP="001B225E">
                      <w:pPr>
                        <w:pStyle w:val="NoSpacing"/>
                        <w:rPr>
                          <w:rFonts w:ascii="Segoe UI" w:hAnsi="Segoe UI" w:cs="Segoe UI"/>
                          <w:b/>
                          <w:sz w:val="32"/>
                          <w:u w:val="single"/>
                          <w:lang w:val="en-PH"/>
                        </w:rPr>
                      </w:pPr>
                    </w:p>
                    <w:p w14:paraId="5EF178B8" w14:textId="77777777" w:rsidR="001B225E" w:rsidRDefault="001B225E" w:rsidP="001B225E">
                      <w:pPr>
                        <w:pStyle w:val="NoSpacing"/>
                        <w:rPr>
                          <w:rFonts w:ascii="Segoe UI" w:hAnsi="Segoe UI" w:cs="Segoe UI"/>
                          <w:b/>
                          <w:sz w:val="32"/>
                          <w:u w:val="single"/>
                          <w:lang w:val="en-PH"/>
                        </w:rPr>
                      </w:pPr>
                    </w:p>
                    <w:p w14:paraId="70B111DE" w14:textId="77777777" w:rsidR="001B225E" w:rsidRDefault="001B225E" w:rsidP="001B225E">
                      <w:pPr>
                        <w:pStyle w:val="NoSpacing"/>
                        <w:rPr>
                          <w:rFonts w:ascii="Segoe UI" w:hAnsi="Segoe UI" w:cs="Segoe UI"/>
                          <w:b/>
                          <w:sz w:val="32"/>
                          <w:u w:val="single"/>
                          <w:lang w:val="en-PH"/>
                        </w:rPr>
                      </w:pPr>
                    </w:p>
                    <w:p w14:paraId="5407687C" w14:textId="77777777" w:rsidR="001B225E" w:rsidRDefault="001B225E" w:rsidP="001B225E">
                      <w:pPr>
                        <w:pStyle w:val="NoSpacing"/>
                        <w:rPr>
                          <w:rFonts w:ascii="Segoe UI" w:hAnsi="Segoe UI" w:cs="Segoe UI"/>
                          <w:b/>
                          <w:sz w:val="32"/>
                          <w:u w:val="single"/>
                          <w:lang w:val="en-PH"/>
                        </w:rPr>
                      </w:pPr>
                    </w:p>
                    <w:p w14:paraId="3B403A09" w14:textId="77777777" w:rsidR="001B225E" w:rsidRDefault="001B225E" w:rsidP="001B225E">
                      <w:pPr>
                        <w:pStyle w:val="NoSpacing"/>
                        <w:rPr>
                          <w:rFonts w:ascii="Segoe UI" w:hAnsi="Segoe UI" w:cs="Segoe UI"/>
                          <w:b/>
                          <w:sz w:val="32"/>
                          <w:u w:val="single"/>
                          <w:lang w:val="en-PH"/>
                        </w:rPr>
                      </w:pPr>
                    </w:p>
                    <w:p w14:paraId="29FF2EB5" w14:textId="77777777" w:rsidR="001B225E" w:rsidRDefault="001B225E" w:rsidP="001B225E">
                      <w:pPr>
                        <w:pStyle w:val="NoSpacing"/>
                        <w:rPr>
                          <w:rFonts w:ascii="Segoe UI" w:hAnsi="Segoe UI" w:cs="Segoe UI"/>
                          <w:b/>
                          <w:sz w:val="32"/>
                          <w:u w:val="single"/>
                          <w:lang w:val="en-PH"/>
                        </w:rPr>
                      </w:pPr>
                    </w:p>
                    <w:p w14:paraId="3DAF9B83" w14:textId="77777777" w:rsidR="001B225E" w:rsidRDefault="001B225E" w:rsidP="001B225E">
                      <w:pPr>
                        <w:pStyle w:val="NoSpacing"/>
                        <w:rPr>
                          <w:rFonts w:ascii="Segoe UI" w:hAnsi="Segoe UI" w:cs="Segoe UI"/>
                          <w:b/>
                          <w:sz w:val="32"/>
                          <w:u w:val="single"/>
                          <w:lang w:val="en-PH"/>
                        </w:rPr>
                      </w:pPr>
                    </w:p>
                    <w:p w14:paraId="14EDCE8E" w14:textId="77777777" w:rsidR="001B225E" w:rsidRDefault="001B225E" w:rsidP="001B225E">
                      <w:pPr>
                        <w:pStyle w:val="NoSpacing"/>
                        <w:rPr>
                          <w:rFonts w:ascii="Segoe UI" w:hAnsi="Segoe UI" w:cs="Segoe UI"/>
                          <w:b/>
                          <w:sz w:val="32"/>
                          <w:u w:val="single"/>
                          <w:lang w:val="en-PH"/>
                        </w:rPr>
                      </w:pPr>
                    </w:p>
                  </w:txbxContent>
                </v:textbox>
              </v:shape>
            </w:pict>
          </mc:Fallback>
        </mc:AlternateContent>
      </w:r>
    </w:p>
    <w:p w14:paraId="69253930" w14:textId="77777777" w:rsidR="001B225E" w:rsidRPr="00C06E05" w:rsidRDefault="001B225E" w:rsidP="001B225E">
      <w:pPr>
        <w:spacing w:after="200" w:line="480" w:lineRule="auto"/>
        <w:ind w:firstLine="720"/>
        <w:jc w:val="both"/>
        <w:rPr>
          <w:rFonts w:ascii="Arial" w:hAnsi="Arial" w:cs="Arial"/>
        </w:rPr>
      </w:pPr>
    </w:p>
    <w:p w14:paraId="540FE810" w14:textId="77777777" w:rsidR="001B225E" w:rsidRPr="00C2272F" w:rsidRDefault="001B225E" w:rsidP="001B225E">
      <w:pPr>
        <w:spacing w:line="480" w:lineRule="auto"/>
        <w:ind w:firstLine="720"/>
        <w:jc w:val="both"/>
        <w:rPr>
          <w:rFonts w:ascii="Arial" w:hAnsi="Arial" w:cs="Arial"/>
        </w:rPr>
      </w:pPr>
    </w:p>
    <w:p w14:paraId="014690CC" w14:textId="77777777" w:rsidR="001B225E" w:rsidRPr="006F6972" w:rsidRDefault="001B225E" w:rsidP="001B225E">
      <w:pPr>
        <w:spacing w:line="480" w:lineRule="auto"/>
        <w:ind w:firstLine="720"/>
        <w:jc w:val="both"/>
        <w:rPr>
          <w:rFonts w:ascii="Arial" w:eastAsia="Arial" w:hAnsi="Arial" w:cs="Arial"/>
        </w:rPr>
      </w:pPr>
    </w:p>
    <w:p w14:paraId="0B2D9391" w14:textId="77777777" w:rsidR="001B225E" w:rsidRPr="006F6972" w:rsidRDefault="001B225E" w:rsidP="001B225E">
      <w:pPr>
        <w:spacing w:line="480" w:lineRule="auto"/>
        <w:ind w:firstLine="720"/>
        <w:jc w:val="both"/>
        <w:rPr>
          <w:rFonts w:ascii="Arial" w:eastAsia="Arial" w:hAnsi="Arial" w:cs="Arial"/>
        </w:rPr>
      </w:pPr>
    </w:p>
    <w:p w14:paraId="6E82D0A8" w14:textId="77777777" w:rsidR="001B225E" w:rsidRPr="006F6972" w:rsidRDefault="001B225E" w:rsidP="001B225E">
      <w:pPr>
        <w:spacing w:line="480" w:lineRule="auto"/>
        <w:ind w:firstLine="720"/>
        <w:jc w:val="both"/>
        <w:rPr>
          <w:rFonts w:ascii="Arial" w:eastAsia="Arial" w:hAnsi="Arial" w:cs="Arial"/>
        </w:rPr>
      </w:pPr>
    </w:p>
    <w:p w14:paraId="2B8B9E1A" w14:textId="77777777" w:rsidR="001B225E" w:rsidRPr="006F6972" w:rsidRDefault="001B225E" w:rsidP="001B225E">
      <w:pPr>
        <w:spacing w:line="480" w:lineRule="auto"/>
        <w:ind w:firstLine="720"/>
        <w:jc w:val="both"/>
        <w:rPr>
          <w:rFonts w:ascii="Arial" w:eastAsia="Arial" w:hAnsi="Arial" w:cs="Arial"/>
        </w:rPr>
      </w:pPr>
    </w:p>
    <w:p w14:paraId="263D1E3E" w14:textId="77777777" w:rsidR="001B225E" w:rsidRPr="006F6972" w:rsidRDefault="001B225E" w:rsidP="001B225E">
      <w:pPr>
        <w:spacing w:line="480" w:lineRule="auto"/>
        <w:ind w:firstLine="720"/>
        <w:jc w:val="both"/>
        <w:rPr>
          <w:rFonts w:ascii="Arial" w:eastAsia="Arial" w:hAnsi="Arial" w:cs="Arial"/>
        </w:rPr>
      </w:pPr>
    </w:p>
    <w:p w14:paraId="11BDFF5A" w14:textId="77777777" w:rsidR="001B225E" w:rsidRPr="006F6972" w:rsidRDefault="001B225E" w:rsidP="001B225E">
      <w:pPr>
        <w:spacing w:line="480" w:lineRule="auto"/>
        <w:rPr>
          <w:rFonts w:ascii="Arial" w:eastAsia="Arial" w:hAnsi="Arial" w:cs="Arial"/>
        </w:rPr>
      </w:pPr>
    </w:p>
    <w:p w14:paraId="40F9D678" w14:textId="77777777" w:rsidR="001B225E" w:rsidRPr="006F6972" w:rsidRDefault="001B225E" w:rsidP="001B225E">
      <w:pPr>
        <w:spacing w:line="480" w:lineRule="auto"/>
        <w:rPr>
          <w:rFonts w:ascii="Arial" w:eastAsia="Arial" w:hAnsi="Arial" w:cs="Arial"/>
        </w:rPr>
      </w:pPr>
    </w:p>
    <w:p w14:paraId="4BA58AF7" w14:textId="77777777" w:rsidR="001B225E" w:rsidRPr="006F6972" w:rsidRDefault="001B225E" w:rsidP="001B225E">
      <w:pPr>
        <w:spacing w:line="480" w:lineRule="auto"/>
        <w:rPr>
          <w:rFonts w:ascii="Arial" w:eastAsia="Arial" w:hAnsi="Arial" w:cs="Arial"/>
        </w:rPr>
      </w:pPr>
    </w:p>
    <w:p w14:paraId="28D1099D" w14:textId="77777777" w:rsidR="001B225E" w:rsidRPr="006F6972" w:rsidRDefault="001B225E" w:rsidP="001B225E">
      <w:pPr>
        <w:spacing w:line="480" w:lineRule="auto"/>
        <w:rPr>
          <w:rFonts w:ascii="Arial" w:eastAsia="Arial" w:hAnsi="Arial" w:cs="Arial"/>
        </w:rPr>
      </w:pPr>
    </w:p>
    <w:p w14:paraId="766A8461" w14:textId="77777777" w:rsidR="001B225E" w:rsidRPr="006F6972" w:rsidRDefault="001B225E" w:rsidP="001B225E">
      <w:pPr>
        <w:spacing w:line="480" w:lineRule="auto"/>
        <w:rPr>
          <w:rFonts w:ascii="Arial" w:eastAsia="Arial" w:hAnsi="Arial" w:cs="Arial"/>
        </w:rPr>
      </w:pPr>
    </w:p>
    <w:p w14:paraId="6F656DDA" w14:textId="77777777" w:rsidR="001B225E" w:rsidRPr="006F6972" w:rsidRDefault="001B225E" w:rsidP="001B225E">
      <w:pPr>
        <w:spacing w:line="480" w:lineRule="auto"/>
        <w:rPr>
          <w:rFonts w:ascii="Arial" w:eastAsia="Arial" w:hAnsi="Arial" w:cs="Arial"/>
        </w:rPr>
      </w:pPr>
    </w:p>
    <w:p w14:paraId="213444B3" w14:textId="77777777" w:rsidR="001B225E" w:rsidRPr="0033278C" w:rsidRDefault="001B225E" w:rsidP="001B225E">
      <w:pPr>
        <w:spacing w:after="200" w:line="240" w:lineRule="auto"/>
        <w:rPr>
          <w:rFonts w:ascii="Times New Roman" w:eastAsia="Times New Roman" w:hAnsi="Times New Roman" w:cs="Times New Roman"/>
          <w:kern w:val="0"/>
          <w14:ligatures w14:val="none"/>
        </w:rPr>
      </w:pPr>
      <w:r>
        <w:rPr>
          <w:rFonts w:ascii="Arial" w:eastAsia="Times New Roman" w:hAnsi="Arial" w:cs="Arial"/>
          <w:color w:val="000000"/>
          <w:kern w:val="0"/>
          <w:shd w:val="clear" w:color="auto" w:fill="FFFFFF"/>
          <w14:ligatures w14:val="none"/>
        </w:rPr>
        <w:tab/>
      </w:r>
      <w:r w:rsidRPr="0033278C">
        <w:rPr>
          <w:rFonts w:ascii="Arial" w:eastAsia="Times New Roman" w:hAnsi="Arial" w:cs="Arial"/>
          <w:color w:val="000000"/>
          <w:kern w:val="0"/>
          <w:shd w:val="clear" w:color="auto" w:fill="FFFFFF"/>
          <w14:ligatures w14:val="none"/>
        </w:rPr>
        <w:t xml:space="preserve">        </w:t>
      </w:r>
    </w:p>
    <w:p w14:paraId="6D3C4E48" w14:textId="77777777" w:rsidR="001B225E" w:rsidRPr="0033278C" w:rsidRDefault="001B225E" w:rsidP="001B225E">
      <w:pPr>
        <w:spacing w:after="200" w:line="240" w:lineRule="auto"/>
        <w:rPr>
          <w:rFonts w:ascii="Times New Roman" w:eastAsia="Times New Roman" w:hAnsi="Times New Roman" w:cs="Times New Roman"/>
          <w:kern w:val="0"/>
          <w14:ligatures w14:val="none"/>
        </w:rPr>
      </w:pPr>
      <w:r w:rsidRPr="0033278C">
        <w:rPr>
          <w:rFonts w:ascii="Arial" w:eastAsia="Times New Roman" w:hAnsi="Arial" w:cs="Arial"/>
          <w:color w:val="000000"/>
          <w:kern w:val="0"/>
          <w:shd w:val="clear" w:color="auto" w:fill="FFFFFF"/>
          <w14:ligatures w14:val="none"/>
        </w:rPr>
        <w:t>  </w:t>
      </w:r>
    </w:p>
    <w:p w14:paraId="3D941665" w14:textId="77777777" w:rsidR="001B225E" w:rsidRPr="0033278C" w:rsidRDefault="001B225E" w:rsidP="001B225E">
      <w:pPr>
        <w:spacing w:after="240" w:line="240" w:lineRule="auto"/>
        <w:rPr>
          <w:rFonts w:ascii="Times New Roman" w:eastAsia="Times New Roman" w:hAnsi="Times New Roman" w:cs="Times New Roman"/>
          <w:kern w:val="0"/>
          <w14:ligatures w14:val="none"/>
        </w:rPr>
      </w:pPr>
      <w:r w:rsidRPr="0033278C">
        <w:rPr>
          <w:rFonts w:ascii="Times New Roman" w:eastAsia="Times New Roman" w:hAnsi="Times New Roman" w:cs="Times New Roman"/>
          <w:kern w:val="0"/>
          <w14:ligatures w14:val="none"/>
        </w:rPr>
        <w:br/>
      </w:r>
      <w:r w:rsidRPr="0033278C">
        <w:rPr>
          <w:rFonts w:ascii="Times New Roman" w:eastAsia="Times New Roman" w:hAnsi="Times New Roman" w:cs="Times New Roman"/>
          <w:kern w:val="0"/>
          <w14:ligatures w14:val="none"/>
        </w:rPr>
        <w:br/>
      </w:r>
      <w:r w:rsidRPr="0033278C">
        <w:rPr>
          <w:rFonts w:ascii="Times New Roman" w:eastAsia="Times New Roman" w:hAnsi="Times New Roman" w:cs="Times New Roman"/>
          <w:kern w:val="0"/>
          <w14:ligatures w14:val="none"/>
        </w:rPr>
        <w:br/>
      </w:r>
      <w:r w:rsidRPr="0033278C">
        <w:rPr>
          <w:rFonts w:ascii="Times New Roman" w:eastAsia="Times New Roman" w:hAnsi="Times New Roman" w:cs="Times New Roman"/>
          <w:kern w:val="0"/>
          <w14:ligatures w14:val="none"/>
        </w:rPr>
        <w:br/>
      </w:r>
      <w:r w:rsidRPr="0033278C">
        <w:rPr>
          <w:rFonts w:ascii="Times New Roman" w:eastAsia="Times New Roman" w:hAnsi="Times New Roman" w:cs="Times New Roman"/>
          <w:kern w:val="0"/>
          <w14:ligatures w14:val="none"/>
        </w:rPr>
        <w:br/>
      </w:r>
      <w:r w:rsidRPr="0033278C">
        <w:rPr>
          <w:rFonts w:ascii="Times New Roman" w:eastAsia="Times New Roman" w:hAnsi="Times New Roman" w:cs="Times New Roman"/>
          <w:kern w:val="0"/>
          <w14:ligatures w14:val="none"/>
        </w:rPr>
        <w:lastRenderedPageBreak/>
        <w:br/>
      </w:r>
      <w:r w:rsidRPr="0033278C">
        <w:rPr>
          <w:rFonts w:ascii="Times New Roman" w:eastAsia="Times New Roman" w:hAnsi="Times New Roman" w:cs="Times New Roman"/>
          <w:kern w:val="0"/>
          <w14:ligatures w14:val="none"/>
        </w:rPr>
        <w:br/>
      </w:r>
      <w:r w:rsidRPr="0033278C">
        <w:rPr>
          <w:rFonts w:ascii="Times New Roman" w:eastAsia="Times New Roman" w:hAnsi="Times New Roman" w:cs="Times New Roman"/>
          <w:kern w:val="0"/>
          <w14:ligatures w14:val="none"/>
        </w:rPr>
        <w:br/>
      </w:r>
      <w:r w:rsidRPr="0033278C">
        <w:rPr>
          <w:rFonts w:ascii="Times New Roman" w:eastAsia="Times New Roman" w:hAnsi="Times New Roman" w:cs="Times New Roman"/>
          <w:kern w:val="0"/>
          <w14:ligatures w14:val="none"/>
        </w:rPr>
        <w:br/>
      </w:r>
      <w:r w:rsidRPr="0033278C">
        <w:rPr>
          <w:rFonts w:ascii="Times New Roman" w:eastAsia="Times New Roman" w:hAnsi="Times New Roman" w:cs="Times New Roman"/>
          <w:kern w:val="0"/>
          <w14:ligatures w14:val="none"/>
        </w:rPr>
        <w:br/>
      </w:r>
      <w:r w:rsidRPr="0033278C">
        <w:rPr>
          <w:rFonts w:ascii="Times New Roman" w:eastAsia="Times New Roman" w:hAnsi="Times New Roman" w:cs="Times New Roman"/>
          <w:kern w:val="0"/>
          <w14:ligatures w14:val="none"/>
        </w:rPr>
        <w:br/>
      </w:r>
      <w:r w:rsidRPr="0033278C">
        <w:rPr>
          <w:rFonts w:ascii="Times New Roman" w:eastAsia="Times New Roman" w:hAnsi="Times New Roman" w:cs="Times New Roman"/>
          <w:kern w:val="0"/>
          <w14:ligatures w14:val="none"/>
        </w:rPr>
        <w:br/>
      </w:r>
      <w:r w:rsidRPr="0033278C">
        <w:rPr>
          <w:rFonts w:ascii="Times New Roman" w:eastAsia="Times New Roman" w:hAnsi="Times New Roman" w:cs="Times New Roman"/>
          <w:kern w:val="0"/>
          <w14:ligatures w14:val="none"/>
        </w:rPr>
        <w:br/>
      </w:r>
    </w:p>
    <w:p w14:paraId="752BEC4B" w14:textId="77777777" w:rsidR="001B225E" w:rsidRPr="0033278C" w:rsidRDefault="001B225E" w:rsidP="001B225E">
      <w:pPr>
        <w:spacing w:after="0" w:line="240" w:lineRule="auto"/>
        <w:rPr>
          <w:rFonts w:ascii="Times New Roman" w:eastAsia="Times New Roman" w:hAnsi="Times New Roman" w:cs="Times New Roman"/>
          <w:kern w:val="0"/>
          <w14:ligatures w14:val="none"/>
        </w:rPr>
      </w:pPr>
    </w:p>
    <w:p w14:paraId="3114DDA7" w14:textId="77777777" w:rsidR="001B225E" w:rsidRDefault="001B225E" w:rsidP="001B225E"/>
    <w:p w14:paraId="58041011" w14:textId="77777777" w:rsidR="00AF0CBB" w:rsidRDefault="00AF0CBB"/>
    <w:sectPr w:rsidR="00AF0CBB" w:rsidSect="001B225E">
      <w:headerReference w:type="default" r:id="rId65"/>
      <w:pgSz w:w="12240" w:h="15840"/>
      <w:pgMar w:top="1440" w:right="1440" w:bottom="1440" w:left="2160" w:header="720" w:footer="720" w:gutter="0"/>
      <w:pgNumType w:start="15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EBF12F4" w14:textId="77777777" w:rsidR="00594825" w:rsidRDefault="00594825" w:rsidP="001B225E">
      <w:pPr>
        <w:spacing w:after="0" w:line="240" w:lineRule="auto"/>
      </w:pPr>
      <w:r>
        <w:separator/>
      </w:r>
    </w:p>
  </w:endnote>
  <w:endnote w:type="continuationSeparator" w:id="0">
    <w:p w14:paraId="38EF0CE0" w14:textId="77777777" w:rsidR="00594825" w:rsidRDefault="00594825" w:rsidP="001B2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1"/>
    <w:family w:val="swiss"/>
    <w:pitch w:val="variable"/>
    <w:sig w:usb0="E0002AFF" w:usb1="C0007843"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Regular">
    <w:altName w:val="Arial"/>
    <w:panose1 w:val="020B0604020202020204"/>
    <w:charset w:val="00"/>
    <w:family w:val="auto"/>
    <w:pitch w:val="default"/>
    <w:sig w:usb0="E0002AFF" w:usb1="C0007843" w:usb2="00000009" w:usb3="00000000" w:csb0="400001FF" w:csb1="FFFF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0258077" w14:textId="77777777" w:rsidR="001B225E" w:rsidRDefault="001B225E" w:rsidP="00823884">
    <w:pPr>
      <w:pStyle w:val="Footer"/>
    </w:pPr>
  </w:p>
  <w:p w14:paraId="29BE15E5" w14:textId="77777777" w:rsidR="001B225E" w:rsidRDefault="001B2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4821BD0" w14:textId="77777777" w:rsidR="00594825" w:rsidRDefault="00594825" w:rsidP="001B225E">
      <w:pPr>
        <w:spacing w:after="0" w:line="240" w:lineRule="auto"/>
      </w:pPr>
      <w:r>
        <w:separator/>
      </w:r>
    </w:p>
  </w:footnote>
  <w:footnote w:type="continuationSeparator" w:id="0">
    <w:p w14:paraId="3796852E" w14:textId="77777777" w:rsidR="00594825" w:rsidRDefault="00594825" w:rsidP="001B2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79D256A" w14:textId="77777777" w:rsidR="001B225E" w:rsidRPr="002B5B5C" w:rsidRDefault="001B225E" w:rsidP="00A745E1">
    <w:pPr>
      <w:pStyle w:val="Header"/>
      <w:framePr w:wrap="none" w:vAnchor="text" w:hAnchor="margin" w:xAlign="right" w:y="1"/>
      <w:rPr>
        <w:rStyle w:val="PageNumber"/>
        <w:rFonts w:ascii="Arial" w:hAnsi="Arial" w:cs="Arial"/>
      </w:rPr>
    </w:pPr>
  </w:p>
  <w:p w14:paraId="32B10C88" w14:textId="771F7425" w:rsidR="001B225E" w:rsidRPr="002B5B5C" w:rsidRDefault="001B225E" w:rsidP="00823884">
    <w:pPr>
      <w:pStyle w:val="Header"/>
      <w:ind w:right="360"/>
      <w:rPr>
        <w:rFonts w:ascii="Arial" w:hAnsi="Arial" w:cs="Arial"/>
      </w:rPr>
    </w:pPr>
  </w:p>
  <w:sdt>
    <w:sdtPr>
      <w:rPr>
        <w:rStyle w:val="PageNumber"/>
        <w:rFonts w:ascii="Arial" w:hAnsi="Arial" w:cs="Arial"/>
      </w:rPr>
      <w:id w:val="-1311012277"/>
      <w:docPartObj>
        <w:docPartGallery w:val="Page Numbers (Top of Page)"/>
        <w:docPartUnique/>
      </w:docPartObj>
    </w:sdtPr>
    <w:sdtContent>
      <w:p w14:paraId="4D3A79A6" w14:textId="77777777" w:rsidR="001B225E" w:rsidRPr="002B5B5C" w:rsidRDefault="001B225E" w:rsidP="00823884">
        <w:pPr>
          <w:pStyle w:val="Header"/>
          <w:rPr>
            <w:rStyle w:val="PageNumber"/>
            <w:rFonts w:ascii="Arial" w:hAnsi="Arial" w:cs="Arial"/>
          </w:rPr>
        </w:pPr>
      </w:p>
      <w:p w14:paraId="5759B0A4" w14:textId="77777777" w:rsidR="001B225E" w:rsidRDefault="001B225E" w:rsidP="002B5B5C">
        <w:pPr>
          <w:pStyle w:val="Header"/>
          <w:rPr>
            <w:rStyle w:val="PageNumber"/>
            <w:rFonts w:ascii="Arial" w:hAnsi="Arial" w:cs="Arial"/>
          </w:rPr>
        </w:pPr>
        <w:r w:rsidRPr="002B5B5C">
          <w:rPr>
            <w:rStyle w:val="PageNumber"/>
            <w:rFonts w:ascii="Arial" w:hAnsi="Arial" w:cs="Arial"/>
          </w:rPr>
          <w:tab/>
        </w:r>
        <w:r w:rsidRPr="002B5B5C">
          <w:rPr>
            <w:rStyle w:val="PageNumber"/>
            <w:rFonts w:ascii="Arial" w:hAnsi="Arial" w:cs="Arial"/>
          </w:rPr>
          <w:tab/>
        </w:r>
        <w:r w:rsidRPr="002B5B5C">
          <w:rPr>
            <w:rStyle w:val="PageNumber"/>
            <w:rFonts w:ascii="Arial" w:hAnsi="Arial" w:cs="Arial"/>
          </w:rPr>
          <w:fldChar w:fldCharType="begin"/>
        </w:r>
        <w:r w:rsidRPr="002B5B5C">
          <w:rPr>
            <w:rStyle w:val="PageNumber"/>
            <w:rFonts w:ascii="Arial" w:hAnsi="Arial" w:cs="Arial"/>
          </w:rPr>
          <w:instrText xml:space="preserve"> PAGE </w:instrText>
        </w:r>
        <w:r w:rsidRPr="002B5B5C">
          <w:rPr>
            <w:rStyle w:val="PageNumber"/>
            <w:rFonts w:ascii="Arial" w:hAnsi="Arial" w:cs="Arial"/>
          </w:rPr>
          <w:fldChar w:fldCharType="separate"/>
        </w:r>
        <w:r w:rsidRPr="002B5B5C">
          <w:rPr>
            <w:rStyle w:val="PageNumber"/>
            <w:rFonts w:ascii="Arial" w:hAnsi="Arial" w:cs="Arial"/>
          </w:rPr>
          <w:t>1</w:t>
        </w:r>
        <w:r w:rsidRPr="002B5B5C">
          <w:rPr>
            <w:rStyle w:val="PageNumber"/>
            <w:rFonts w:ascii="Arial" w:hAnsi="Arial" w:cs="Arial"/>
          </w:rPr>
          <w:fldChar w:fldCharType="end"/>
        </w:r>
      </w:p>
    </w:sdtContent>
  </w:sdt>
  <w:p w14:paraId="26DA6D87" w14:textId="77777777" w:rsidR="001B225E" w:rsidRPr="002B5B5C" w:rsidRDefault="001B225E" w:rsidP="002B5B5C">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EAD0BE" w14:textId="77777777" w:rsidR="001B225E" w:rsidRDefault="001B225E" w:rsidP="00A745E1">
    <w:pPr>
      <w:pStyle w:val="Header"/>
      <w:framePr w:wrap="none" w:vAnchor="text" w:hAnchor="margin" w:xAlign="right" w:y="1"/>
      <w:rPr>
        <w:rStyle w:val="PageNumber"/>
      </w:rPr>
    </w:pPr>
  </w:p>
  <w:p w14:paraId="0B56F2E7" w14:textId="77777777" w:rsidR="001B225E" w:rsidRDefault="001B225E" w:rsidP="00823884">
    <w:pPr>
      <w:pStyle w:val="Header"/>
      <w:ind w:right="360"/>
    </w:pPr>
  </w:p>
  <w:sdt>
    <w:sdtPr>
      <w:rPr>
        <w:rStyle w:val="PageNumber"/>
      </w:rPr>
      <w:id w:val="-891116783"/>
      <w:docPartObj>
        <w:docPartGallery w:val="Page Numbers (Top of Page)"/>
        <w:docPartUnique/>
      </w:docPartObj>
    </w:sdtPr>
    <w:sdtContent>
      <w:p w14:paraId="21B12E49" w14:textId="77777777" w:rsidR="001B225E" w:rsidRDefault="001B225E" w:rsidP="00823884">
        <w:pPr>
          <w:pStyle w:val="Header"/>
          <w:rPr>
            <w:rStyle w:val="PageNumber"/>
          </w:rPr>
        </w:pPr>
      </w:p>
      <w:p w14:paraId="254959FF" w14:textId="77777777" w:rsidR="001B225E" w:rsidRDefault="001B225E" w:rsidP="00823884">
        <w:pPr>
          <w:pStyle w:val="Header"/>
          <w:rPr>
            <w:rStyle w:val="PageNumber"/>
          </w:rP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A0E5D50" w14:textId="6CBAA4CD" w:rsidR="001B225E" w:rsidRDefault="001B225E" w:rsidP="0082388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422ECD"/>
    <w:multiLevelType w:val="hybridMultilevel"/>
    <w:tmpl w:val="5958E9FE"/>
    <w:lvl w:ilvl="0" w:tplc="D004CFD2">
      <w:start w:val="1"/>
      <w:numFmt w:val="decimal"/>
      <w:lvlText w:val="%1."/>
      <w:lvlJc w:val="left"/>
      <w:pPr>
        <w:ind w:left="720" w:hanging="360"/>
      </w:pPr>
      <w:rPr>
        <w:rFonts w:ascii="Arial" w:hAnsi="Arial" w:cs="Arial"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3DD6141"/>
    <w:multiLevelType w:val="multilevel"/>
    <w:tmpl w:val="A608225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59B3EE1"/>
    <w:multiLevelType w:val="hybridMultilevel"/>
    <w:tmpl w:val="3A74E23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AAC0E63"/>
    <w:multiLevelType w:val="multilevel"/>
    <w:tmpl w:val="4CF26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8310BB"/>
    <w:multiLevelType w:val="hybridMultilevel"/>
    <w:tmpl w:val="B8A08C00"/>
    <w:lvl w:ilvl="0" w:tplc="743A50E4">
      <w:start w:val="1"/>
      <w:numFmt w:val="upperRoman"/>
      <w:lvlText w:val="%1."/>
      <w:lvlJc w:val="left"/>
      <w:pPr>
        <w:ind w:left="1080" w:hanging="72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5" w15:restartNumberingAfterBreak="0">
    <w:nsid w:val="1B0246CA"/>
    <w:multiLevelType w:val="hybridMultilevel"/>
    <w:tmpl w:val="4EEAC40A"/>
    <w:lvl w:ilvl="0" w:tplc="65947A60">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 w15:restartNumberingAfterBreak="0">
    <w:nsid w:val="263909CA"/>
    <w:multiLevelType w:val="hybridMultilevel"/>
    <w:tmpl w:val="D79E5070"/>
    <w:lvl w:ilvl="0" w:tplc="77BA995C">
      <w:start w:val="2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EE5475"/>
    <w:multiLevelType w:val="hybridMultilevel"/>
    <w:tmpl w:val="BAEC651C"/>
    <w:lvl w:ilvl="0" w:tplc="6276DF44">
      <w:start w:val="2"/>
      <w:numFmt w:val="upperLetter"/>
      <w:lvlText w:val="%1."/>
      <w:lvlJc w:val="left"/>
      <w:pPr>
        <w:tabs>
          <w:tab w:val="num" w:pos="720"/>
        </w:tabs>
        <w:ind w:left="720" w:hanging="360"/>
      </w:pPr>
    </w:lvl>
    <w:lvl w:ilvl="1" w:tplc="E26E24C0" w:tentative="1">
      <w:start w:val="1"/>
      <w:numFmt w:val="decimal"/>
      <w:lvlText w:val="%2."/>
      <w:lvlJc w:val="left"/>
      <w:pPr>
        <w:tabs>
          <w:tab w:val="num" w:pos="1440"/>
        </w:tabs>
        <w:ind w:left="1440" w:hanging="360"/>
      </w:pPr>
    </w:lvl>
    <w:lvl w:ilvl="2" w:tplc="231060E2" w:tentative="1">
      <w:start w:val="1"/>
      <w:numFmt w:val="decimal"/>
      <w:lvlText w:val="%3."/>
      <w:lvlJc w:val="left"/>
      <w:pPr>
        <w:tabs>
          <w:tab w:val="num" w:pos="2160"/>
        </w:tabs>
        <w:ind w:left="2160" w:hanging="360"/>
      </w:pPr>
    </w:lvl>
    <w:lvl w:ilvl="3" w:tplc="46C2CDAC" w:tentative="1">
      <w:start w:val="1"/>
      <w:numFmt w:val="decimal"/>
      <w:lvlText w:val="%4."/>
      <w:lvlJc w:val="left"/>
      <w:pPr>
        <w:tabs>
          <w:tab w:val="num" w:pos="2880"/>
        </w:tabs>
        <w:ind w:left="2880" w:hanging="360"/>
      </w:pPr>
    </w:lvl>
    <w:lvl w:ilvl="4" w:tplc="D588819E" w:tentative="1">
      <w:start w:val="1"/>
      <w:numFmt w:val="decimal"/>
      <w:lvlText w:val="%5."/>
      <w:lvlJc w:val="left"/>
      <w:pPr>
        <w:tabs>
          <w:tab w:val="num" w:pos="3600"/>
        </w:tabs>
        <w:ind w:left="3600" w:hanging="360"/>
      </w:pPr>
    </w:lvl>
    <w:lvl w:ilvl="5" w:tplc="135ACC22" w:tentative="1">
      <w:start w:val="1"/>
      <w:numFmt w:val="decimal"/>
      <w:lvlText w:val="%6."/>
      <w:lvlJc w:val="left"/>
      <w:pPr>
        <w:tabs>
          <w:tab w:val="num" w:pos="4320"/>
        </w:tabs>
        <w:ind w:left="4320" w:hanging="360"/>
      </w:pPr>
    </w:lvl>
    <w:lvl w:ilvl="6" w:tplc="E15E6738" w:tentative="1">
      <w:start w:val="1"/>
      <w:numFmt w:val="decimal"/>
      <w:lvlText w:val="%7."/>
      <w:lvlJc w:val="left"/>
      <w:pPr>
        <w:tabs>
          <w:tab w:val="num" w:pos="5040"/>
        </w:tabs>
        <w:ind w:left="5040" w:hanging="360"/>
      </w:pPr>
    </w:lvl>
    <w:lvl w:ilvl="7" w:tplc="5BB0F3C0" w:tentative="1">
      <w:start w:val="1"/>
      <w:numFmt w:val="decimal"/>
      <w:lvlText w:val="%8."/>
      <w:lvlJc w:val="left"/>
      <w:pPr>
        <w:tabs>
          <w:tab w:val="num" w:pos="5760"/>
        </w:tabs>
        <w:ind w:left="5760" w:hanging="360"/>
      </w:pPr>
    </w:lvl>
    <w:lvl w:ilvl="8" w:tplc="A8DEE5B6" w:tentative="1">
      <w:start w:val="1"/>
      <w:numFmt w:val="decimal"/>
      <w:lvlText w:val="%9."/>
      <w:lvlJc w:val="left"/>
      <w:pPr>
        <w:tabs>
          <w:tab w:val="num" w:pos="6480"/>
        </w:tabs>
        <w:ind w:left="6480" w:hanging="360"/>
      </w:pPr>
    </w:lvl>
  </w:abstractNum>
  <w:abstractNum w:abstractNumId="8" w15:restartNumberingAfterBreak="0">
    <w:nsid w:val="2B366367"/>
    <w:multiLevelType w:val="multilevel"/>
    <w:tmpl w:val="73424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DB32EC"/>
    <w:multiLevelType w:val="hybridMultilevel"/>
    <w:tmpl w:val="CE8C5676"/>
    <w:lvl w:ilvl="0" w:tplc="454000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9EF41C8"/>
    <w:multiLevelType w:val="hybridMultilevel"/>
    <w:tmpl w:val="D054AFB6"/>
    <w:lvl w:ilvl="0" w:tplc="687233B2">
      <w:start w:val="3"/>
      <w:numFmt w:val="upperLetter"/>
      <w:lvlText w:val="%1."/>
      <w:lvlJc w:val="left"/>
      <w:pPr>
        <w:tabs>
          <w:tab w:val="num" w:pos="720"/>
        </w:tabs>
        <w:ind w:left="720" w:hanging="360"/>
      </w:pPr>
    </w:lvl>
    <w:lvl w:ilvl="1" w:tplc="8A182B30" w:tentative="1">
      <w:start w:val="1"/>
      <w:numFmt w:val="decimal"/>
      <w:lvlText w:val="%2."/>
      <w:lvlJc w:val="left"/>
      <w:pPr>
        <w:tabs>
          <w:tab w:val="num" w:pos="1440"/>
        </w:tabs>
        <w:ind w:left="1440" w:hanging="360"/>
      </w:pPr>
    </w:lvl>
    <w:lvl w:ilvl="2" w:tplc="53BA86BC" w:tentative="1">
      <w:start w:val="1"/>
      <w:numFmt w:val="decimal"/>
      <w:lvlText w:val="%3."/>
      <w:lvlJc w:val="left"/>
      <w:pPr>
        <w:tabs>
          <w:tab w:val="num" w:pos="2160"/>
        </w:tabs>
        <w:ind w:left="2160" w:hanging="360"/>
      </w:pPr>
    </w:lvl>
    <w:lvl w:ilvl="3" w:tplc="490486B2" w:tentative="1">
      <w:start w:val="1"/>
      <w:numFmt w:val="decimal"/>
      <w:lvlText w:val="%4."/>
      <w:lvlJc w:val="left"/>
      <w:pPr>
        <w:tabs>
          <w:tab w:val="num" w:pos="2880"/>
        </w:tabs>
        <w:ind w:left="2880" w:hanging="360"/>
      </w:pPr>
    </w:lvl>
    <w:lvl w:ilvl="4" w:tplc="BCA0FDBC" w:tentative="1">
      <w:start w:val="1"/>
      <w:numFmt w:val="decimal"/>
      <w:lvlText w:val="%5."/>
      <w:lvlJc w:val="left"/>
      <w:pPr>
        <w:tabs>
          <w:tab w:val="num" w:pos="3600"/>
        </w:tabs>
        <w:ind w:left="3600" w:hanging="360"/>
      </w:pPr>
    </w:lvl>
    <w:lvl w:ilvl="5" w:tplc="9EC45488" w:tentative="1">
      <w:start w:val="1"/>
      <w:numFmt w:val="decimal"/>
      <w:lvlText w:val="%6."/>
      <w:lvlJc w:val="left"/>
      <w:pPr>
        <w:tabs>
          <w:tab w:val="num" w:pos="4320"/>
        </w:tabs>
        <w:ind w:left="4320" w:hanging="360"/>
      </w:pPr>
    </w:lvl>
    <w:lvl w:ilvl="6" w:tplc="39049FE6" w:tentative="1">
      <w:start w:val="1"/>
      <w:numFmt w:val="decimal"/>
      <w:lvlText w:val="%7."/>
      <w:lvlJc w:val="left"/>
      <w:pPr>
        <w:tabs>
          <w:tab w:val="num" w:pos="5040"/>
        </w:tabs>
        <w:ind w:left="5040" w:hanging="360"/>
      </w:pPr>
    </w:lvl>
    <w:lvl w:ilvl="7" w:tplc="E6AAC228" w:tentative="1">
      <w:start w:val="1"/>
      <w:numFmt w:val="decimal"/>
      <w:lvlText w:val="%8."/>
      <w:lvlJc w:val="left"/>
      <w:pPr>
        <w:tabs>
          <w:tab w:val="num" w:pos="5760"/>
        </w:tabs>
        <w:ind w:left="5760" w:hanging="360"/>
      </w:pPr>
    </w:lvl>
    <w:lvl w:ilvl="8" w:tplc="F006C9E4" w:tentative="1">
      <w:start w:val="1"/>
      <w:numFmt w:val="decimal"/>
      <w:lvlText w:val="%9."/>
      <w:lvlJc w:val="left"/>
      <w:pPr>
        <w:tabs>
          <w:tab w:val="num" w:pos="6480"/>
        </w:tabs>
        <w:ind w:left="6480" w:hanging="360"/>
      </w:pPr>
    </w:lvl>
  </w:abstractNum>
  <w:abstractNum w:abstractNumId="11" w15:restartNumberingAfterBreak="0">
    <w:nsid w:val="3FC17DCA"/>
    <w:multiLevelType w:val="multilevel"/>
    <w:tmpl w:val="01349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326FD4"/>
    <w:multiLevelType w:val="hybridMultilevel"/>
    <w:tmpl w:val="926CA2F8"/>
    <w:lvl w:ilvl="0" w:tplc="FD5EB5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B618DA"/>
    <w:multiLevelType w:val="multilevel"/>
    <w:tmpl w:val="46AC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724825"/>
    <w:multiLevelType w:val="multilevel"/>
    <w:tmpl w:val="0DFA7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4B5877"/>
    <w:multiLevelType w:val="hybridMultilevel"/>
    <w:tmpl w:val="50F8CA2A"/>
    <w:lvl w:ilvl="0" w:tplc="4B9276A0">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C60D48"/>
    <w:multiLevelType w:val="multilevel"/>
    <w:tmpl w:val="7A5CB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0639B4"/>
    <w:multiLevelType w:val="hybridMultilevel"/>
    <w:tmpl w:val="919ED27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779A1383"/>
    <w:multiLevelType w:val="hybridMultilevel"/>
    <w:tmpl w:val="9A7C1BB2"/>
    <w:lvl w:ilvl="0" w:tplc="3409000D">
      <w:start w:val="1"/>
      <w:numFmt w:val="bullet"/>
      <w:lvlText w:val=""/>
      <w:lvlJc w:val="left"/>
      <w:pPr>
        <w:ind w:left="720" w:hanging="360"/>
      </w:pPr>
      <w:rPr>
        <w:rFonts w:ascii="Wingdings" w:hAnsi="Wingdings"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B">
      <w:start w:val="1"/>
      <w:numFmt w:val="bullet"/>
      <w:lvlText w:val=""/>
      <w:lvlJc w:val="left"/>
      <w:pPr>
        <w:ind w:left="2880" w:hanging="360"/>
      </w:pPr>
      <w:rPr>
        <w:rFonts w:ascii="Wingdings" w:hAnsi="Wingdings"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num w:numId="1" w16cid:durableId="93719549">
    <w:abstractNumId w:val="14"/>
    <w:lvlOverride w:ilvl="0">
      <w:lvl w:ilvl="0">
        <w:numFmt w:val="upperLetter"/>
        <w:lvlText w:val="%1."/>
        <w:lvlJc w:val="left"/>
      </w:lvl>
    </w:lvlOverride>
  </w:num>
  <w:num w:numId="2" w16cid:durableId="489751966">
    <w:abstractNumId w:val="7"/>
  </w:num>
  <w:num w:numId="3" w16cid:durableId="1631327066">
    <w:abstractNumId w:val="10"/>
  </w:num>
  <w:num w:numId="4" w16cid:durableId="117920597">
    <w:abstractNumId w:val="9"/>
  </w:num>
  <w:num w:numId="5" w16cid:durableId="623344551">
    <w:abstractNumId w:val="12"/>
  </w:num>
  <w:num w:numId="6" w16cid:durableId="1680810741">
    <w:abstractNumId w:val="6"/>
  </w:num>
  <w:num w:numId="7" w16cid:durableId="840698887">
    <w:abstractNumId w:val="15"/>
  </w:num>
  <w:num w:numId="8" w16cid:durableId="1371950625">
    <w:abstractNumId w:val="1"/>
  </w:num>
  <w:num w:numId="9" w16cid:durableId="1749765951">
    <w:abstractNumId w:val="13"/>
  </w:num>
  <w:num w:numId="10" w16cid:durableId="852954832">
    <w:abstractNumId w:val="11"/>
  </w:num>
  <w:num w:numId="11" w16cid:durableId="424872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5842524">
    <w:abstractNumId w:val="18"/>
  </w:num>
  <w:num w:numId="13" w16cid:durableId="286355427">
    <w:abstractNumId w:val="5"/>
  </w:num>
  <w:num w:numId="14" w16cid:durableId="952708090">
    <w:abstractNumId w:val="17"/>
  </w:num>
  <w:num w:numId="15" w16cid:durableId="980495912">
    <w:abstractNumId w:val="0"/>
  </w:num>
  <w:num w:numId="16" w16cid:durableId="1955820088">
    <w:abstractNumId w:val="2"/>
  </w:num>
  <w:num w:numId="17" w16cid:durableId="172382107">
    <w:abstractNumId w:val="8"/>
  </w:num>
  <w:num w:numId="18" w16cid:durableId="471945947">
    <w:abstractNumId w:val="3"/>
  </w:num>
  <w:num w:numId="19" w16cid:durableId="2065983186">
    <w:abstractNumId w:val="1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5E"/>
    <w:rsid w:val="001B225E"/>
    <w:rsid w:val="00594825"/>
    <w:rsid w:val="009664AC"/>
    <w:rsid w:val="00972E2D"/>
    <w:rsid w:val="00AF0CBB"/>
    <w:rsid w:val="00C46667"/>
    <w:rsid w:val="00EB6DB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0D8176BC"/>
  <w15:chartTrackingRefBased/>
  <w15:docId w15:val="{9DBF0E5A-4F84-9F45-A4D4-FD622222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25E"/>
  </w:style>
  <w:style w:type="paragraph" w:styleId="Heading1">
    <w:name w:val="heading 1"/>
    <w:basedOn w:val="Normal"/>
    <w:next w:val="Normal"/>
    <w:link w:val="Heading1Char"/>
    <w:uiPriority w:val="9"/>
    <w:qFormat/>
    <w:rsid w:val="001B22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22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22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22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22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22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2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2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2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2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22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22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22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22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22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2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2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25E"/>
    <w:rPr>
      <w:rFonts w:eastAsiaTheme="majorEastAsia" w:cstheme="majorBidi"/>
      <w:color w:val="272727" w:themeColor="text1" w:themeTint="D8"/>
    </w:rPr>
  </w:style>
  <w:style w:type="paragraph" w:styleId="Title">
    <w:name w:val="Title"/>
    <w:basedOn w:val="Normal"/>
    <w:next w:val="Normal"/>
    <w:link w:val="TitleChar"/>
    <w:uiPriority w:val="10"/>
    <w:qFormat/>
    <w:rsid w:val="001B2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2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2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25E"/>
    <w:pPr>
      <w:spacing w:before="160"/>
      <w:jc w:val="center"/>
    </w:pPr>
    <w:rPr>
      <w:i/>
      <w:iCs/>
      <w:color w:val="404040" w:themeColor="text1" w:themeTint="BF"/>
    </w:rPr>
  </w:style>
  <w:style w:type="character" w:customStyle="1" w:styleId="QuoteChar">
    <w:name w:val="Quote Char"/>
    <w:basedOn w:val="DefaultParagraphFont"/>
    <w:link w:val="Quote"/>
    <w:uiPriority w:val="29"/>
    <w:rsid w:val="001B225E"/>
    <w:rPr>
      <w:i/>
      <w:iCs/>
      <w:color w:val="404040" w:themeColor="text1" w:themeTint="BF"/>
    </w:rPr>
  </w:style>
  <w:style w:type="paragraph" w:styleId="ListParagraph">
    <w:name w:val="List Paragraph"/>
    <w:basedOn w:val="Normal"/>
    <w:uiPriority w:val="34"/>
    <w:qFormat/>
    <w:rsid w:val="001B225E"/>
    <w:pPr>
      <w:ind w:left="720"/>
      <w:contextualSpacing/>
    </w:pPr>
  </w:style>
  <w:style w:type="character" w:styleId="IntenseEmphasis">
    <w:name w:val="Intense Emphasis"/>
    <w:basedOn w:val="DefaultParagraphFont"/>
    <w:uiPriority w:val="21"/>
    <w:qFormat/>
    <w:rsid w:val="001B225E"/>
    <w:rPr>
      <w:i/>
      <w:iCs/>
      <w:color w:val="2F5496" w:themeColor="accent1" w:themeShade="BF"/>
    </w:rPr>
  </w:style>
  <w:style w:type="paragraph" w:styleId="IntenseQuote">
    <w:name w:val="Intense Quote"/>
    <w:basedOn w:val="Normal"/>
    <w:next w:val="Normal"/>
    <w:link w:val="IntenseQuoteChar"/>
    <w:uiPriority w:val="30"/>
    <w:qFormat/>
    <w:rsid w:val="001B22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225E"/>
    <w:rPr>
      <w:i/>
      <w:iCs/>
      <w:color w:val="2F5496" w:themeColor="accent1" w:themeShade="BF"/>
    </w:rPr>
  </w:style>
  <w:style w:type="character" w:styleId="IntenseReference">
    <w:name w:val="Intense Reference"/>
    <w:basedOn w:val="DefaultParagraphFont"/>
    <w:uiPriority w:val="32"/>
    <w:qFormat/>
    <w:rsid w:val="001B225E"/>
    <w:rPr>
      <w:b/>
      <w:bCs/>
      <w:smallCaps/>
      <w:color w:val="2F5496" w:themeColor="accent1" w:themeShade="BF"/>
      <w:spacing w:val="5"/>
    </w:rPr>
  </w:style>
  <w:style w:type="paragraph" w:styleId="NormalWeb">
    <w:name w:val="Normal (Web)"/>
    <w:basedOn w:val="Normal"/>
    <w:unhideWhenUsed/>
    <w:rsid w:val="001B225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1B225E"/>
  </w:style>
  <w:style w:type="paragraph" w:styleId="Header">
    <w:name w:val="header"/>
    <w:basedOn w:val="Normal"/>
    <w:link w:val="HeaderChar"/>
    <w:uiPriority w:val="99"/>
    <w:unhideWhenUsed/>
    <w:rsid w:val="001B2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25E"/>
  </w:style>
  <w:style w:type="paragraph" w:styleId="Footer">
    <w:name w:val="footer"/>
    <w:basedOn w:val="Normal"/>
    <w:link w:val="FooterChar"/>
    <w:uiPriority w:val="99"/>
    <w:unhideWhenUsed/>
    <w:rsid w:val="001B2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25E"/>
  </w:style>
  <w:style w:type="table" w:customStyle="1" w:styleId="TableNormal0">
    <w:name w:val="TableNormal"/>
    <w:rsid w:val="001B225E"/>
    <w:pPr>
      <w:spacing w:line="259" w:lineRule="auto"/>
    </w:pPr>
    <w:rPr>
      <w:rFonts w:ascii="Aptos" w:eastAsia="Aptos" w:hAnsi="Aptos" w:cs="Aptos"/>
      <w:kern w:val="0"/>
      <w:sz w:val="22"/>
      <w:szCs w:val="22"/>
      <w:lang w:eastAsia="en-PH"/>
      <w14:ligatures w14:val="none"/>
    </w:rPr>
    <w:tblPr>
      <w:tblCellMar>
        <w:top w:w="100" w:type="dxa"/>
        <w:left w:w="100" w:type="dxa"/>
        <w:bottom w:w="100" w:type="dxa"/>
        <w:right w:w="100" w:type="dxa"/>
      </w:tblCellMar>
    </w:tblPr>
  </w:style>
  <w:style w:type="table" w:styleId="TableGrid">
    <w:name w:val="Table Grid"/>
    <w:basedOn w:val="TableNormal"/>
    <w:uiPriority w:val="39"/>
    <w:rsid w:val="001B225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225E"/>
    <w:rPr>
      <w:color w:val="0563C1" w:themeColor="hyperlink"/>
      <w:u w:val="single"/>
    </w:rPr>
  </w:style>
  <w:style w:type="paragraph" w:customStyle="1" w:styleId="font-claude-response-body">
    <w:name w:val="font-claude-response-body"/>
    <w:basedOn w:val="Normal"/>
    <w:rsid w:val="001B225E"/>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PageNumber">
    <w:name w:val="page number"/>
    <w:basedOn w:val="DefaultParagraphFont"/>
    <w:uiPriority w:val="99"/>
    <w:semiHidden/>
    <w:unhideWhenUsed/>
    <w:rsid w:val="001B225E"/>
  </w:style>
  <w:style w:type="character" w:styleId="UnresolvedMention">
    <w:name w:val="Unresolved Mention"/>
    <w:basedOn w:val="DefaultParagraphFont"/>
    <w:uiPriority w:val="99"/>
    <w:semiHidden/>
    <w:unhideWhenUsed/>
    <w:rsid w:val="001B225E"/>
    <w:rPr>
      <w:color w:val="605E5C"/>
      <w:shd w:val="clear" w:color="auto" w:fill="E1DFDD"/>
    </w:rPr>
  </w:style>
  <w:style w:type="paragraph" w:styleId="NoSpacing">
    <w:name w:val="No Spacing"/>
    <w:uiPriority w:val="1"/>
    <w:qFormat/>
    <w:rsid w:val="001B225E"/>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ibrary.judiciary.gov.ph/thebookshelf/showdocs/2/2676" TargetMode="External"/><Relationship Id="rId21" Type="http://schemas.openxmlformats.org/officeDocument/2006/relationships/hyperlink" Target="https://cids.up.edu.ph/wp-content/uploads/2022/02/Generelao.-Teacher-education-in-the-PH.-PJPP-2022.pdf" TargetMode="External"/><Relationship Id="rId34" Type="http://schemas.openxmlformats.org/officeDocument/2006/relationships/hyperlink" Target="https://edcom2.gov.ph/publications/fixing-the-foundations-strengthening-the-teaching-workforce-through-the-blept/" TargetMode="External"/><Relationship Id="rId42" Type="http://schemas.openxmlformats.org/officeDocument/2006/relationships/hyperlink" Target="https://pids.gov.ph/publication/discussion-papers/quality-education-starting-with-teacher-education" TargetMode="External"/><Relationship Id="rId47" Type="http://schemas.openxmlformats.org/officeDocument/2006/relationships/hyperlink" Target="https://doi.org/10.3758/BF03193146" TargetMode="External"/><Relationship Id="rId50" Type="http://schemas.openxmlformats.org/officeDocument/2006/relationships/footer" Target="footer1.xml"/><Relationship Id="rId55" Type="http://schemas.openxmlformats.org/officeDocument/2006/relationships/hyperlink" Target="https://doi.org/10.35877/454RI.eduline3535" TargetMode="External"/><Relationship Id="rId63" Type="http://schemas.openxmlformats.org/officeDocument/2006/relationships/hyperlink" Target="https://doi.org/10.54675/FIGU8035"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sisinternational.org/journals/ijrsi/view/college-admission-test-general-weighted-average-and-licensure-examination-for-teachers-performance-of-one-state-university-in-the-philippines" TargetMode="External"/><Relationship Id="rId29" Type="http://schemas.openxmlformats.org/officeDocument/2006/relationships/hyperlink" Target="https://doi.org/10.1111/bjep.12606" TargetMode="External"/><Relationship Id="rId11" Type="http://schemas.openxmlformats.org/officeDocument/2006/relationships/hyperlink" Target="https://doi.org/10.1037/0033-295X.84.2.191" TargetMode="External"/><Relationship Id="rId24" Type="http://schemas.openxmlformats.org/officeDocument/2006/relationships/hyperlink" Target="https://doi.org/10.3389/feduc.2024.1235261" TargetMode="External"/><Relationship Id="rId32" Type="http://schemas.openxmlformats.org/officeDocument/2006/relationships/hyperlink" Target="https://doi.org/10.11591/IJERE.V9I3.20614" TargetMode="External"/><Relationship Id="rId37" Type="http://schemas.openxmlformats.org/officeDocument/2006/relationships/hyperlink" Target="https://doi.org/10.11591/ijere.v11i1.22133" TargetMode="External"/><Relationship Id="rId40" Type="http://schemas.openxmlformats.org/officeDocument/2006/relationships/hyperlink" Target="https://doi.org/10.26811/peuradeun.v13i2.1364" TargetMode="External"/><Relationship Id="rId45" Type="http://schemas.openxmlformats.org/officeDocument/2006/relationships/hyperlink" Target="https://doi.org/10.3316/QRJ0902027" TargetMode="External"/><Relationship Id="rId53" Type="http://schemas.openxmlformats.org/officeDocument/2006/relationships/hyperlink" Target="https://edcom2.gov.ph/publications/profiling-study-of-teacher-education-institutions-teis-and-teacher-educators/" TargetMode="External"/><Relationship Id="rId58" Type="http://schemas.openxmlformats.org/officeDocument/2006/relationships/hyperlink" Target="https://doi.org/10.54536/ajet.v3i4.3416"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edcom2.gov.ph/media/2023/10/EDCOM2_Green-Paper_16-Teacher-Ed_Alignment-of-CHED-PRC-DepEd_231005.pdf" TargetMode="External"/><Relationship Id="rId19" Type="http://schemas.openxmlformats.org/officeDocument/2006/relationships/hyperlink" Target="https://doi.org/10.35877/454RI.eduline3535" TargetMode="External"/><Relationship Id="rId14" Type="http://schemas.openxmlformats.org/officeDocument/2006/relationships/hyperlink" Target="https://edcom2.gov.ph/publications/fixing-the-foundations-strengthening-the-teaching-workforce-through-the-blept/" TargetMode="External"/><Relationship Id="rId22" Type="http://schemas.openxmlformats.org/officeDocument/2006/relationships/hyperlink" Target="https://doi.org/10.54536/ajet.v3i4.3416" TargetMode="External"/><Relationship Id="rId27" Type="http://schemas.openxmlformats.org/officeDocument/2006/relationships/hyperlink" Target="https://doi.org/10.11591/ijere.v10i3.21242" TargetMode="External"/><Relationship Id="rId30" Type="http://schemas.openxmlformats.org/officeDocument/2006/relationships/hyperlink" Target="https://doi.org/10.3102/00346543045001089" TargetMode="External"/><Relationship Id="rId35" Type="http://schemas.openxmlformats.org/officeDocument/2006/relationships/hyperlink" Target="https://doi.org/10.35877/454RI.eduline3535" TargetMode="External"/><Relationship Id="rId43" Type="http://schemas.openxmlformats.org/officeDocument/2006/relationships/hyperlink" Target="https://doi.org/10.54675/FIGU8035" TargetMode="External"/><Relationship Id="rId48" Type="http://schemas.openxmlformats.org/officeDocument/2006/relationships/hyperlink" Target="http://www.hotel-online.com/News/DefiningHospitality.html" TargetMode="External"/><Relationship Id="rId56" Type="http://schemas.openxmlformats.org/officeDocument/2006/relationships/hyperlink" Target="https://doi.org/10.47405/mjssh.v9i11.3091" TargetMode="External"/><Relationship Id="rId64" Type="http://schemas.openxmlformats.org/officeDocument/2006/relationships/image" Target="media/image3.png"/><Relationship Id="rId8" Type="http://schemas.openxmlformats.org/officeDocument/2006/relationships/image" Target="media/image2.png"/><Relationship Id="rId51" Type="http://schemas.openxmlformats.org/officeDocument/2006/relationships/hyperlink" Target="https://doi.org/10.3389/feduc.2023.1240658" TargetMode="External"/><Relationship Id="rId3" Type="http://schemas.openxmlformats.org/officeDocument/2006/relationships/settings" Target="settings.xml"/><Relationship Id="rId12" Type="http://schemas.openxmlformats.org/officeDocument/2006/relationships/hyperlink" Target="https://www.isroset.org/pub_paper/IJSRMS/4-ISROSET-IJSRMS-07170.pdf" TargetMode="External"/><Relationship Id="rId17" Type="http://schemas.openxmlformats.org/officeDocument/2006/relationships/hyperlink" Target="https://legacy.ched.gov.ph/wp-content/uploads/CMO-No.-10-s.-2024.pdf" TargetMode="External"/><Relationship Id="rId25" Type="http://schemas.openxmlformats.org/officeDocument/2006/relationships/hyperlink" Target="https://doi.org/10.26811/peuradeun.v13i2.1364" TargetMode="External"/><Relationship Id="rId33" Type="http://schemas.openxmlformats.org/officeDocument/2006/relationships/hyperlink" Target="https://edcom2.gov.ph/publications/profiling-study-of-teacher-education-institutions-teis-and-teacher-educators/" TargetMode="External"/><Relationship Id="rId38" Type="http://schemas.openxmlformats.org/officeDocument/2006/relationships/hyperlink" Target="https://doi.org/10.54536/ajet.v3i4.3416" TargetMode="External"/><Relationship Id="rId46" Type="http://schemas.openxmlformats.org/officeDocument/2006/relationships/hyperlink" Target="https://doi.org/10.1007/BF02310555" TargetMode="External"/><Relationship Id="rId59" Type="http://schemas.openxmlformats.org/officeDocument/2006/relationships/hyperlink" Target="https://prc.gov.ph/article/guidelines-implementation-prc-ched-jmc-alignment-lept-teacher-education-curriculum" TargetMode="External"/><Relationship Id="rId67" Type="http://schemas.openxmlformats.org/officeDocument/2006/relationships/theme" Target="theme/theme1.xml"/><Relationship Id="rId20" Type="http://schemas.openxmlformats.org/officeDocument/2006/relationships/hyperlink" Target="https://doi.org/10.11591/ijere.v11i1.22133" TargetMode="External"/><Relationship Id="rId41" Type="http://schemas.openxmlformats.org/officeDocument/2006/relationships/hyperlink" Target="https://edcom2.gov.ph/media/2023/10/EDCOM2_Green-Paper_16-Teacher-Ed_Alignment-of-CHED-PRC-DepEd_231005.pdf" TargetMode="External"/><Relationship Id="rId54" Type="http://schemas.openxmlformats.org/officeDocument/2006/relationships/hyperlink" Target="https://edcom2.gov.ph/publications/fixing-the-foundations-strengthening-the-teaching-workforce-through-the-blept/" TargetMode="External"/><Relationship Id="rId62" Type="http://schemas.openxmlformats.org/officeDocument/2006/relationships/hyperlink" Target="https://pids.gov.ph/publication/discussion-papers/quality-education-starting-with-teacher-educatio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47772/IJRISS" TargetMode="External"/><Relationship Id="rId23" Type="http://schemas.openxmlformats.org/officeDocument/2006/relationships/hyperlink" Target="https://files.eric.ed.gov/fulltext/EJ1308814.pdf" TargetMode="External"/><Relationship Id="rId28" Type="http://schemas.openxmlformats.org/officeDocument/2006/relationships/hyperlink" Target="https://doi.org/10.1207/s15516709cog1202_4" TargetMode="External"/><Relationship Id="rId36" Type="http://schemas.openxmlformats.org/officeDocument/2006/relationships/hyperlink" Target="https://doi.org/10.47405/mjssh.v9i11.3091" TargetMode="External"/><Relationship Id="rId49" Type="http://schemas.openxmlformats.org/officeDocument/2006/relationships/header" Target="header1.xml"/><Relationship Id="rId57" Type="http://schemas.openxmlformats.org/officeDocument/2006/relationships/hyperlink" Target="https://doi.org/10.11591/ijere.v11i1.22133" TargetMode="External"/><Relationship Id="rId10" Type="http://schemas.openxmlformats.org/officeDocument/2006/relationships/hyperlink" Target="https://doi.org/10.11591/ijere.v9i3.20614" TargetMode="External"/><Relationship Id="rId31" Type="http://schemas.openxmlformats.org/officeDocument/2006/relationships/hyperlink" Target="https://doi.org/10.3389/feduc.2023.1240658" TargetMode="External"/><Relationship Id="rId44" Type="http://schemas.openxmlformats.org/officeDocument/2006/relationships/hyperlink" Target="https://doi.org/10.1111/bjep.12606" TargetMode="External"/><Relationship Id="rId52" Type="http://schemas.openxmlformats.org/officeDocument/2006/relationships/hyperlink" Target="https://doi.org/10.11591/IJERE.V9I3.20614" TargetMode="External"/><Relationship Id="rId60" Type="http://schemas.openxmlformats.org/officeDocument/2006/relationships/hyperlink" Target="https://doi.org/10.26811/peuradeun.v13i2.1364"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3389/feduc.2023.1240658" TargetMode="External"/><Relationship Id="rId13" Type="http://schemas.openxmlformats.org/officeDocument/2006/relationships/hyperlink" Target="https://doi.org/10.3316/QRJ0902027" TargetMode="External"/><Relationship Id="rId18" Type="http://schemas.openxmlformats.org/officeDocument/2006/relationships/hyperlink" Target="https://doi.org/10.1007/BF02310555" TargetMode="External"/><Relationship Id="rId39" Type="http://schemas.openxmlformats.org/officeDocument/2006/relationships/hyperlink" Target="https://prc.gov.ph/article/guidelines-implementation-prc-ched-jmc-alignment-lept-teacher-education-curricu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140</Pages>
  <Words>30990</Words>
  <Characters>176646</Characters>
  <Application>Microsoft Office Word</Application>
  <DocSecurity>0</DocSecurity>
  <Lines>1472</Lines>
  <Paragraphs>414</Paragraphs>
  <ScaleCrop>false</ScaleCrop>
  <Company/>
  <LinksUpToDate>false</LinksUpToDate>
  <CharactersWithSpaces>207222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Annecelle Joy Samar</dc:creator>
  <cp:keywords/>
  <dc:description/>
  <cp:lastModifiedBy>Annecelle Joy Samar</cp:lastModifiedBy>
  <cp:revision>1</cp:revision>
  <dcterms:created xsi:type="dcterms:W3CDTF">2026-06-23T16:30:00Z</dcterms:created>
  <dcterms:modified xsi:type="dcterms:W3CDTF">2026-06-23T16:37:00Z</dcterms:modified>
</cp:coreProperties>
</file>