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65DA" w14:textId="77777777" w:rsidR="00CE662C" w:rsidRDefault="00CE662C" w:rsidP="0023194A">
      <w:pPr>
        <w:spacing w:after="0" w:line="276" w:lineRule="auto"/>
        <w:jc w:val="center"/>
        <w:rPr>
          <w:rFonts w:cs="Calibri Light"/>
          <w:b/>
          <w:sz w:val="24"/>
          <w:szCs w:val="24"/>
        </w:rPr>
      </w:pPr>
    </w:p>
    <w:p w14:paraId="4E9B68FC" w14:textId="77777777" w:rsidR="00CE662C" w:rsidRDefault="00CE662C" w:rsidP="00986902">
      <w:pPr>
        <w:tabs>
          <w:tab w:val="left" w:pos="5787"/>
        </w:tabs>
        <w:spacing w:after="0" w:line="276" w:lineRule="auto"/>
        <w:jc w:val="center"/>
        <w:rPr>
          <w:rFonts w:cs="Calibri Light"/>
          <w:b/>
          <w:sz w:val="24"/>
          <w:szCs w:val="24"/>
        </w:rPr>
      </w:pPr>
    </w:p>
    <w:p w14:paraId="3B177113" w14:textId="77777777" w:rsidR="00986902" w:rsidRDefault="00986902" w:rsidP="00986902">
      <w:pPr>
        <w:tabs>
          <w:tab w:val="left" w:pos="5787"/>
        </w:tabs>
        <w:spacing w:after="0" w:line="276" w:lineRule="auto"/>
        <w:jc w:val="center"/>
        <w:rPr>
          <w:rFonts w:cs="Calibri Light"/>
          <w:b/>
          <w:sz w:val="24"/>
          <w:szCs w:val="24"/>
        </w:rPr>
      </w:pPr>
    </w:p>
    <w:p w14:paraId="0D59C477" w14:textId="699FA62A" w:rsidR="00577BAC" w:rsidRPr="00D65FDC" w:rsidRDefault="001B73A7" w:rsidP="0023194A">
      <w:pPr>
        <w:spacing w:after="0" w:line="276" w:lineRule="auto"/>
        <w:jc w:val="center"/>
        <w:rPr>
          <w:rFonts w:cs="Calibri Light"/>
          <w:b/>
          <w:sz w:val="24"/>
          <w:szCs w:val="24"/>
          <w:lang w:val="en-US"/>
        </w:rPr>
      </w:pPr>
      <w:r w:rsidRPr="001B73A7">
        <w:rPr>
          <w:rFonts w:cs="Calibri Light"/>
          <w:b/>
          <w:sz w:val="24"/>
          <w:szCs w:val="24"/>
          <w:lang w:val="en-US"/>
        </w:rPr>
        <w:t xml:space="preserve">CYBER RISK MANAGEMENT’S ORGANIZATIONAL FACTORS TO THE CYBER RISK OCCURRENCE </w:t>
      </w:r>
    </w:p>
    <w:p w14:paraId="47D2C58C" w14:textId="77777777" w:rsidR="00D65FDC" w:rsidRDefault="00D65FDC" w:rsidP="0023194A">
      <w:pPr>
        <w:spacing w:after="0"/>
        <w:jc w:val="center"/>
        <w:rPr>
          <w:sz w:val="24"/>
          <w:szCs w:val="24"/>
          <w:lang w:val="en-US"/>
        </w:rPr>
      </w:pPr>
    </w:p>
    <w:p w14:paraId="7BF16E29" w14:textId="21001C8D" w:rsidR="00D65FDC" w:rsidRPr="001B73A7" w:rsidRDefault="00027D41" w:rsidP="001B73A7">
      <w:pPr>
        <w:jc w:val="center"/>
        <w:rPr>
          <w:rFonts w:cs="Calibri"/>
          <w:bCs/>
          <w:iCs/>
          <w:sz w:val="19"/>
          <w:szCs w:val="19"/>
        </w:rPr>
      </w:pPr>
      <w:r>
        <w:rPr>
          <w:rFonts w:cs="Calibri"/>
          <w:bCs/>
          <w:iCs/>
          <w:sz w:val="19"/>
          <w:szCs w:val="19"/>
        </w:rPr>
        <w:t>Halil Paino</w:t>
      </w:r>
      <w:r w:rsidR="00330425" w:rsidRPr="006C6B6A">
        <w:rPr>
          <w:rFonts w:cs="Calibri"/>
          <w:bCs/>
          <w:iCs/>
          <w:sz w:val="19"/>
          <w:szCs w:val="19"/>
          <w:vertAlign w:val="superscript"/>
          <w:lang w:val="en-US"/>
        </w:rPr>
        <w:t>1</w:t>
      </w:r>
      <w:r w:rsidR="00D65FDC" w:rsidRPr="006C6B6A">
        <w:rPr>
          <w:rFonts w:cs="Calibri"/>
          <w:bCs/>
          <w:iCs/>
          <w:sz w:val="19"/>
          <w:szCs w:val="19"/>
          <w:lang w:val="en-US"/>
        </w:rPr>
        <w:t xml:space="preserve"> and</w:t>
      </w:r>
      <w:r w:rsidR="00D65FDC" w:rsidRPr="006C6B6A">
        <w:rPr>
          <w:rFonts w:cs="Calibri"/>
          <w:bCs/>
          <w:iCs/>
          <w:sz w:val="19"/>
          <w:szCs w:val="19"/>
        </w:rPr>
        <w:t xml:space="preserve"> </w:t>
      </w:r>
      <w:r w:rsidR="001B73A7" w:rsidRPr="001B73A7">
        <w:rPr>
          <w:rFonts w:cs="Calibri"/>
          <w:bCs/>
          <w:iCs/>
          <w:sz w:val="19"/>
          <w:szCs w:val="19"/>
        </w:rPr>
        <w:t xml:space="preserve">Marlina </w:t>
      </w:r>
      <w:r w:rsidR="001B73A7">
        <w:rPr>
          <w:rFonts w:cs="Calibri"/>
          <w:bCs/>
          <w:iCs/>
          <w:sz w:val="19"/>
          <w:szCs w:val="19"/>
        </w:rPr>
        <w:t>b</w:t>
      </w:r>
      <w:r w:rsidR="001B73A7" w:rsidRPr="001B73A7">
        <w:rPr>
          <w:rFonts w:cs="Calibri"/>
          <w:bCs/>
          <w:iCs/>
          <w:sz w:val="19"/>
          <w:szCs w:val="19"/>
        </w:rPr>
        <w:t>inti Rahmat</w:t>
      </w:r>
      <w:r w:rsidR="00330425" w:rsidRPr="006C6B6A">
        <w:rPr>
          <w:rFonts w:cs="Calibri"/>
          <w:bCs/>
          <w:iCs/>
          <w:sz w:val="19"/>
          <w:szCs w:val="19"/>
          <w:vertAlign w:val="superscript"/>
          <w:lang w:val="en-US"/>
        </w:rPr>
        <w:t>2</w:t>
      </w:r>
    </w:p>
    <w:p w14:paraId="781C2715" w14:textId="77777777" w:rsidR="00D01785" w:rsidRPr="0023194A" w:rsidRDefault="00D01785" w:rsidP="00D65FDC">
      <w:pPr>
        <w:spacing w:after="0"/>
        <w:jc w:val="center"/>
        <w:rPr>
          <w:rFonts w:cs="Calibri"/>
          <w:bCs/>
          <w:iCs/>
          <w:sz w:val="19"/>
          <w:szCs w:val="19"/>
          <w:lang w:val="en-US"/>
        </w:rPr>
      </w:pPr>
    </w:p>
    <w:p w14:paraId="5B7F553D" w14:textId="3EF5EDFC" w:rsidR="00044121" w:rsidRDefault="002E239A" w:rsidP="002E239A">
      <w:pPr>
        <w:pStyle w:val="FootnoteText"/>
        <w:ind w:left="270" w:hanging="270"/>
        <w:contextualSpacing/>
        <w:jc w:val="center"/>
        <w:rPr>
          <w:rFonts w:ascii="Palatino Linotype" w:hAnsi="Palatino Linotype"/>
          <w:sz w:val="16"/>
          <w:szCs w:val="16"/>
          <w:lang w:val="id-ID"/>
        </w:rPr>
      </w:pPr>
      <w:r>
        <w:rPr>
          <w:rStyle w:val="FootnoteReference"/>
          <w:rFonts w:ascii="Palatino Linotype" w:hAnsi="Palatino Linotype"/>
          <w:sz w:val="16"/>
          <w:szCs w:val="16"/>
          <w:lang w:val="id-ID"/>
        </w:rPr>
        <w:footnoteReference w:id="1"/>
      </w:r>
      <w:r w:rsidR="00027D41">
        <w:rPr>
          <w:rFonts w:ascii="Palatino Linotype" w:hAnsi="Palatino Linotype"/>
          <w:sz w:val="16"/>
          <w:szCs w:val="16"/>
          <w:lang w:val="id-ID"/>
        </w:rPr>
        <w:t>Faculty of Accountancy, Universiti Teknologi MARA Malaysia</w:t>
      </w:r>
    </w:p>
    <w:p w14:paraId="049356F5" w14:textId="7A5CF712" w:rsidR="00D01785" w:rsidRDefault="000474AB" w:rsidP="002E239A">
      <w:pPr>
        <w:pStyle w:val="FootnoteText"/>
        <w:ind w:left="270" w:hanging="270"/>
        <w:contextualSpacing/>
        <w:jc w:val="center"/>
        <w:rPr>
          <w:rFonts w:ascii="Palatino Linotype" w:hAnsi="Palatino Linotype"/>
          <w:sz w:val="16"/>
          <w:szCs w:val="16"/>
          <w:lang w:val="id-ID"/>
        </w:rPr>
      </w:pPr>
      <w:r>
        <w:rPr>
          <w:rFonts w:ascii="Palatino Linotype" w:hAnsi="Palatino Linotype"/>
          <w:sz w:val="16"/>
          <w:szCs w:val="16"/>
          <w:lang w:val="id-ID"/>
        </w:rPr>
        <w:t xml:space="preserve"> </w:t>
      </w:r>
      <w:r w:rsidR="002E239A" w:rsidRPr="002E239A">
        <w:rPr>
          <w:rFonts w:ascii="Palatino Linotype" w:hAnsi="Palatino Linotype"/>
          <w:sz w:val="16"/>
          <w:szCs w:val="16"/>
          <w:vertAlign w:val="superscript"/>
          <w:lang w:val="id-ID"/>
        </w:rPr>
        <w:t>2</w:t>
      </w:r>
      <w:r w:rsidR="00BC4216">
        <w:rPr>
          <w:rFonts w:ascii="Palatino Linotype" w:hAnsi="Palatino Linotype"/>
          <w:sz w:val="16"/>
          <w:szCs w:val="16"/>
          <w:lang w:val="id-ID"/>
        </w:rPr>
        <w:t xml:space="preserve">Shah Alam </w:t>
      </w:r>
      <w:r w:rsidR="00A96476">
        <w:rPr>
          <w:rFonts w:ascii="Palatino Linotype" w:hAnsi="Palatino Linotype"/>
          <w:sz w:val="16"/>
          <w:szCs w:val="16"/>
          <w:lang w:val="id-ID"/>
        </w:rPr>
        <w:t>City</w:t>
      </w:r>
      <w:r w:rsidR="00BC4216">
        <w:rPr>
          <w:rFonts w:ascii="Palatino Linotype" w:hAnsi="Palatino Linotype"/>
          <w:sz w:val="16"/>
          <w:szCs w:val="16"/>
          <w:lang w:val="id-ID"/>
        </w:rPr>
        <w:t xml:space="preserve"> Council, Selangor Malaysia</w:t>
      </w:r>
    </w:p>
    <w:p w14:paraId="237BB55F" w14:textId="77777777" w:rsidR="0023194A" w:rsidRPr="0023194A" w:rsidRDefault="0023194A" w:rsidP="0023194A">
      <w:pPr>
        <w:pStyle w:val="FootnoteText"/>
        <w:spacing w:after="120"/>
        <w:jc w:val="center"/>
        <w:rPr>
          <w:rFonts w:ascii="Palatino Linotype" w:hAnsi="Palatino Linotype"/>
          <w:sz w:val="16"/>
          <w:szCs w:val="16"/>
          <w:lang w:val="id-ID"/>
        </w:rPr>
      </w:pPr>
    </w:p>
    <w:p w14:paraId="5BE9B21C" w14:textId="77777777" w:rsidR="00E74A60" w:rsidRPr="00E74A60" w:rsidRDefault="00D01785" w:rsidP="00E74A60">
      <w:pPr>
        <w:spacing w:after="120"/>
        <w:jc w:val="center"/>
        <w:rPr>
          <w:rFonts w:eastAsia="Palatino Linotype"/>
          <w:b/>
          <w:bCs/>
          <w:sz w:val="20"/>
          <w:szCs w:val="20"/>
          <w:lang w:val="en-US"/>
        </w:rPr>
      </w:pPr>
      <w:r w:rsidRPr="00AA50DB">
        <w:rPr>
          <w:rFonts w:eastAsia="Palatino Linotype"/>
          <w:b/>
          <w:bCs/>
          <w:sz w:val="20"/>
          <w:szCs w:val="20"/>
          <w:lang w:val="en-US"/>
        </w:rPr>
        <w:t>ABSTRACT</w:t>
      </w:r>
    </w:p>
    <w:p w14:paraId="6AE4C89A" w14:textId="4A0C099F" w:rsidR="001B73A7" w:rsidRDefault="005B261C" w:rsidP="001B73A7">
      <w:pPr>
        <w:spacing w:after="120" w:line="276" w:lineRule="auto"/>
        <w:jc w:val="both"/>
        <w:rPr>
          <w:rFonts w:cs="Calibri"/>
          <w:iCs/>
          <w:sz w:val="19"/>
          <w:szCs w:val="19"/>
          <w:lang w:val="en-US"/>
        </w:rPr>
      </w:pPr>
      <w:r>
        <w:rPr>
          <w:rFonts w:cs="Calibri"/>
          <w:iCs/>
          <w:sz w:val="19"/>
          <w:szCs w:val="19"/>
          <w:lang w:val="en-US"/>
        </w:rPr>
        <w:t xml:space="preserve">The </w:t>
      </w:r>
      <w:r w:rsidR="001B73A7" w:rsidRPr="001B73A7">
        <w:rPr>
          <w:rFonts w:cs="Calibri"/>
          <w:iCs/>
          <w:sz w:val="19"/>
          <w:szCs w:val="19"/>
          <w:lang w:val="en-US"/>
        </w:rPr>
        <w:t xml:space="preserve">increasing dependency on digital infrastructure has raised the demand for comprehensive cyber risk management, especially in public sector companies such as local authorities. </w:t>
      </w:r>
      <w:r w:rsidR="006003C6">
        <w:rPr>
          <w:rFonts w:cs="Calibri"/>
          <w:iCs/>
          <w:sz w:val="19"/>
          <w:szCs w:val="19"/>
          <w:lang w:val="en-US"/>
        </w:rPr>
        <w:t>Local government and authorities</w:t>
      </w:r>
      <w:r w:rsidR="001B73A7" w:rsidRPr="001B73A7">
        <w:rPr>
          <w:rFonts w:cs="Calibri"/>
          <w:iCs/>
          <w:sz w:val="19"/>
          <w:szCs w:val="19"/>
          <w:lang w:val="en-US"/>
        </w:rPr>
        <w:t xml:space="preserve"> must overcome some obstacles in order to manage and mitigate cyber threats, such as a lack of well-integrated cybersecurity policies, the absence of structured and updated cybersecurity frameworks, inadequate cybersecurity training among employees, and insufficient leadership commitment. Therefore, there is an urgent need for a more </w:t>
      </w:r>
      <w:proofErr w:type="spellStart"/>
      <w:r w:rsidR="001B73A7" w:rsidRPr="001B73A7">
        <w:rPr>
          <w:rFonts w:cs="Calibri"/>
          <w:iCs/>
          <w:sz w:val="19"/>
          <w:szCs w:val="19"/>
          <w:lang w:val="en-US"/>
        </w:rPr>
        <w:t>organised</w:t>
      </w:r>
      <w:proofErr w:type="spellEnd"/>
      <w:r w:rsidR="001B73A7" w:rsidRPr="001B73A7">
        <w:rPr>
          <w:rFonts w:cs="Calibri"/>
          <w:iCs/>
          <w:sz w:val="19"/>
          <w:szCs w:val="19"/>
          <w:lang w:val="en-US"/>
        </w:rPr>
        <w:t xml:space="preserve"> and comprehensive approach to manage cybersecurity risk due to the increasing frequency of cyber threats. The absence of ISO/IEC 27001 limits the </w:t>
      </w:r>
      <w:proofErr w:type="spellStart"/>
      <w:r w:rsidR="001B73A7" w:rsidRPr="001B73A7">
        <w:rPr>
          <w:rFonts w:cs="Calibri"/>
          <w:iCs/>
          <w:sz w:val="19"/>
          <w:szCs w:val="19"/>
          <w:lang w:val="en-US"/>
        </w:rPr>
        <w:t>organisation’s</w:t>
      </w:r>
      <w:proofErr w:type="spellEnd"/>
      <w:r w:rsidR="001B73A7" w:rsidRPr="001B73A7">
        <w:rPr>
          <w:rFonts w:cs="Calibri"/>
          <w:iCs/>
          <w:sz w:val="19"/>
          <w:szCs w:val="19"/>
          <w:lang w:val="en-US"/>
        </w:rPr>
        <w:t xml:space="preserve"> capacity to protect critical information assets. Therefore, this study seeks to explore how organizational factors, including cybersecurity policies, training, and leadership commitment, influence the occurrence and management of cyber risks within </w:t>
      </w:r>
      <w:r w:rsidR="006003C6">
        <w:rPr>
          <w:rFonts w:cs="Calibri"/>
          <w:iCs/>
          <w:sz w:val="19"/>
          <w:szCs w:val="19"/>
          <w:lang w:val="en-US"/>
        </w:rPr>
        <w:t xml:space="preserve">the local government or authority. </w:t>
      </w:r>
      <w:r w:rsidR="001B73A7" w:rsidRPr="001B73A7">
        <w:rPr>
          <w:rFonts w:cs="Calibri"/>
          <w:iCs/>
          <w:sz w:val="19"/>
          <w:szCs w:val="19"/>
          <w:lang w:val="en-US"/>
        </w:rPr>
        <w:t xml:space="preserve">This study used a structured online questionnaire as part of a quantitative research design. To ensure a balanced representation of operational employees (Officer B) and senior management (Officer A), a stratified random sampling method was used. A total of 149 respondents </w:t>
      </w:r>
      <w:r w:rsidR="006003C6">
        <w:rPr>
          <w:rFonts w:cs="Calibri"/>
          <w:iCs/>
          <w:sz w:val="19"/>
          <w:szCs w:val="19"/>
          <w:lang w:val="en-US"/>
        </w:rPr>
        <w:t xml:space="preserve">from Malaysia’s local authority/government </w:t>
      </w:r>
      <w:r w:rsidR="001B73A7" w:rsidRPr="001B73A7">
        <w:rPr>
          <w:rFonts w:cs="Calibri"/>
          <w:iCs/>
          <w:sz w:val="19"/>
          <w:szCs w:val="19"/>
          <w:lang w:val="en-US"/>
        </w:rPr>
        <w:t xml:space="preserve">participated in this research. Pearson correlation analysis indicated that Cybersecurity Policies (CP), Cybersecurity Training (CT), and Leadership Commitment (LC) are significantly associated with Cyber Risk Occurrence (CRO). The direction of the relationship indicates that stronger </w:t>
      </w:r>
      <w:proofErr w:type="spellStart"/>
      <w:r w:rsidR="001B73A7" w:rsidRPr="001B73A7">
        <w:rPr>
          <w:rFonts w:cs="Calibri"/>
          <w:iCs/>
          <w:sz w:val="19"/>
          <w:szCs w:val="19"/>
          <w:lang w:val="en-US"/>
        </w:rPr>
        <w:t>organisational</w:t>
      </w:r>
      <w:proofErr w:type="spellEnd"/>
      <w:r w:rsidR="001B73A7" w:rsidRPr="001B73A7">
        <w:rPr>
          <w:rFonts w:cs="Calibri"/>
          <w:iCs/>
          <w:sz w:val="19"/>
          <w:szCs w:val="19"/>
          <w:lang w:val="en-US"/>
        </w:rPr>
        <w:t xml:space="preserve"> controls correspond with lower levels of cyber risk occurrence. Multiple regression analysis indicated that cybersecurity training is the strongest and only predictor of Cyber Risk Occurrence (CRO). Based on the findings, strategic improvements could enhance cyber resilience and governance structures and ensure secure public service delivery. This </w:t>
      </w:r>
      <w:r w:rsidR="001B73A7" w:rsidRPr="001B73A7">
        <w:rPr>
          <w:rFonts w:cs="Calibri"/>
          <w:iCs/>
          <w:sz w:val="19"/>
          <w:szCs w:val="19"/>
          <w:lang w:val="en-US"/>
        </w:rPr>
        <w:lastRenderedPageBreak/>
        <w:t>research contributes to both academic and practical policy development in the field of cybersecurity by integrating theoretical perspectives with empirical evidence. Besides, the study mentions the importance of taking a comprehensive and proactive strategy to manage cyber risk, especially within public sector organizations. Overall, the study provides valuable insights to policymakers, practitioners, and researchers in developing more resilient cybersecurity frameworks; thus, the protection of public information systems in digital governance could be achieved.</w:t>
      </w:r>
    </w:p>
    <w:p w14:paraId="7BC86AFA" w14:textId="7277B50F" w:rsidR="001B73A7" w:rsidRPr="001B73A7" w:rsidRDefault="000E4409" w:rsidP="000E4409">
      <w:pPr>
        <w:spacing w:after="0" w:line="276" w:lineRule="auto"/>
        <w:jc w:val="both"/>
        <w:rPr>
          <w:rFonts w:cs="Calibri"/>
          <w:i/>
          <w:sz w:val="19"/>
          <w:szCs w:val="19"/>
          <w:lang w:val="en-US"/>
        </w:rPr>
      </w:pPr>
      <w:r w:rsidRPr="006C6B6A">
        <w:rPr>
          <w:rFonts w:cs="Calibri"/>
          <w:b/>
          <w:bCs/>
          <w:i/>
          <w:sz w:val="19"/>
          <w:szCs w:val="19"/>
          <w:lang w:val="en-US"/>
        </w:rPr>
        <w:t>Keywords</w:t>
      </w:r>
      <w:r w:rsidRPr="006C6B6A">
        <w:rPr>
          <w:rFonts w:cs="Calibri"/>
          <w:i/>
          <w:sz w:val="19"/>
          <w:szCs w:val="19"/>
          <w:lang w:val="en-US"/>
        </w:rPr>
        <w:t xml:space="preserve">: </w:t>
      </w:r>
      <w:r w:rsidR="001B73A7" w:rsidRPr="001B73A7">
        <w:rPr>
          <w:rFonts w:cs="Calibri"/>
          <w:i/>
          <w:sz w:val="19"/>
          <w:szCs w:val="19"/>
          <w:lang w:val="en-US"/>
        </w:rPr>
        <w:t>Cyber risk occurrence, cyber risk management, cybersecurity policies, training, leadership commitment</w:t>
      </w:r>
      <w:r w:rsidR="005B261C">
        <w:rPr>
          <w:rFonts w:cs="Calibri"/>
          <w:i/>
          <w:sz w:val="19"/>
          <w:szCs w:val="19"/>
          <w:lang w:val="en-US"/>
        </w:rPr>
        <w:t>.</w:t>
      </w:r>
    </w:p>
    <w:p w14:paraId="5F2BE93A" w14:textId="77777777" w:rsidR="00C84177" w:rsidRDefault="00C84177" w:rsidP="00182A16">
      <w:pPr>
        <w:spacing w:after="120" w:line="276" w:lineRule="auto"/>
        <w:jc w:val="both"/>
        <w:rPr>
          <w:rFonts w:eastAsia="Palatino Linotype"/>
          <w:b/>
          <w:sz w:val="20"/>
          <w:szCs w:val="24"/>
        </w:rPr>
      </w:pPr>
    </w:p>
    <w:p w14:paraId="329F4112" w14:textId="4774CA9A" w:rsidR="00511D77" w:rsidRPr="00311E6B" w:rsidRDefault="00511D77" w:rsidP="00182A16">
      <w:pPr>
        <w:spacing w:after="120" w:line="276" w:lineRule="auto"/>
        <w:jc w:val="both"/>
        <w:rPr>
          <w:rFonts w:eastAsia="Palatino Linotype"/>
          <w:b/>
          <w:sz w:val="20"/>
          <w:szCs w:val="24"/>
          <w:lang w:val="en-US"/>
        </w:rPr>
      </w:pPr>
      <w:r w:rsidRPr="00511D77">
        <w:rPr>
          <w:rFonts w:eastAsia="Palatino Linotype"/>
          <w:b/>
          <w:sz w:val="20"/>
          <w:szCs w:val="24"/>
        </w:rPr>
        <w:t>I.</w:t>
      </w:r>
      <w:r>
        <w:rPr>
          <w:rFonts w:eastAsia="Palatino Linotype"/>
          <w:b/>
          <w:sz w:val="20"/>
          <w:szCs w:val="24"/>
        </w:rPr>
        <w:t xml:space="preserve"> </w:t>
      </w:r>
      <w:r w:rsidRPr="00511D77">
        <w:rPr>
          <w:rFonts w:eastAsia="Palatino Linotype"/>
          <w:b/>
          <w:sz w:val="20"/>
          <w:szCs w:val="24"/>
        </w:rPr>
        <w:t>INTRODUCTION</w:t>
      </w:r>
      <w:r w:rsidR="00311E6B">
        <w:rPr>
          <w:rFonts w:eastAsia="Palatino Linotype"/>
          <w:b/>
          <w:sz w:val="20"/>
          <w:szCs w:val="24"/>
          <w:lang w:val="en-US"/>
        </w:rPr>
        <w:t xml:space="preserve"> </w:t>
      </w:r>
    </w:p>
    <w:p w14:paraId="784F365F" w14:textId="77777777" w:rsidR="00D6506D" w:rsidRPr="00BA7FCF" w:rsidRDefault="00D6506D" w:rsidP="00BA7FCF">
      <w:pPr>
        <w:spacing w:after="0" w:line="276" w:lineRule="auto"/>
        <w:jc w:val="both"/>
        <w:rPr>
          <w:rFonts w:cs="Times New Roman"/>
          <w:sz w:val="20"/>
          <w:szCs w:val="24"/>
          <w:lang w:val="en-MY"/>
        </w:rPr>
      </w:pPr>
      <w:r w:rsidRPr="00BA7FCF">
        <w:rPr>
          <w:rFonts w:cs="Times New Roman"/>
          <w:sz w:val="20"/>
          <w:szCs w:val="24"/>
          <w:lang w:val="en-MY"/>
        </w:rPr>
        <w:t>Nowadays, the increasing dependence on digital infrastructure has heightened the need for effective cyber risk management, especially in public sector organizations such as local authorities. Cyber incidents, such as data breaches and unauthorized access, cause major threats to operational continuity, data integrity, and public trust. Several international cyber incidents, such as the Singapore Cybersecurity Strategy (2021), the Baltimore Ransomware Attack (2019), and the Colonial Pipeline Cyberattack (2021), highlight the importance of structured cybersecurity governance and incident response mechanisms (</w:t>
      </w:r>
      <w:proofErr w:type="spellStart"/>
      <w:r w:rsidRPr="00BA7FCF">
        <w:rPr>
          <w:rFonts w:cs="Times New Roman"/>
          <w:sz w:val="20"/>
          <w:szCs w:val="24"/>
          <w:lang w:val="en-MY"/>
        </w:rPr>
        <w:t>Insurica</w:t>
      </w:r>
      <w:proofErr w:type="spellEnd"/>
      <w:r w:rsidRPr="00BA7FCF">
        <w:rPr>
          <w:rFonts w:cs="Times New Roman"/>
          <w:sz w:val="20"/>
          <w:szCs w:val="24"/>
          <w:lang w:val="en-MY"/>
        </w:rPr>
        <w:t>, 2025). Therefore, in order to protect critical information assets, public institutions need to increasingly strengthen their cybersecurity governance frameworks. These real-life cases urged the need to study the cyber risk management’s organizational factors in relation to the cyber risk occurrence.</w:t>
      </w:r>
    </w:p>
    <w:p w14:paraId="11E5C151" w14:textId="24A84FB9"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However, despite the increasing awareness of cybersecurity risks, </w:t>
      </w:r>
      <w:r w:rsidR="006003C6">
        <w:rPr>
          <w:rFonts w:cs="Times New Roman"/>
          <w:sz w:val="20"/>
          <w:szCs w:val="24"/>
          <w:lang w:val="en-MY"/>
        </w:rPr>
        <w:t xml:space="preserve">Shah Alam City Council or Majlis </w:t>
      </w:r>
      <w:proofErr w:type="spellStart"/>
      <w:r w:rsidR="006003C6">
        <w:rPr>
          <w:rFonts w:cs="Times New Roman"/>
          <w:sz w:val="20"/>
          <w:szCs w:val="24"/>
          <w:lang w:val="en-MY"/>
        </w:rPr>
        <w:t>Bandaraya</w:t>
      </w:r>
      <w:proofErr w:type="spellEnd"/>
      <w:r w:rsidR="006003C6">
        <w:rPr>
          <w:rFonts w:cs="Times New Roman"/>
          <w:sz w:val="20"/>
          <w:szCs w:val="24"/>
          <w:lang w:val="en-MY"/>
        </w:rPr>
        <w:t xml:space="preserve"> Shah Alam </w:t>
      </w:r>
      <w:r w:rsidRPr="00BA7FCF">
        <w:rPr>
          <w:rFonts w:cs="Times New Roman"/>
          <w:sz w:val="20"/>
          <w:szCs w:val="24"/>
          <w:lang w:val="en-MY"/>
        </w:rPr>
        <w:t>(MBSA)</w:t>
      </w:r>
      <w:r w:rsidR="006003C6">
        <w:rPr>
          <w:rFonts w:cs="Times New Roman"/>
          <w:sz w:val="20"/>
          <w:szCs w:val="24"/>
          <w:lang w:val="en-MY"/>
        </w:rPr>
        <w:t xml:space="preserve"> as one of the developed local </w:t>
      </w:r>
      <w:proofErr w:type="gramStart"/>
      <w:r w:rsidR="006003C6">
        <w:rPr>
          <w:rFonts w:cs="Times New Roman"/>
          <w:sz w:val="20"/>
          <w:szCs w:val="24"/>
          <w:lang w:val="en-MY"/>
        </w:rPr>
        <w:t xml:space="preserve">authority </w:t>
      </w:r>
      <w:r w:rsidRPr="00BA7FCF">
        <w:rPr>
          <w:rFonts w:cs="Times New Roman"/>
          <w:sz w:val="20"/>
          <w:szCs w:val="24"/>
          <w:lang w:val="en-MY"/>
        </w:rPr>
        <w:t xml:space="preserve"> in</w:t>
      </w:r>
      <w:proofErr w:type="gramEnd"/>
      <w:r w:rsidRPr="00BA7FCF">
        <w:rPr>
          <w:rFonts w:cs="Times New Roman"/>
          <w:sz w:val="20"/>
          <w:szCs w:val="24"/>
          <w:lang w:val="en-MY"/>
        </w:rPr>
        <w:t xml:space="preserve"> Malaysia still has difficulties in managing and minimizing cyber threats effectively. One of the main problems faced is the lack of comprehensive and well-integrated cybersecurity policies, leading to inconsistent practices and unclear risk management processes. The absence of a structured and continuously updated cybersecurity framework limits an organization's ability to proactively respond to emerging threats. This issue had been observed in other public-sector entities, such as the incident of the 2017 Equifax data breach, where millions of people’s sensitive personal data were exposed due to the inadequate governance structures and outdated security controls (Equifax, 2017). This case supported the statement that weaknesses in policy enforcement and system governance can significantly increase organizational vulnerability.</w:t>
      </w:r>
    </w:p>
    <w:p w14:paraId="3635FBFF"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lastRenderedPageBreak/>
        <w:t>Inadequate cybersecurity training and low staff awareness also significantly increase organizational risks. Insufficient exposure to structured training programs increases the likelihood of human error, which becomes one of the most common causes of cybersecurity incidents. This statement could be supported by the Baltimore ransomware attack in 2019, which exemplified how a lack of preparedness and limited cybersecurity awareness among personnel can paralyse essential public services and result in significant financial and operational losses (Fabritius, 2019). Furthermore, a lack of leadership commitment to integrating cybersecurity into strategic planning weakens institutional resilience. This is because senior management always plays a critical role in setting objectives, allocating resources, and establishing a culture of security awareness throughout the organization.</w:t>
      </w:r>
    </w:p>
    <w:p w14:paraId="5011289F"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Besides, the increasing frequency of cyber threats ranging from unauthorized system access to malware attacks highlights the urgent need for a more structured and integrated approach to cybersecurity risk management within the context of MBSA. The absence of a comprehensive framework aligned with international standards such as ISO/IEC 27001 limits the organization's ability to protect important information assets and ensure continuity of public services.</w:t>
      </w:r>
    </w:p>
    <w:p w14:paraId="3D504470" w14:textId="62245FC8"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Despite plenty of studies on cybersecurity practices in private-sector organizations, empirical research examining organizational determinants of cyber risk within Malaysian local authorities is still insufficient (Herath &amp; Rao, 2009; </w:t>
      </w:r>
      <w:proofErr w:type="spellStart"/>
      <w:r w:rsidRPr="00BA7FCF">
        <w:rPr>
          <w:rFonts w:cs="Times New Roman"/>
          <w:sz w:val="20"/>
          <w:szCs w:val="24"/>
          <w:lang w:val="en-MY"/>
        </w:rPr>
        <w:t>Puhakainen</w:t>
      </w:r>
      <w:proofErr w:type="spellEnd"/>
      <w:r w:rsidRPr="00BA7FCF">
        <w:rPr>
          <w:rFonts w:cs="Times New Roman"/>
          <w:sz w:val="20"/>
          <w:szCs w:val="24"/>
          <w:lang w:val="en-MY"/>
        </w:rPr>
        <w:t xml:space="preserve"> &amp; Siponen, 2010). Most of the existing literature has concentrated on technological controls, with limited emphasis on governance-related factors, such as cybersecurity policies, staff training, and leadership commitment. Hence, this limitation suggests the need for context-specific empirical evidence to support effective cyber risk management within public sector institutions, particularly </w:t>
      </w:r>
      <w:r w:rsidR="006003C6">
        <w:rPr>
          <w:rFonts w:cs="Times New Roman"/>
          <w:sz w:val="20"/>
          <w:szCs w:val="24"/>
          <w:lang w:val="en-MY"/>
        </w:rPr>
        <w:t>MBSA.</w:t>
      </w:r>
    </w:p>
    <w:p w14:paraId="4B5E4D03"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Therefore, this study seeks to examine the organizational factors, namely cybersecurity policies, training, and leadership commitment, influencing cybersecurity risk management at MBSA and to suggest strategic improvements aimed at strengthening cyber resilience, enhancing governance structures, and ensuring sustainable and secure public service delivery by addressing governance gaps identified in public-sector cybersecurity practices. Given these gaps, this research wishes to examine the influence of Cybersecurity Policies (CP) towards Cyber Risk Occurrence (CRO), examine the influence of Cybersecurity Training </w:t>
      </w:r>
      <w:r w:rsidRPr="00BA7FCF">
        <w:rPr>
          <w:rFonts w:cs="Times New Roman"/>
          <w:sz w:val="20"/>
          <w:szCs w:val="24"/>
          <w:lang w:val="en-MY"/>
        </w:rPr>
        <w:lastRenderedPageBreak/>
        <w:t xml:space="preserve">(CT) towards Cyber Risk Occurrence (CRO), and lastly, </w:t>
      </w:r>
      <w:proofErr w:type="spellStart"/>
      <w:r w:rsidRPr="00BA7FCF">
        <w:rPr>
          <w:rFonts w:cs="Times New Roman"/>
          <w:sz w:val="20"/>
          <w:szCs w:val="24"/>
          <w:lang w:val="en-MY"/>
        </w:rPr>
        <w:t>analyze</w:t>
      </w:r>
      <w:proofErr w:type="spellEnd"/>
      <w:r w:rsidRPr="00BA7FCF">
        <w:rPr>
          <w:rFonts w:cs="Times New Roman"/>
          <w:sz w:val="20"/>
          <w:szCs w:val="24"/>
          <w:lang w:val="en-MY"/>
        </w:rPr>
        <w:t xml:space="preserve"> the influence of Leadership Commitment (LC) towards Cyber Risk Occurrence (CRO).</w:t>
      </w:r>
    </w:p>
    <w:p w14:paraId="7BBD3B23"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In order to answer the research questions, the study draws upon established theoretical perspectives, including risk management theory, institutional theory, human capital theory, and transformational leadership theory, to provide a comprehensive understanding of organizational responses to cyber risks (Herath &amp; Rao, 2009; </w:t>
      </w:r>
      <w:proofErr w:type="spellStart"/>
      <w:r w:rsidRPr="00BA7FCF">
        <w:rPr>
          <w:rFonts w:cs="Times New Roman"/>
          <w:sz w:val="20"/>
          <w:szCs w:val="24"/>
          <w:lang w:val="en-MY"/>
        </w:rPr>
        <w:t>Puhakainen</w:t>
      </w:r>
      <w:proofErr w:type="spellEnd"/>
      <w:r w:rsidRPr="00BA7FCF">
        <w:rPr>
          <w:rFonts w:cs="Times New Roman"/>
          <w:sz w:val="20"/>
          <w:szCs w:val="24"/>
          <w:lang w:val="en-MY"/>
        </w:rPr>
        <w:t xml:space="preserve"> &amp; Siponen, 2010; Traynor, 2025). These theories explain how organizational structures, employee capabilities, and leadership practices shape cybersecurity </w:t>
      </w:r>
      <w:proofErr w:type="spellStart"/>
      <w:r w:rsidRPr="00BA7FCF">
        <w:rPr>
          <w:rFonts w:cs="Times New Roman"/>
          <w:sz w:val="20"/>
          <w:szCs w:val="24"/>
          <w:lang w:val="en-MY"/>
        </w:rPr>
        <w:t>behavior</w:t>
      </w:r>
      <w:proofErr w:type="spellEnd"/>
      <w:r w:rsidRPr="00BA7FCF">
        <w:rPr>
          <w:rFonts w:cs="Times New Roman"/>
          <w:sz w:val="20"/>
          <w:szCs w:val="24"/>
          <w:lang w:val="en-MY"/>
        </w:rPr>
        <w:t xml:space="preserve"> and compliance. A quantitative research approach was adopted, with data collected through a structured questionnaire distributed among MBSA employees. Stratified random sampling and validated research instruments were used to examine employees’ perceptions of cybersecurity practices and organizational risk management. Previous studies, such as Saini and Raman (2025), and international frameworks, including ISO/IEC 27035 (Rapid7, 2017), were referenced to support the research design and analytical framework.</w:t>
      </w:r>
    </w:p>
    <w:p w14:paraId="25929FC2"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The next section provides a comprehensive review of existing literature related to cybersecurity risk management in organizational settings. It explores theoretical foundations to frame the study’s conceptual foundation and reviews empirical studies on cybersecurity policies, employee training, leadership commitment, and organizational preparedness, highlighting best practices and gaps in existing research. Global case studies, such as the Equifax breach (Amishav, 2024) and the Baltimore ransomware attack, are examined to demonstrate how governance failures and inadequate preparedness exacerbate cyber risks (Herath &amp; Rao, 2009; </w:t>
      </w:r>
      <w:proofErr w:type="spellStart"/>
      <w:r w:rsidRPr="00BA7FCF">
        <w:rPr>
          <w:rFonts w:cs="Times New Roman"/>
          <w:sz w:val="20"/>
          <w:szCs w:val="24"/>
          <w:lang w:val="en-MY"/>
        </w:rPr>
        <w:t>Puhakainen</w:t>
      </w:r>
      <w:proofErr w:type="spellEnd"/>
      <w:r w:rsidRPr="00BA7FCF">
        <w:rPr>
          <w:rFonts w:cs="Times New Roman"/>
          <w:sz w:val="20"/>
          <w:szCs w:val="24"/>
          <w:lang w:val="en-MY"/>
        </w:rPr>
        <w:t xml:space="preserve"> &amp; Siponen, 2010). It ultimately forms the conceptual framework and hypotheses that guide the empirical investigation.</w:t>
      </w:r>
    </w:p>
    <w:p w14:paraId="05079AA4" w14:textId="7D62628A"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Next, the rest of the paper is arranged as Section 3 outlines the research design and methodological approach adopted by discussing the quantitative research strategy employed, explaining the sampling strategy, population characteristics, data collection procedures, research instruments and measurement of variables, statistical tools for data analysis to test the study’s hypotheses, ethical considerations, and lastly, measures taken to ensure data validity and reliability. Section 4 presents and </w:t>
      </w:r>
      <w:proofErr w:type="spellStart"/>
      <w:r w:rsidRPr="00BA7FCF">
        <w:rPr>
          <w:rFonts w:cs="Times New Roman"/>
          <w:sz w:val="20"/>
          <w:szCs w:val="24"/>
          <w:lang w:val="en-MY"/>
        </w:rPr>
        <w:t>analyzes</w:t>
      </w:r>
      <w:proofErr w:type="spellEnd"/>
      <w:r w:rsidRPr="00BA7FCF">
        <w:rPr>
          <w:rFonts w:cs="Times New Roman"/>
          <w:sz w:val="20"/>
          <w:szCs w:val="24"/>
          <w:lang w:val="en-MY"/>
        </w:rPr>
        <w:t xml:space="preserve"> the empirical findings derived from the collected data by using descriptive statistics and inferential techniques to examine the relationships between organizational factors and cyber</w:t>
      </w:r>
      <w:r w:rsidR="001B25C6">
        <w:rPr>
          <w:rFonts w:cs="Times New Roman"/>
          <w:sz w:val="20"/>
          <w:szCs w:val="24"/>
          <w:lang w:val="en-MY"/>
        </w:rPr>
        <w:t xml:space="preserve"> </w:t>
      </w:r>
      <w:r w:rsidRPr="00BA7FCF">
        <w:rPr>
          <w:rFonts w:cs="Times New Roman"/>
          <w:sz w:val="20"/>
          <w:szCs w:val="24"/>
          <w:lang w:val="en-MY"/>
        </w:rPr>
        <w:t xml:space="preserve">risk occurrences. The findings are interpreted in relation to the study’s hypotheses and supported by </w:t>
      </w:r>
      <w:r w:rsidRPr="00BA7FCF">
        <w:rPr>
          <w:rFonts w:cs="Times New Roman"/>
          <w:sz w:val="20"/>
          <w:szCs w:val="24"/>
          <w:lang w:val="en-MY"/>
        </w:rPr>
        <w:lastRenderedPageBreak/>
        <w:t>comparisons with prior research and documented cyber incidents. Last but not least, Section 5 synthesizes the study’s findings and discusses their implications for theory and practice. It evaluates how organizational factors contribute to effective cyber risk management within MBSA and outlines the implications for policymakers, practitioners, and future researchers. Recommendations are provided, and it concludes by highlighting the study’s contributions to knowledge, acknowledging its limitations, and suggesting directions for future research to further strengthen cybersecurity resilience in public sector institutions.</w:t>
      </w:r>
    </w:p>
    <w:p w14:paraId="08D2D81A" w14:textId="77777777" w:rsidR="00D61C93" w:rsidRPr="00BA7FCF" w:rsidRDefault="00D61C93" w:rsidP="00BA7FCF">
      <w:pPr>
        <w:spacing w:after="0" w:line="276" w:lineRule="auto"/>
        <w:jc w:val="both"/>
        <w:rPr>
          <w:rFonts w:eastAsia="Palatino Linotype"/>
          <w:bCs/>
          <w:sz w:val="22"/>
          <w:szCs w:val="28"/>
          <w:lang w:val="en-MY"/>
        </w:rPr>
      </w:pPr>
    </w:p>
    <w:p w14:paraId="3EAF0DAA" w14:textId="77777777" w:rsidR="00C2416F" w:rsidRPr="00AA50DB" w:rsidRDefault="00C2416F" w:rsidP="007A0E5E">
      <w:pPr>
        <w:spacing w:after="120" w:line="276" w:lineRule="auto"/>
        <w:jc w:val="both"/>
        <w:rPr>
          <w:rFonts w:eastAsia="Palatino Linotype"/>
          <w:b/>
          <w:sz w:val="20"/>
          <w:szCs w:val="20"/>
          <w:lang w:val="en-US"/>
        </w:rPr>
      </w:pPr>
      <w:r w:rsidRPr="00AA50DB">
        <w:rPr>
          <w:rFonts w:eastAsia="Palatino Linotype"/>
          <w:b/>
          <w:sz w:val="20"/>
          <w:szCs w:val="20"/>
          <w:lang w:val="en-US"/>
        </w:rPr>
        <w:t>II. LITERATURE REVIEW</w:t>
      </w:r>
    </w:p>
    <w:p w14:paraId="1B89545E" w14:textId="4612B4C6" w:rsidR="00D6506D" w:rsidRPr="00BA7FCF" w:rsidRDefault="00D6506D" w:rsidP="00BA7FCF">
      <w:pPr>
        <w:spacing w:after="0" w:line="276" w:lineRule="auto"/>
        <w:jc w:val="both"/>
        <w:rPr>
          <w:rFonts w:cs="Times New Roman"/>
          <w:sz w:val="20"/>
          <w:szCs w:val="24"/>
          <w:lang w:val="en-MY"/>
        </w:rPr>
      </w:pPr>
      <w:r w:rsidRPr="00BA7FCF">
        <w:rPr>
          <w:rFonts w:cs="Times New Roman"/>
          <w:sz w:val="20"/>
          <w:szCs w:val="24"/>
          <w:lang w:val="en-MY"/>
        </w:rPr>
        <w:t xml:space="preserve">This section studies how cybersecurity policies, employee awareness, and government support can prevent, cause, and counter cyber risks through focusing on local authorities such as </w:t>
      </w:r>
      <w:r w:rsidR="006003C6">
        <w:rPr>
          <w:rFonts w:cs="Times New Roman"/>
          <w:sz w:val="20"/>
          <w:szCs w:val="24"/>
          <w:lang w:val="en-MY"/>
        </w:rPr>
        <w:t>MBSA.</w:t>
      </w:r>
      <w:r w:rsidRPr="00BA7FCF">
        <w:rPr>
          <w:rFonts w:cs="Times New Roman"/>
          <w:sz w:val="20"/>
          <w:szCs w:val="24"/>
          <w:lang w:val="en-MY"/>
        </w:rPr>
        <w:t xml:space="preserve"> The first key factor under consideration is cybersecurity policies. These policies are formally defined rules, methods, and protocols to assist the organization in reducing its exposure to the cyber threat. Gupta and </w:t>
      </w:r>
      <w:proofErr w:type="spellStart"/>
      <w:r w:rsidRPr="00BA7FCF">
        <w:rPr>
          <w:rFonts w:cs="Times New Roman"/>
          <w:sz w:val="20"/>
          <w:szCs w:val="24"/>
          <w:lang w:val="en-MY"/>
        </w:rPr>
        <w:t>Remella</w:t>
      </w:r>
      <w:proofErr w:type="spellEnd"/>
      <w:r w:rsidRPr="00BA7FCF">
        <w:rPr>
          <w:rFonts w:cs="Times New Roman"/>
          <w:sz w:val="20"/>
          <w:szCs w:val="24"/>
          <w:lang w:val="en-MY"/>
        </w:rPr>
        <w:t xml:space="preserve"> (2025) mentioned that an organization’s risk management framework must have well-defined and enforceable standards that ensure consistency and clarity in the way cyber threats are addressed. Chong et al. (2022) further emphasized the need for comprehensive policy development to protect digital infrastructures, particularly within urban settings.</w:t>
      </w:r>
    </w:p>
    <w:p w14:paraId="7E76599D"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Next, empirical studies consistently indicate that cybersecurity training functions as a primary human-risk mitigation tool; nevertheless, its effectiveness relies on organizational governance support and leadership engagement. Past studies mentioned that periodic training programs are important in helping to prevent human error, which is one of the main causes of cyber incidents (Goswami et al., 2023; Aliane &amp; Zakariya, 2023). However, these training programs are inadequate at MBSA, resulting in a workforce unprepared to tackle emerging cyber threats and hence creating more harms against the organization. Similarly, </w:t>
      </w:r>
      <w:proofErr w:type="spellStart"/>
      <w:r w:rsidRPr="00BA7FCF">
        <w:rPr>
          <w:rFonts w:cs="Times New Roman"/>
          <w:sz w:val="20"/>
          <w:szCs w:val="24"/>
          <w:lang w:val="en-MY"/>
        </w:rPr>
        <w:t>Puhakainen</w:t>
      </w:r>
      <w:proofErr w:type="spellEnd"/>
      <w:r w:rsidRPr="00BA7FCF">
        <w:rPr>
          <w:rFonts w:cs="Times New Roman"/>
          <w:sz w:val="20"/>
          <w:szCs w:val="24"/>
          <w:lang w:val="en-MY"/>
        </w:rPr>
        <w:t xml:space="preserve"> and Siponen (2010) highlighted training effectiveness in public institutions.</w:t>
      </w:r>
    </w:p>
    <w:p w14:paraId="1D58C71C"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Besides, commitment to leadership significantly affects an organization's culture toward cybersecurity. </w:t>
      </w:r>
      <w:proofErr w:type="spellStart"/>
      <w:r w:rsidRPr="00BA7FCF">
        <w:rPr>
          <w:rFonts w:cs="Times New Roman"/>
          <w:sz w:val="20"/>
          <w:szCs w:val="24"/>
          <w:lang w:val="en-MY"/>
        </w:rPr>
        <w:t>Sarumi</w:t>
      </w:r>
      <w:proofErr w:type="spellEnd"/>
      <w:r w:rsidRPr="00BA7FCF">
        <w:rPr>
          <w:rFonts w:cs="Times New Roman"/>
          <w:sz w:val="20"/>
          <w:szCs w:val="24"/>
          <w:lang w:val="en-MY"/>
        </w:rPr>
        <w:t xml:space="preserve"> and Abdul-Raheem (2022) mentioned that leadership involvement positively contributes to good cybersecurity strategy formulation. Herath and Rao (2009) also emphasized that leadership influences both policy compliance and cultural change in safeguarding organizational assets.</w:t>
      </w:r>
    </w:p>
    <w:p w14:paraId="71DB4660"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lastRenderedPageBreak/>
        <w:t>In summary, the independent variables of cyber risk occurrence are related to how quickly and frequently cyber incidents happen, as well as the way organizations run and maintain stability. The studies pointed out that companies focusing on cybersecurity rules, staff training, and growing leaders are also better able to reduce the likelihood and effects of cyberattacks.</w:t>
      </w:r>
    </w:p>
    <w:p w14:paraId="0427BC7A"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w:t>
      </w:r>
    </w:p>
    <w:p w14:paraId="03764182" w14:textId="77777777" w:rsidR="00D6506D" w:rsidRPr="00BA7FCF" w:rsidRDefault="00D6506D" w:rsidP="00D6506D">
      <w:pPr>
        <w:spacing w:after="120" w:line="276" w:lineRule="auto"/>
        <w:jc w:val="both"/>
        <w:rPr>
          <w:rFonts w:cs="Times New Roman"/>
          <w:b/>
          <w:bCs/>
          <w:sz w:val="20"/>
          <w:szCs w:val="24"/>
          <w:lang w:val="en-MY"/>
        </w:rPr>
      </w:pPr>
      <w:r w:rsidRPr="00BA7FCF">
        <w:rPr>
          <w:rFonts w:cs="Times New Roman"/>
          <w:b/>
          <w:bCs/>
          <w:sz w:val="20"/>
          <w:szCs w:val="24"/>
          <w:lang w:val="en-MY"/>
        </w:rPr>
        <w:t>2.1. Theoretical Framework</w:t>
      </w:r>
    </w:p>
    <w:p w14:paraId="6ABBB9A4" w14:textId="77777777" w:rsidR="00D6506D" w:rsidRPr="00BA7FCF" w:rsidRDefault="00D6506D" w:rsidP="00BA7FCF">
      <w:pPr>
        <w:spacing w:after="0" w:line="276" w:lineRule="auto"/>
        <w:jc w:val="both"/>
        <w:rPr>
          <w:rFonts w:cs="Times New Roman"/>
          <w:sz w:val="20"/>
          <w:szCs w:val="24"/>
          <w:lang w:val="en-MY"/>
        </w:rPr>
      </w:pPr>
      <w:r w:rsidRPr="00BA7FCF">
        <w:rPr>
          <w:rFonts w:cs="Times New Roman"/>
          <w:sz w:val="20"/>
          <w:szCs w:val="24"/>
          <w:lang w:val="en-MY"/>
        </w:rPr>
        <w:t>Risk management theory provides the principal theoretical foundation in this study because it integrates governance, behavioral, and structural controls, enabling a holistic examination of cyber risk management beyond purely technical safeguards (ISO, 2018). This theory could help to explain the core dependent variable under investigation, namely cyber risk occurrence, and integrates all key independent variables, including cybersecurity policies, training, and leadership.</w:t>
      </w:r>
    </w:p>
    <w:p w14:paraId="3ECDC93B" w14:textId="24A2DE4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Risk management theory offers a structured and systematic approach to identifying, assessing, and mitigating risks that may affect organizational objectives. In terms of cybersecurity, the theory emphasizes proactive risk identification, continuous assessment, and the implementation of appropriate controls to lessen the probability and impacts of cyber incidents (ISO, 2018). By referring to ISO/IEC 27001, risk management is an ongoing process that incorporates risk identification, risk analysis, risk evaluation, and risk treatment, all of which are critical for managing cyber threats in complex organizational environments (ISO, 2018). Thus, this theory is especially important for public sector organizations such as </w:t>
      </w:r>
      <w:r w:rsidR="006003C6">
        <w:rPr>
          <w:rFonts w:cs="Times New Roman"/>
          <w:sz w:val="20"/>
          <w:szCs w:val="24"/>
          <w:lang w:val="en-MY"/>
        </w:rPr>
        <w:t>MBSA</w:t>
      </w:r>
      <w:r w:rsidRPr="00BA7FCF">
        <w:rPr>
          <w:rFonts w:cs="Times New Roman"/>
          <w:sz w:val="20"/>
          <w:szCs w:val="24"/>
          <w:lang w:val="en-MY"/>
        </w:rPr>
        <w:t xml:space="preserve"> due to the critical nature of public data, essential service delivery, and the high expectations of accountability and governance. This focus aligns closely with the research objectives of understanding how MBSA manages cyber risks, particularly through its policies, training, and leadership. The theory’s framework supports the investigation of how these different factors contribute to or hinder effective cyber risk management.</w:t>
      </w:r>
    </w:p>
    <w:p w14:paraId="77ADB18D"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From a cybersecurity perspective, risk management theory explains effective cybersecurity policies serve as preventive controls by defining acceptable </w:t>
      </w:r>
      <w:proofErr w:type="spellStart"/>
      <w:r w:rsidRPr="00BA7FCF">
        <w:rPr>
          <w:rFonts w:cs="Times New Roman"/>
          <w:sz w:val="20"/>
          <w:szCs w:val="24"/>
          <w:lang w:val="en-MY"/>
        </w:rPr>
        <w:t>behavior</w:t>
      </w:r>
      <w:proofErr w:type="spellEnd"/>
      <w:r w:rsidRPr="00BA7FCF">
        <w:rPr>
          <w:rFonts w:cs="Times New Roman"/>
          <w:sz w:val="20"/>
          <w:szCs w:val="24"/>
          <w:lang w:val="en-MY"/>
        </w:rPr>
        <w:t xml:space="preserve">, clarifying roles and responsibilities, and establishing standardized procedures for incident response (ISO, 2018). Organizations with well-integrated risk management policies experience lower frequencies of cyber incidents and faster recovery times (Herath &amp; Rao, 2009; Gupta &amp; </w:t>
      </w:r>
      <w:proofErr w:type="spellStart"/>
      <w:r w:rsidRPr="00BA7FCF">
        <w:rPr>
          <w:rFonts w:cs="Times New Roman"/>
          <w:sz w:val="20"/>
          <w:szCs w:val="24"/>
          <w:lang w:val="en-MY"/>
        </w:rPr>
        <w:t>Remella</w:t>
      </w:r>
      <w:proofErr w:type="spellEnd"/>
      <w:r w:rsidRPr="00BA7FCF">
        <w:rPr>
          <w:rFonts w:cs="Times New Roman"/>
          <w:sz w:val="20"/>
          <w:szCs w:val="24"/>
          <w:lang w:val="en-MY"/>
        </w:rPr>
        <w:t>, 2025). In contrast, as evidenced by the Equifax data breach of 2017, weak or fragmented policies increase exposure to cyber risks (Equifax, 2017).</w:t>
      </w:r>
    </w:p>
    <w:p w14:paraId="5D81553F"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lastRenderedPageBreak/>
        <w:t>Moreover, risk management theory also highlights the role of human factors in shaping cyber risk outcomes, which aligns closely with the inclusion of cybersecurity training as a key independent variable in this study (ISO, 2018). The theory acknowledges that risks arise from human error, lack of awareness, and insufficient competencies (ISO, 2018). Past studies indicated that continuous cybersecurity training significantly reduces risk exposure by improving employees’ ability to recognize threats such as phishing, malware, and social engineering attacks (</w:t>
      </w:r>
      <w:proofErr w:type="spellStart"/>
      <w:r w:rsidRPr="00BA7FCF">
        <w:rPr>
          <w:rFonts w:cs="Times New Roman"/>
          <w:sz w:val="20"/>
          <w:szCs w:val="24"/>
          <w:lang w:val="en-MY"/>
        </w:rPr>
        <w:t>Puhakainen</w:t>
      </w:r>
      <w:proofErr w:type="spellEnd"/>
      <w:r w:rsidRPr="00BA7FCF">
        <w:rPr>
          <w:rFonts w:cs="Times New Roman"/>
          <w:sz w:val="20"/>
          <w:szCs w:val="24"/>
          <w:lang w:val="en-MY"/>
        </w:rPr>
        <w:t xml:space="preserve"> &amp; Siponen, 2010; Goswami et al., 2023).</w:t>
      </w:r>
    </w:p>
    <w:p w14:paraId="45B048CC"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Furthermore, this theory emphasizes the importance of leadership commitment in ensuring the effectiveness of risk management frameworks. Leadership plays a central role in risk governance by setting risk appetite, allocating resources, and embedding risk management into organizational strategy (ISO, 2018). By promoting a culture of accountability and continuous improvement, transformational and risk-aware leadership strengthens cybersecurity resilience (</w:t>
      </w:r>
      <w:proofErr w:type="spellStart"/>
      <w:r w:rsidRPr="00BA7FCF">
        <w:rPr>
          <w:rFonts w:cs="Times New Roman"/>
          <w:sz w:val="20"/>
          <w:szCs w:val="24"/>
          <w:lang w:val="en-MY"/>
        </w:rPr>
        <w:t>Sarumi</w:t>
      </w:r>
      <w:proofErr w:type="spellEnd"/>
      <w:r w:rsidRPr="00BA7FCF">
        <w:rPr>
          <w:rFonts w:cs="Times New Roman"/>
          <w:sz w:val="20"/>
          <w:szCs w:val="24"/>
          <w:lang w:val="en-MY"/>
        </w:rPr>
        <w:t xml:space="preserve"> &amp; Abdul-Raheem, 2022). In the public sector, such as MBSA, strong leadership commitment ensures that cybersecurity is viewed as an enterprise-wide risk management priority rather than just a technical problem.</w:t>
      </w:r>
    </w:p>
    <w:p w14:paraId="16E59E11" w14:textId="77777777" w:rsidR="00D6506D"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In sum, by applying risk management theory, this study provides a comprehensive framework to examine how policies, training, and leadership interact to influence cyber risk occurrence within Malaysian local authorities. Based on risk management theory, cybersecurity policies function as preventive controls, training serves as a human-risk mitigation mechanism, and leadership provides governance oversight. Risk management theory thus brings together all of these elements under one umbrella and provides a consolidated understanding of how organizational factors interact in the management of cybersecurity risks.</w:t>
      </w:r>
    </w:p>
    <w:p w14:paraId="0DC36BEC" w14:textId="77777777" w:rsidR="006003C6" w:rsidRDefault="006003C6" w:rsidP="00BA7FCF">
      <w:pPr>
        <w:spacing w:after="0" w:line="276" w:lineRule="auto"/>
        <w:ind w:firstLine="709"/>
        <w:jc w:val="both"/>
        <w:rPr>
          <w:rFonts w:cs="Times New Roman"/>
          <w:sz w:val="20"/>
          <w:szCs w:val="24"/>
          <w:lang w:val="en-MY"/>
        </w:rPr>
      </w:pPr>
    </w:p>
    <w:p w14:paraId="08622F13" w14:textId="77777777" w:rsidR="006003C6" w:rsidRPr="00BA7FCF" w:rsidRDefault="006003C6" w:rsidP="00BA7FCF">
      <w:pPr>
        <w:spacing w:after="0" w:line="276" w:lineRule="auto"/>
        <w:ind w:firstLine="709"/>
        <w:jc w:val="both"/>
        <w:rPr>
          <w:rFonts w:cs="Times New Roman"/>
          <w:sz w:val="20"/>
          <w:szCs w:val="24"/>
          <w:lang w:val="en-MY"/>
        </w:rPr>
      </w:pPr>
    </w:p>
    <w:p w14:paraId="01EDB17F"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w:t>
      </w:r>
    </w:p>
    <w:p w14:paraId="16BEF4E9" w14:textId="77777777" w:rsidR="00D6506D" w:rsidRPr="00BA7FCF" w:rsidRDefault="00D6506D" w:rsidP="00D6506D">
      <w:pPr>
        <w:spacing w:after="120" w:line="276" w:lineRule="auto"/>
        <w:jc w:val="both"/>
        <w:rPr>
          <w:rFonts w:cs="Times New Roman"/>
          <w:b/>
          <w:bCs/>
          <w:sz w:val="20"/>
          <w:szCs w:val="24"/>
          <w:lang w:val="en-MY"/>
        </w:rPr>
      </w:pPr>
      <w:r w:rsidRPr="00BA7FCF">
        <w:rPr>
          <w:rFonts w:cs="Times New Roman"/>
          <w:b/>
          <w:bCs/>
          <w:sz w:val="20"/>
          <w:szCs w:val="24"/>
          <w:lang w:val="en-MY"/>
        </w:rPr>
        <w:t>2.2. Cyber Risk Policy and Cyber Risk Occurrence</w:t>
      </w:r>
    </w:p>
    <w:p w14:paraId="36C642B9" w14:textId="77777777" w:rsidR="00D6506D" w:rsidRPr="00BA7FCF" w:rsidRDefault="00D6506D" w:rsidP="00BA7FCF">
      <w:pPr>
        <w:spacing w:after="0" w:line="276" w:lineRule="auto"/>
        <w:jc w:val="both"/>
        <w:rPr>
          <w:rFonts w:cs="Times New Roman"/>
          <w:sz w:val="20"/>
          <w:szCs w:val="24"/>
          <w:lang w:val="en-MY"/>
        </w:rPr>
      </w:pPr>
      <w:r w:rsidRPr="00BA7FCF">
        <w:rPr>
          <w:rFonts w:cs="Times New Roman"/>
          <w:sz w:val="20"/>
          <w:szCs w:val="24"/>
          <w:lang w:val="en-MY"/>
        </w:rPr>
        <w:t xml:space="preserve">In this research, policy, which consists of formal rules, guidelines, and protocols for handling risk associated with cybersecurity in an organization, is one of the independent variables. These policies are important to make sure that actions and responsibilities are in fact clearly defined and consistently follow the structure of the entire approach to risk management. The concept of policy is rooted in institutional theory, which looks at how organizations formalize their structures and practices to align with external demands or risks (Gupta &amp; </w:t>
      </w:r>
      <w:proofErr w:type="spellStart"/>
      <w:r w:rsidRPr="00BA7FCF">
        <w:rPr>
          <w:rFonts w:cs="Times New Roman"/>
          <w:sz w:val="20"/>
          <w:szCs w:val="24"/>
          <w:lang w:val="en-MY"/>
        </w:rPr>
        <w:t>Remella</w:t>
      </w:r>
      <w:proofErr w:type="spellEnd"/>
      <w:r w:rsidRPr="00BA7FCF">
        <w:rPr>
          <w:rFonts w:cs="Times New Roman"/>
          <w:sz w:val="20"/>
          <w:szCs w:val="24"/>
          <w:lang w:val="en-MY"/>
        </w:rPr>
        <w:t xml:space="preserve">, 2025; </w:t>
      </w:r>
      <w:r w:rsidRPr="00BA7FCF">
        <w:rPr>
          <w:rFonts w:cs="Times New Roman"/>
          <w:sz w:val="20"/>
          <w:szCs w:val="24"/>
          <w:lang w:val="en-MY"/>
        </w:rPr>
        <w:lastRenderedPageBreak/>
        <w:t xml:space="preserve">Chong et al., 2022). This theory suggests that when actual policies are put into practice, they provide organizations with a framework to address potential threats while also ensuring that cybersecurity measures are consistently applied (Gupta &amp; </w:t>
      </w:r>
      <w:proofErr w:type="spellStart"/>
      <w:r w:rsidRPr="00BA7FCF">
        <w:rPr>
          <w:rFonts w:cs="Times New Roman"/>
          <w:sz w:val="20"/>
          <w:szCs w:val="24"/>
          <w:lang w:val="en-MY"/>
        </w:rPr>
        <w:t>Remella</w:t>
      </w:r>
      <w:proofErr w:type="spellEnd"/>
      <w:r w:rsidRPr="00BA7FCF">
        <w:rPr>
          <w:rFonts w:cs="Times New Roman"/>
          <w:sz w:val="20"/>
          <w:szCs w:val="24"/>
          <w:lang w:val="en-MY"/>
        </w:rPr>
        <w:t>, 2025; Chong et al., 2022).</w:t>
      </w:r>
    </w:p>
    <w:p w14:paraId="6EFA86E6"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Risk management theory emphasized that structured governance systems reduce uncertainty and improve risk control effectiveness (ISO, 2018). Institutional theory further suggested that organizational legitimacy and compliance </w:t>
      </w:r>
      <w:proofErr w:type="spellStart"/>
      <w:r w:rsidRPr="00BA7FCF">
        <w:rPr>
          <w:rFonts w:cs="Times New Roman"/>
          <w:sz w:val="20"/>
          <w:szCs w:val="24"/>
          <w:lang w:val="en-MY"/>
        </w:rPr>
        <w:t>behaviors</w:t>
      </w:r>
      <w:proofErr w:type="spellEnd"/>
      <w:r w:rsidRPr="00BA7FCF">
        <w:rPr>
          <w:rFonts w:cs="Times New Roman"/>
          <w:sz w:val="20"/>
          <w:szCs w:val="24"/>
          <w:lang w:val="en-MY"/>
        </w:rPr>
        <w:t xml:space="preserve"> could be enhanced through formalized policies (Gupta &amp; </w:t>
      </w:r>
      <w:proofErr w:type="spellStart"/>
      <w:r w:rsidRPr="00BA7FCF">
        <w:rPr>
          <w:rFonts w:cs="Times New Roman"/>
          <w:sz w:val="20"/>
          <w:szCs w:val="24"/>
          <w:lang w:val="en-MY"/>
        </w:rPr>
        <w:t>Remella</w:t>
      </w:r>
      <w:proofErr w:type="spellEnd"/>
      <w:r w:rsidRPr="00BA7FCF">
        <w:rPr>
          <w:rFonts w:cs="Times New Roman"/>
          <w:sz w:val="20"/>
          <w:szCs w:val="24"/>
          <w:lang w:val="en-MY"/>
        </w:rPr>
        <w:t>, 2025). Empirical evidence indicated that organizations with well-documented and implemented cybersecurity policies report fewer incidents and better response coordination (Chong et al., 2022). Real-world incidents such as the NHS WannaCry ransomware attack demonstrated how scattered and inconsistent policies contributed to operational disruption at several hospitals (NAO, 2018). These prior studies supported that strong and integrated cybersecurity policies reduce cyber risk exposure. Therefore, the following hypothesis is proposed:</w:t>
      </w:r>
    </w:p>
    <w:p w14:paraId="1C1621A3" w14:textId="77777777" w:rsidR="00D6506D" w:rsidRPr="00BA7FCF" w:rsidRDefault="00D6506D" w:rsidP="00BA7FCF">
      <w:pPr>
        <w:spacing w:after="0" w:line="276" w:lineRule="auto"/>
        <w:ind w:firstLine="709"/>
        <w:jc w:val="both"/>
        <w:rPr>
          <w:rFonts w:cs="Times New Roman"/>
          <w:i/>
          <w:iCs/>
          <w:sz w:val="20"/>
          <w:szCs w:val="24"/>
          <w:lang w:val="en-MY"/>
        </w:rPr>
      </w:pPr>
      <w:r w:rsidRPr="00BA7FCF">
        <w:rPr>
          <w:rFonts w:cs="Times New Roman"/>
          <w:i/>
          <w:iCs/>
          <w:sz w:val="20"/>
          <w:szCs w:val="24"/>
          <w:lang w:val="en-MY"/>
        </w:rPr>
        <w:t>H1: Cybersecurity policies significantly reduce cyber risk occurrence at MBSA.</w:t>
      </w:r>
    </w:p>
    <w:p w14:paraId="18153C44" w14:textId="77777777" w:rsidR="00D6506D" w:rsidRPr="00BA7FCF" w:rsidRDefault="00D6506D" w:rsidP="00BA7FCF">
      <w:pPr>
        <w:spacing w:after="0" w:line="276" w:lineRule="auto"/>
        <w:ind w:firstLine="709"/>
        <w:jc w:val="both"/>
        <w:rPr>
          <w:rFonts w:cs="Times New Roman"/>
          <w:sz w:val="20"/>
          <w:szCs w:val="24"/>
          <w:lang w:val="en-MY"/>
        </w:rPr>
      </w:pPr>
    </w:p>
    <w:p w14:paraId="01B5AC36" w14:textId="77777777" w:rsidR="00D6506D" w:rsidRPr="00BA7FCF" w:rsidRDefault="00D6506D" w:rsidP="00D6506D">
      <w:pPr>
        <w:spacing w:after="120" w:line="276" w:lineRule="auto"/>
        <w:jc w:val="both"/>
        <w:rPr>
          <w:rFonts w:cs="Times New Roman"/>
          <w:b/>
          <w:bCs/>
          <w:sz w:val="20"/>
          <w:szCs w:val="24"/>
          <w:lang w:val="en-MY"/>
        </w:rPr>
      </w:pPr>
      <w:r w:rsidRPr="00BA7FCF">
        <w:rPr>
          <w:rFonts w:cs="Times New Roman"/>
          <w:b/>
          <w:bCs/>
          <w:sz w:val="20"/>
          <w:szCs w:val="24"/>
          <w:lang w:val="en-MY"/>
        </w:rPr>
        <w:t>2.3. Cyber Risk Training and Cyber Risk Occurrence</w:t>
      </w:r>
    </w:p>
    <w:p w14:paraId="319C4D3D" w14:textId="77777777" w:rsidR="00D6506D" w:rsidRPr="00BA7FCF" w:rsidRDefault="00D6506D" w:rsidP="00BA7FCF">
      <w:pPr>
        <w:spacing w:after="0" w:line="276" w:lineRule="auto"/>
        <w:jc w:val="both"/>
        <w:rPr>
          <w:rFonts w:cs="Times New Roman"/>
          <w:sz w:val="20"/>
          <w:szCs w:val="24"/>
          <w:lang w:val="en-MY"/>
        </w:rPr>
      </w:pPr>
      <w:r w:rsidRPr="00BA7FCF">
        <w:rPr>
          <w:rFonts w:cs="Times New Roman"/>
          <w:sz w:val="20"/>
          <w:szCs w:val="24"/>
          <w:lang w:val="en-MY"/>
        </w:rPr>
        <w:t xml:space="preserve">The second independent variable is cyber risk training, which refers to the process whereby employees are educated concerning possible cybersecurity risks and equipped with the necessary skills to identify and deal with risks. In human capital theory, knowledge and </w:t>
      </w:r>
      <w:proofErr w:type="spellStart"/>
      <w:r w:rsidRPr="00BA7FCF">
        <w:rPr>
          <w:rFonts w:cs="Times New Roman"/>
          <w:sz w:val="20"/>
          <w:szCs w:val="24"/>
          <w:lang w:val="en-MY"/>
        </w:rPr>
        <w:t>skillful</w:t>
      </w:r>
      <w:proofErr w:type="spellEnd"/>
      <w:r w:rsidRPr="00BA7FCF">
        <w:rPr>
          <w:rFonts w:cs="Times New Roman"/>
          <w:sz w:val="20"/>
          <w:szCs w:val="24"/>
          <w:lang w:val="en-MY"/>
        </w:rPr>
        <w:t xml:space="preserve"> employees are the foundation for reducing operational risks and increasing the overall strength of the organization (Goswami et al., 2023; Aliane &amp; Zakariya, 2023). If the training provided is frequent and relevant, employees will be better at countering new threats and therefore will reduce the probability of undesirable </w:t>
      </w:r>
      <w:proofErr w:type="spellStart"/>
      <w:r w:rsidRPr="00BA7FCF">
        <w:rPr>
          <w:rFonts w:cs="Times New Roman"/>
          <w:sz w:val="20"/>
          <w:szCs w:val="24"/>
          <w:lang w:val="en-MY"/>
        </w:rPr>
        <w:t>behaviors</w:t>
      </w:r>
      <w:proofErr w:type="spellEnd"/>
      <w:r w:rsidRPr="00BA7FCF">
        <w:rPr>
          <w:rFonts w:cs="Times New Roman"/>
          <w:sz w:val="20"/>
          <w:szCs w:val="24"/>
          <w:lang w:val="en-MY"/>
        </w:rPr>
        <w:t xml:space="preserve"> and cyber incidents caused by a lack of awareness.</w:t>
      </w:r>
    </w:p>
    <w:p w14:paraId="544BEACA"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Besides, human capital theory illustrated that employee knowledge and competencies are critical resources for mitigating operational risks (Becker, 1993). Training could enhance employees’ ability to recognize and respond to threats such as phishing and malware attacks within cybersecurity contexts (Becker, 1993). Past research also mentioned that training serves as a preventive control mechanism through reducing cognitive and behavioral vulnerabilities, thereby lowering the probability of human-related cyber incidents (Parsons et al., 2017; ENISA, 2022). Similarly, structured and continuous training programs significantly reduce human-related cyber incidents (Goswami et al., 2023; Aliane </w:t>
      </w:r>
      <w:r w:rsidRPr="00BA7FCF">
        <w:rPr>
          <w:rFonts w:cs="Times New Roman"/>
          <w:sz w:val="20"/>
          <w:szCs w:val="24"/>
          <w:lang w:val="en-MY"/>
        </w:rPr>
        <w:lastRenderedPageBreak/>
        <w:t>&amp; Zakariya, 2023). Furthermore, the 2018 City of Atlanta ransomware attack further explained how insufficient employee preparedness contributed to widespread service disruption (U.S. Department of Justice, 2018). These findings suggested that systematic cybersecurity training could reduce cyber risk occurrences. Thus, the hypothesis statement is:</w:t>
      </w:r>
    </w:p>
    <w:p w14:paraId="7F7B18C0"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i/>
          <w:iCs/>
          <w:sz w:val="20"/>
          <w:szCs w:val="24"/>
          <w:lang w:val="en-MY"/>
        </w:rPr>
        <w:t>H2: Cybersecurity training significantly reduces cyber risk occurrence at MBSA.</w:t>
      </w:r>
    </w:p>
    <w:p w14:paraId="307187FE"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w:t>
      </w:r>
    </w:p>
    <w:p w14:paraId="0E7AFA10" w14:textId="77777777" w:rsidR="00D6506D" w:rsidRPr="00BA7FCF" w:rsidRDefault="00D6506D" w:rsidP="00D6506D">
      <w:pPr>
        <w:spacing w:after="120" w:line="276" w:lineRule="auto"/>
        <w:jc w:val="both"/>
        <w:rPr>
          <w:rFonts w:cs="Times New Roman"/>
          <w:b/>
          <w:bCs/>
          <w:sz w:val="20"/>
          <w:szCs w:val="24"/>
          <w:lang w:val="en-MY"/>
        </w:rPr>
      </w:pPr>
      <w:r w:rsidRPr="00BA7FCF">
        <w:rPr>
          <w:rFonts w:cs="Times New Roman"/>
          <w:b/>
          <w:bCs/>
          <w:sz w:val="20"/>
          <w:szCs w:val="24"/>
          <w:lang w:val="en-MY"/>
        </w:rPr>
        <w:t>2.4. Leadership Commitment and Cyber Risk Occurrence</w:t>
      </w:r>
    </w:p>
    <w:p w14:paraId="1ED7E2AD" w14:textId="77777777" w:rsidR="00D6506D" w:rsidRPr="00BA7FCF" w:rsidRDefault="00D6506D" w:rsidP="00BA7FCF">
      <w:pPr>
        <w:spacing w:after="0" w:line="276" w:lineRule="auto"/>
        <w:jc w:val="both"/>
        <w:rPr>
          <w:rFonts w:cs="Times New Roman"/>
          <w:sz w:val="20"/>
          <w:szCs w:val="24"/>
          <w:lang w:val="en-MY"/>
        </w:rPr>
      </w:pPr>
      <w:r w:rsidRPr="00BA7FCF">
        <w:rPr>
          <w:rFonts w:cs="Times New Roman"/>
          <w:sz w:val="20"/>
          <w:szCs w:val="24"/>
          <w:lang w:val="en-MY"/>
        </w:rPr>
        <w:t>The third independent variable is leadership commitment, which explains the role of top management in the prioritization of cybersecurity concerns, resource allocation for risk management, and promoting security awareness across the organization. The theory of transformational leadership emphasized how engaged and visionary leadership could encourage organizational change for the implementation of strong cybersecurity practices (</w:t>
      </w:r>
      <w:proofErr w:type="spellStart"/>
      <w:r w:rsidRPr="00BA7FCF">
        <w:rPr>
          <w:rFonts w:cs="Times New Roman"/>
          <w:sz w:val="20"/>
          <w:szCs w:val="24"/>
          <w:lang w:val="en-MY"/>
        </w:rPr>
        <w:t>Sarumi</w:t>
      </w:r>
      <w:proofErr w:type="spellEnd"/>
      <w:r w:rsidRPr="00BA7FCF">
        <w:rPr>
          <w:rFonts w:cs="Times New Roman"/>
          <w:sz w:val="20"/>
          <w:szCs w:val="24"/>
          <w:lang w:val="en-MY"/>
        </w:rPr>
        <w:t xml:space="preserve"> &amp; Abdul-Rahee, 2022). Leaders play a significant role in the design and implementation of the organizational cybersecurity policies to ensure that resources are allocated for risk management (</w:t>
      </w:r>
      <w:proofErr w:type="spellStart"/>
      <w:r w:rsidRPr="00BA7FCF">
        <w:rPr>
          <w:rFonts w:cs="Times New Roman"/>
          <w:sz w:val="20"/>
          <w:szCs w:val="24"/>
          <w:lang w:val="en-MY"/>
        </w:rPr>
        <w:t>Sarumi</w:t>
      </w:r>
      <w:proofErr w:type="spellEnd"/>
      <w:r w:rsidRPr="00BA7FCF">
        <w:rPr>
          <w:rFonts w:cs="Times New Roman"/>
          <w:sz w:val="20"/>
          <w:szCs w:val="24"/>
          <w:lang w:val="en-MY"/>
        </w:rPr>
        <w:t xml:space="preserve"> &amp; Abdul-Rahee, 2022).</w:t>
      </w:r>
    </w:p>
    <w:p w14:paraId="5B1FB66D"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Transformational leadership theory emphasized that leadership commitment influences organizational priorities, resource allocation, and cultural change (Bass &amp; Avolio, 1994). From a risk governance perspective, strong top-management involvement strengthens cybersecurity maturity and responsibility (Herath &amp; Rao, 2009). Similarly, organizations with active executive management show clearer risk ownership and more consistent implementation of cybersecurity controls (Alshaikh, 2020). The Equifax data breach in 2017 highlighted how inadequate executive management and delayed governance decisions contributed to one of the largest data compromises in history (U.S. House Committee on Oversight and Reform, 2018). These prior research efforts proved that cybersecurity failures often stem from governance weaknesses rather than purely technical issues. Therefore, the hypothesis is stated as:</w:t>
      </w:r>
    </w:p>
    <w:p w14:paraId="6AA65A8C"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i/>
          <w:iCs/>
          <w:sz w:val="20"/>
          <w:szCs w:val="24"/>
          <w:lang w:val="en-MY"/>
        </w:rPr>
        <w:t>H3: Leadership commitment significantly reduces cyber risk occurrence at MBSA.</w:t>
      </w:r>
    </w:p>
    <w:p w14:paraId="32456CAE" w14:textId="4F2C2B69"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w:t>
      </w:r>
    </w:p>
    <w:p w14:paraId="2C671246" w14:textId="77777777" w:rsidR="00D6506D" w:rsidRPr="00BA7FCF" w:rsidRDefault="00D6506D" w:rsidP="00D6506D">
      <w:pPr>
        <w:spacing w:after="120" w:line="276" w:lineRule="auto"/>
        <w:jc w:val="both"/>
        <w:rPr>
          <w:rFonts w:cs="Times New Roman"/>
          <w:b/>
          <w:bCs/>
          <w:sz w:val="20"/>
          <w:szCs w:val="24"/>
          <w:lang w:val="en-MY"/>
        </w:rPr>
      </w:pPr>
      <w:r w:rsidRPr="00BA7FCF">
        <w:rPr>
          <w:rFonts w:cs="Times New Roman"/>
          <w:b/>
          <w:bCs/>
          <w:sz w:val="20"/>
          <w:szCs w:val="24"/>
          <w:lang w:val="en-MY"/>
        </w:rPr>
        <w:t>2.5. Conceptual Framework </w:t>
      </w:r>
    </w:p>
    <w:p w14:paraId="0934D0B7" w14:textId="77777777" w:rsidR="00D6506D" w:rsidRPr="00BA7FCF" w:rsidRDefault="00D6506D" w:rsidP="00BA7FCF">
      <w:pPr>
        <w:spacing w:after="0" w:line="276" w:lineRule="auto"/>
        <w:jc w:val="both"/>
        <w:rPr>
          <w:rFonts w:cs="Times New Roman"/>
          <w:sz w:val="20"/>
          <w:szCs w:val="24"/>
          <w:lang w:val="en-MY"/>
        </w:rPr>
      </w:pPr>
      <w:r w:rsidRPr="00BA7FCF">
        <w:rPr>
          <w:rFonts w:cs="Times New Roman"/>
          <w:sz w:val="20"/>
          <w:szCs w:val="24"/>
          <w:lang w:val="en-MY"/>
        </w:rPr>
        <w:t xml:space="preserve">The conceptual framework of this study describes how critical organizational factors impact the presence of cyber risks within the Majlis </w:t>
      </w:r>
      <w:proofErr w:type="spellStart"/>
      <w:r w:rsidRPr="00BA7FCF">
        <w:rPr>
          <w:rFonts w:cs="Times New Roman"/>
          <w:sz w:val="20"/>
          <w:szCs w:val="24"/>
          <w:lang w:val="en-MY"/>
        </w:rPr>
        <w:t>Bandaraya</w:t>
      </w:r>
      <w:proofErr w:type="spellEnd"/>
      <w:r w:rsidRPr="00BA7FCF">
        <w:rPr>
          <w:rFonts w:cs="Times New Roman"/>
          <w:sz w:val="20"/>
          <w:szCs w:val="24"/>
          <w:lang w:val="en-MY"/>
        </w:rPr>
        <w:t xml:space="preserve"> Shah Alam (MBSA). There are three independent variables (policies, training, and leadership) proposed to have linked with the dependent variable (cyber risk occurrence) in </w:t>
      </w:r>
      <w:r w:rsidRPr="00BA7FCF">
        <w:rPr>
          <w:rFonts w:cs="Times New Roman"/>
          <w:sz w:val="20"/>
          <w:szCs w:val="24"/>
          <w:lang w:val="en-MY"/>
        </w:rPr>
        <w:lastRenderedPageBreak/>
        <w:t>this research. The theoretical foundation of this study is risk management theory, which states that risks must be assessed, identified, and reduced through planned organizational strategies.</w:t>
      </w:r>
    </w:p>
    <w:p w14:paraId="4A37A252" w14:textId="77777777"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 xml:space="preserve">In the context of the framework, policies function as formal governance mechanisms that define roles, responsibilities, and acceptable security </w:t>
      </w:r>
      <w:proofErr w:type="spellStart"/>
      <w:r w:rsidRPr="00BA7FCF">
        <w:rPr>
          <w:rFonts w:cs="Times New Roman"/>
          <w:sz w:val="20"/>
          <w:szCs w:val="24"/>
          <w:lang w:val="en-MY"/>
        </w:rPr>
        <w:t>behavior</w:t>
      </w:r>
      <w:proofErr w:type="spellEnd"/>
      <w:r w:rsidRPr="00BA7FCF">
        <w:rPr>
          <w:rFonts w:cs="Times New Roman"/>
          <w:sz w:val="20"/>
          <w:szCs w:val="24"/>
          <w:lang w:val="en-MY"/>
        </w:rPr>
        <w:t xml:space="preserve">. Training focuses on education and skill development of employees about cybersecurity risks and best practices to enhance employees' awareness regarding cybersecurity so that they may recognize and address threats. Training is designed to reduce human error and vulnerabilities; however, training must be regular and effective in order to keep all employees up to date on the emerging threat. Next, leadership is important in putting cybersecurity strategy into operation by establishing priorities, obtaining funds, ensuring that employees are trained, and further influencing the function of organizational </w:t>
      </w:r>
      <w:proofErr w:type="spellStart"/>
      <w:r w:rsidRPr="00BA7FCF">
        <w:rPr>
          <w:rFonts w:cs="Times New Roman"/>
          <w:sz w:val="20"/>
          <w:szCs w:val="24"/>
          <w:lang w:val="en-MY"/>
        </w:rPr>
        <w:t>behavior</w:t>
      </w:r>
      <w:proofErr w:type="spellEnd"/>
      <w:r w:rsidRPr="00BA7FCF">
        <w:rPr>
          <w:rFonts w:cs="Times New Roman"/>
          <w:sz w:val="20"/>
          <w:szCs w:val="24"/>
          <w:lang w:val="en-MY"/>
        </w:rPr>
        <w:t>.</w:t>
      </w:r>
    </w:p>
    <w:p w14:paraId="535AF336" w14:textId="5716FA88" w:rsidR="00D6506D" w:rsidRPr="00BA7FCF" w:rsidRDefault="00D6506D" w:rsidP="00BA7FCF">
      <w:pPr>
        <w:spacing w:after="0" w:line="276" w:lineRule="auto"/>
        <w:ind w:firstLine="709"/>
        <w:jc w:val="both"/>
        <w:rPr>
          <w:rFonts w:cs="Times New Roman"/>
          <w:sz w:val="20"/>
          <w:szCs w:val="24"/>
          <w:lang w:val="en-MY"/>
        </w:rPr>
      </w:pPr>
      <w:r w:rsidRPr="00BA7FCF">
        <w:rPr>
          <w:rFonts w:cs="Times New Roman"/>
          <w:sz w:val="20"/>
          <w:szCs w:val="24"/>
          <w:lang w:val="en-MY"/>
        </w:rPr>
        <w:t>The dependent variable (cyber risk occurrence) measures the frequency and severity of cyber incidents like data breaches, malware, unwanted access, and the others that occur within MBSA. Policies, training, and leadership are the independent variables that work together within the framework and function as organizational factors that reduce cyber risks. The foundation for risk management strategies that support the company's cybersecurity resilience in preventing and responding to cyber incidents was established by well-executed policies, comprehensive training, and MBSA’s great leadership. The conceptual framework, which integrated risk management theory with human capital and transformational leadership theories, is presented in Figure 1.</w:t>
      </w:r>
    </w:p>
    <w:p w14:paraId="63314D22" w14:textId="27254835" w:rsidR="00D6506D" w:rsidRPr="00BA7FCF" w:rsidRDefault="00D6506D" w:rsidP="00BA7FCF">
      <w:pPr>
        <w:spacing w:after="0" w:line="276" w:lineRule="auto"/>
        <w:ind w:firstLine="709"/>
        <w:jc w:val="both"/>
        <w:rPr>
          <w:rFonts w:ascii="Times New Roman" w:hAnsi="Times New Roman" w:cs="Times New Roman"/>
          <w:sz w:val="28"/>
          <w:szCs w:val="28"/>
          <w:lang w:val="en-MY" w:eastAsia="en-US"/>
        </w:rPr>
      </w:pPr>
    </w:p>
    <w:p w14:paraId="4CF435EC" w14:textId="0DC69F23" w:rsidR="00D6506D" w:rsidRDefault="0087315A" w:rsidP="0087315A">
      <w:pPr>
        <w:widowControl w:val="0"/>
        <w:autoSpaceDE w:val="0"/>
        <w:autoSpaceDN w:val="0"/>
        <w:spacing w:after="0" w:line="360" w:lineRule="auto"/>
        <w:jc w:val="both"/>
        <w:rPr>
          <w:rFonts w:ascii="Times New Roman" w:hAnsi="Times New Roman" w:cs="Times New Roman"/>
          <w:sz w:val="24"/>
          <w:szCs w:val="24"/>
        </w:rPr>
      </w:pPr>
      <w:r w:rsidRPr="0087315A">
        <w:rPr>
          <w:rFonts w:ascii="Times New Roman" w:hAnsi="Times New Roman" w:cs="Times New Roman"/>
          <w:noProof/>
          <w:sz w:val="24"/>
          <w:szCs w:val="24"/>
        </w:rPr>
        <w:lastRenderedPageBreak/>
        <w:drawing>
          <wp:inline distT="0" distB="0" distL="0" distR="0" wp14:anchorId="17D3C1C8" wp14:editId="1C802263">
            <wp:extent cx="4278976" cy="2856016"/>
            <wp:effectExtent l="0" t="0" r="7620" b="1905"/>
            <wp:docPr id="1655053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53868" name=""/>
                    <pic:cNvPicPr/>
                  </pic:nvPicPr>
                  <pic:blipFill>
                    <a:blip r:embed="rId8"/>
                    <a:stretch>
                      <a:fillRect/>
                    </a:stretch>
                  </pic:blipFill>
                  <pic:spPr>
                    <a:xfrm>
                      <a:off x="0" y="0"/>
                      <a:ext cx="4289468" cy="2863019"/>
                    </a:xfrm>
                    <a:prstGeom prst="rect">
                      <a:avLst/>
                    </a:prstGeom>
                  </pic:spPr>
                </pic:pic>
              </a:graphicData>
            </a:graphic>
          </wp:inline>
        </w:drawing>
      </w:r>
    </w:p>
    <w:p w14:paraId="65149619" w14:textId="3E6F0DEC" w:rsidR="0087315A" w:rsidRDefault="00D6506D" w:rsidP="0087315A">
      <w:pPr>
        <w:widowControl w:val="0"/>
        <w:autoSpaceDE w:val="0"/>
        <w:autoSpaceDN w:val="0"/>
        <w:spacing w:after="0" w:line="276" w:lineRule="auto"/>
        <w:jc w:val="center"/>
        <w:rPr>
          <w:b/>
          <w:iCs/>
          <w:sz w:val="20"/>
          <w:szCs w:val="16"/>
        </w:rPr>
      </w:pPr>
      <w:r w:rsidRPr="008363B2">
        <w:rPr>
          <w:b/>
          <w:iCs/>
          <w:sz w:val="20"/>
          <w:szCs w:val="16"/>
        </w:rPr>
        <w:t>Figure 1</w:t>
      </w:r>
      <w:r w:rsidR="0087315A">
        <w:rPr>
          <w:b/>
          <w:iCs/>
          <w:sz w:val="20"/>
          <w:szCs w:val="16"/>
        </w:rPr>
        <w:t>.</w:t>
      </w:r>
    </w:p>
    <w:p w14:paraId="4FC58AEE" w14:textId="610B2944" w:rsidR="00D6506D" w:rsidRPr="008363B2" w:rsidRDefault="00D6506D" w:rsidP="0087315A">
      <w:pPr>
        <w:widowControl w:val="0"/>
        <w:autoSpaceDE w:val="0"/>
        <w:autoSpaceDN w:val="0"/>
        <w:spacing w:after="0" w:line="276" w:lineRule="auto"/>
        <w:jc w:val="center"/>
        <w:rPr>
          <w:rFonts w:cs="Times New Roman"/>
          <w:sz w:val="20"/>
          <w:szCs w:val="24"/>
        </w:rPr>
      </w:pPr>
      <w:r w:rsidRPr="008363B2">
        <w:rPr>
          <w:b/>
          <w:iCs/>
          <w:sz w:val="20"/>
          <w:szCs w:val="16"/>
        </w:rPr>
        <w:t>Conceptual Framework</w:t>
      </w:r>
    </w:p>
    <w:p w14:paraId="74B0BA1A" w14:textId="1DB29A6B" w:rsidR="0087315A" w:rsidRDefault="0087315A" w:rsidP="0087315A">
      <w:pPr>
        <w:spacing w:after="0" w:line="276" w:lineRule="auto"/>
        <w:rPr>
          <w:rFonts w:eastAsia="Palatino Linotype"/>
          <w:b/>
          <w:sz w:val="20"/>
          <w:szCs w:val="20"/>
          <w:lang w:val="en-US"/>
        </w:rPr>
      </w:pPr>
    </w:p>
    <w:p w14:paraId="150BC98A" w14:textId="42CAAF37" w:rsidR="00311E6B" w:rsidRPr="00AA50DB" w:rsidRDefault="004701DB" w:rsidP="00311E6B">
      <w:pPr>
        <w:spacing w:after="120" w:line="276" w:lineRule="auto"/>
        <w:rPr>
          <w:rFonts w:eastAsia="Palatino Linotype"/>
          <w:b/>
          <w:sz w:val="20"/>
          <w:szCs w:val="20"/>
          <w:lang w:val="en-US"/>
        </w:rPr>
      </w:pPr>
      <w:r w:rsidRPr="00AA50DB">
        <w:rPr>
          <w:rFonts w:eastAsia="Palatino Linotype"/>
          <w:b/>
          <w:sz w:val="20"/>
          <w:szCs w:val="20"/>
          <w:lang w:val="en-US"/>
        </w:rPr>
        <w:t>III. METHODOLOGY</w:t>
      </w:r>
    </w:p>
    <w:p w14:paraId="0525D009" w14:textId="77DC0C81" w:rsidR="00D6506D" w:rsidRPr="00D6506D" w:rsidRDefault="00D6506D" w:rsidP="00D6506D">
      <w:pPr>
        <w:spacing w:after="120" w:line="276" w:lineRule="auto"/>
        <w:rPr>
          <w:b/>
          <w:bCs/>
          <w:sz w:val="20"/>
          <w:szCs w:val="24"/>
        </w:rPr>
      </w:pPr>
      <w:r>
        <w:rPr>
          <w:b/>
          <w:bCs/>
          <w:sz w:val="20"/>
          <w:szCs w:val="24"/>
        </w:rPr>
        <w:t xml:space="preserve">3.1. </w:t>
      </w:r>
      <w:r w:rsidRPr="00D6506D">
        <w:rPr>
          <w:b/>
          <w:bCs/>
          <w:sz w:val="20"/>
          <w:szCs w:val="24"/>
        </w:rPr>
        <w:t>Research Design</w:t>
      </w:r>
    </w:p>
    <w:p w14:paraId="2A0A0009" w14:textId="45587B19" w:rsidR="00D6506D" w:rsidRPr="008363B2" w:rsidRDefault="00D6506D" w:rsidP="008363B2">
      <w:pPr>
        <w:widowControl w:val="0"/>
        <w:autoSpaceDE w:val="0"/>
        <w:autoSpaceDN w:val="0"/>
        <w:spacing w:after="0" w:line="276" w:lineRule="auto"/>
        <w:jc w:val="both"/>
        <w:rPr>
          <w:rFonts w:cs="Times New Roman"/>
          <w:sz w:val="20"/>
          <w:szCs w:val="24"/>
          <w:lang w:val="en-MY"/>
        </w:rPr>
      </w:pPr>
      <w:r w:rsidRPr="008363B2">
        <w:rPr>
          <w:rFonts w:cs="Times New Roman"/>
          <w:sz w:val="20"/>
          <w:szCs w:val="24"/>
          <w:lang w:val="en-MY"/>
        </w:rPr>
        <w:t xml:space="preserve">This study adopts a quantitative, cross-sectional research design to examine how organizational factors (cybersecurity policies, training, and leadership commitment) influence cyber risk occurrence at Majlis </w:t>
      </w:r>
      <w:proofErr w:type="spellStart"/>
      <w:r w:rsidRPr="008363B2">
        <w:rPr>
          <w:rFonts w:cs="Times New Roman"/>
          <w:sz w:val="20"/>
          <w:szCs w:val="24"/>
          <w:lang w:val="en-MY"/>
        </w:rPr>
        <w:t>Bandaraya</w:t>
      </w:r>
      <w:proofErr w:type="spellEnd"/>
      <w:r w:rsidRPr="008363B2">
        <w:rPr>
          <w:rFonts w:cs="Times New Roman"/>
          <w:sz w:val="20"/>
          <w:szCs w:val="24"/>
          <w:lang w:val="en-MY"/>
        </w:rPr>
        <w:t xml:space="preserve"> Shah Alam (MBSA). A minimal interference approach is applied, whereby data are collected without disrupting normal organizational operations to ensure that respondents’ perceptions and experiences reflect actual cybersecurity practices and conditions within MBSA. The study setting and unit of analysis involve two main categories of MBSA employees: Officer A (senior and decision-making level) and Officer B (operational staff). By including both groups, the study can capture perspectives from different hierarchical levels and </w:t>
      </w:r>
      <w:proofErr w:type="spellStart"/>
      <w:r w:rsidRPr="008363B2">
        <w:rPr>
          <w:rFonts w:cs="Times New Roman"/>
          <w:sz w:val="20"/>
          <w:szCs w:val="24"/>
          <w:lang w:val="en-MY"/>
        </w:rPr>
        <w:t>analyze</w:t>
      </w:r>
      <w:proofErr w:type="spellEnd"/>
      <w:r w:rsidRPr="008363B2">
        <w:rPr>
          <w:rFonts w:cs="Times New Roman"/>
          <w:sz w:val="20"/>
          <w:szCs w:val="24"/>
          <w:lang w:val="en-MY"/>
        </w:rPr>
        <w:t xml:space="preserve"> how strategic policies and leadership initiatives are transformed into operational practices. Stratified random sampling is employed to ensure adequate representation and to minimize sampling bias. Data are collected through a structured questionnaire, allowing efficient and systematic data gathering from a large number of respondents. Lastly, data analysis is conducted through descriptive analysis and inferential analysis, such as Pearson correlation and multiple regression.</w:t>
      </w:r>
    </w:p>
    <w:p w14:paraId="5CB01E5A" w14:textId="4AD96EF6" w:rsidR="00D6506D" w:rsidRPr="00D6506D" w:rsidRDefault="00D6506D" w:rsidP="00D6506D">
      <w:pPr>
        <w:widowControl w:val="0"/>
        <w:autoSpaceDE w:val="0"/>
        <w:autoSpaceDN w:val="0"/>
        <w:spacing w:line="276" w:lineRule="auto"/>
        <w:jc w:val="both"/>
        <w:rPr>
          <w:rFonts w:cs="Times New Roman"/>
          <w:b/>
          <w:bCs/>
          <w:sz w:val="20"/>
          <w:szCs w:val="24"/>
          <w:lang w:val="en-MY"/>
        </w:rPr>
      </w:pPr>
      <w:r w:rsidRPr="00D6506D">
        <w:rPr>
          <w:rFonts w:cs="Times New Roman"/>
          <w:b/>
          <w:bCs/>
          <w:sz w:val="20"/>
          <w:szCs w:val="24"/>
          <w:lang w:val="en-MY"/>
        </w:rPr>
        <w:lastRenderedPageBreak/>
        <w:t>3.2. Population</w:t>
      </w:r>
    </w:p>
    <w:p w14:paraId="6B894EAA" w14:textId="77777777" w:rsidR="00D6506D" w:rsidRPr="008363B2" w:rsidRDefault="00D6506D" w:rsidP="008363B2">
      <w:pPr>
        <w:widowControl w:val="0"/>
        <w:autoSpaceDE w:val="0"/>
        <w:autoSpaceDN w:val="0"/>
        <w:spacing w:after="0" w:line="276" w:lineRule="auto"/>
        <w:jc w:val="both"/>
        <w:rPr>
          <w:rFonts w:cs="Times New Roman"/>
          <w:sz w:val="20"/>
          <w:szCs w:val="24"/>
          <w:lang w:val="en-MY"/>
        </w:rPr>
      </w:pPr>
      <w:r w:rsidRPr="008363B2">
        <w:rPr>
          <w:rFonts w:cs="Times New Roman"/>
          <w:sz w:val="20"/>
          <w:szCs w:val="24"/>
          <w:lang w:val="en-MY"/>
        </w:rPr>
        <w:t>The population in this study consists of a total of 242 employees from MBSA and is further subdivided into two main categories according to their respective roles and involvement in cybersecurity tasks. First, the group of Officer A comprises 32 senior decision-makers and administrators from the MBSA's Head Office Department responsible for formulating the cybersecurity strategy, setting policies, and making high-level decisions with respect to risk management. Second, the group of Officer B are 210 administrative staff and others that support the management of cybersecurity practices on a day-to-day basis who work at the operational level, executing tasks such as monitoring network security, following established protocols, and addressing immediate cybersecurity concerns. With this mix, the study can develop a better understanding of organizational dynamics and further investigate how cybersecurity measures are perceived, implemented, and assessed at different levels within the organization.</w:t>
      </w:r>
    </w:p>
    <w:p w14:paraId="0D9BC626" w14:textId="77777777" w:rsidR="00D6506D" w:rsidRPr="008363B2" w:rsidRDefault="00D6506D" w:rsidP="008363B2">
      <w:pPr>
        <w:widowControl w:val="0"/>
        <w:autoSpaceDE w:val="0"/>
        <w:autoSpaceDN w:val="0"/>
        <w:spacing w:after="0" w:line="276" w:lineRule="auto"/>
        <w:jc w:val="both"/>
        <w:rPr>
          <w:rFonts w:cs="Times New Roman"/>
          <w:sz w:val="20"/>
          <w:szCs w:val="24"/>
          <w:lang w:val="en-MY"/>
        </w:rPr>
      </w:pPr>
    </w:p>
    <w:p w14:paraId="2C0D52FB" w14:textId="2AAB686F" w:rsidR="00D6506D" w:rsidRPr="00D6506D" w:rsidRDefault="00D6506D" w:rsidP="008363B2">
      <w:pPr>
        <w:widowControl w:val="0"/>
        <w:autoSpaceDE w:val="0"/>
        <w:autoSpaceDN w:val="0"/>
        <w:spacing w:after="120" w:line="276" w:lineRule="auto"/>
        <w:jc w:val="both"/>
        <w:rPr>
          <w:rFonts w:cs="Times New Roman"/>
          <w:b/>
          <w:bCs/>
          <w:sz w:val="20"/>
          <w:szCs w:val="24"/>
          <w:lang w:val="en-MY"/>
        </w:rPr>
      </w:pPr>
      <w:r w:rsidRPr="00D6506D">
        <w:rPr>
          <w:rFonts w:cs="Times New Roman"/>
          <w:b/>
          <w:bCs/>
          <w:sz w:val="20"/>
          <w:szCs w:val="24"/>
          <w:lang w:val="en-MY"/>
        </w:rPr>
        <w:t>3.3. Sampling Technique</w:t>
      </w:r>
    </w:p>
    <w:p w14:paraId="16354359" w14:textId="77777777" w:rsidR="00D6506D" w:rsidRPr="008363B2" w:rsidRDefault="00D6506D" w:rsidP="008363B2">
      <w:pPr>
        <w:widowControl w:val="0"/>
        <w:autoSpaceDE w:val="0"/>
        <w:autoSpaceDN w:val="0"/>
        <w:spacing w:after="0" w:line="276" w:lineRule="auto"/>
        <w:jc w:val="both"/>
        <w:rPr>
          <w:rFonts w:cs="Times New Roman"/>
          <w:sz w:val="20"/>
          <w:szCs w:val="20"/>
          <w:lang w:val="en-MY"/>
        </w:rPr>
      </w:pPr>
      <w:r w:rsidRPr="008363B2">
        <w:rPr>
          <w:rFonts w:cs="Times New Roman"/>
          <w:sz w:val="20"/>
          <w:szCs w:val="20"/>
          <w:lang w:val="en-MY"/>
        </w:rPr>
        <w:t xml:space="preserve">Stratified random sampling is applied in this study to ensure proportional representation of two distinct groups within Majlis </w:t>
      </w:r>
      <w:proofErr w:type="spellStart"/>
      <w:r w:rsidRPr="008363B2">
        <w:rPr>
          <w:rFonts w:cs="Times New Roman"/>
          <w:sz w:val="20"/>
          <w:szCs w:val="20"/>
          <w:lang w:val="en-MY"/>
        </w:rPr>
        <w:t>Bandaraya</w:t>
      </w:r>
      <w:proofErr w:type="spellEnd"/>
      <w:r w:rsidRPr="008363B2">
        <w:rPr>
          <w:rFonts w:cs="Times New Roman"/>
          <w:sz w:val="20"/>
          <w:szCs w:val="20"/>
          <w:lang w:val="en-MY"/>
        </w:rPr>
        <w:t xml:space="preserve"> Shah Alam (MBSA), namely Officer A (senior-level decision-makers) and Officer B (operational staff). The population is divided into these subgroups, and samples are drawn proportionally according to their size within the total population. This means that the number of the selected participants from each stratum is in direct proportion to the size of the stratum in the total population. This technique ensures that the sample accurately reflects the contributions and participation of both groups in cybersecurity management with balanced representation of both managerial and operational perspectives in examining organizational factors affecting cyber risk occurrence; reduces sampling bias; and improves the generalizability of findings.</w:t>
      </w:r>
    </w:p>
    <w:p w14:paraId="12A6DB33" w14:textId="0CD22320" w:rsidR="00D6506D" w:rsidRPr="008363B2" w:rsidRDefault="00D6506D" w:rsidP="008363B2">
      <w:pPr>
        <w:widowControl w:val="0"/>
        <w:autoSpaceDE w:val="0"/>
        <w:autoSpaceDN w:val="0"/>
        <w:spacing w:after="0" w:line="276" w:lineRule="auto"/>
        <w:ind w:firstLine="715"/>
        <w:jc w:val="both"/>
        <w:rPr>
          <w:rFonts w:cs="Times New Roman"/>
          <w:sz w:val="20"/>
          <w:szCs w:val="20"/>
          <w:lang w:val="en-MY"/>
        </w:rPr>
      </w:pPr>
      <w:r w:rsidRPr="008363B2">
        <w:rPr>
          <w:rFonts w:cs="Times New Roman"/>
          <w:sz w:val="20"/>
          <w:szCs w:val="20"/>
          <w:lang w:val="en-MY"/>
        </w:rPr>
        <w:t xml:space="preserve">Out of the total population of 242 employees, a sample of 149 respondents was selected using </w:t>
      </w:r>
      <w:proofErr w:type="spellStart"/>
      <w:r w:rsidRPr="008363B2">
        <w:rPr>
          <w:rFonts w:cs="Times New Roman"/>
          <w:sz w:val="20"/>
          <w:szCs w:val="20"/>
          <w:lang w:val="en-MY"/>
        </w:rPr>
        <w:t>Krejcie</w:t>
      </w:r>
      <w:proofErr w:type="spellEnd"/>
      <w:r w:rsidRPr="008363B2">
        <w:rPr>
          <w:rFonts w:cs="Times New Roman"/>
          <w:sz w:val="20"/>
          <w:szCs w:val="20"/>
          <w:lang w:val="en-MY"/>
        </w:rPr>
        <w:t xml:space="preserve"> and Morgan’s sampling formula. The formula is well-accepted in guaranteeing statistical validity and reliability because it calculates an appropriate sample size based on the total population and desired confidence level; at the same time, it ensures that the sample is representative and large enough to give reliable results. From an exhaustive list, the sample was drawn based on respondents’ roles, departments, and level of involvement in cybersecurity-related matters and IT functions. The inclusion of both groups in </w:t>
      </w:r>
      <w:r w:rsidRPr="008363B2">
        <w:rPr>
          <w:rFonts w:cs="Times New Roman"/>
          <w:sz w:val="20"/>
          <w:szCs w:val="20"/>
          <w:lang w:val="en-MY"/>
        </w:rPr>
        <w:lastRenderedPageBreak/>
        <w:t xml:space="preserve">this research was intended to provide a comprehensive view of cybersecurity practices within MBSA, ranging from strategic policy formulation at the managerial level to operational implementation at the staff level. The use of stratified sampling ensured that both senior management and operational staff were represented proportionately, thereby enhancing the validity and reliability of the research findings. The sample used </w:t>
      </w:r>
      <w:proofErr w:type="spellStart"/>
      <w:r w:rsidRPr="008363B2">
        <w:rPr>
          <w:rFonts w:cs="Times New Roman"/>
          <w:sz w:val="20"/>
          <w:szCs w:val="20"/>
          <w:lang w:val="en-MY"/>
        </w:rPr>
        <w:t>Krejcie</w:t>
      </w:r>
      <w:proofErr w:type="spellEnd"/>
      <w:r w:rsidRPr="008363B2">
        <w:rPr>
          <w:rFonts w:cs="Times New Roman"/>
          <w:sz w:val="20"/>
          <w:szCs w:val="20"/>
          <w:lang w:val="en-MY"/>
        </w:rPr>
        <w:t xml:space="preserve"> and Morgan’s formula, and the total sample size is 149, with:</w:t>
      </w:r>
    </w:p>
    <w:p w14:paraId="3031E309" w14:textId="749A29F6" w:rsidR="00D6506D" w:rsidRPr="008363B2" w:rsidRDefault="00D6506D" w:rsidP="008363B2">
      <w:pPr>
        <w:widowControl w:val="0"/>
        <w:autoSpaceDE w:val="0"/>
        <w:autoSpaceDN w:val="0"/>
        <w:spacing w:after="0" w:line="360" w:lineRule="auto"/>
        <w:ind w:firstLine="715"/>
        <w:jc w:val="center"/>
        <w:rPr>
          <w:rFonts w:cs="Times New Roman"/>
          <w:sz w:val="20"/>
          <w:szCs w:val="20"/>
        </w:rPr>
      </w:pPr>
      <m:oMathPara>
        <m:oMath>
          <m:r>
            <w:rPr>
              <w:rFonts w:ascii="Cambria Math" w:hAnsi="Cambria Math" w:cs="Times New Roman"/>
              <w:sz w:val="20"/>
              <w:szCs w:val="20"/>
            </w:rPr>
            <m:t xml:space="preserve">s= </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.N.P</m:t>
              </m:r>
              <m:d>
                <m:dPr>
                  <m:ctrlPr>
                    <w:rPr>
                      <w:rFonts w:ascii="Cambria Math" w:hAnsi="Cambria Math" w:cs="Times New Roman"/>
                      <w:i/>
                      <w:sz w:val="20"/>
                      <w:szCs w:val="20"/>
                    </w:rPr>
                  </m:ctrlPr>
                </m:dPr>
                <m:e>
                  <m:r>
                    <w:rPr>
                      <w:rFonts w:ascii="Cambria Math" w:hAnsi="Cambria Math" w:cs="Times New Roman"/>
                      <w:sz w:val="20"/>
                      <w:szCs w:val="20"/>
                    </w:rPr>
                    <m:t>1-P</m:t>
                  </m:r>
                </m:e>
              </m:d>
            </m:num>
            <m:den>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d>
                <m:dPr>
                  <m:ctrlPr>
                    <w:rPr>
                      <w:rFonts w:ascii="Cambria Math" w:hAnsi="Cambria Math" w:cs="Times New Roman"/>
                      <w:i/>
                      <w:sz w:val="20"/>
                      <w:szCs w:val="20"/>
                    </w:rPr>
                  </m:ctrlPr>
                </m:dPr>
                <m:e>
                  <m:r>
                    <w:rPr>
                      <w:rFonts w:ascii="Cambria Math" w:hAnsi="Cambria Math" w:cs="Times New Roman"/>
                      <w:sz w:val="20"/>
                      <w:szCs w:val="20"/>
                    </w:rPr>
                    <m:t>N-1</m:t>
                  </m:r>
                </m:e>
              </m:d>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1-P</m:t>
                  </m:r>
                </m:e>
              </m:d>
            </m:den>
          </m:f>
        </m:oMath>
      </m:oMathPara>
    </w:p>
    <w:p w14:paraId="04DFA9AA" w14:textId="77777777" w:rsidR="00D6506D" w:rsidRPr="008363B2" w:rsidRDefault="00D6506D" w:rsidP="008363B2">
      <w:pPr>
        <w:widowControl w:val="0"/>
        <w:autoSpaceDE w:val="0"/>
        <w:autoSpaceDN w:val="0"/>
        <w:spacing w:after="0" w:line="276" w:lineRule="auto"/>
        <w:ind w:firstLine="715"/>
        <w:jc w:val="both"/>
        <w:rPr>
          <w:rFonts w:cs="Times New Roman"/>
          <w:sz w:val="20"/>
          <w:szCs w:val="20"/>
        </w:rPr>
      </w:pPr>
      <w:r w:rsidRPr="008363B2">
        <w:rPr>
          <w:rFonts w:cs="Times New Roman"/>
          <w:sz w:val="20"/>
          <w:szCs w:val="20"/>
        </w:rPr>
        <w:t>Where:</w:t>
      </w:r>
    </w:p>
    <w:p w14:paraId="137C869F" w14:textId="77777777" w:rsidR="00D6506D" w:rsidRPr="008363B2" w:rsidRDefault="00D6506D" w:rsidP="008363B2">
      <w:pPr>
        <w:widowControl w:val="0"/>
        <w:autoSpaceDE w:val="0"/>
        <w:autoSpaceDN w:val="0"/>
        <w:spacing w:after="0" w:line="276" w:lineRule="auto"/>
        <w:ind w:firstLine="715"/>
        <w:jc w:val="both"/>
        <w:rPr>
          <w:rFonts w:cs="Times New Roman"/>
          <w:sz w:val="20"/>
          <w:szCs w:val="20"/>
        </w:rPr>
      </w:pPr>
      <w:r w:rsidRPr="008363B2">
        <w:rPr>
          <w:rFonts w:cs="Times New Roman"/>
          <w:sz w:val="20"/>
          <w:szCs w:val="20"/>
        </w:rPr>
        <w:t xml:space="preserve">   S: Total required sample size</w:t>
      </w:r>
    </w:p>
    <w:p w14:paraId="2B454D84" w14:textId="77777777" w:rsidR="00D6506D" w:rsidRPr="008363B2" w:rsidRDefault="00D6506D" w:rsidP="008363B2">
      <w:pPr>
        <w:widowControl w:val="0"/>
        <w:autoSpaceDE w:val="0"/>
        <w:autoSpaceDN w:val="0"/>
        <w:spacing w:after="0" w:line="276" w:lineRule="auto"/>
        <w:ind w:firstLine="715"/>
        <w:jc w:val="both"/>
        <w:rPr>
          <w:rFonts w:cs="Times New Roman"/>
          <w:sz w:val="20"/>
          <w:szCs w:val="20"/>
        </w:rPr>
      </w:pPr>
      <w:r w:rsidRPr="008363B2">
        <w:rPr>
          <w:rFonts w:cs="Times New Roman"/>
          <w:sz w:val="20"/>
          <w:szCs w:val="20"/>
        </w:rPr>
        <w:t xml:space="preserve">   N: Population size (242)</w:t>
      </w:r>
    </w:p>
    <w:p w14:paraId="1CBB8CEF" w14:textId="77777777" w:rsidR="00D6506D" w:rsidRPr="008363B2" w:rsidRDefault="00D6506D" w:rsidP="008363B2">
      <w:pPr>
        <w:widowControl w:val="0"/>
        <w:autoSpaceDE w:val="0"/>
        <w:autoSpaceDN w:val="0"/>
        <w:spacing w:after="0" w:line="276" w:lineRule="auto"/>
        <w:ind w:firstLine="715"/>
        <w:jc w:val="both"/>
        <w:rPr>
          <w:sz w:val="20"/>
          <w:szCs w:val="20"/>
          <w:lang w:val="en-MY"/>
        </w:rPr>
      </w:pPr>
      <w:r w:rsidRPr="008363B2">
        <w:rPr>
          <w:rFonts w:cs="Times New Roman"/>
          <w:sz w:val="20"/>
          <w:szCs w:val="20"/>
        </w:rPr>
        <w:t xml:space="preserve">   </w:t>
      </w:r>
      <w:r w:rsidRPr="008363B2">
        <w:rPr>
          <w:sz w:val="20"/>
          <w:szCs w:val="20"/>
          <w:lang w:val="en-MY"/>
        </w:rPr>
        <w:t>χ²</w:t>
      </w:r>
      <w:r w:rsidRPr="008363B2">
        <w:rPr>
          <w:rFonts w:cs="Times New Roman"/>
          <w:sz w:val="20"/>
          <w:szCs w:val="20"/>
        </w:rPr>
        <w:t>: Chi-square value (3.841 for 95% confidence level)</w:t>
      </w:r>
    </w:p>
    <w:p w14:paraId="621A6757" w14:textId="77777777" w:rsidR="00D6506D" w:rsidRPr="008363B2" w:rsidRDefault="00D6506D" w:rsidP="008363B2">
      <w:pPr>
        <w:widowControl w:val="0"/>
        <w:autoSpaceDE w:val="0"/>
        <w:autoSpaceDN w:val="0"/>
        <w:spacing w:after="0" w:line="276" w:lineRule="auto"/>
        <w:ind w:firstLine="715"/>
        <w:jc w:val="both"/>
        <w:rPr>
          <w:rFonts w:cs="Times New Roman"/>
          <w:sz w:val="20"/>
          <w:szCs w:val="20"/>
        </w:rPr>
      </w:pPr>
      <w:r w:rsidRPr="008363B2">
        <w:rPr>
          <w:rFonts w:cs="Times New Roman"/>
          <w:sz w:val="20"/>
          <w:szCs w:val="20"/>
        </w:rPr>
        <w:t xml:space="preserve">   P: Proportion (0.5 for maximum variability)</w:t>
      </w:r>
    </w:p>
    <w:p w14:paraId="2DF0E40E" w14:textId="6E7748E5" w:rsidR="00D6506D" w:rsidRPr="0087315A" w:rsidRDefault="00D6506D" w:rsidP="0087315A">
      <w:pPr>
        <w:widowControl w:val="0"/>
        <w:autoSpaceDE w:val="0"/>
        <w:autoSpaceDN w:val="0"/>
        <w:spacing w:after="0" w:line="276" w:lineRule="auto"/>
        <w:ind w:firstLine="715"/>
        <w:jc w:val="both"/>
        <w:rPr>
          <w:rFonts w:cs="Times New Roman"/>
          <w:sz w:val="20"/>
          <w:szCs w:val="20"/>
        </w:rPr>
      </w:pPr>
      <w:r w:rsidRPr="008363B2">
        <w:rPr>
          <w:rFonts w:cs="Times New Roman"/>
          <w:sz w:val="20"/>
          <w:szCs w:val="20"/>
        </w:rPr>
        <w:t xml:space="preserve">   d²: Margin of error (0.05 for 5%)</w:t>
      </w:r>
    </w:p>
    <w:p w14:paraId="0D69B82B" w14:textId="77777777" w:rsidR="00D6506D" w:rsidRPr="008363B2" w:rsidRDefault="00D6506D" w:rsidP="008363B2">
      <w:pPr>
        <w:widowControl w:val="0"/>
        <w:autoSpaceDE w:val="0"/>
        <w:autoSpaceDN w:val="0"/>
        <w:spacing w:after="0" w:line="276" w:lineRule="auto"/>
        <w:ind w:firstLine="715"/>
        <w:jc w:val="both"/>
        <w:rPr>
          <w:rFonts w:cs="Times New Roman"/>
          <w:sz w:val="20"/>
          <w:szCs w:val="24"/>
        </w:rPr>
      </w:pPr>
      <w:r w:rsidRPr="008363B2">
        <w:rPr>
          <w:rFonts w:cs="Times New Roman"/>
          <w:sz w:val="20"/>
          <w:szCs w:val="24"/>
        </w:rPr>
        <w:t>Meanwhile, the total sample size is calculated to be 149 respondents. Next, proportions for Officer A and Officer B are calculated as below:</w:t>
      </w:r>
    </w:p>
    <w:p w14:paraId="2BCAFD40" w14:textId="77777777" w:rsidR="00D6506D" w:rsidRPr="008363B2" w:rsidRDefault="00D6506D" w:rsidP="008363B2">
      <w:pPr>
        <w:widowControl w:val="0"/>
        <w:autoSpaceDE w:val="0"/>
        <w:autoSpaceDN w:val="0"/>
        <w:spacing w:after="0" w:line="276" w:lineRule="auto"/>
        <w:ind w:firstLine="715"/>
        <w:jc w:val="both"/>
        <w:rPr>
          <w:rFonts w:cs="Times New Roman"/>
          <w:sz w:val="20"/>
          <w:szCs w:val="24"/>
        </w:rPr>
      </w:pPr>
      <w:r w:rsidRPr="008363B2">
        <w:rPr>
          <w:rFonts w:cs="Times New Roman"/>
          <w:sz w:val="20"/>
          <w:szCs w:val="24"/>
        </w:rPr>
        <w:t>a)</w:t>
      </w:r>
      <w:r w:rsidRPr="008363B2">
        <w:rPr>
          <w:rFonts w:cs="Times New Roman"/>
          <w:sz w:val="20"/>
          <w:szCs w:val="24"/>
        </w:rPr>
        <w:tab/>
        <w:t>Proportion for Officer A: 32/242 ≈ 0.13</w:t>
      </w:r>
    </w:p>
    <w:p w14:paraId="2562397F" w14:textId="77777777" w:rsidR="00D6506D" w:rsidRPr="008363B2" w:rsidRDefault="00D6506D" w:rsidP="008363B2">
      <w:pPr>
        <w:widowControl w:val="0"/>
        <w:autoSpaceDE w:val="0"/>
        <w:autoSpaceDN w:val="0"/>
        <w:spacing w:after="0" w:line="276" w:lineRule="auto"/>
        <w:ind w:firstLine="715"/>
        <w:jc w:val="both"/>
        <w:rPr>
          <w:rFonts w:cs="Times New Roman"/>
          <w:sz w:val="20"/>
          <w:szCs w:val="24"/>
        </w:rPr>
      </w:pPr>
      <w:r w:rsidRPr="008363B2">
        <w:rPr>
          <w:rFonts w:cs="Times New Roman"/>
          <w:sz w:val="20"/>
          <w:szCs w:val="24"/>
        </w:rPr>
        <w:t>b)</w:t>
      </w:r>
      <w:r w:rsidRPr="008363B2">
        <w:rPr>
          <w:rFonts w:cs="Times New Roman"/>
          <w:sz w:val="20"/>
          <w:szCs w:val="24"/>
        </w:rPr>
        <w:tab/>
        <w:t>Proportion for Officer B: 210/242 ≈ 0.87</w:t>
      </w:r>
    </w:p>
    <w:p w14:paraId="44448E49" w14:textId="77777777" w:rsidR="00D6506D" w:rsidRPr="008363B2" w:rsidRDefault="00D6506D" w:rsidP="008363B2">
      <w:pPr>
        <w:widowControl w:val="0"/>
        <w:autoSpaceDE w:val="0"/>
        <w:autoSpaceDN w:val="0"/>
        <w:spacing w:after="0" w:line="276" w:lineRule="auto"/>
        <w:ind w:firstLine="715"/>
        <w:jc w:val="both"/>
        <w:rPr>
          <w:rFonts w:cs="Times New Roman"/>
          <w:sz w:val="20"/>
          <w:szCs w:val="24"/>
        </w:rPr>
      </w:pPr>
      <w:r w:rsidRPr="008363B2">
        <w:rPr>
          <w:rFonts w:cs="Times New Roman"/>
          <w:sz w:val="20"/>
          <w:szCs w:val="24"/>
        </w:rPr>
        <w:t>Next, the total sample size (S = 149) is multiplied by the respective proportions:</w:t>
      </w:r>
    </w:p>
    <w:p w14:paraId="1513557F" w14:textId="77777777" w:rsidR="00D6506D" w:rsidRPr="008363B2" w:rsidRDefault="00D6506D" w:rsidP="008363B2">
      <w:pPr>
        <w:widowControl w:val="0"/>
        <w:autoSpaceDE w:val="0"/>
        <w:autoSpaceDN w:val="0"/>
        <w:spacing w:after="0" w:line="276" w:lineRule="auto"/>
        <w:ind w:firstLine="715"/>
        <w:jc w:val="both"/>
        <w:rPr>
          <w:rFonts w:cs="Times New Roman"/>
          <w:sz w:val="20"/>
          <w:szCs w:val="24"/>
        </w:rPr>
      </w:pPr>
      <w:r w:rsidRPr="008363B2">
        <w:rPr>
          <w:rFonts w:cs="Times New Roman"/>
          <w:sz w:val="20"/>
          <w:szCs w:val="24"/>
        </w:rPr>
        <w:t>a)</w:t>
      </w:r>
      <w:r w:rsidRPr="008363B2">
        <w:rPr>
          <w:rFonts w:cs="Times New Roman"/>
          <w:sz w:val="20"/>
          <w:szCs w:val="24"/>
        </w:rPr>
        <w:tab/>
        <w:t>Sample Size for Officer A: 32/242 × 149 ≈ 20</w:t>
      </w:r>
    </w:p>
    <w:p w14:paraId="21C3ADD9" w14:textId="77777777" w:rsidR="00D6506D" w:rsidRPr="008363B2" w:rsidRDefault="00D6506D" w:rsidP="008363B2">
      <w:pPr>
        <w:widowControl w:val="0"/>
        <w:autoSpaceDE w:val="0"/>
        <w:autoSpaceDN w:val="0"/>
        <w:spacing w:after="0" w:line="276" w:lineRule="auto"/>
        <w:ind w:firstLine="715"/>
        <w:jc w:val="both"/>
        <w:rPr>
          <w:rFonts w:cs="Times New Roman"/>
          <w:sz w:val="20"/>
          <w:szCs w:val="24"/>
        </w:rPr>
      </w:pPr>
      <w:r w:rsidRPr="008363B2">
        <w:rPr>
          <w:rFonts w:cs="Times New Roman"/>
          <w:sz w:val="20"/>
          <w:szCs w:val="24"/>
        </w:rPr>
        <w:t>b)</w:t>
      </w:r>
      <w:r w:rsidRPr="008363B2">
        <w:rPr>
          <w:rFonts w:cs="Times New Roman"/>
          <w:sz w:val="20"/>
          <w:szCs w:val="24"/>
        </w:rPr>
        <w:tab/>
        <w:t>Sample Size for Officer B: 210/242 × 149 ≈ 129</w:t>
      </w:r>
    </w:p>
    <w:p w14:paraId="40708FFF" w14:textId="77777777" w:rsidR="00D6506D" w:rsidRPr="008363B2" w:rsidRDefault="00D6506D" w:rsidP="008363B2">
      <w:pPr>
        <w:autoSpaceDE w:val="0"/>
        <w:autoSpaceDN w:val="0"/>
        <w:adjustRightInd w:val="0"/>
        <w:spacing w:after="0" w:line="276" w:lineRule="auto"/>
        <w:ind w:firstLine="715"/>
        <w:jc w:val="both"/>
        <w:rPr>
          <w:bCs/>
          <w:sz w:val="20"/>
          <w:szCs w:val="24"/>
          <w:lang w:val="en-MY"/>
        </w:rPr>
      </w:pPr>
      <w:r w:rsidRPr="008363B2">
        <w:rPr>
          <w:bCs/>
          <w:sz w:val="20"/>
          <w:szCs w:val="24"/>
          <w:lang w:val="en-MY"/>
        </w:rPr>
        <w:t>Thus, a total of 20 respondents was chosen from the Officer A group, which represents upper-echelon decision-makers and administrators. A larger fraction of the sample, 129 respondents, are drawn from the Officer B group that represents operational and support staff. This proportional allocation of respondents ensures that both Officer A and Officer B are represented according to their size in the overall population.</w:t>
      </w:r>
    </w:p>
    <w:p w14:paraId="39510161" w14:textId="77777777" w:rsidR="00D6506D" w:rsidRPr="008363B2" w:rsidRDefault="00D6506D" w:rsidP="008363B2">
      <w:pPr>
        <w:autoSpaceDE w:val="0"/>
        <w:autoSpaceDN w:val="0"/>
        <w:adjustRightInd w:val="0"/>
        <w:spacing w:after="0" w:line="276" w:lineRule="auto"/>
        <w:jc w:val="both"/>
        <w:rPr>
          <w:b/>
          <w:bCs/>
          <w:sz w:val="20"/>
          <w:szCs w:val="24"/>
          <w:lang w:val="en-MY"/>
        </w:rPr>
      </w:pPr>
    </w:p>
    <w:p w14:paraId="73AEB49C" w14:textId="2D10CA5B" w:rsidR="00D6506D" w:rsidRPr="00D6506D" w:rsidRDefault="00D6506D" w:rsidP="0087315A">
      <w:pPr>
        <w:autoSpaceDE w:val="0"/>
        <w:autoSpaceDN w:val="0"/>
        <w:adjustRightInd w:val="0"/>
        <w:spacing w:after="120" w:line="276" w:lineRule="auto"/>
        <w:jc w:val="both"/>
        <w:rPr>
          <w:b/>
          <w:bCs/>
          <w:sz w:val="20"/>
          <w:szCs w:val="24"/>
          <w:lang w:val="en-MY"/>
        </w:rPr>
      </w:pPr>
      <w:r w:rsidRPr="00D6506D">
        <w:rPr>
          <w:b/>
          <w:bCs/>
          <w:sz w:val="20"/>
          <w:szCs w:val="24"/>
          <w:lang w:val="en-MY"/>
        </w:rPr>
        <w:t>3.4. Data Collection Procedures</w:t>
      </w:r>
    </w:p>
    <w:p w14:paraId="1053C4BA" w14:textId="77777777" w:rsidR="00D6506D" w:rsidRPr="008363B2" w:rsidRDefault="00D6506D" w:rsidP="008363B2">
      <w:pPr>
        <w:autoSpaceDE w:val="0"/>
        <w:autoSpaceDN w:val="0"/>
        <w:adjustRightInd w:val="0"/>
        <w:spacing w:after="0" w:line="276" w:lineRule="auto"/>
        <w:jc w:val="both"/>
        <w:rPr>
          <w:bCs/>
          <w:sz w:val="20"/>
          <w:szCs w:val="24"/>
          <w:lang w:val="en-MY"/>
        </w:rPr>
      </w:pPr>
      <w:r w:rsidRPr="008363B2">
        <w:rPr>
          <w:bCs/>
          <w:sz w:val="20"/>
          <w:szCs w:val="24"/>
          <w:lang w:val="en-MY"/>
        </w:rPr>
        <w:t xml:space="preserve">Prior to data collection, ethical approval was obtained from the Research Ethics Committee of </w:t>
      </w:r>
      <w:proofErr w:type="spellStart"/>
      <w:r w:rsidRPr="008363B2">
        <w:rPr>
          <w:bCs/>
          <w:sz w:val="20"/>
          <w:szCs w:val="24"/>
          <w:lang w:val="en-MY"/>
        </w:rPr>
        <w:t>Universiti</w:t>
      </w:r>
      <w:proofErr w:type="spellEnd"/>
      <w:r w:rsidRPr="008363B2">
        <w:rPr>
          <w:bCs/>
          <w:sz w:val="20"/>
          <w:szCs w:val="24"/>
          <w:lang w:val="en-MY"/>
        </w:rPr>
        <w:t xml:space="preserve"> </w:t>
      </w:r>
      <w:proofErr w:type="spellStart"/>
      <w:r w:rsidRPr="008363B2">
        <w:rPr>
          <w:bCs/>
          <w:sz w:val="20"/>
          <w:szCs w:val="24"/>
          <w:lang w:val="en-MY"/>
        </w:rPr>
        <w:t>Teknologi</w:t>
      </w:r>
      <w:proofErr w:type="spellEnd"/>
      <w:r w:rsidRPr="008363B2">
        <w:rPr>
          <w:bCs/>
          <w:sz w:val="20"/>
          <w:szCs w:val="24"/>
          <w:lang w:val="en-MY"/>
        </w:rPr>
        <w:t xml:space="preserve"> MARA. All respondents were provided with clear and comprehensive information regarding the purpose of the research, the nature of their involvement, and their rights as participants. Informed consent was obtained electronically through the Google Form before respondents proceeded to </w:t>
      </w:r>
      <w:r w:rsidRPr="008363B2">
        <w:rPr>
          <w:bCs/>
          <w:sz w:val="20"/>
          <w:szCs w:val="24"/>
          <w:lang w:val="en-MY"/>
        </w:rPr>
        <w:lastRenderedPageBreak/>
        <w:t>answer the survey. All responses were treated as confidential and used solely for academic purposes. Data were collected using structured online questionnaires distributed via Google Forms. These techniques allow for the collection of firsthand data that reflects the views, experiences, and insights of the employees in assessing the implementation of organizational practices, cybersecurity measures, and employee perceptions in real-life settings.</w:t>
      </w:r>
    </w:p>
    <w:p w14:paraId="66898CD6" w14:textId="782FD681" w:rsidR="00D6506D" w:rsidRPr="008363B2" w:rsidRDefault="00D6506D" w:rsidP="008363B2">
      <w:pPr>
        <w:autoSpaceDE w:val="0"/>
        <w:autoSpaceDN w:val="0"/>
        <w:adjustRightInd w:val="0"/>
        <w:spacing w:after="0" w:line="276" w:lineRule="auto"/>
        <w:jc w:val="both"/>
        <w:rPr>
          <w:bCs/>
          <w:sz w:val="20"/>
          <w:szCs w:val="24"/>
          <w:lang w:val="en-MY"/>
        </w:rPr>
      </w:pPr>
      <w:r w:rsidRPr="008363B2">
        <w:rPr>
          <w:bCs/>
          <w:sz w:val="20"/>
          <w:szCs w:val="24"/>
          <w:lang w:val="en-MY"/>
        </w:rPr>
        <w:t> </w:t>
      </w:r>
    </w:p>
    <w:p w14:paraId="45ECDD76" w14:textId="098D92D2" w:rsidR="00D6506D" w:rsidRPr="00D6506D" w:rsidRDefault="00D6506D" w:rsidP="0087315A">
      <w:pPr>
        <w:autoSpaceDE w:val="0"/>
        <w:autoSpaceDN w:val="0"/>
        <w:adjustRightInd w:val="0"/>
        <w:spacing w:after="120" w:line="276" w:lineRule="auto"/>
        <w:jc w:val="both"/>
        <w:rPr>
          <w:b/>
          <w:bCs/>
          <w:sz w:val="20"/>
          <w:szCs w:val="24"/>
          <w:lang w:val="en-MY"/>
        </w:rPr>
      </w:pPr>
      <w:r w:rsidRPr="00D6506D">
        <w:rPr>
          <w:b/>
          <w:bCs/>
          <w:sz w:val="20"/>
          <w:szCs w:val="24"/>
          <w:lang w:val="en-MY"/>
        </w:rPr>
        <w:t>3.5. Data Analysis</w:t>
      </w:r>
    </w:p>
    <w:p w14:paraId="2AF8CB0A" w14:textId="77777777" w:rsidR="00D6506D" w:rsidRPr="008363B2" w:rsidRDefault="00D6506D" w:rsidP="008363B2">
      <w:pPr>
        <w:autoSpaceDE w:val="0"/>
        <w:autoSpaceDN w:val="0"/>
        <w:adjustRightInd w:val="0"/>
        <w:spacing w:after="0" w:line="276" w:lineRule="auto"/>
        <w:jc w:val="both"/>
        <w:rPr>
          <w:bCs/>
          <w:sz w:val="20"/>
          <w:szCs w:val="24"/>
          <w:lang w:val="en-MY"/>
        </w:rPr>
      </w:pPr>
      <w:r w:rsidRPr="008363B2">
        <w:rPr>
          <w:bCs/>
          <w:sz w:val="20"/>
          <w:szCs w:val="24"/>
          <w:lang w:val="en-MY"/>
        </w:rPr>
        <w:t>The data analysis was conducted using IBM SPSS Statistics Version 29.0. First, descriptive analysis summarizes respondents’ demographic profiles, including age, gender, educational background, job position, years of service, and level of involvement in cybersecurity-related tasks. These descriptive statistics, such as mean, standard deviation, and frequency distribution, are used to summarize measures and provide an overview of the characteristics of the respondents and serve as a foundation for interpreting variations in perceptions related to cybersecurity practices within the organization. In this way, the researcher can better understand how the MBSA employees view organizational factors such as policies, training, and leadership. Next, the inferential analysis examined the relationships between the independent variables (policies, training, and leadership) and the dependent variable (cyber risk occurrence). Pearson correlation analysis is conducted to identify the strength and direction of relationships among these variables. To further evaluate predictive relationships, multiple regression analysis was employed. Besides, the reliability of the research instruments was assessed using Cronbach’s alpha coefficient. Subsequently, normality testing was conducted using both the Kolmogorov-Smirnov and Shapiro-Wilk tests, supported by Q-Q plots. Last but not least, multicollinearity diagnostics were also performed using Variance Inflation Factor (VIF) values to ensure the independence of predictor variables.</w:t>
      </w:r>
    </w:p>
    <w:p w14:paraId="259209F0" w14:textId="77777777" w:rsidR="00D6506D" w:rsidRPr="008363B2" w:rsidRDefault="00D6506D" w:rsidP="008363B2">
      <w:pPr>
        <w:autoSpaceDE w:val="0"/>
        <w:autoSpaceDN w:val="0"/>
        <w:adjustRightInd w:val="0"/>
        <w:spacing w:after="0" w:line="276" w:lineRule="auto"/>
        <w:jc w:val="both"/>
        <w:rPr>
          <w:bCs/>
          <w:sz w:val="20"/>
          <w:szCs w:val="24"/>
          <w:lang w:val="en-MY"/>
        </w:rPr>
      </w:pPr>
    </w:p>
    <w:p w14:paraId="6E9404B7" w14:textId="65AFC3F3" w:rsidR="00D6506D" w:rsidRPr="00D6506D" w:rsidRDefault="00D6506D" w:rsidP="0087315A">
      <w:pPr>
        <w:autoSpaceDE w:val="0"/>
        <w:autoSpaceDN w:val="0"/>
        <w:adjustRightInd w:val="0"/>
        <w:spacing w:after="120" w:line="276" w:lineRule="auto"/>
        <w:jc w:val="both"/>
        <w:rPr>
          <w:b/>
          <w:bCs/>
          <w:sz w:val="20"/>
          <w:szCs w:val="24"/>
          <w:lang w:val="en-MY"/>
        </w:rPr>
      </w:pPr>
      <w:r w:rsidRPr="00D6506D">
        <w:rPr>
          <w:b/>
          <w:bCs/>
          <w:sz w:val="20"/>
          <w:szCs w:val="24"/>
          <w:lang w:val="en-MY"/>
        </w:rPr>
        <w:t>3.6. Research Instrument</w:t>
      </w:r>
    </w:p>
    <w:p w14:paraId="3F85DA17" w14:textId="77777777" w:rsidR="00D6506D" w:rsidRPr="008363B2" w:rsidRDefault="00D6506D" w:rsidP="008363B2">
      <w:pPr>
        <w:autoSpaceDE w:val="0"/>
        <w:autoSpaceDN w:val="0"/>
        <w:adjustRightInd w:val="0"/>
        <w:spacing w:after="0" w:line="276" w:lineRule="auto"/>
        <w:jc w:val="both"/>
        <w:rPr>
          <w:bCs/>
          <w:sz w:val="20"/>
          <w:szCs w:val="24"/>
          <w:lang w:val="en-MY"/>
        </w:rPr>
      </w:pPr>
      <w:r w:rsidRPr="008363B2">
        <w:rPr>
          <w:bCs/>
          <w:sz w:val="20"/>
          <w:szCs w:val="24"/>
          <w:lang w:val="en-MY"/>
        </w:rPr>
        <w:t xml:space="preserve">The research instrument for this study is a structured questionnaire designed to collect quantitative data on organizational factors influencing cyber risk management within Majlis </w:t>
      </w:r>
      <w:proofErr w:type="spellStart"/>
      <w:r w:rsidRPr="008363B2">
        <w:rPr>
          <w:bCs/>
          <w:sz w:val="20"/>
          <w:szCs w:val="24"/>
          <w:lang w:val="en-MY"/>
        </w:rPr>
        <w:t>Bandaraya</w:t>
      </w:r>
      <w:proofErr w:type="spellEnd"/>
      <w:r w:rsidRPr="008363B2">
        <w:rPr>
          <w:bCs/>
          <w:sz w:val="20"/>
          <w:szCs w:val="24"/>
          <w:lang w:val="en-MY"/>
        </w:rPr>
        <w:t xml:space="preserve"> Shah Alam (MBSA) and developed based on established literature in cybersecurity governance, risk management, and organizational </w:t>
      </w:r>
      <w:proofErr w:type="spellStart"/>
      <w:r w:rsidRPr="008363B2">
        <w:rPr>
          <w:bCs/>
          <w:sz w:val="20"/>
          <w:szCs w:val="24"/>
          <w:lang w:val="en-MY"/>
        </w:rPr>
        <w:t>behavior</w:t>
      </w:r>
      <w:proofErr w:type="spellEnd"/>
      <w:r w:rsidRPr="008363B2">
        <w:rPr>
          <w:bCs/>
          <w:sz w:val="20"/>
          <w:szCs w:val="24"/>
          <w:lang w:val="en-MY"/>
        </w:rPr>
        <w:t>, ensuring alignment with the study’s objectives and theoretical framework.</w:t>
      </w:r>
    </w:p>
    <w:p w14:paraId="0D0C76B5" w14:textId="77777777" w:rsidR="00D6506D" w:rsidRPr="008363B2" w:rsidRDefault="00D6506D" w:rsidP="008363B2">
      <w:pPr>
        <w:autoSpaceDE w:val="0"/>
        <w:autoSpaceDN w:val="0"/>
        <w:adjustRightInd w:val="0"/>
        <w:spacing w:after="0" w:line="276" w:lineRule="auto"/>
        <w:ind w:firstLine="720"/>
        <w:jc w:val="both"/>
        <w:rPr>
          <w:bCs/>
          <w:sz w:val="20"/>
          <w:szCs w:val="24"/>
          <w:lang w:val="en-MY"/>
        </w:rPr>
      </w:pPr>
      <w:r w:rsidRPr="008363B2">
        <w:rPr>
          <w:bCs/>
          <w:sz w:val="20"/>
          <w:szCs w:val="24"/>
          <w:lang w:val="en-MY"/>
        </w:rPr>
        <w:lastRenderedPageBreak/>
        <w:t>The instrument is divided into several structured sections to systematically capture relevant data. Section 1 (Demographic Information) gathers background information such as gender, age, academic qualification, job role, department, years of service, and level of involvement in cybersecurity-related tasks. This construct is measured using a five-point Likert scale ranging from “Strongly Disagree” to “Strongly Agree” and from “Not Implemented” to “Fully Implemented.” Section 2 (Cybersecurity Policies) measures respondents’ perceptions of the existence, clarity, adequacy, and effectiveness of cybersecurity policies within MBSA. The items are designed to evaluate how well institutional policies support cyber risk management. Responses are captured using Likert-type scales ranging from “Very Ineffective” to “Very Effective.” Section 3 (Training) focuses on evaluating the effectiveness of cybersecurity training programs and whether training content is relevant, practical, and aligned with organizational cybersecurity needs (</w:t>
      </w:r>
      <w:proofErr w:type="spellStart"/>
      <w:r w:rsidRPr="008363B2">
        <w:rPr>
          <w:bCs/>
          <w:sz w:val="20"/>
          <w:szCs w:val="24"/>
          <w:lang w:val="en-MY"/>
        </w:rPr>
        <w:t>Puhakainen</w:t>
      </w:r>
      <w:proofErr w:type="spellEnd"/>
      <w:r w:rsidRPr="008363B2">
        <w:rPr>
          <w:bCs/>
          <w:sz w:val="20"/>
          <w:szCs w:val="24"/>
          <w:lang w:val="en-MY"/>
        </w:rPr>
        <w:t xml:space="preserve"> &amp; Siponen, 2010; Traynor, 2025). Section 4 (Leadership) measures the perceptions of leadership commitment toward cybersecurity through assessing management commitment, resource allocation, and strategic direction related to cybersecurity, which emphasizes the role of leadership in shaping organizational culture, influencing employee </w:t>
      </w:r>
      <w:proofErr w:type="spellStart"/>
      <w:r w:rsidRPr="008363B2">
        <w:rPr>
          <w:bCs/>
          <w:sz w:val="20"/>
          <w:szCs w:val="24"/>
          <w:lang w:val="en-MY"/>
        </w:rPr>
        <w:t>behavior</w:t>
      </w:r>
      <w:proofErr w:type="spellEnd"/>
      <w:r w:rsidRPr="008363B2">
        <w:rPr>
          <w:bCs/>
          <w:sz w:val="20"/>
          <w:szCs w:val="24"/>
          <w:lang w:val="en-MY"/>
        </w:rPr>
        <w:t>, and strengthening cybersecurity resilience (Bass &amp; Avolio, 1994; Herath &amp; Rao, 2009). A five-point Likert scale is used to capture perceptions ranging from “Strongly Disagree” to “Strongly Agree.” Section 5 (Cyber Risk Occurrence) examines the frequency, type, and impact of cybersecurity incidents experienced within the organization through assessing the effectiveness of existing response mechanisms and recovery processes. The measurement of the items used nominal and ordinal scales (European Union Agency for Cybersecurity, 2026; International Organization for Standardization, 2022; Traynor, 2025).</w:t>
      </w:r>
    </w:p>
    <w:p w14:paraId="658A0299" w14:textId="77777777" w:rsidR="00D6506D" w:rsidRPr="008363B2" w:rsidRDefault="00D6506D" w:rsidP="008363B2">
      <w:pPr>
        <w:autoSpaceDE w:val="0"/>
        <w:autoSpaceDN w:val="0"/>
        <w:adjustRightInd w:val="0"/>
        <w:spacing w:after="0" w:line="276" w:lineRule="auto"/>
        <w:jc w:val="both"/>
        <w:rPr>
          <w:bCs/>
          <w:sz w:val="20"/>
          <w:szCs w:val="24"/>
          <w:lang w:val="en-MY"/>
        </w:rPr>
      </w:pPr>
    </w:p>
    <w:p w14:paraId="5B9B2F10" w14:textId="6D5130C5" w:rsidR="00D6506D" w:rsidRPr="00643F86" w:rsidRDefault="00D6506D" w:rsidP="0087315A">
      <w:pPr>
        <w:autoSpaceDE w:val="0"/>
        <w:autoSpaceDN w:val="0"/>
        <w:adjustRightInd w:val="0"/>
        <w:spacing w:after="120" w:line="276" w:lineRule="auto"/>
        <w:jc w:val="both"/>
        <w:rPr>
          <w:b/>
          <w:bCs/>
          <w:lang w:val="en-MY"/>
        </w:rPr>
      </w:pPr>
      <w:r>
        <w:rPr>
          <w:b/>
          <w:bCs/>
          <w:lang w:val="en-MY"/>
        </w:rPr>
        <w:t xml:space="preserve">3.7. </w:t>
      </w:r>
      <w:r w:rsidRPr="00643F86">
        <w:rPr>
          <w:b/>
          <w:bCs/>
          <w:lang w:val="en-MY"/>
        </w:rPr>
        <w:t>Validity and Reliability</w:t>
      </w:r>
    </w:p>
    <w:p w14:paraId="6B696E4C" w14:textId="77777777" w:rsidR="00D6506D" w:rsidRPr="00643F86" w:rsidRDefault="00D6506D" w:rsidP="00D6506D">
      <w:pPr>
        <w:autoSpaceDE w:val="0"/>
        <w:autoSpaceDN w:val="0"/>
        <w:adjustRightInd w:val="0"/>
        <w:spacing w:line="276" w:lineRule="auto"/>
        <w:jc w:val="both"/>
        <w:rPr>
          <w:bCs/>
          <w:lang w:val="en-MY"/>
        </w:rPr>
      </w:pPr>
      <w:r w:rsidRPr="00643F86">
        <w:rPr>
          <w:bCs/>
          <w:lang w:val="en-MY"/>
        </w:rPr>
        <w:t xml:space="preserve">In this study, content validity is ensured by developing the questionnaire items, which measure policies, training, leadership, and cyber risk occurrence, adapted from validated instruments used in previous studies (Herath &amp; Rao, 2009; </w:t>
      </w:r>
      <w:proofErr w:type="spellStart"/>
      <w:r w:rsidRPr="00643F86">
        <w:rPr>
          <w:bCs/>
          <w:lang w:val="en-MY"/>
        </w:rPr>
        <w:t>Puhakainen</w:t>
      </w:r>
      <w:proofErr w:type="spellEnd"/>
      <w:r w:rsidRPr="00643F86">
        <w:rPr>
          <w:bCs/>
          <w:lang w:val="en-MY"/>
        </w:rPr>
        <w:t xml:space="preserve"> &amp; Siponen, 2010; Aliane &amp; Zakariya, 2023). Face and content validity are further strengthened through expert review, whereby the questionnaire is examined for clarity, relevance, and appropriateness of wording in relation to cybersecurity practices. The instrument’s construct validity is also supported by the use of established measurement scales and terminology commonly adopted in cybersecurity and organizational research.</w:t>
      </w:r>
    </w:p>
    <w:p w14:paraId="46B9529E" w14:textId="77777777" w:rsidR="00D6506D" w:rsidRPr="00643F86" w:rsidRDefault="00D6506D" w:rsidP="00D6506D">
      <w:pPr>
        <w:autoSpaceDE w:val="0"/>
        <w:autoSpaceDN w:val="0"/>
        <w:adjustRightInd w:val="0"/>
        <w:spacing w:line="276" w:lineRule="auto"/>
        <w:ind w:firstLine="720"/>
        <w:jc w:val="both"/>
        <w:rPr>
          <w:bCs/>
          <w:lang w:val="en-MY"/>
        </w:rPr>
      </w:pPr>
      <w:r w:rsidRPr="00643F86">
        <w:rPr>
          <w:bCs/>
          <w:lang w:val="en-MY"/>
        </w:rPr>
        <w:lastRenderedPageBreak/>
        <w:t xml:space="preserve">Besides, reliability is assessed through internal consistency, and a Cronbach’s alpha value of 0.70 or above is generally considered acceptable for social science research (Hair et al., 2019). The use of standardized Likert-scale questions also enhances reliability by ensuring uniformity in responses across respondents. Previous studies adopting similar instruments have demonstrated high reliability coefficients, reinforcing confidence in the instrument’s ability to produce consistent results across different organizational settings (Herath &amp; Rao, 2009; </w:t>
      </w:r>
      <w:proofErr w:type="spellStart"/>
      <w:r w:rsidRPr="00643F86">
        <w:rPr>
          <w:bCs/>
          <w:lang w:val="en-MY"/>
        </w:rPr>
        <w:t>Puhakainen</w:t>
      </w:r>
      <w:proofErr w:type="spellEnd"/>
      <w:r w:rsidRPr="00643F86">
        <w:rPr>
          <w:bCs/>
          <w:lang w:val="en-MY"/>
        </w:rPr>
        <w:t xml:space="preserve"> &amp; Siponen, 2010).</w:t>
      </w:r>
    </w:p>
    <w:p w14:paraId="3AEF52B8" w14:textId="77777777" w:rsidR="00C84177" w:rsidRPr="00D6506D" w:rsidRDefault="00C84177" w:rsidP="00420C78">
      <w:pPr>
        <w:spacing w:after="0" w:line="276" w:lineRule="auto"/>
        <w:rPr>
          <w:rFonts w:eastAsia="Palatino Linotype"/>
          <w:b/>
          <w:sz w:val="20"/>
          <w:szCs w:val="20"/>
          <w:lang w:val="en-MY"/>
        </w:rPr>
      </w:pPr>
    </w:p>
    <w:p w14:paraId="167EF636" w14:textId="77777777" w:rsidR="0030573F" w:rsidRPr="00AA50DB" w:rsidRDefault="0030573F" w:rsidP="0030573F">
      <w:pPr>
        <w:spacing w:after="120" w:line="276" w:lineRule="auto"/>
        <w:rPr>
          <w:rFonts w:eastAsia="Palatino Linotype"/>
          <w:b/>
          <w:sz w:val="20"/>
          <w:szCs w:val="20"/>
          <w:lang w:val="en-US"/>
        </w:rPr>
      </w:pPr>
      <w:r w:rsidRPr="00AA50DB">
        <w:rPr>
          <w:rFonts w:eastAsia="Palatino Linotype"/>
          <w:b/>
          <w:sz w:val="20"/>
          <w:szCs w:val="20"/>
          <w:lang w:val="en-US"/>
        </w:rPr>
        <w:t>IV. RESULTS AND ANALYSIS</w:t>
      </w:r>
    </w:p>
    <w:p w14:paraId="1D136B97" w14:textId="277441F1" w:rsidR="00E26131" w:rsidRPr="00BA7FCF" w:rsidRDefault="00BA7FCF" w:rsidP="0087315A">
      <w:pPr>
        <w:autoSpaceDE w:val="0"/>
        <w:autoSpaceDN w:val="0"/>
        <w:adjustRightInd w:val="0"/>
        <w:spacing w:after="120" w:line="276" w:lineRule="auto"/>
        <w:jc w:val="both"/>
        <w:rPr>
          <w:b/>
          <w:sz w:val="20"/>
          <w:szCs w:val="24"/>
          <w:lang w:val="en-MY"/>
        </w:rPr>
      </w:pPr>
      <w:r w:rsidRPr="00BA7FCF">
        <w:rPr>
          <w:b/>
          <w:sz w:val="20"/>
          <w:szCs w:val="24"/>
          <w:lang w:val="en-MY"/>
        </w:rPr>
        <w:t xml:space="preserve">4.1. </w:t>
      </w:r>
      <w:r w:rsidR="00E26131" w:rsidRPr="00BA7FCF">
        <w:rPr>
          <w:b/>
          <w:sz w:val="20"/>
          <w:szCs w:val="24"/>
          <w:lang w:val="en-MY"/>
        </w:rPr>
        <w:t>Preliminary Data Analysis</w:t>
      </w:r>
    </w:p>
    <w:p w14:paraId="0D133DAD" w14:textId="77777777" w:rsidR="00E26131" w:rsidRPr="0087315A" w:rsidRDefault="00E26131" w:rsidP="0087315A">
      <w:pPr>
        <w:autoSpaceDE w:val="0"/>
        <w:autoSpaceDN w:val="0"/>
        <w:adjustRightInd w:val="0"/>
        <w:spacing w:after="0" w:line="276" w:lineRule="auto"/>
        <w:jc w:val="both"/>
        <w:rPr>
          <w:bCs/>
          <w:sz w:val="20"/>
          <w:szCs w:val="24"/>
          <w:lang w:val="en-MY"/>
        </w:rPr>
      </w:pPr>
      <w:r w:rsidRPr="0087315A">
        <w:rPr>
          <w:bCs/>
          <w:sz w:val="20"/>
          <w:szCs w:val="24"/>
          <w:lang w:val="en-MY"/>
        </w:rPr>
        <w:t xml:space="preserve">Preliminary data analysis is necessary to check for straight-lining data, missing values, and normality. In this study, the response rate was 80.6%, which is excellent for large-scale online surveys (Masson, 2025). During the data screening process by SPSS, no questionnaire was identified for removal due to straight-lining </w:t>
      </w:r>
      <w:proofErr w:type="spellStart"/>
      <w:r w:rsidRPr="0087315A">
        <w:rPr>
          <w:bCs/>
          <w:sz w:val="20"/>
          <w:szCs w:val="24"/>
          <w:lang w:val="en-MY"/>
        </w:rPr>
        <w:t>behavior</w:t>
      </w:r>
      <w:proofErr w:type="spellEnd"/>
      <w:r w:rsidRPr="0087315A">
        <w:rPr>
          <w:bCs/>
          <w:sz w:val="20"/>
          <w:szCs w:val="24"/>
          <w:lang w:val="en-MY"/>
        </w:rPr>
        <w:t>, as all standard deviations (SD) and variances of the responses were greater than zero (Hair et al., 2017). Next, all instruments showed a normal range of skewness and kurtosis and fell within -1 and +1; hence, it suggested a normal distribution (Kline, 2011; Jackson, 2012). Besides all histograms and bell-shaped curves, Q-Q plots and P-P plots showed that the study variables are normally distributed. The dots in Q-Q and P-P plots are in or near the straight line; thus, there are no outliers, which suggests that the data follow the normal distribution (Das &amp; Imon, 2016).</w:t>
      </w:r>
    </w:p>
    <w:p w14:paraId="3631C3B4" w14:textId="77777777" w:rsidR="00E26131" w:rsidRPr="0087315A" w:rsidRDefault="00E26131" w:rsidP="0087315A">
      <w:pPr>
        <w:autoSpaceDE w:val="0"/>
        <w:autoSpaceDN w:val="0"/>
        <w:adjustRightInd w:val="0"/>
        <w:spacing w:after="0" w:line="276" w:lineRule="auto"/>
        <w:jc w:val="both"/>
        <w:rPr>
          <w:bCs/>
          <w:sz w:val="20"/>
          <w:szCs w:val="24"/>
          <w:lang w:val="en-MY"/>
        </w:rPr>
      </w:pPr>
      <w:r w:rsidRPr="0087315A">
        <w:rPr>
          <w:bCs/>
          <w:sz w:val="20"/>
          <w:szCs w:val="24"/>
          <w:lang w:val="en-MY"/>
        </w:rPr>
        <w:t> </w:t>
      </w:r>
    </w:p>
    <w:p w14:paraId="2E2DB086" w14:textId="028B955B" w:rsidR="00E26131" w:rsidRPr="00BA7FCF" w:rsidRDefault="00BA7FCF" w:rsidP="0087315A">
      <w:pPr>
        <w:autoSpaceDE w:val="0"/>
        <w:autoSpaceDN w:val="0"/>
        <w:adjustRightInd w:val="0"/>
        <w:spacing w:after="120" w:line="276" w:lineRule="auto"/>
        <w:jc w:val="both"/>
        <w:rPr>
          <w:b/>
          <w:sz w:val="20"/>
          <w:szCs w:val="24"/>
          <w:lang w:val="en-MY"/>
        </w:rPr>
      </w:pPr>
      <w:r w:rsidRPr="00BA7FCF">
        <w:rPr>
          <w:b/>
          <w:sz w:val="20"/>
          <w:szCs w:val="24"/>
          <w:lang w:val="en-MY"/>
        </w:rPr>
        <w:t xml:space="preserve">4.2. </w:t>
      </w:r>
      <w:r w:rsidR="00E26131" w:rsidRPr="00BA7FCF">
        <w:rPr>
          <w:b/>
          <w:sz w:val="20"/>
          <w:szCs w:val="24"/>
          <w:lang w:val="en-MY"/>
        </w:rPr>
        <w:t xml:space="preserve">Demographic </w:t>
      </w:r>
      <w:r>
        <w:rPr>
          <w:b/>
          <w:sz w:val="20"/>
          <w:szCs w:val="24"/>
          <w:lang w:val="en-MY"/>
        </w:rPr>
        <w:t>P</w:t>
      </w:r>
      <w:r w:rsidR="00E26131" w:rsidRPr="00BA7FCF">
        <w:rPr>
          <w:b/>
          <w:sz w:val="20"/>
          <w:szCs w:val="24"/>
          <w:lang w:val="en-MY"/>
        </w:rPr>
        <w:t>rofile</w:t>
      </w:r>
    </w:p>
    <w:p w14:paraId="29D9E03E" w14:textId="674C2CFF" w:rsidR="00E26131" w:rsidRPr="0087315A" w:rsidRDefault="00E26131" w:rsidP="0087315A">
      <w:pPr>
        <w:autoSpaceDE w:val="0"/>
        <w:autoSpaceDN w:val="0"/>
        <w:adjustRightInd w:val="0"/>
        <w:spacing w:after="0" w:line="276" w:lineRule="auto"/>
        <w:jc w:val="both"/>
        <w:rPr>
          <w:bCs/>
          <w:sz w:val="20"/>
          <w:szCs w:val="20"/>
          <w:lang w:val="en-MY"/>
        </w:rPr>
      </w:pPr>
      <w:r w:rsidRPr="0087315A">
        <w:rPr>
          <w:bCs/>
          <w:sz w:val="20"/>
          <w:szCs w:val="20"/>
          <w:lang w:val="en-MY"/>
        </w:rPr>
        <w:t>In</w:t>
      </w:r>
      <w:r w:rsidRPr="0087315A">
        <w:rPr>
          <w:b/>
          <w:bCs/>
          <w:sz w:val="20"/>
          <w:szCs w:val="20"/>
          <w:lang w:val="en-MY"/>
        </w:rPr>
        <w:t xml:space="preserve"> </w:t>
      </w:r>
      <w:r w:rsidRPr="0087315A">
        <w:rPr>
          <w:bCs/>
          <w:sz w:val="20"/>
          <w:szCs w:val="20"/>
          <w:lang w:val="en-MY"/>
        </w:rPr>
        <w:t xml:space="preserve">this section, a detailed overview of the </w:t>
      </w:r>
      <w:bookmarkStart w:id="0" w:name="_Hlk229729521"/>
      <w:r w:rsidR="001C5398">
        <w:rPr>
          <w:bCs/>
          <w:sz w:val="20"/>
          <w:szCs w:val="20"/>
          <w:lang w:val="en-MY"/>
        </w:rPr>
        <w:t>D</w:t>
      </w:r>
      <w:r w:rsidRPr="0087315A">
        <w:rPr>
          <w:bCs/>
          <w:sz w:val="20"/>
          <w:szCs w:val="20"/>
          <w:lang w:val="en-MY"/>
        </w:rPr>
        <w:t>emographic characteristics of 242 respondents showed an almost similar distribution among males (47.1%) and females (52.9%) in this study. Most of them are between 31 and 40 years old (42.1%) and 41 and 50 years old (41.3%). Moreover, the majority of the respondents (76.8%) are reported to have diploma qualifications.</w:t>
      </w:r>
      <w:bookmarkEnd w:id="0"/>
    </w:p>
    <w:p w14:paraId="267C8304" w14:textId="77777777" w:rsidR="00E26131" w:rsidRPr="0087315A" w:rsidRDefault="00E26131" w:rsidP="0087315A">
      <w:pPr>
        <w:autoSpaceDE w:val="0"/>
        <w:autoSpaceDN w:val="0"/>
        <w:adjustRightInd w:val="0"/>
        <w:spacing w:after="0" w:line="276" w:lineRule="auto"/>
        <w:ind w:firstLine="720"/>
        <w:jc w:val="both"/>
        <w:rPr>
          <w:bCs/>
          <w:sz w:val="20"/>
          <w:szCs w:val="20"/>
          <w:lang w:val="en-MY"/>
        </w:rPr>
      </w:pPr>
      <w:r w:rsidRPr="0087315A">
        <w:rPr>
          <w:bCs/>
          <w:sz w:val="20"/>
          <w:szCs w:val="20"/>
          <w:lang w:val="en-MY"/>
        </w:rPr>
        <w:t xml:space="preserve">Besides, </w:t>
      </w:r>
      <w:bookmarkStart w:id="1" w:name="_Hlk229729563"/>
      <w:r w:rsidRPr="0087315A">
        <w:rPr>
          <w:bCs/>
          <w:sz w:val="20"/>
          <w:szCs w:val="20"/>
          <w:lang w:val="en-MY"/>
        </w:rPr>
        <w:t xml:space="preserve">210 out of 242 respondents are Officer B, whereas only 13.2% of them are Officer A. Furthermore, the majority of the respondents (75.2%) are reported to have more than 10 years of working experience at MBSA. The fewest respondents have 1 to 5 years’ experience (2.9%). With over 95% of them having more than five years of service, thus, most of the respondents in this study have a deeper understanding and knowledge of cybersecurity. However, more than half </w:t>
      </w:r>
      <w:r w:rsidRPr="0087315A">
        <w:rPr>
          <w:bCs/>
          <w:sz w:val="20"/>
          <w:szCs w:val="20"/>
          <w:lang w:val="en-MY"/>
        </w:rPr>
        <w:lastRenderedPageBreak/>
        <w:t>of them (58.3%) mentioned they do not handle cybersecurity-related tasks in their role. When discussing the level of familiarity with cybersecurity, only 5.4% of respondents indicated they are not familiar at all.</w:t>
      </w:r>
      <w:bookmarkEnd w:id="1"/>
    </w:p>
    <w:p w14:paraId="3B65937F" w14:textId="77777777" w:rsidR="00E26131" w:rsidRPr="0087315A" w:rsidRDefault="00E26131" w:rsidP="0087315A">
      <w:pPr>
        <w:autoSpaceDE w:val="0"/>
        <w:autoSpaceDN w:val="0"/>
        <w:adjustRightInd w:val="0"/>
        <w:spacing w:after="0" w:line="276" w:lineRule="auto"/>
        <w:jc w:val="both"/>
        <w:rPr>
          <w:rFonts w:cs="Times New Roman"/>
          <w:sz w:val="20"/>
          <w:szCs w:val="20"/>
        </w:rPr>
      </w:pPr>
    </w:p>
    <w:p w14:paraId="42D8326C" w14:textId="639E86BE" w:rsidR="00E26131" w:rsidRPr="0087315A" w:rsidRDefault="00E26131" w:rsidP="0087315A">
      <w:pPr>
        <w:pStyle w:val="Caption"/>
        <w:spacing w:line="276" w:lineRule="auto"/>
        <w:jc w:val="center"/>
        <w:rPr>
          <w:rFonts w:ascii="Palatino Linotype" w:hAnsi="Palatino Linotype"/>
          <w:sz w:val="20"/>
          <w:szCs w:val="20"/>
        </w:rPr>
      </w:pPr>
      <w:bookmarkStart w:id="2" w:name="_Toc218334498"/>
      <w:r w:rsidRPr="0087315A">
        <w:rPr>
          <w:rFonts w:ascii="Palatino Linotype" w:hAnsi="Palatino Linotype"/>
          <w:sz w:val="20"/>
          <w:szCs w:val="20"/>
        </w:rPr>
        <w:t>Table 1</w:t>
      </w:r>
      <w:r w:rsidR="0087315A">
        <w:rPr>
          <w:rFonts w:ascii="Palatino Linotype" w:hAnsi="Palatino Linotype"/>
          <w:sz w:val="20"/>
          <w:szCs w:val="20"/>
        </w:rPr>
        <w:t>.</w:t>
      </w:r>
    </w:p>
    <w:p w14:paraId="7B13376A" w14:textId="77777777" w:rsidR="00E26131" w:rsidRPr="0087315A" w:rsidRDefault="00E26131" w:rsidP="0087315A">
      <w:pPr>
        <w:pStyle w:val="Caption"/>
        <w:spacing w:line="276" w:lineRule="auto"/>
        <w:jc w:val="center"/>
        <w:rPr>
          <w:rFonts w:ascii="Palatino Linotype" w:hAnsi="Palatino Linotype"/>
          <w:sz w:val="20"/>
          <w:szCs w:val="20"/>
        </w:rPr>
      </w:pPr>
      <w:r w:rsidRPr="0087315A">
        <w:rPr>
          <w:rFonts w:ascii="Palatino Linotype" w:hAnsi="Palatino Linotype"/>
          <w:sz w:val="20"/>
          <w:szCs w:val="20"/>
        </w:rPr>
        <w:t>Demographic Profiles of Respondents (N=242)</w:t>
      </w:r>
      <w:bookmarkEnd w:id="2"/>
    </w:p>
    <w:tbl>
      <w:tblPr>
        <w:tblW w:w="5000" w:type="pct"/>
        <w:tblBorders>
          <w:top w:val="single" w:sz="4" w:space="0" w:color="auto"/>
          <w:bottom w:val="single" w:sz="4" w:space="0" w:color="auto"/>
        </w:tblBorders>
        <w:tblLook w:val="0600" w:firstRow="0" w:lastRow="0" w:firstColumn="0" w:lastColumn="0" w:noHBand="1" w:noVBand="1"/>
      </w:tblPr>
      <w:tblGrid>
        <w:gridCol w:w="3846"/>
        <w:gridCol w:w="1579"/>
        <w:gridCol w:w="1780"/>
      </w:tblGrid>
      <w:tr w:rsidR="00E26131" w:rsidRPr="0087315A" w14:paraId="08DE719D" w14:textId="77777777" w:rsidTr="00F74DB8">
        <w:trPr>
          <w:trHeight w:val="192"/>
        </w:trPr>
        <w:tc>
          <w:tcPr>
            <w:tcW w:w="2669" w:type="pct"/>
            <w:tcBorders>
              <w:top w:val="single" w:sz="4" w:space="0" w:color="auto"/>
              <w:bottom w:val="single" w:sz="4" w:space="0" w:color="auto"/>
            </w:tcBorders>
            <w:tcMar>
              <w:top w:w="100" w:type="dxa"/>
              <w:left w:w="100" w:type="dxa"/>
              <w:bottom w:w="100" w:type="dxa"/>
              <w:right w:w="100" w:type="dxa"/>
            </w:tcMar>
          </w:tcPr>
          <w:p w14:paraId="2B41EA13" w14:textId="77777777" w:rsidR="00E26131" w:rsidRPr="0087315A" w:rsidRDefault="00E26131" w:rsidP="0087315A">
            <w:pPr>
              <w:widowControl w:val="0"/>
              <w:spacing w:after="0" w:line="276" w:lineRule="auto"/>
              <w:rPr>
                <w:rFonts w:eastAsia="Times New Roman" w:cs="Times New Roman"/>
                <w:b/>
                <w:bCs/>
                <w:sz w:val="20"/>
                <w:szCs w:val="20"/>
              </w:rPr>
            </w:pPr>
            <w:r w:rsidRPr="0087315A">
              <w:rPr>
                <w:rFonts w:eastAsia="Times New Roman" w:cs="Times New Roman"/>
                <w:b/>
                <w:bCs/>
                <w:sz w:val="20"/>
                <w:szCs w:val="20"/>
              </w:rPr>
              <w:t>Demographic</w:t>
            </w:r>
          </w:p>
        </w:tc>
        <w:tc>
          <w:tcPr>
            <w:tcW w:w="1096" w:type="pct"/>
            <w:tcBorders>
              <w:top w:val="single" w:sz="4" w:space="0" w:color="auto"/>
              <w:bottom w:val="single" w:sz="4" w:space="0" w:color="auto"/>
            </w:tcBorders>
            <w:tcMar>
              <w:top w:w="100" w:type="dxa"/>
              <w:left w:w="100" w:type="dxa"/>
              <w:bottom w:w="100" w:type="dxa"/>
              <w:right w:w="100" w:type="dxa"/>
            </w:tcMar>
          </w:tcPr>
          <w:p w14:paraId="1ABDAB74" w14:textId="77777777" w:rsidR="00E26131" w:rsidRPr="0087315A" w:rsidRDefault="00E26131" w:rsidP="0087315A">
            <w:pPr>
              <w:widowControl w:val="0"/>
              <w:spacing w:after="0" w:line="276" w:lineRule="auto"/>
              <w:jc w:val="center"/>
              <w:rPr>
                <w:rFonts w:eastAsia="Times New Roman" w:cs="Times New Roman"/>
                <w:b/>
                <w:bCs/>
                <w:sz w:val="20"/>
                <w:szCs w:val="20"/>
              </w:rPr>
            </w:pPr>
            <w:r w:rsidRPr="0087315A">
              <w:rPr>
                <w:rFonts w:eastAsia="Times New Roman" w:cs="Times New Roman"/>
                <w:b/>
                <w:bCs/>
                <w:sz w:val="20"/>
                <w:szCs w:val="20"/>
              </w:rPr>
              <w:t>Frequency</w:t>
            </w:r>
          </w:p>
        </w:tc>
        <w:tc>
          <w:tcPr>
            <w:tcW w:w="1235" w:type="pct"/>
            <w:tcBorders>
              <w:top w:val="single" w:sz="4" w:space="0" w:color="auto"/>
              <w:bottom w:val="single" w:sz="4" w:space="0" w:color="auto"/>
            </w:tcBorders>
            <w:tcMar>
              <w:top w:w="100" w:type="dxa"/>
              <w:left w:w="100" w:type="dxa"/>
              <w:bottom w:w="100" w:type="dxa"/>
              <w:right w:w="100" w:type="dxa"/>
            </w:tcMar>
          </w:tcPr>
          <w:p w14:paraId="79673EBA" w14:textId="77777777" w:rsidR="00E26131" w:rsidRPr="0087315A" w:rsidRDefault="00E26131" w:rsidP="0087315A">
            <w:pPr>
              <w:widowControl w:val="0"/>
              <w:spacing w:after="0" w:line="276" w:lineRule="auto"/>
              <w:jc w:val="center"/>
              <w:rPr>
                <w:rFonts w:eastAsia="Times New Roman" w:cs="Times New Roman"/>
                <w:b/>
                <w:bCs/>
                <w:sz w:val="20"/>
                <w:szCs w:val="20"/>
              </w:rPr>
            </w:pPr>
            <w:r w:rsidRPr="0087315A">
              <w:rPr>
                <w:rFonts w:eastAsia="Times New Roman" w:cs="Times New Roman"/>
                <w:b/>
                <w:bCs/>
                <w:sz w:val="20"/>
                <w:szCs w:val="20"/>
              </w:rPr>
              <w:t>Percentage</w:t>
            </w:r>
          </w:p>
        </w:tc>
      </w:tr>
      <w:tr w:rsidR="00E26131" w:rsidRPr="0087315A" w14:paraId="6792B67E" w14:textId="77777777" w:rsidTr="00F74DB8">
        <w:trPr>
          <w:trHeight w:val="836"/>
        </w:trPr>
        <w:tc>
          <w:tcPr>
            <w:tcW w:w="2669" w:type="pct"/>
            <w:tcBorders>
              <w:top w:val="single" w:sz="4" w:space="0" w:color="auto"/>
            </w:tcBorders>
            <w:tcMar>
              <w:top w:w="100" w:type="dxa"/>
              <w:left w:w="100" w:type="dxa"/>
              <w:bottom w:w="100" w:type="dxa"/>
              <w:right w:w="100" w:type="dxa"/>
            </w:tcMar>
          </w:tcPr>
          <w:p w14:paraId="58B95A3E"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Gender</w:t>
            </w:r>
          </w:p>
          <w:p w14:paraId="59C7DDEE"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Male</w:t>
            </w:r>
          </w:p>
          <w:p w14:paraId="6399D265"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Female</w:t>
            </w:r>
          </w:p>
        </w:tc>
        <w:tc>
          <w:tcPr>
            <w:tcW w:w="1096" w:type="pct"/>
            <w:tcBorders>
              <w:top w:val="single" w:sz="4" w:space="0" w:color="auto"/>
            </w:tcBorders>
            <w:tcMar>
              <w:top w:w="100" w:type="dxa"/>
              <w:left w:w="100" w:type="dxa"/>
              <w:bottom w:w="100" w:type="dxa"/>
              <w:right w:w="100" w:type="dxa"/>
            </w:tcMar>
          </w:tcPr>
          <w:p w14:paraId="1F294BDA" w14:textId="77777777" w:rsidR="00E26131" w:rsidRPr="0087315A" w:rsidRDefault="00E26131" w:rsidP="0087315A">
            <w:pPr>
              <w:widowControl w:val="0"/>
              <w:spacing w:after="0" w:line="276" w:lineRule="auto"/>
              <w:jc w:val="center"/>
              <w:rPr>
                <w:rFonts w:eastAsia="Times New Roman" w:cs="Times New Roman"/>
                <w:sz w:val="20"/>
                <w:szCs w:val="20"/>
              </w:rPr>
            </w:pPr>
          </w:p>
          <w:p w14:paraId="0E4FB7E6"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114</w:t>
            </w:r>
          </w:p>
          <w:p w14:paraId="234EB3E5"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128</w:t>
            </w:r>
          </w:p>
        </w:tc>
        <w:tc>
          <w:tcPr>
            <w:tcW w:w="1235" w:type="pct"/>
            <w:tcBorders>
              <w:top w:val="single" w:sz="4" w:space="0" w:color="auto"/>
            </w:tcBorders>
            <w:tcMar>
              <w:top w:w="100" w:type="dxa"/>
              <w:left w:w="100" w:type="dxa"/>
              <w:bottom w:w="100" w:type="dxa"/>
              <w:right w:w="100" w:type="dxa"/>
            </w:tcMar>
          </w:tcPr>
          <w:p w14:paraId="1D581AA8" w14:textId="77777777" w:rsidR="00E26131" w:rsidRPr="0087315A" w:rsidRDefault="00E26131" w:rsidP="0087315A">
            <w:pPr>
              <w:widowControl w:val="0"/>
              <w:spacing w:after="0" w:line="276" w:lineRule="auto"/>
              <w:jc w:val="center"/>
              <w:rPr>
                <w:rFonts w:eastAsia="Times New Roman" w:cs="Times New Roman"/>
                <w:sz w:val="20"/>
                <w:szCs w:val="20"/>
              </w:rPr>
            </w:pPr>
          </w:p>
          <w:p w14:paraId="580356ED"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47.1</w:t>
            </w:r>
          </w:p>
          <w:p w14:paraId="132AAF45"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52.9</w:t>
            </w:r>
          </w:p>
        </w:tc>
      </w:tr>
      <w:tr w:rsidR="00E26131" w:rsidRPr="0087315A" w14:paraId="0996099A" w14:textId="77777777" w:rsidTr="00F74DB8">
        <w:trPr>
          <w:trHeight w:val="326"/>
        </w:trPr>
        <w:tc>
          <w:tcPr>
            <w:tcW w:w="2669" w:type="pct"/>
            <w:tcMar>
              <w:top w:w="100" w:type="dxa"/>
              <w:left w:w="100" w:type="dxa"/>
              <w:bottom w:w="100" w:type="dxa"/>
              <w:right w:w="100" w:type="dxa"/>
            </w:tcMar>
          </w:tcPr>
          <w:p w14:paraId="026FE41B"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Age</w:t>
            </w:r>
          </w:p>
          <w:p w14:paraId="198E9B9B"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Below 30 years old</w:t>
            </w:r>
          </w:p>
          <w:p w14:paraId="0EF43AD8"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31 – 40 years old</w:t>
            </w:r>
          </w:p>
          <w:p w14:paraId="4A82170E"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41 – 50 years old</w:t>
            </w:r>
          </w:p>
          <w:p w14:paraId="7BBB62D4"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50 years old and above</w:t>
            </w:r>
          </w:p>
        </w:tc>
        <w:tc>
          <w:tcPr>
            <w:tcW w:w="1096" w:type="pct"/>
            <w:tcMar>
              <w:top w:w="100" w:type="dxa"/>
              <w:left w:w="100" w:type="dxa"/>
              <w:bottom w:w="100" w:type="dxa"/>
              <w:right w:w="100" w:type="dxa"/>
            </w:tcMar>
          </w:tcPr>
          <w:p w14:paraId="5ECB4AB0" w14:textId="77777777" w:rsidR="00E26131" w:rsidRPr="0087315A" w:rsidRDefault="00E26131" w:rsidP="0087315A">
            <w:pPr>
              <w:widowControl w:val="0"/>
              <w:spacing w:after="0" w:line="276" w:lineRule="auto"/>
              <w:jc w:val="center"/>
              <w:rPr>
                <w:rFonts w:eastAsia="Times New Roman" w:cs="Times New Roman"/>
                <w:sz w:val="20"/>
                <w:szCs w:val="20"/>
              </w:rPr>
            </w:pPr>
          </w:p>
          <w:p w14:paraId="37FD1C87"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16</w:t>
            </w:r>
          </w:p>
          <w:p w14:paraId="043C31AD"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102</w:t>
            </w:r>
          </w:p>
          <w:p w14:paraId="144A6A08"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100</w:t>
            </w:r>
          </w:p>
          <w:p w14:paraId="05D26085"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24</w:t>
            </w:r>
          </w:p>
        </w:tc>
        <w:tc>
          <w:tcPr>
            <w:tcW w:w="1235" w:type="pct"/>
            <w:tcMar>
              <w:top w:w="100" w:type="dxa"/>
              <w:left w:w="100" w:type="dxa"/>
              <w:bottom w:w="100" w:type="dxa"/>
              <w:right w:w="100" w:type="dxa"/>
            </w:tcMar>
          </w:tcPr>
          <w:p w14:paraId="72CD76DA" w14:textId="77777777" w:rsidR="00E26131" w:rsidRPr="0087315A" w:rsidRDefault="00E26131" w:rsidP="0087315A">
            <w:pPr>
              <w:widowControl w:val="0"/>
              <w:spacing w:after="0" w:line="276" w:lineRule="auto"/>
              <w:jc w:val="center"/>
              <w:rPr>
                <w:rFonts w:eastAsia="Times New Roman" w:cs="Times New Roman"/>
                <w:sz w:val="20"/>
                <w:szCs w:val="20"/>
              </w:rPr>
            </w:pPr>
          </w:p>
          <w:p w14:paraId="4F556D4D"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6.6</w:t>
            </w:r>
          </w:p>
          <w:p w14:paraId="1B4EF03A"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42.1</w:t>
            </w:r>
          </w:p>
          <w:p w14:paraId="3E629EF6"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41.3</w:t>
            </w:r>
          </w:p>
          <w:p w14:paraId="68791E8E"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9.9</w:t>
            </w:r>
          </w:p>
        </w:tc>
      </w:tr>
      <w:tr w:rsidR="00E26131" w:rsidRPr="0087315A" w14:paraId="5D7C3FA7" w14:textId="77777777" w:rsidTr="00F74DB8">
        <w:trPr>
          <w:trHeight w:val="1193"/>
        </w:trPr>
        <w:tc>
          <w:tcPr>
            <w:tcW w:w="2669" w:type="pct"/>
            <w:tcMar>
              <w:top w:w="100" w:type="dxa"/>
              <w:left w:w="100" w:type="dxa"/>
              <w:bottom w:w="100" w:type="dxa"/>
              <w:right w:w="100" w:type="dxa"/>
            </w:tcMar>
          </w:tcPr>
          <w:p w14:paraId="5BFB0E85"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Academic Qualification</w:t>
            </w:r>
          </w:p>
          <w:p w14:paraId="4968D949"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STPM</w:t>
            </w:r>
          </w:p>
          <w:p w14:paraId="56649E9C"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Diploma</w:t>
            </w:r>
          </w:p>
          <w:p w14:paraId="6D259F62"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Bachelor’s Degree</w:t>
            </w:r>
          </w:p>
          <w:p w14:paraId="57607533"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Master’s Degree</w:t>
            </w:r>
          </w:p>
          <w:p w14:paraId="2A7D1672"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Doctorate (PhD/EdD)</w:t>
            </w:r>
          </w:p>
        </w:tc>
        <w:tc>
          <w:tcPr>
            <w:tcW w:w="1096" w:type="pct"/>
            <w:tcMar>
              <w:top w:w="100" w:type="dxa"/>
              <w:left w:w="100" w:type="dxa"/>
              <w:bottom w:w="100" w:type="dxa"/>
              <w:right w:w="100" w:type="dxa"/>
            </w:tcMar>
          </w:tcPr>
          <w:p w14:paraId="1BD2E2FE" w14:textId="77777777" w:rsidR="00E26131" w:rsidRPr="0087315A" w:rsidRDefault="00E26131" w:rsidP="0087315A">
            <w:pPr>
              <w:widowControl w:val="0"/>
              <w:spacing w:after="0" w:line="276" w:lineRule="auto"/>
              <w:jc w:val="center"/>
              <w:rPr>
                <w:rFonts w:eastAsia="Times New Roman" w:cs="Times New Roman"/>
                <w:sz w:val="20"/>
                <w:szCs w:val="20"/>
              </w:rPr>
            </w:pPr>
          </w:p>
          <w:p w14:paraId="045ADA02"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 xml:space="preserve"> 5</w:t>
            </w:r>
          </w:p>
          <w:p w14:paraId="2C6A26E4"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186</w:t>
            </w:r>
          </w:p>
          <w:p w14:paraId="7F62BA16"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46</w:t>
            </w:r>
          </w:p>
          <w:p w14:paraId="0989E637"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5</w:t>
            </w:r>
          </w:p>
          <w:p w14:paraId="0A518827"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0</w:t>
            </w:r>
          </w:p>
        </w:tc>
        <w:tc>
          <w:tcPr>
            <w:tcW w:w="1235" w:type="pct"/>
            <w:tcMar>
              <w:top w:w="100" w:type="dxa"/>
              <w:left w:w="100" w:type="dxa"/>
              <w:bottom w:w="100" w:type="dxa"/>
              <w:right w:w="100" w:type="dxa"/>
            </w:tcMar>
          </w:tcPr>
          <w:p w14:paraId="74E0EE2C" w14:textId="77777777" w:rsidR="00E26131" w:rsidRPr="0087315A" w:rsidRDefault="00E26131" w:rsidP="0087315A">
            <w:pPr>
              <w:widowControl w:val="0"/>
              <w:spacing w:after="0" w:line="276" w:lineRule="auto"/>
              <w:jc w:val="center"/>
              <w:rPr>
                <w:rFonts w:eastAsia="Times New Roman" w:cs="Times New Roman"/>
                <w:sz w:val="20"/>
                <w:szCs w:val="20"/>
              </w:rPr>
            </w:pPr>
          </w:p>
          <w:p w14:paraId="741DFC0D"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2.1</w:t>
            </w:r>
          </w:p>
          <w:p w14:paraId="3D5B787B"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76.8</w:t>
            </w:r>
          </w:p>
          <w:p w14:paraId="7929E6F7"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19.0</w:t>
            </w:r>
          </w:p>
          <w:p w14:paraId="578E7B3A"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2.1</w:t>
            </w:r>
          </w:p>
          <w:p w14:paraId="101A56AF"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0.0</w:t>
            </w:r>
          </w:p>
        </w:tc>
      </w:tr>
      <w:tr w:rsidR="00E26131" w:rsidRPr="0087315A" w14:paraId="257DA67B" w14:textId="77777777" w:rsidTr="00F74DB8">
        <w:trPr>
          <w:trHeight w:val="784"/>
        </w:trPr>
        <w:tc>
          <w:tcPr>
            <w:tcW w:w="2669" w:type="pct"/>
            <w:tcMar>
              <w:top w:w="100" w:type="dxa"/>
              <w:left w:w="100" w:type="dxa"/>
              <w:bottom w:w="100" w:type="dxa"/>
              <w:right w:w="100" w:type="dxa"/>
            </w:tcMar>
          </w:tcPr>
          <w:p w14:paraId="02A2DFD5"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Role in MBSA</w:t>
            </w:r>
          </w:p>
          <w:p w14:paraId="3D71B304"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Officer A</w:t>
            </w:r>
          </w:p>
          <w:p w14:paraId="4DED629E"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Officer B</w:t>
            </w:r>
          </w:p>
        </w:tc>
        <w:tc>
          <w:tcPr>
            <w:tcW w:w="1096" w:type="pct"/>
            <w:tcMar>
              <w:top w:w="100" w:type="dxa"/>
              <w:left w:w="100" w:type="dxa"/>
              <w:bottom w:w="100" w:type="dxa"/>
              <w:right w:w="100" w:type="dxa"/>
            </w:tcMar>
          </w:tcPr>
          <w:p w14:paraId="26ED20CA" w14:textId="77777777" w:rsidR="00E26131" w:rsidRPr="0087315A" w:rsidRDefault="00E26131" w:rsidP="0087315A">
            <w:pPr>
              <w:widowControl w:val="0"/>
              <w:spacing w:after="0" w:line="276" w:lineRule="auto"/>
              <w:jc w:val="center"/>
              <w:rPr>
                <w:rFonts w:eastAsia="Times New Roman" w:cs="Times New Roman"/>
                <w:sz w:val="20"/>
                <w:szCs w:val="20"/>
              </w:rPr>
            </w:pPr>
          </w:p>
          <w:p w14:paraId="720FB39B"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32</w:t>
            </w:r>
          </w:p>
          <w:p w14:paraId="5F6A336C"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210</w:t>
            </w:r>
          </w:p>
        </w:tc>
        <w:tc>
          <w:tcPr>
            <w:tcW w:w="1235" w:type="pct"/>
            <w:tcMar>
              <w:top w:w="100" w:type="dxa"/>
              <w:left w:w="100" w:type="dxa"/>
              <w:bottom w:w="100" w:type="dxa"/>
              <w:right w:w="100" w:type="dxa"/>
            </w:tcMar>
          </w:tcPr>
          <w:p w14:paraId="0843A8A7" w14:textId="77777777" w:rsidR="00E26131" w:rsidRPr="0087315A" w:rsidRDefault="00E26131" w:rsidP="0087315A">
            <w:pPr>
              <w:widowControl w:val="0"/>
              <w:spacing w:after="0" w:line="276" w:lineRule="auto"/>
              <w:jc w:val="center"/>
              <w:rPr>
                <w:rFonts w:eastAsia="Times New Roman" w:cs="Times New Roman"/>
                <w:sz w:val="20"/>
                <w:szCs w:val="20"/>
              </w:rPr>
            </w:pPr>
          </w:p>
          <w:p w14:paraId="26A9D028"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13.2</w:t>
            </w:r>
          </w:p>
          <w:p w14:paraId="5BA35EEE"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86.8</w:t>
            </w:r>
          </w:p>
        </w:tc>
      </w:tr>
      <w:tr w:rsidR="00E26131" w:rsidRPr="0087315A" w14:paraId="3427782E" w14:textId="77777777" w:rsidTr="00F74DB8">
        <w:trPr>
          <w:trHeight w:val="1083"/>
        </w:trPr>
        <w:tc>
          <w:tcPr>
            <w:tcW w:w="2669" w:type="pct"/>
            <w:tcMar>
              <w:top w:w="100" w:type="dxa"/>
              <w:left w:w="100" w:type="dxa"/>
              <w:bottom w:w="100" w:type="dxa"/>
              <w:right w:w="100" w:type="dxa"/>
            </w:tcMar>
          </w:tcPr>
          <w:p w14:paraId="6068843D"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Year of Working at MBSA</w:t>
            </w:r>
          </w:p>
          <w:p w14:paraId="24A603E9"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1- 5 years</w:t>
            </w:r>
          </w:p>
          <w:p w14:paraId="0FF0BCC4"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6 – 10 years</w:t>
            </w:r>
          </w:p>
          <w:p w14:paraId="21866ABF"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More than 10 years</w:t>
            </w:r>
          </w:p>
        </w:tc>
        <w:tc>
          <w:tcPr>
            <w:tcW w:w="1096" w:type="pct"/>
            <w:tcMar>
              <w:top w:w="100" w:type="dxa"/>
              <w:left w:w="100" w:type="dxa"/>
              <w:bottom w:w="100" w:type="dxa"/>
              <w:right w:w="100" w:type="dxa"/>
            </w:tcMar>
          </w:tcPr>
          <w:p w14:paraId="3CB9D610" w14:textId="77777777" w:rsidR="00E26131" w:rsidRPr="0087315A" w:rsidRDefault="00E26131" w:rsidP="0087315A">
            <w:pPr>
              <w:widowControl w:val="0"/>
              <w:spacing w:after="0" w:line="276" w:lineRule="auto"/>
              <w:jc w:val="center"/>
              <w:rPr>
                <w:rFonts w:eastAsia="Times New Roman" w:cs="Times New Roman"/>
                <w:sz w:val="20"/>
                <w:szCs w:val="20"/>
              </w:rPr>
            </w:pPr>
          </w:p>
          <w:p w14:paraId="4055F1E3"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7</w:t>
            </w:r>
          </w:p>
          <w:p w14:paraId="3C2D75A5"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53</w:t>
            </w:r>
          </w:p>
          <w:p w14:paraId="37070F29"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182</w:t>
            </w:r>
          </w:p>
        </w:tc>
        <w:tc>
          <w:tcPr>
            <w:tcW w:w="1235" w:type="pct"/>
            <w:tcMar>
              <w:top w:w="100" w:type="dxa"/>
              <w:left w:w="100" w:type="dxa"/>
              <w:bottom w:w="100" w:type="dxa"/>
              <w:right w:w="100" w:type="dxa"/>
            </w:tcMar>
          </w:tcPr>
          <w:p w14:paraId="24DD7808" w14:textId="77777777" w:rsidR="00E26131" w:rsidRPr="0087315A" w:rsidRDefault="00E26131" w:rsidP="0087315A">
            <w:pPr>
              <w:widowControl w:val="0"/>
              <w:spacing w:after="0" w:line="276" w:lineRule="auto"/>
              <w:jc w:val="center"/>
              <w:rPr>
                <w:rFonts w:eastAsia="Times New Roman" w:cs="Times New Roman"/>
                <w:sz w:val="20"/>
                <w:szCs w:val="20"/>
              </w:rPr>
            </w:pPr>
          </w:p>
          <w:p w14:paraId="5F52801B"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2.9</w:t>
            </w:r>
          </w:p>
          <w:p w14:paraId="7B09644C"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21.9</w:t>
            </w:r>
          </w:p>
          <w:p w14:paraId="3259A54E"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75.2</w:t>
            </w:r>
          </w:p>
        </w:tc>
      </w:tr>
      <w:tr w:rsidR="00E26131" w:rsidRPr="0087315A" w14:paraId="5A055924" w14:textId="77777777" w:rsidTr="00F74DB8">
        <w:trPr>
          <w:trHeight w:val="860"/>
        </w:trPr>
        <w:tc>
          <w:tcPr>
            <w:tcW w:w="2669" w:type="pct"/>
            <w:tcMar>
              <w:top w:w="100" w:type="dxa"/>
              <w:left w:w="100" w:type="dxa"/>
              <w:bottom w:w="100" w:type="dxa"/>
              <w:right w:w="100" w:type="dxa"/>
            </w:tcMar>
          </w:tcPr>
          <w:p w14:paraId="693A4431"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Handle cybersecurity tasks</w:t>
            </w:r>
          </w:p>
          <w:p w14:paraId="7B56F093"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Yes</w:t>
            </w:r>
          </w:p>
          <w:p w14:paraId="5158435E"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No</w:t>
            </w:r>
          </w:p>
        </w:tc>
        <w:tc>
          <w:tcPr>
            <w:tcW w:w="1096" w:type="pct"/>
            <w:tcMar>
              <w:top w:w="100" w:type="dxa"/>
              <w:left w:w="100" w:type="dxa"/>
              <w:bottom w:w="100" w:type="dxa"/>
              <w:right w:w="100" w:type="dxa"/>
            </w:tcMar>
          </w:tcPr>
          <w:p w14:paraId="421D52AD" w14:textId="77777777" w:rsidR="00E26131" w:rsidRPr="0087315A" w:rsidRDefault="00E26131" w:rsidP="0087315A">
            <w:pPr>
              <w:widowControl w:val="0"/>
              <w:spacing w:after="0" w:line="276" w:lineRule="auto"/>
              <w:jc w:val="center"/>
              <w:rPr>
                <w:rFonts w:eastAsia="Times New Roman" w:cs="Times New Roman"/>
                <w:sz w:val="20"/>
                <w:szCs w:val="20"/>
              </w:rPr>
            </w:pPr>
          </w:p>
          <w:p w14:paraId="79F99567"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101</w:t>
            </w:r>
          </w:p>
          <w:p w14:paraId="76E59975"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141</w:t>
            </w:r>
          </w:p>
        </w:tc>
        <w:tc>
          <w:tcPr>
            <w:tcW w:w="1235" w:type="pct"/>
            <w:tcMar>
              <w:top w:w="100" w:type="dxa"/>
              <w:left w:w="100" w:type="dxa"/>
              <w:bottom w:w="100" w:type="dxa"/>
              <w:right w:w="100" w:type="dxa"/>
            </w:tcMar>
          </w:tcPr>
          <w:p w14:paraId="613D263F" w14:textId="77777777" w:rsidR="00E26131" w:rsidRPr="0087315A" w:rsidRDefault="00E26131" w:rsidP="0087315A">
            <w:pPr>
              <w:widowControl w:val="0"/>
              <w:spacing w:after="0" w:line="276" w:lineRule="auto"/>
              <w:jc w:val="center"/>
              <w:rPr>
                <w:rFonts w:eastAsia="Times New Roman" w:cs="Times New Roman"/>
                <w:sz w:val="20"/>
                <w:szCs w:val="20"/>
              </w:rPr>
            </w:pPr>
          </w:p>
          <w:p w14:paraId="01F12BC3"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41.7</w:t>
            </w:r>
          </w:p>
          <w:p w14:paraId="1C288865"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58.3</w:t>
            </w:r>
          </w:p>
        </w:tc>
      </w:tr>
      <w:tr w:rsidR="00E26131" w:rsidRPr="0087315A" w14:paraId="5AAE2C0F" w14:textId="77777777" w:rsidTr="00F74DB8">
        <w:trPr>
          <w:trHeight w:val="1410"/>
        </w:trPr>
        <w:tc>
          <w:tcPr>
            <w:tcW w:w="2669" w:type="pct"/>
            <w:tcMar>
              <w:top w:w="100" w:type="dxa"/>
              <w:left w:w="100" w:type="dxa"/>
              <w:bottom w:w="100" w:type="dxa"/>
              <w:right w:w="100" w:type="dxa"/>
            </w:tcMar>
          </w:tcPr>
          <w:p w14:paraId="1A39B1BE"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lastRenderedPageBreak/>
              <w:t>Level of familiarity with cybersecurity</w:t>
            </w:r>
          </w:p>
          <w:p w14:paraId="32647C93"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Not at all familiar</w:t>
            </w:r>
          </w:p>
          <w:p w14:paraId="540BCFDE"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A little familiar</w:t>
            </w:r>
          </w:p>
          <w:p w14:paraId="643267E4"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Somewhat familiar</w:t>
            </w:r>
          </w:p>
          <w:p w14:paraId="7CC87369"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Familiar</w:t>
            </w:r>
          </w:p>
          <w:p w14:paraId="31007E54" w14:textId="77777777" w:rsidR="00E26131" w:rsidRPr="0087315A" w:rsidRDefault="00E26131" w:rsidP="0087315A">
            <w:pPr>
              <w:widowControl w:val="0"/>
              <w:spacing w:after="0" w:line="276" w:lineRule="auto"/>
              <w:rPr>
                <w:rFonts w:eastAsia="Times New Roman" w:cs="Times New Roman"/>
                <w:sz w:val="20"/>
                <w:szCs w:val="20"/>
              </w:rPr>
            </w:pPr>
            <w:r w:rsidRPr="0087315A">
              <w:rPr>
                <w:rFonts w:eastAsia="Times New Roman" w:cs="Times New Roman"/>
                <w:sz w:val="20"/>
                <w:szCs w:val="20"/>
              </w:rPr>
              <w:t>Very familiar</w:t>
            </w:r>
          </w:p>
        </w:tc>
        <w:tc>
          <w:tcPr>
            <w:tcW w:w="1096" w:type="pct"/>
            <w:tcMar>
              <w:top w:w="100" w:type="dxa"/>
              <w:left w:w="100" w:type="dxa"/>
              <w:bottom w:w="100" w:type="dxa"/>
              <w:right w:w="100" w:type="dxa"/>
            </w:tcMar>
          </w:tcPr>
          <w:p w14:paraId="7AFB27AA" w14:textId="77777777" w:rsidR="00E26131" w:rsidRPr="0087315A" w:rsidRDefault="00E26131" w:rsidP="0087315A">
            <w:pPr>
              <w:widowControl w:val="0"/>
              <w:spacing w:after="0" w:line="276" w:lineRule="auto"/>
              <w:jc w:val="center"/>
              <w:rPr>
                <w:rFonts w:eastAsia="Times New Roman" w:cs="Times New Roman"/>
                <w:sz w:val="20"/>
                <w:szCs w:val="20"/>
              </w:rPr>
            </w:pPr>
          </w:p>
          <w:p w14:paraId="102DAC15"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13</w:t>
            </w:r>
          </w:p>
          <w:p w14:paraId="432F56E7"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40</w:t>
            </w:r>
          </w:p>
          <w:p w14:paraId="0A25BB61"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95</w:t>
            </w:r>
          </w:p>
          <w:p w14:paraId="64923B72"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75</w:t>
            </w:r>
          </w:p>
          <w:p w14:paraId="58FF81FE"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19</w:t>
            </w:r>
          </w:p>
        </w:tc>
        <w:tc>
          <w:tcPr>
            <w:tcW w:w="1235" w:type="pct"/>
            <w:tcMar>
              <w:top w:w="100" w:type="dxa"/>
              <w:left w:w="100" w:type="dxa"/>
              <w:bottom w:w="100" w:type="dxa"/>
              <w:right w:w="100" w:type="dxa"/>
            </w:tcMar>
          </w:tcPr>
          <w:p w14:paraId="5D2AD798" w14:textId="77777777" w:rsidR="00E26131" w:rsidRPr="0087315A" w:rsidRDefault="00E26131" w:rsidP="0087315A">
            <w:pPr>
              <w:widowControl w:val="0"/>
              <w:spacing w:after="0" w:line="276" w:lineRule="auto"/>
              <w:jc w:val="center"/>
              <w:rPr>
                <w:rFonts w:eastAsia="Times New Roman" w:cs="Times New Roman"/>
                <w:sz w:val="20"/>
                <w:szCs w:val="20"/>
              </w:rPr>
            </w:pPr>
          </w:p>
          <w:p w14:paraId="4F9DD8C1"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5.4</w:t>
            </w:r>
          </w:p>
          <w:p w14:paraId="75914B96"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16.5</w:t>
            </w:r>
          </w:p>
          <w:p w14:paraId="620DB3C6"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39.3</w:t>
            </w:r>
          </w:p>
          <w:p w14:paraId="42B69D8E"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31.0</w:t>
            </w:r>
          </w:p>
          <w:p w14:paraId="72C71644" w14:textId="77777777" w:rsidR="00E26131" w:rsidRPr="0087315A" w:rsidRDefault="00E26131" w:rsidP="0087315A">
            <w:pPr>
              <w:widowControl w:val="0"/>
              <w:spacing w:after="0" w:line="276" w:lineRule="auto"/>
              <w:jc w:val="center"/>
              <w:rPr>
                <w:rFonts w:eastAsia="Times New Roman" w:cs="Times New Roman"/>
                <w:sz w:val="20"/>
                <w:szCs w:val="20"/>
              </w:rPr>
            </w:pPr>
            <w:r w:rsidRPr="0087315A">
              <w:rPr>
                <w:rFonts w:eastAsia="Times New Roman" w:cs="Times New Roman"/>
                <w:sz w:val="20"/>
                <w:szCs w:val="20"/>
              </w:rPr>
              <w:t>7.9</w:t>
            </w:r>
          </w:p>
        </w:tc>
      </w:tr>
    </w:tbl>
    <w:p w14:paraId="66DD10F1" w14:textId="77777777" w:rsidR="00E26131" w:rsidRPr="0087315A" w:rsidRDefault="00E26131" w:rsidP="0087315A">
      <w:pPr>
        <w:spacing w:after="0" w:line="276" w:lineRule="auto"/>
        <w:jc w:val="both"/>
        <w:rPr>
          <w:rFonts w:cs="Times New Roman"/>
          <w:sz w:val="20"/>
          <w:szCs w:val="20"/>
        </w:rPr>
      </w:pPr>
    </w:p>
    <w:p w14:paraId="49DFD10E" w14:textId="64138AF2" w:rsidR="00E26131" w:rsidRPr="00BA7FCF" w:rsidRDefault="00BA7FCF" w:rsidP="00BA7FCF">
      <w:pPr>
        <w:rPr>
          <w:b/>
          <w:bCs/>
          <w:sz w:val="20"/>
          <w:szCs w:val="24"/>
        </w:rPr>
      </w:pPr>
      <w:r w:rsidRPr="00BA7FCF">
        <w:rPr>
          <w:b/>
          <w:bCs/>
          <w:sz w:val="20"/>
          <w:szCs w:val="24"/>
        </w:rPr>
        <w:t xml:space="preserve">4.3. </w:t>
      </w:r>
      <w:r w:rsidR="00E26131" w:rsidRPr="00BA7FCF">
        <w:rPr>
          <w:b/>
          <w:bCs/>
          <w:sz w:val="20"/>
          <w:szCs w:val="24"/>
        </w:rPr>
        <w:t>Descriptive Analysis</w:t>
      </w:r>
    </w:p>
    <w:p w14:paraId="55D44A49" w14:textId="1C01F996" w:rsidR="00E26131" w:rsidRPr="008F2D35" w:rsidRDefault="00E26131" w:rsidP="008F2D35">
      <w:pPr>
        <w:pStyle w:val="Caption"/>
        <w:spacing w:line="276" w:lineRule="auto"/>
        <w:jc w:val="both"/>
        <w:rPr>
          <w:rFonts w:ascii="Palatino Linotype" w:eastAsia="DengXian" w:hAnsi="Palatino Linotype" w:cs="Times New Roman"/>
          <w:b w:val="0"/>
          <w:bCs/>
          <w:kern w:val="2"/>
          <w:sz w:val="20"/>
          <w:szCs w:val="20"/>
          <w:lang w:val="en-MY"/>
          <w14:ligatures w14:val="standardContextual"/>
        </w:rPr>
      </w:pPr>
      <w:bookmarkStart w:id="3" w:name="_Toc218334500"/>
      <w:r w:rsidRPr="008F2D35">
        <w:rPr>
          <w:rFonts w:ascii="Palatino Linotype" w:eastAsia="DengXian" w:hAnsi="Palatino Linotype" w:cs="Times New Roman"/>
          <w:b w:val="0"/>
          <w:bCs/>
          <w:kern w:val="2"/>
          <w:sz w:val="20"/>
          <w:szCs w:val="20"/>
          <w:lang w:val="en-MY"/>
          <w14:ligatures w14:val="standardContextual"/>
        </w:rPr>
        <w:t xml:space="preserve">This section describes the </w:t>
      </w:r>
      <w:bookmarkStart w:id="4" w:name="_Hlk229728759"/>
      <w:r w:rsidRPr="008F2D35">
        <w:rPr>
          <w:rFonts w:ascii="Palatino Linotype" w:eastAsia="DengXian" w:hAnsi="Palatino Linotype" w:cs="Times New Roman"/>
          <w:b w:val="0"/>
          <w:bCs/>
          <w:kern w:val="2"/>
          <w:sz w:val="20"/>
          <w:szCs w:val="20"/>
          <w:lang w:val="en-MY"/>
          <w14:ligatures w14:val="standardContextual"/>
        </w:rPr>
        <w:t>descriptive analysis of the study variables by presenting the mean (</w:t>
      </w:r>
      <w:r w:rsidRPr="008F2D35">
        <w:rPr>
          <w:rFonts w:ascii="Palatino Linotype" w:eastAsia="DengXian" w:hAnsi="Palatino Linotype" w:cs="Times New Roman"/>
          <w:b w:val="0"/>
          <w:bCs/>
          <w:i/>
          <w:kern w:val="2"/>
          <w:sz w:val="20"/>
          <w:szCs w:val="20"/>
          <w:lang w:val="en-MY"/>
          <w14:ligatures w14:val="standardContextual"/>
        </w:rPr>
        <w:t>M</w:t>
      </w:r>
      <w:r w:rsidRPr="008F2D35">
        <w:rPr>
          <w:rFonts w:ascii="Palatino Linotype" w:eastAsia="DengXian" w:hAnsi="Palatino Linotype" w:cs="Times New Roman"/>
          <w:b w:val="0"/>
          <w:bCs/>
          <w:kern w:val="2"/>
          <w:sz w:val="20"/>
          <w:szCs w:val="20"/>
          <w:lang w:val="en-MY"/>
          <w14:ligatures w14:val="standardContextual"/>
        </w:rPr>
        <w:t>) and standard deviation (</w:t>
      </w:r>
      <w:r w:rsidRPr="008F2D35">
        <w:rPr>
          <w:rFonts w:ascii="Palatino Linotype" w:eastAsia="DengXian" w:hAnsi="Palatino Linotype" w:cs="Times New Roman"/>
          <w:b w:val="0"/>
          <w:bCs/>
          <w:i/>
          <w:kern w:val="2"/>
          <w:sz w:val="20"/>
          <w:szCs w:val="20"/>
          <w:lang w:val="en-MY"/>
          <w14:ligatures w14:val="standardContextual"/>
        </w:rPr>
        <w:t>SD</w:t>
      </w:r>
      <w:r w:rsidRPr="008F2D35">
        <w:rPr>
          <w:rFonts w:ascii="Palatino Linotype" w:eastAsia="DengXian" w:hAnsi="Palatino Linotype" w:cs="Times New Roman"/>
          <w:b w:val="0"/>
          <w:bCs/>
          <w:kern w:val="2"/>
          <w:sz w:val="20"/>
          <w:szCs w:val="20"/>
          <w:lang w:val="en-MY"/>
          <w14:ligatures w14:val="standardContextual"/>
        </w:rPr>
        <w:t xml:space="preserve">) values. The mean score for cyber risk occurrence was 18.84 with a standard deviation of 3.01. Both subscales, Rate and Patterns (M = 9.34, SD = 1.93) and Impact and Actions (M = 9.50, SD = 2.25), recorded nearly similar means and standard deviations. This suggests that respondents in this study feel that both perspectives are equally important in capturing cyber risk occurrence. Next, Cybersecurity Policies (CP) showed the highest mean and standard deviation among the other independent variables (M = 22.97, SD = 4.52). Besides, Cybersecurity Training (CT) (M = 15.17, SD = 2.83) has the lowest mean and standard deviation, while Leadership Commitment (LC) (M = 17.82, SD = 3.91) was slightly higher than the CT. This suggests the respondents </w:t>
      </w:r>
      <w:r w:rsidR="001C5398" w:rsidRPr="008F2D35">
        <w:rPr>
          <w:rFonts w:ascii="Palatino Linotype" w:eastAsia="DengXian" w:hAnsi="Palatino Linotype" w:cs="Times New Roman"/>
          <w:b w:val="0"/>
          <w:bCs/>
          <w:kern w:val="2"/>
          <w:sz w:val="20"/>
          <w:szCs w:val="20"/>
          <w:lang w:val="en-MY"/>
          <w14:ligatures w14:val="standardContextual"/>
        </w:rPr>
        <w:t>deliberate</w:t>
      </w:r>
      <w:r w:rsidRPr="008F2D35">
        <w:rPr>
          <w:rFonts w:ascii="Palatino Linotype" w:eastAsia="DengXian" w:hAnsi="Palatino Linotype" w:cs="Times New Roman"/>
          <w:b w:val="0"/>
          <w:bCs/>
          <w:kern w:val="2"/>
          <w:sz w:val="20"/>
          <w:szCs w:val="20"/>
          <w:lang w:val="en-MY"/>
          <w14:ligatures w14:val="standardContextual"/>
        </w:rPr>
        <w:t xml:space="preserve"> that leadership commitment, such as allocation of resources and leadership involvement, is slightly more important than CT in capturing cybersecurity incidents. </w:t>
      </w:r>
      <w:bookmarkEnd w:id="4"/>
    </w:p>
    <w:p w14:paraId="73FA4B8D" w14:textId="77777777" w:rsidR="00BA7FCF" w:rsidRPr="008F2D35" w:rsidRDefault="00BA7FCF" w:rsidP="008F2D35">
      <w:pPr>
        <w:spacing w:after="0" w:line="276" w:lineRule="auto"/>
        <w:rPr>
          <w:sz w:val="20"/>
          <w:szCs w:val="20"/>
          <w:lang w:val="en-MY" w:eastAsia="zh-CN"/>
        </w:rPr>
      </w:pPr>
    </w:p>
    <w:bookmarkEnd w:id="3"/>
    <w:p w14:paraId="789E2437" w14:textId="5A6C5C28" w:rsidR="00E26131" w:rsidRPr="00BA7FCF" w:rsidRDefault="00BA7FCF" w:rsidP="008F2D35">
      <w:pPr>
        <w:spacing w:after="120"/>
        <w:rPr>
          <w:b/>
          <w:bCs/>
          <w:sz w:val="20"/>
          <w:szCs w:val="24"/>
        </w:rPr>
      </w:pPr>
      <w:r w:rsidRPr="00BA7FCF">
        <w:rPr>
          <w:b/>
          <w:bCs/>
          <w:sz w:val="20"/>
          <w:szCs w:val="24"/>
        </w:rPr>
        <w:t xml:space="preserve">4.4. </w:t>
      </w:r>
      <w:r w:rsidR="00E26131" w:rsidRPr="00BA7FCF">
        <w:rPr>
          <w:b/>
          <w:bCs/>
          <w:sz w:val="20"/>
          <w:szCs w:val="24"/>
        </w:rPr>
        <w:t>Reliability</w:t>
      </w:r>
    </w:p>
    <w:p w14:paraId="70A83D69" w14:textId="4947347D" w:rsidR="00E26131" w:rsidRPr="002B2CB1" w:rsidRDefault="00E26131" w:rsidP="008F2D35">
      <w:pPr>
        <w:spacing w:after="0" w:line="276" w:lineRule="auto"/>
        <w:jc w:val="both"/>
        <w:rPr>
          <w:rFonts w:cs="Times New Roman"/>
          <w:sz w:val="20"/>
          <w:szCs w:val="20"/>
          <w:lang w:val="en-MY"/>
        </w:rPr>
      </w:pPr>
      <w:r w:rsidRPr="008F2D35">
        <w:rPr>
          <w:rFonts w:cs="Times New Roman"/>
          <w:sz w:val="20"/>
          <w:szCs w:val="20"/>
          <w:lang w:val="en-MY"/>
        </w:rPr>
        <w:t>An acceptable reliability score is at least 0.7 or higher (</w:t>
      </w:r>
      <w:proofErr w:type="spellStart"/>
      <w:r w:rsidRPr="008F2D35">
        <w:rPr>
          <w:rFonts w:cs="Times New Roman"/>
          <w:sz w:val="20"/>
          <w:szCs w:val="20"/>
          <w:lang w:val="en-MY"/>
        </w:rPr>
        <w:t>Mohajan</w:t>
      </w:r>
      <w:proofErr w:type="spellEnd"/>
      <w:r w:rsidRPr="008F2D35">
        <w:rPr>
          <w:rFonts w:cs="Times New Roman"/>
          <w:sz w:val="20"/>
          <w:szCs w:val="20"/>
          <w:lang w:val="en-MY"/>
        </w:rPr>
        <w:t xml:space="preserve">, 2017; Heal &amp; Twycross, 2015). However, reliability with Cronbach’s alpha of .60 and above is still considered acceptable and ideally reliable (Jackson, 2012; Schmitt, 1996; Cortina, 1993). </w:t>
      </w:r>
    </w:p>
    <w:p w14:paraId="2BC8D79D" w14:textId="642D1EE0" w:rsidR="00E26131" w:rsidRPr="008F2D35" w:rsidRDefault="00E26131" w:rsidP="002B2CB1">
      <w:pPr>
        <w:autoSpaceDE w:val="0"/>
        <w:autoSpaceDN w:val="0"/>
        <w:adjustRightInd w:val="0"/>
        <w:spacing w:after="0" w:line="276" w:lineRule="auto"/>
        <w:ind w:firstLine="720"/>
        <w:jc w:val="both"/>
        <w:rPr>
          <w:rFonts w:cs="Times New Roman"/>
          <w:sz w:val="20"/>
          <w:szCs w:val="20"/>
          <w:lang w:val="en-MY"/>
        </w:rPr>
      </w:pPr>
      <w:r w:rsidRPr="008F2D35">
        <w:rPr>
          <w:rFonts w:cs="Times New Roman"/>
          <w:sz w:val="20"/>
          <w:szCs w:val="20"/>
          <w:lang w:val="en-MY"/>
        </w:rPr>
        <w:t>All of the instruments utilized in this current study showed sufficient and good reliability, except for Cyber Risk Occurrence. The highest score was cybersecurity policies and leadership commitment</w:t>
      </w:r>
      <w:r w:rsidR="002B2CB1">
        <w:rPr>
          <w:rFonts w:cs="Times New Roman"/>
          <w:sz w:val="20"/>
          <w:szCs w:val="20"/>
          <w:lang w:val="en-MY"/>
        </w:rPr>
        <w:t xml:space="preserve"> </w:t>
      </w:r>
      <w:r w:rsidR="002B2CB1" w:rsidRPr="008F2D35">
        <w:rPr>
          <w:rFonts w:cs="Times New Roman"/>
          <w:sz w:val="20"/>
          <w:szCs w:val="20"/>
          <w:lang w:val="en-MY"/>
        </w:rPr>
        <w:t>(alpha=.</w:t>
      </w:r>
      <w:r w:rsidR="002B2CB1">
        <w:rPr>
          <w:rFonts w:cs="Times New Roman"/>
          <w:sz w:val="20"/>
          <w:szCs w:val="20"/>
          <w:lang w:val="en-MY"/>
        </w:rPr>
        <w:t>7</w:t>
      </w:r>
      <w:r w:rsidR="002B2CB1" w:rsidRPr="008F2D35">
        <w:rPr>
          <w:rFonts w:cs="Times New Roman"/>
          <w:sz w:val="20"/>
          <w:szCs w:val="20"/>
          <w:lang w:val="en-MY"/>
        </w:rPr>
        <w:t>5)</w:t>
      </w:r>
      <w:r w:rsidRPr="008F2D35">
        <w:rPr>
          <w:rFonts w:cs="Times New Roman"/>
          <w:sz w:val="20"/>
          <w:szCs w:val="20"/>
          <w:lang w:val="en-MY"/>
        </w:rPr>
        <w:t>, while the lowest was cyber risk occurrence (alpha=.45). The low reliability of CRO might be due to the mixed nominal and ordinal items in this subscale. Overall, the whole set of questionnaires achieved a sufficient reliability score with the standardized alpha value of 0.78.</w:t>
      </w:r>
    </w:p>
    <w:p w14:paraId="530472CF" w14:textId="1FDBEB6C" w:rsidR="00E26131" w:rsidRPr="00BA7FCF" w:rsidRDefault="00BA7FCF" w:rsidP="008F2D35">
      <w:pPr>
        <w:autoSpaceDE w:val="0"/>
        <w:autoSpaceDN w:val="0"/>
        <w:adjustRightInd w:val="0"/>
        <w:spacing w:after="120" w:line="276" w:lineRule="auto"/>
        <w:jc w:val="both"/>
        <w:rPr>
          <w:rFonts w:cs="Times New Roman"/>
          <w:b/>
          <w:bCs/>
          <w:sz w:val="20"/>
          <w:szCs w:val="18"/>
          <w:lang w:val="en-MY"/>
        </w:rPr>
      </w:pPr>
      <w:r w:rsidRPr="00BA7FCF">
        <w:rPr>
          <w:rFonts w:cs="Times New Roman"/>
          <w:b/>
          <w:bCs/>
          <w:sz w:val="20"/>
          <w:szCs w:val="18"/>
          <w:lang w:val="en-MY"/>
        </w:rPr>
        <w:lastRenderedPageBreak/>
        <w:t xml:space="preserve">4.5. </w:t>
      </w:r>
      <w:r w:rsidR="00E26131" w:rsidRPr="00BA7FCF">
        <w:rPr>
          <w:rFonts w:cs="Times New Roman"/>
          <w:b/>
          <w:bCs/>
          <w:sz w:val="20"/>
          <w:szCs w:val="18"/>
          <w:lang w:val="en-MY"/>
        </w:rPr>
        <w:t>Inferential Statistics</w:t>
      </w:r>
    </w:p>
    <w:p w14:paraId="6CB541B1" w14:textId="77777777" w:rsidR="00E26131" w:rsidRPr="008F2D35" w:rsidRDefault="00E26131" w:rsidP="008F2D35">
      <w:pPr>
        <w:autoSpaceDE w:val="0"/>
        <w:autoSpaceDN w:val="0"/>
        <w:adjustRightInd w:val="0"/>
        <w:spacing w:after="0" w:line="276" w:lineRule="auto"/>
        <w:jc w:val="both"/>
        <w:rPr>
          <w:rFonts w:cs="Times New Roman"/>
          <w:sz w:val="20"/>
          <w:szCs w:val="18"/>
          <w:lang w:val="en-MY"/>
        </w:rPr>
      </w:pPr>
      <w:r w:rsidRPr="008F2D35">
        <w:rPr>
          <w:rFonts w:cs="Times New Roman"/>
          <w:sz w:val="20"/>
          <w:szCs w:val="18"/>
          <w:lang w:val="en-MY"/>
        </w:rPr>
        <w:t>In this section, the inferential statistics, such as Pearson correlation analysis and multiple regression, are discussed.</w:t>
      </w:r>
    </w:p>
    <w:p w14:paraId="00A622FC" w14:textId="77777777" w:rsidR="00E26131" w:rsidRPr="008F2D35" w:rsidRDefault="00E26131" w:rsidP="008F2D35">
      <w:pPr>
        <w:autoSpaceDE w:val="0"/>
        <w:autoSpaceDN w:val="0"/>
        <w:adjustRightInd w:val="0"/>
        <w:spacing w:after="0" w:line="276" w:lineRule="auto"/>
        <w:jc w:val="both"/>
        <w:rPr>
          <w:rFonts w:cs="Times New Roman"/>
          <w:sz w:val="20"/>
          <w:szCs w:val="18"/>
          <w:lang w:val="en-MY"/>
        </w:rPr>
      </w:pPr>
    </w:p>
    <w:p w14:paraId="0098BE72" w14:textId="5D8E311F" w:rsidR="00E26131" w:rsidRPr="00BA7FCF" w:rsidRDefault="00BA7FCF" w:rsidP="008F2D35">
      <w:pPr>
        <w:autoSpaceDE w:val="0"/>
        <w:autoSpaceDN w:val="0"/>
        <w:adjustRightInd w:val="0"/>
        <w:spacing w:after="120" w:line="276" w:lineRule="auto"/>
        <w:jc w:val="both"/>
        <w:rPr>
          <w:rFonts w:cs="Times New Roman"/>
          <w:b/>
          <w:bCs/>
          <w:sz w:val="20"/>
          <w:szCs w:val="18"/>
          <w:lang w:val="en-MY"/>
        </w:rPr>
      </w:pPr>
      <w:r w:rsidRPr="00BA7FCF">
        <w:rPr>
          <w:rFonts w:cs="Times New Roman"/>
          <w:b/>
          <w:bCs/>
          <w:sz w:val="20"/>
          <w:szCs w:val="18"/>
          <w:lang w:val="en-MY"/>
        </w:rPr>
        <w:t xml:space="preserve">4.5.1. </w:t>
      </w:r>
      <w:r w:rsidR="00E26131" w:rsidRPr="00BA7FCF">
        <w:rPr>
          <w:rFonts w:cs="Times New Roman"/>
          <w:b/>
          <w:bCs/>
          <w:sz w:val="20"/>
          <w:szCs w:val="18"/>
          <w:lang w:val="en-MY"/>
        </w:rPr>
        <w:t>Pearson Correlation Analysis</w:t>
      </w:r>
    </w:p>
    <w:p w14:paraId="4465F7F6" w14:textId="41DA9C4C" w:rsidR="00BA7FCF" w:rsidRPr="008F2D35" w:rsidRDefault="00E26131" w:rsidP="008F2D35">
      <w:pPr>
        <w:autoSpaceDE w:val="0"/>
        <w:autoSpaceDN w:val="0"/>
        <w:adjustRightInd w:val="0"/>
        <w:spacing w:after="0" w:line="276" w:lineRule="auto"/>
        <w:jc w:val="both"/>
        <w:rPr>
          <w:rFonts w:cs="Times New Roman"/>
          <w:sz w:val="20"/>
          <w:szCs w:val="20"/>
          <w:lang w:val="en-MY"/>
        </w:rPr>
      </w:pPr>
      <w:r w:rsidRPr="008F2D35">
        <w:rPr>
          <w:rFonts w:cs="Times New Roman"/>
          <w:sz w:val="20"/>
          <w:szCs w:val="20"/>
          <w:lang w:val="en-MY"/>
        </w:rPr>
        <w:t>Pearson correlation analysis explores the strength of the relationships between the Cybersecurity Policies (CP), Cybersecurity Training (CT), Leadership Commitment (LC), and Cyber Risk Occurrence (CRO). The value of the correlation coefficient (r) ranges between -1.0 and +1.0; if there is a +1.0 value, it indicates perfect positive correlation, and a -1.0 value indicates perfect negative correlation (</w:t>
      </w:r>
      <w:proofErr w:type="spellStart"/>
      <w:r w:rsidRPr="008F2D35">
        <w:rPr>
          <w:rFonts w:cs="Times New Roman"/>
          <w:sz w:val="20"/>
          <w:szCs w:val="20"/>
          <w:lang w:val="en-MY"/>
        </w:rPr>
        <w:t>Saccenti</w:t>
      </w:r>
      <w:proofErr w:type="spellEnd"/>
      <w:r w:rsidRPr="008F2D35">
        <w:rPr>
          <w:rFonts w:cs="Times New Roman"/>
          <w:sz w:val="20"/>
          <w:szCs w:val="20"/>
          <w:lang w:val="en-MY"/>
        </w:rPr>
        <w:t xml:space="preserve"> et al., 2020).</w:t>
      </w:r>
    </w:p>
    <w:p w14:paraId="1C33739E" w14:textId="3A3DBBEF" w:rsidR="00E26131" w:rsidRPr="008F2D35" w:rsidRDefault="00E26131" w:rsidP="008F2D35">
      <w:pPr>
        <w:pStyle w:val="Caption"/>
        <w:spacing w:line="276" w:lineRule="auto"/>
        <w:jc w:val="center"/>
        <w:rPr>
          <w:rFonts w:ascii="Palatino Linotype" w:hAnsi="Palatino Linotype"/>
          <w:sz w:val="20"/>
          <w:szCs w:val="20"/>
        </w:rPr>
      </w:pPr>
      <w:bookmarkStart w:id="5" w:name="_Toc218334502"/>
      <w:r w:rsidRPr="008F2D35">
        <w:rPr>
          <w:rFonts w:ascii="Palatino Linotype" w:hAnsi="Palatino Linotype"/>
          <w:sz w:val="20"/>
          <w:szCs w:val="20"/>
        </w:rPr>
        <w:t xml:space="preserve">Table </w:t>
      </w:r>
      <w:r w:rsidR="002B2CB1">
        <w:rPr>
          <w:rFonts w:ascii="Palatino Linotype" w:hAnsi="Palatino Linotype"/>
          <w:sz w:val="20"/>
          <w:szCs w:val="20"/>
        </w:rPr>
        <w:t>2</w:t>
      </w:r>
      <w:r w:rsidRPr="008F2D35">
        <w:rPr>
          <w:rFonts w:ascii="Palatino Linotype" w:hAnsi="Palatino Linotype"/>
          <w:sz w:val="20"/>
          <w:szCs w:val="20"/>
        </w:rPr>
        <w:t>.</w:t>
      </w:r>
    </w:p>
    <w:p w14:paraId="7CE730F0" w14:textId="77777777" w:rsidR="00E26131" w:rsidRPr="008F2D35" w:rsidRDefault="00E26131" w:rsidP="008F2D35">
      <w:pPr>
        <w:pStyle w:val="Caption"/>
        <w:spacing w:line="276" w:lineRule="auto"/>
        <w:jc w:val="center"/>
        <w:rPr>
          <w:rFonts w:ascii="Palatino Linotype" w:hAnsi="Palatino Linotype"/>
          <w:sz w:val="20"/>
          <w:szCs w:val="20"/>
        </w:rPr>
      </w:pPr>
      <w:r w:rsidRPr="008F2D35">
        <w:rPr>
          <w:rFonts w:ascii="Palatino Linotype" w:hAnsi="Palatino Linotype"/>
          <w:sz w:val="20"/>
          <w:szCs w:val="20"/>
        </w:rPr>
        <w:t>Correlation Analysis</w:t>
      </w:r>
      <w:bookmarkEnd w:id="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057"/>
        <w:gridCol w:w="1057"/>
        <w:gridCol w:w="1056"/>
        <w:gridCol w:w="1056"/>
        <w:gridCol w:w="968"/>
        <w:gridCol w:w="968"/>
      </w:tblGrid>
      <w:tr w:rsidR="00E26131" w:rsidRPr="008F2D35" w14:paraId="00F015DE" w14:textId="77777777" w:rsidTr="00F74DB8">
        <w:tc>
          <w:tcPr>
            <w:tcW w:w="723" w:type="pct"/>
            <w:tcBorders>
              <w:top w:val="single" w:sz="4" w:space="0" w:color="auto"/>
              <w:bottom w:val="single" w:sz="4" w:space="0" w:color="auto"/>
            </w:tcBorders>
          </w:tcPr>
          <w:p w14:paraId="4C4D5E66" w14:textId="77777777" w:rsidR="00E26131" w:rsidRPr="008F2D35" w:rsidRDefault="00E26131" w:rsidP="008F2D35">
            <w:pPr>
              <w:spacing w:after="0" w:line="276" w:lineRule="auto"/>
              <w:rPr>
                <w:rFonts w:cs="Times New Roman"/>
                <w:sz w:val="20"/>
                <w:szCs w:val="20"/>
              </w:rPr>
            </w:pPr>
          </w:p>
        </w:tc>
        <w:tc>
          <w:tcPr>
            <w:tcW w:w="733" w:type="pct"/>
            <w:tcBorders>
              <w:top w:val="single" w:sz="4" w:space="0" w:color="auto"/>
              <w:bottom w:val="single" w:sz="4" w:space="0" w:color="auto"/>
            </w:tcBorders>
          </w:tcPr>
          <w:p w14:paraId="4F2B4898" w14:textId="77777777" w:rsidR="00E26131" w:rsidRPr="008F2D35" w:rsidRDefault="00E26131" w:rsidP="008F2D35">
            <w:pPr>
              <w:spacing w:after="0" w:line="276" w:lineRule="auto"/>
              <w:jc w:val="center"/>
              <w:rPr>
                <w:rFonts w:cs="Times New Roman"/>
                <w:b/>
                <w:bCs/>
                <w:sz w:val="20"/>
                <w:szCs w:val="20"/>
              </w:rPr>
            </w:pPr>
            <w:r w:rsidRPr="008F2D35">
              <w:rPr>
                <w:rFonts w:cs="Times New Roman"/>
                <w:b/>
                <w:bCs/>
                <w:sz w:val="20"/>
                <w:szCs w:val="20"/>
              </w:rPr>
              <w:t>CP</w:t>
            </w:r>
          </w:p>
        </w:tc>
        <w:tc>
          <w:tcPr>
            <w:tcW w:w="733" w:type="pct"/>
            <w:tcBorders>
              <w:top w:val="single" w:sz="4" w:space="0" w:color="auto"/>
              <w:bottom w:val="single" w:sz="4" w:space="0" w:color="auto"/>
            </w:tcBorders>
          </w:tcPr>
          <w:p w14:paraId="4A8CCB61" w14:textId="77777777" w:rsidR="00E26131" w:rsidRPr="008F2D35" w:rsidRDefault="00E26131" w:rsidP="008F2D35">
            <w:pPr>
              <w:spacing w:after="0" w:line="276" w:lineRule="auto"/>
              <w:jc w:val="center"/>
              <w:rPr>
                <w:rFonts w:cs="Times New Roman"/>
                <w:b/>
                <w:bCs/>
                <w:sz w:val="20"/>
                <w:szCs w:val="20"/>
              </w:rPr>
            </w:pPr>
            <w:r w:rsidRPr="008F2D35">
              <w:rPr>
                <w:rFonts w:cs="Times New Roman"/>
                <w:b/>
                <w:bCs/>
                <w:sz w:val="20"/>
                <w:szCs w:val="20"/>
              </w:rPr>
              <w:t>CT</w:t>
            </w:r>
          </w:p>
        </w:tc>
        <w:tc>
          <w:tcPr>
            <w:tcW w:w="733" w:type="pct"/>
            <w:tcBorders>
              <w:top w:val="single" w:sz="4" w:space="0" w:color="auto"/>
              <w:bottom w:val="single" w:sz="4" w:space="0" w:color="auto"/>
            </w:tcBorders>
          </w:tcPr>
          <w:p w14:paraId="1663321D" w14:textId="77777777" w:rsidR="00E26131" w:rsidRPr="008F2D35" w:rsidRDefault="00E26131" w:rsidP="008F2D35">
            <w:pPr>
              <w:spacing w:after="0" w:line="276" w:lineRule="auto"/>
              <w:jc w:val="center"/>
              <w:rPr>
                <w:rFonts w:cs="Times New Roman"/>
                <w:b/>
                <w:bCs/>
                <w:sz w:val="20"/>
                <w:szCs w:val="20"/>
              </w:rPr>
            </w:pPr>
            <w:r w:rsidRPr="008F2D35">
              <w:rPr>
                <w:rFonts w:cs="Times New Roman"/>
                <w:b/>
                <w:bCs/>
                <w:sz w:val="20"/>
                <w:szCs w:val="20"/>
              </w:rPr>
              <w:t>LC</w:t>
            </w:r>
          </w:p>
        </w:tc>
        <w:tc>
          <w:tcPr>
            <w:tcW w:w="733" w:type="pct"/>
            <w:tcBorders>
              <w:top w:val="single" w:sz="4" w:space="0" w:color="auto"/>
              <w:bottom w:val="single" w:sz="4" w:space="0" w:color="auto"/>
            </w:tcBorders>
          </w:tcPr>
          <w:p w14:paraId="76864F42" w14:textId="77777777" w:rsidR="00E26131" w:rsidRPr="008F2D35" w:rsidRDefault="00E26131" w:rsidP="008F2D35">
            <w:pPr>
              <w:spacing w:after="0" w:line="276" w:lineRule="auto"/>
              <w:jc w:val="center"/>
              <w:rPr>
                <w:rFonts w:cs="Times New Roman"/>
                <w:b/>
                <w:bCs/>
                <w:sz w:val="20"/>
                <w:szCs w:val="20"/>
              </w:rPr>
            </w:pPr>
            <w:proofErr w:type="spellStart"/>
            <w:r w:rsidRPr="008F2D35">
              <w:rPr>
                <w:rFonts w:cs="Times New Roman"/>
                <w:b/>
                <w:bCs/>
                <w:sz w:val="20"/>
                <w:szCs w:val="20"/>
              </w:rPr>
              <w:t>RaP</w:t>
            </w:r>
            <w:proofErr w:type="spellEnd"/>
          </w:p>
        </w:tc>
        <w:tc>
          <w:tcPr>
            <w:tcW w:w="672" w:type="pct"/>
            <w:tcBorders>
              <w:top w:val="single" w:sz="4" w:space="0" w:color="auto"/>
              <w:bottom w:val="single" w:sz="4" w:space="0" w:color="auto"/>
            </w:tcBorders>
          </w:tcPr>
          <w:p w14:paraId="199B972E" w14:textId="77777777" w:rsidR="00E26131" w:rsidRPr="008F2D35" w:rsidRDefault="00E26131" w:rsidP="008F2D35">
            <w:pPr>
              <w:spacing w:after="0" w:line="276" w:lineRule="auto"/>
              <w:jc w:val="center"/>
              <w:rPr>
                <w:rFonts w:cs="Times New Roman"/>
                <w:b/>
                <w:bCs/>
                <w:sz w:val="20"/>
                <w:szCs w:val="20"/>
              </w:rPr>
            </w:pPr>
            <w:proofErr w:type="spellStart"/>
            <w:r w:rsidRPr="008F2D35">
              <w:rPr>
                <w:rFonts w:cs="Times New Roman"/>
                <w:b/>
                <w:bCs/>
                <w:sz w:val="20"/>
                <w:szCs w:val="20"/>
              </w:rPr>
              <w:t>IaA</w:t>
            </w:r>
            <w:proofErr w:type="spellEnd"/>
          </w:p>
        </w:tc>
        <w:tc>
          <w:tcPr>
            <w:tcW w:w="672" w:type="pct"/>
            <w:tcBorders>
              <w:top w:val="single" w:sz="4" w:space="0" w:color="auto"/>
              <w:bottom w:val="single" w:sz="4" w:space="0" w:color="auto"/>
            </w:tcBorders>
          </w:tcPr>
          <w:p w14:paraId="01039176" w14:textId="77777777" w:rsidR="00E26131" w:rsidRPr="008F2D35" w:rsidRDefault="00E26131" w:rsidP="008F2D35">
            <w:pPr>
              <w:spacing w:after="0" w:line="276" w:lineRule="auto"/>
              <w:jc w:val="center"/>
              <w:rPr>
                <w:rFonts w:cs="Times New Roman"/>
                <w:b/>
                <w:bCs/>
                <w:sz w:val="20"/>
                <w:szCs w:val="20"/>
              </w:rPr>
            </w:pPr>
            <w:r w:rsidRPr="008F2D35">
              <w:rPr>
                <w:rFonts w:cs="Times New Roman"/>
                <w:b/>
                <w:bCs/>
                <w:sz w:val="20"/>
                <w:szCs w:val="20"/>
              </w:rPr>
              <w:t>CRO</w:t>
            </w:r>
          </w:p>
        </w:tc>
      </w:tr>
      <w:tr w:rsidR="00E26131" w:rsidRPr="008F2D35" w14:paraId="54C02A72" w14:textId="77777777" w:rsidTr="00F74DB8">
        <w:tc>
          <w:tcPr>
            <w:tcW w:w="723" w:type="pct"/>
            <w:tcBorders>
              <w:top w:val="single" w:sz="4" w:space="0" w:color="auto"/>
            </w:tcBorders>
          </w:tcPr>
          <w:p w14:paraId="15838965"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CP</w:t>
            </w:r>
          </w:p>
        </w:tc>
        <w:tc>
          <w:tcPr>
            <w:tcW w:w="733" w:type="pct"/>
            <w:tcBorders>
              <w:top w:val="single" w:sz="4" w:space="0" w:color="auto"/>
            </w:tcBorders>
          </w:tcPr>
          <w:p w14:paraId="723A98F4"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w:t>
            </w:r>
          </w:p>
        </w:tc>
        <w:tc>
          <w:tcPr>
            <w:tcW w:w="733" w:type="pct"/>
            <w:tcBorders>
              <w:top w:val="single" w:sz="4" w:space="0" w:color="auto"/>
            </w:tcBorders>
          </w:tcPr>
          <w:p w14:paraId="4D0AAF1B"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.712**</w:t>
            </w:r>
          </w:p>
        </w:tc>
        <w:tc>
          <w:tcPr>
            <w:tcW w:w="733" w:type="pct"/>
            <w:tcBorders>
              <w:top w:val="single" w:sz="4" w:space="0" w:color="auto"/>
            </w:tcBorders>
          </w:tcPr>
          <w:p w14:paraId="2DEC749A"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.713**</w:t>
            </w:r>
          </w:p>
        </w:tc>
        <w:tc>
          <w:tcPr>
            <w:tcW w:w="733" w:type="pct"/>
            <w:tcBorders>
              <w:top w:val="single" w:sz="4" w:space="0" w:color="auto"/>
            </w:tcBorders>
          </w:tcPr>
          <w:p w14:paraId="634210F5"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-.185**</w:t>
            </w:r>
          </w:p>
        </w:tc>
        <w:tc>
          <w:tcPr>
            <w:tcW w:w="672" w:type="pct"/>
            <w:tcBorders>
              <w:top w:val="single" w:sz="4" w:space="0" w:color="auto"/>
            </w:tcBorders>
          </w:tcPr>
          <w:p w14:paraId="78917F1C"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.536**</w:t>
            </w:r>
          </w:p>
        </w:tc>
        <w:tc>
          <w:tcPr>
            <w:tcW w:w="672" w:type="pct"/>
            <w:tcBorders>
              <w:top w:val="single" w:sz="4" w:space="0" w:color="auto"/>
            </w:tcBorders>
          </w:tcPr>
          <w:p w14:paraId="00C65BE6"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.281**</w:t>
            </w:r>
          </w:p>
        </w:tc>
      </w:tr>
      <w:tr w:rsidR="00E26131" w:rsidRPr="008F2D35" w14:paraId="6566AAF3" w14:textId="77777777" w:rsidTr="00F74DB8">
        <w:tc>
          <w:tcPr>
            <w:tcW w:w="723" w:type="pct"/>
          </w:tcPr>
          <w:p w14:paraId="6B29317A"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CT</w:t>
            </w:r>
          </w:p>
        </w:tc>
        <w:tc>
          <w:tcPr>
            <w:tcW w:w="733" w:type="pct"/>
          </w:tcPr>
          <w:p w14:paraId="265C075D"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.712**</w:t>
            </w:r>
          </w:p>
        </w:tc>
        <w:tc>
          <w:tcPr>
            <w:tcW w:w="733" w:type="pct"/>
          </w:tcPr>
          <w:p w14:paraId="33933FF2"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w:t>
            </w:r>
          </w:p>
        </w:tc>
        <w:tc>
          <w:tcPr>
            <w:tcW w:w="733" w:type="pct"/>
          </w:tcPr>
          <w:p w14:paraId="3308F37E"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.716**</w:t>
            </w:r>
          </w:p>
        </w:tc>
        <w:tc>
          <w:tcPr>
            <w:tcW w:w="733" w:type="pct"/>
          </w:tcPr>
          <w:p w14:paraId="7971F4AC"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-.194**</w:t>
            </w:r>
          </w:p>
        </w:tc>
        <w:tc>
          <w:tcPr>
            <w:tcW w:w="672" w:type="pct"/>
          </w:tcPr>
          <w:p w14:paraId="23C46AC3"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.563**</w:t>
            </w:r>
          </w:p>
        </w:tc>
        <w:tc>
          <w:tcPr>
            <w:tcW w:w="672" w:type="pct"/>
          </w:tcPr>
          <w:p w14:paraId="4140937B"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.295**</w:t>
            </w:r>
          </w:p>
        </w:tc>
      </w:tr>
      <w:tr w:rsidR="00E26131" w:rsidRPr="008F2D35" w14:paraId="492B7608" w14:textId="77777777" w:rsidTr="00F74DB8">
        <w:tc>
          <w:tcPr>
            <w:tcW w:w="723" w:type="pct"/>
          </w:tcPr>
          <w:p w14:paraId="2EB9213E"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LC</w:t>
            </w:r>
          </w:p>
        </w:tc>
        <w:tc>
          <w:tcPr>
            <w:tcW w:w="733" w:type="pct"/>
          </w:tcPr>
          <w:p w14:paraId="0F3D0FC2"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.713**</w:t>
            </w:r>
          </w:p>
        </w:tc>
        <w:tc>
          <w:tcPr>
            <w:tcW w:w="733" w:type="pct"/>
          </w:tcPr>
          <w:p w14:paraId="34923CD9"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.716**</w:t>
            </w:r>
          </w:p>
        </w:tc>
        <w:tc>
          <w:tcPr>
            <w:tcW w:w="733" w:type="pct"/>
          </w:tcPr>
          <w:p w14:paraId="69353396"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w:t>
            </w:r>
          </w:p>
        </w:tc>
        <w:tc>
          <w:tcPr>
            <w:tcW w:w="733" w:type="pct"/>
          </w:tcPr>
          <w:p w14:paraId="3908EAC4"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-.276**</w:t>
            </w:r>
          </w:p>
        </w:tc>
        <w:tc>
          <w:tcPr>
            <w:tcW w:w="672" w:type="pct"/>
          </w:tcPr>
          <w:p w14:paraId="262342E9" w14:textId="77777777" w:rsidR="00E26131" w:rsidRPr="008F2D35" w:rsidRDefault="00E26131" w:rsidP="008F2D35">
            <w:pPr>
              <w:tabs>
                <w:tab w:val="left" w:pos="676"/>
              </w:tabs>
              <w:spacing w:after="0" w:line="276" w:lineRule="auto"/>
              <w:jc w:val="center"/>
              <w:rPr>
                <w:rFonts w:cs="Times New Roman"/>
                <w:sz w:val="20"/>
                <w:szCs w:val="20"/>
              </w:rPr>
            </w:pPr>
            <w:r w:rsidRPr="008F2D35">
              <w:rPr>
                <w:rFonts w:cs="Times New Roman"/>
                <w:sz w:val="20"/>
                <w:szCs w:val="20"/>
              </w:rPr>
              <w:t>.552**</w:t>
            </w:r>
          </w:p>
        </w:tc>
        <w:tc>
          <w:tcPr>
            <w:tcW w:w="672" w:type="pct"/>
          </w:tcPr>
          <w:p w14:paraId="31CAB917"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.234**</w:t>
            </w:r>
          </w:p>
        </w:tc>
      </w:tr>
      <w:tr w:rsidR="00E26131" w:rsidRPr="008F2D35" w14:paraId="6002BED4" w14:textId="77777777" w:rsidTr="00F74DB8">
        <w:tc>
          <w:tcPr>
            <w:tcW w:w="723" w:type="pct"/>
          </w:tcPr>
          <w:p w14:paraId="235BE01C" w14:textId="77777777" w:rsidR="00E26131" w:rsidRPr="008F2D35" w:rsidRDefault="00E26131" w:rsidP="008F2D35">
            <w:pPr>
              <w:spacing w:after="0" w:line="276" w:lineRule="auto"/>
              <w:jc w:val="center"/>
              <w:rPr>
                <w:rFonts w:cs="Times New Roman"/>
                <w:sz w:val="20"/>
                <w:szCs w:val="20"/>
              </w:rPr>
            </w:pPr>
            <w:proofErr w:type="spellStart"/>
            <w:r w:rsidRPr="008F2D35">
              <w:rPr>
                <w:rFonts w:cs="Times New Roman"/>
                <w:sz w:val="20"/>
                <w:szCs w:val="20"/>
              </w:rPr>
              <w:t>RaP</w:t>
            </w:r>
            <w:proofErr w:type="spellEnd"/>
          </w:p>
        </w:tc>
        <w:tc>
          <w:tcPr>
            <w:tcW w:w="733" w:type="pct"/>
          </w:tcPr>
          <w:p w14:paraId="16B1456D"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-.185**</w:t>
            </w:r>
          </w:p>
        </w:tc>
        <w:tc>
          <w:tcPr>
            <w:tcW w:w="733" w:type="pct"/>
          </w:tcPr>
          <w:p w14:paraId="29C1235E"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-.194**</w:t>
            </w:r>
          </w:p>
        </w:tc>
        <w:tc>
          <w:tcPr>
            <w:tcW w:w="733" w:type="pct"/>
          </w:tcPr>
          <w:p w14:paraId="71768C89"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-.276**</w:t>
            </w:r>
          </w:p>
        </w:tc>
        <w:tc>
          <w:tcPr>
            <w:tcW w:w="733" w:type="pct"/>
          </w:tcPr>
          <w:p w14:paraId="6BFA573B"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w:t>
            </w:r>
          </w:p>
        </w:tc>
        <w:tc>
          <w:tcPr>
            <w:tcW w:w="672" w:type="pct"/>
          </w:tcPr>
          <w:p w14:paraId="7DF16F30"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.034</w:t>
            </w:r>
          </w:p>
        </w:tc>
        <w:tc>
          <w:tcPr>
            <w:tcW w:w="672" w:type="pct"/>
          </w:tcPr>
          <w:p w14:paraId="32436EE9"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.667**</w:t>
            </w:r>
          </w:p>
        </w:tc>
      </w:tr>
      <w:tr w:rsidR="00E26131" w:rsidRPr="008F2D35" w14:paraId="7B42BCAE" w14:textId="77777777" w:rsidTr="00F74DB8">
        <w:tc>
          <w:tcPr>
            <w:tcW w:w="723" w:type="pct"/>
          </w:tcPr>
          <w:p w14:paraId="645FB137" w14:textId="77777777" w:rsidR="00E26131" w:rsidRPr="008F2D35" w:rsidRDefault="00E26131" w:rsidP="008F2D35">
            <w:pPr>
              <w:spacing w:after="0" w:line="276" w:lineRule="auto"/>
              <w:jc w:val="center"/>
              <w:rPr>
                <w:rFonts w:cs="Times New Roman"/>
                <w:sz w:val="20"/>
                <w:szCs w:val="20"/>
              </w:rPr>
            </w:pPr>
            <w:proofErr w:type="spellStart"/>
            <w:r w:rsidRPr="008F2D35">
              <w:rPr>
                <w:rFonts w:cs="Times New Roman"/>
                <w:sz w:val="20"/>
                <w:szCs w:val="20"/>
              </w:rPr>
              <w:t>IaA</w:t>
            </w:r>
            <w:proofErr w:type="spellEnd"/>
          </w:p>
        </w:tc>
        <w:tc>
          <w:tcPr>
            <w:tcW w:w="733" w:type="pct"/>
          </w:tcPr>
          <w:p w14:paraId="461E81E4"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.536**</w:t>
            </w:r>
          </w:p>
        </w:tc>
        <w:tc>
          <w:tcPr>
            <w:tcW w:w="733" w:type="pct"/>
          </w:tcPr>
          <w:p w14:paraId="1B69EBC9"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.563**</w:t>
            </w:r>
          </w:p>
        </w:tc>
        <w:tc>
          <w:tcPr>
            <w:tcW w:w="733" w:type="pct"/>
          </w:tcPr>
          <w:p w14:paraId="49873D55" w14:textId="77777777" w:rsidR="00E26131" w:rsidRPr="008F2D35" w:rsidRDefault="00E26131" w:rsidP="008F2D35">
            <w:pPr>
              <w:tabs>
                <w:tab w:val="left" w:pos="676"/>
              </w:tabs>
              <w:spacing w:after="0" w:line="276" w:lineRule="auto"/>
              <w:jc w:val="center"/>
              <w:rPr>
                <w:rFonts w:cs="Times New Roman"/>
                <w:sz w:val="20"/>
                <w:szCs w:val="20"/>
              </w:rPr>
            </w:pPr>
            <w:r w:rsidRPr="008F2D35">
              <w:rPr>
                <w:rFonts w:cs="Times New Roman"/>
                <w:sz w:val="20"/>
                <w:szCs w:val="20"/>
              </w:rPr>
              <w:t>.552**</w:t>
            </w:r>
          </w:p>
        </w:tc>
        <w:tc>
          <w:tcPr>
            <w:tcW w:w="733" w:type="pct"/>
          </w:tcPr>
          <w:p w14:paraId="6448D260"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.034</w:t>
            </w:r>
          </w:p>
        </w:tc>
        <w:tc>
          <w:tcPr>
            <w:tcW w:w="672" w:type="pct"/>
          </w:tcPr>
          <w:p w14:paraId="58BB8750"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w:t>
            </w:r>
          </w:p>
        </w:tc>
        <w:tc>
          <w:tcPr>
            <w:tcW w:w="672" w:type="pct"/>
          </w:tcPr>
          <w:p w14:paraId="2D42EB1F"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.767**</w:t>
            </w:r>
          </w:p>
        </w:tc>
      </w:tr>
      <w:tr w:rsidR="00E26131" w:rsidRPr="008F2D35" w14:paraId="49B01FF2" w14:textId="77777777" w:rsidTr="00F74DB8">
        <w:tc>
          <w:tcPr>
            <w:tcW w:w="723" w:type="pct"/>
          </w:tcPr>
          <w:p w14:paraId="4A4D56CC"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CRO</w:t>
            </w:r>
          </w:p>
        </w:tc>
        <w:tc>
          <w:tcPr>
            <w:tcW w:w="733" w:type="pct"/>
          </w:tcPr>
          <w:p w14:paraId="1407A60E"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.281**</w:t>
            </w:r>
          </w:p>
        </w:tc>
        <w:tc>
          <w:tcPr>
            <w:tcW w:w="733" w:type="pct"/>
          </w:tcPr>
          <w:p w14:paraId="047A27AE"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.295*</w:t>
            </w:r>
          </w:p>
        </w:tc>
        <w:tc>
          <w:tcPr>
            <w:tcW w:w="733" w:type="pct"/>
          </w:tcPr>
          <w:p w14:paraId="5D50E15A"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.234**</w:t>
            </w:r>
          </w:p>
        </w:tc>
        <w:tc>
          <w:tcPr>
            <w:tcW w:w="733" w:type="pct"/>
          </w:tcPr>
          <w:p w14:paraId="02E21ACE"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.667**</w:t>
            </w:r>
          </w:p>
        </w:tc>
        <w:tc>
          <w:tcPr>
            <w:tcW w:w="672" w:type="pct"/>
          </w:tcPr>
          <w:p w14:paraId="372B13E6"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.767**</w:t>
            </w:r>
          </w:p>
        </w:tc>
        <w:tc>
          <w:tcPr>
            <w:tcW w:w="672" w:type="pct"/>
          </w:tcPr>
          <w:p w14:paraId="0AA727D7" w14:textId="77777777" w:rsidR="00E26131" w:rsidRPr="008F2D35" w:rsidRDefault="00E26131" w:rsidP="008F2D35">
            <w:pPr>
              <w:spacing w:after="0" w:line="276" w:lineRule="auto"/>
              <w:jc w:val="center"/>
              <w:rPr>
                <w:rFonts w:cs="Times New Roman"/>
                <w:sz w:val="20"/>
                <w:szCs w:val="20"/>
              </w:rPr>
            </w:pPr>
            <w:r w:rsidRPr="008F2D35">
              <w:rPr>
                <w:rFonts w:cs="Times New Roman"/>
                <w:sz w:val="20"/>
                <w:szCs w:val="20"/>
              </w:rPr>
              <w:t>1</w:t>
            </w:r>
          </w:p>
        </w:tc>
      </w:tr>
    </w:tbl>
    <w:p w14:paraId="4C4EFD32" w14:textId="1F48253E" w:rsidR="00E26131" w:rsidRDefault="00E26131" w:rsidP="008F2D35">
      <w:pPr>
        <w:autoSpaceDE w:val="0"/>
        <w:autoSpaceDN w:val="0"/>
        <w:adjustRightInd w:val="0"/>
        <w:spacing w:after="0" w:line="276" w:lineRule="auto"/>
        <w:jc w:val="both"/>
        <w:rPr>
          <w:rFonts w:cs="Times New Roman"/>
          <w:spacing w:val="-11"/>
          <w:sz w:val="20"/>
          <w:szCs w:val="20"/>
        </w:rPr>
      </w:pPr>
      <w:r w:rsidRPr="008F2D35">
        <w:rPr>
          <w:rFonts w:cs="Times New Roman"/>
          <w:sz w:val="20"/>
          <w:szCs w:val="20"/>
        </w:rPr>
        <w:t>Note: **</w:t>
      </w:r>
      <w:r w:rsidRPr="008F2D35">
        <w:rPr>
          <w:rFonts w:cs="Times New Roman"/>
          <w:i/>
          <w:iCs/>
          <w:sz w:val="20"/>
          <w:szCs w:val="20"/>
        </w:rPr>
        <w:t xml:space="preserve">p </w:t>
      </w:r>
      <w:r w:rsidRPr="008F2D35">
        <w:rPr>
          <w:rFonts w:cs="Times New Roman"/>
          <w:sz w:val="20"/>
          <w:szCs w:val="20"/>
        </w:rPr>
        <w:t xml:space="preserve">&lt;.01, CP= </w:t>
      </w:r>
      <w:r w:rsidRPr="008F2D35">
        <w:rPr>
          <w:rFonts w:cs="Times New Roman"/>
          <w:spacing w:val="-11"/>
          <w:sz w:val="20"/>
          <w:szCs w:val="20"/>
        </w:rPr>
        <w:t xml:space="preserve">Cybersecurity Policies, CT= Cybersecurity Training, LC= Leadership Commitment, RaP= </w:t>
      </w:r>
      <w:r w:rsidRPr="008F2D35">
        <w:rPr>
          <w:rFonts w:cs="Times New Roman"/>
          <w:sz w:val="20"/>
          <w:szCs w:val="20"/>
        </w:rPr>
        <w:t xml:space="preserve">Cyber Risk (Rate and Patterns), IaA= Cyber Risk (Impact and Actions), CRO= </w:t>
      </w:r>
      <w:r w:rsidRPr="008F2D35">
        <w:rPr>
          <w:rFonts w:cs="Times New Roman"/>
          <w:spacing w:val="-11"/>
          <w:sz w:val="20"/>
          <w:szCs w:val="20"/>
        </w:rPr>
        <w:t>Cyber Risk Occurrence</w:t>
      </w:r>
    </w:p>
    <w:p w14:paraId="06C8551D" w14:textId="77777777" w:rsidR="008F2D35" w:rsidRPr="008F2D35" w:rsidRDefault="008F2D35" w:rsidP="008F2D35">
      <w:pPr>
        <w:autoSpaceDE w:val="0"/>
        <w:autoSpaceDN w:val="0"/>
        <w:adjustRightInd w:val="0"/>
        <w:spacing w:after="0" w:line="276" w:lineRule="auto"/>
        <w:jc w:val="both"/>
        <w:rPr>
          <w:rFonts w:eastAsia="Times New Roman" w:cs="Times New Roman"/>
          <w:sz w:val="20"/>
          <w:szCs w:val="20"/>
        </w:rPr>
      </w:pPr>
    </w:p>
    <w:p w14:paraId="0D543DDC" w14:textId="06800CFA" w:rsidR="00E26131" w:rsidRPr="008F2D35" w:rsidRDefault="00E26131" w:rsidP="008F2D35">
      <w:pPr>
        <w:autoSpaceDE w:val="0"/>
        <w:autoSpaceDN w:val="0"/>
        <w:adjustRightInd w:val="0"/>
        <w:spacing w:after="0" w:line="276" w:lineRule="auto"/>
        <w:ind w:firstLine="720"/>
        <w:jc w:val="both"/>
        <w:rPr>
          <w:rFonts w:cs="Times New Roman"/>
          <w:sz w:val="20"/>
          <w:szCs w:val="20"/>
          <w:lang w:val="en-MY"/>
        </w:rPr>
      </w:pPr>
      <w:r w:rsidRPr="008F2D35">
        <w:rPr>
          <w:rFonts w:cs="Times New Roman"/>
          <w:sz w:val="20"/>
          <w:szCs w:val="20"/>
          <w:lang w:val="en-MY"/>
        </w:rPr>
        <w:t xml:space="preserve">Based on Table </w:t>
      </w:r>
      <w:r w:rsidR="002B2CB1">
        <w:rPr>
          <w:rFonts w:cs="Times New Roman"/>
          <w:sz w:val="20"/>
          <w:szCs w:val="20"/>
          <w:lang w:val="en-MY"/>
        </w:rPr>
        <w:t>2</w:t>
      </w:r>
      <w:r w:rsidRPr="008F2D35">
        <w:rPr>
          <w:rFonts w:cs="Times New Roman"/>
          <w:sz w:val="20"/>
          <w:szCs w:val="20"/>
          <w:lang w:val="en-MY"/>
        </w:rPr>
        <w:t>, all independent variables have a significant positive relationship with cyber risk occurrence. All three independent variables showed nearly similar correlation coefficients, and the strongest strength of relationship was the cybersecurity training and cyber risk occurrence (</w:t>
      </w:r>
      <w:r w:rsidRPr="008F2D35">
        <w:rPr>
          <w:rFonts w:cs="Times New Roman"/>
          <w:i/>
          <w:iCs/>
          <w:sz w:val="20"/>
          <w:szCs w:val="20"/>
          <w:lang w:val="en-MY"/>
        </w:rPr>
        <w:t xml:space="preserve">r </w:t>
      </w:r>
      <w:r w:rsidRPr="008F2D35">
        <w:rPr>
          <w:rFonts w:cs="Times New Roman"/>
          <w:sz w:val="20"/>
          <w:szCs w:val="20"/>
          <w:lang w:val="en-MY"/>
        </w:rPr>
        <w:t xml:space="preserve">= .295, </w:t>
      </w:r>
      <w:r w:rsidRPr="008F2D35">
        <w:rPr>
          <w:rFonts w:cs="Times New Roman"/>
          <w:i/>
          <w:iCs/>
          <w:sz w:val="20"/>
          <w:szCs w:val="20"/>
          <w:lang w:val="en-MY"/>
        </w:rPr>
        <w:t xml:space="preserve">p </w:t>
      </w:r>
      <w:r w:rsidRPr="008F2D35">
        <w:rPr>
          <w:rFonts w:cs="Times New Roman"/>
          <w:sz w:val="20"/>
          <w:szCs w:val="20"/>
          <w:lang w:val="en-MY"/>
        </w:rPr>
        <w:t>&lt; .01). This result is consistent with prior studies that reported if employees’ cybersecurity awareness and skills are improved through the training, the organization tends to handle the cyber risk more effectively (Goswami et al., 2023; Aliane &amp; Zakariya, 2023). Next, cybersecurity policies (</w:t>
      </w:r>
      <w:r w:rsidRPr="008F2D35">
        <w:rPr>
          <w:rFonts w:cs="Times New Roman"/>
          <w:i/>
          <w:iCs/>
          <w:sz w:val="20"/>
          <w:szCs w:val="20"/>
          <w:lang w:val="en-MY"/>
        </w:rPr>
        <w:t xml:space="preserve">r </w:t>
      </w:r>
      <w:r w:rsidRPr="008F2D35">
        <w:rPr>
          <w:rFonts w:cs="Times New Roman"/>
          <w:sz w:val="20"/>
          <w:szCs w:val="20"/>
          <w:lang w:val="en-MY"/>
        </w:rPr>
        <w:t xml:space="preserve">= .281, </w:t>
      </w:r>
      <w:r w:rsidRPr="008F2D35">
        <w:rPr>
          <w:rFonts w:cs="Times New Roman"/>
          <w:i/>
          <w:iCs/>
          <w:sz w:val="20"/>
          <w:szCs w:val="20"/>
          <w:lang w:val="en-MY"/>
        </w:rPr>
        <w:t xml:space="preserve">p </w:t>
      </w:r>
      <w:r w:rsidRPr="008F2D35">
        <w:rPr>
          <w:rFonts w:cs="Times New Roman"/>
          <w:sz w:val="20"/>
          <w:szCs w:val="20"/>
          <w:lang w:val="en-MY"/>
        </w:rPr>
        <w:t xml:space="preserve">&lt; .01) showed nearly the similar strength of positive correlation with the cyber risk occurrence, illustrating that this variable is equally important as the cybersecurity training. This finding is supported by past studies that mentioned the importance of well-defined policies </w:t>
      </w:r>
      <w:r w:rsidRPr="008F2D35">
        <w:rPr>
          <w:rFonts w:cs="Times New Roman"/>
          <w:sz w:val="20"/>
          <w:szCs w:val="20"/>
          <w:lang w:val="en-MY"/>
        </w:rPr>
        <w:lastRenderedPageBreak/>
        <w:t xml:space="preserve">for a company to manage cyber threats (Gupta &amp; </w:t>
      </w:r>
      <w:proofErr w:type="spellStart"/>
      <w:r w:rsidRPr="008F2D35">
        <w:rPr>
          <w:rFonts w:cs="Times New Roman"/>
          <w:sz w:val="20"/>
          <w:szCs w:val="20"/>
          <w:lang w:val="en-MY"/>
        </w:rPr>
        <w:t>Remella</w:t>
      </w:r>
      <w:proofErr w:type="spellEnd"/>
      <w:r w:rsidRPr="008F2D35">
        <w:rPr>
          <w:rFonts w:cs="Times New Roman"/>
          <w:sz w:val="20"/>
          <w:szCs w:val="20"/>
          <w:lang w:val="en-MY"/>
        </w:rPr>
        <w:t>, 2025; Chong et al., 2022). Lastly, leadership commitment (</w:t>
      </w:r>
      <w:r w:rsidRPr="008F2D35">
        <w:rPr>
          <w:rFonts w:cs="Times New Roman"/>
          <w:i/>
          <w:iCs/>
          <w:sz w:val="20"/>
          <w:szCs w:val="20"/>
          <w:lang w:val="en-MY"/>
        </w:rPr>
        <w:t xml:space="preserve">r </w:t>
      </w:r>
      <w:r w:rsidRPr="008F2D35">
        <w:rPr>
          <w:rFonts w:cs="Times New Roman"/>
          <w:sz w:val="20"/>
          <w:szCs w:val="20"/>
          <w:lang w:val="en-MY"/>
        </w:rPr>
        <w:t xml:space="preserve">= .234, </w:t>
      </w:r>
      <w:r w:rsidRPr="008F2D35">
        <w:rPr>
          <w:rFonts w:cs="Times New Roman"/>
          <w:i/>
          <w:iCs/>
          <w:sz w:val="20"/>
          <w:szCs w:val="20"/>
          <w:lang w:val="en-MY"/>
        </w:rPr>
        <w:t xml:space="preserve">p </w:t>
      </w:r>
      <w:r w:rsidRPr="008F2D35">
        <w:rPr>
          <w:rFonts w:cs="Times New Roman"/>
          <w:sz w:val="20"/>
          <w:szCs w:val="20"/>
          <w:lang w:val="en-MY"/>
        </w:rPr>
        <w:t>&lt; .01) showed the weakest but significant positive association with cyber risk occurrence, suggesting that leadership commitment would perform better if working together with other factors to increase the effectiveness of managing cyber risk occurrence.</w:t>
      </w:r>
    </w:p>
    <w:p w14:paraId="73D5DA77" w14:textId="77777777" w:rsidR="00E26131" w:rsidRPr="008F2D35" w:rsidRDefault="00E26131" w:rsidP="008F2D35">
      <w:pPr>
        <w:autoSpaceDE w:val="0"/>
        <w:autoSpaceDN w:val="0"/>
        <w:adjustRightInd w:val="0"/>
        <w:spacing w:after="0" w:line="276" w:lineRule="auto"/>
        <w:ind w:firstLine="720"/>
        <w:jc w:val="both"/>
        <w:rPr>
          <w:rFonts w:cs="Times New Roman"/>
          <w:sz w:val="20"/>
          <w:szCs w:val="20"/>
          <w:lang w:val="en-MY"/>
        </w:rPr>
      </w:pPr>
      <w:bookmarkStart w:id="6" w:name="_Hlk229728941"/>
      <w:r w:rsidRPr="008F2D35">
        <w:rPr>
          <w:rFonts w:cs="Times New Roman"/>
          <w:sz w:val="20"/>
          <w:szCs w:val="20"/>
          <w:lang w:val="en-MY"/>
        </w:rPr>
        <w:t>Risk management theory supports the results by mentioning that improvements in cybersecurity policies, employee training, and leadership commitment strengthen preventive and control mechanisms against cyber threats. Specifically, as emphasized by human capital theory, the greater correlation between cybersecurity training and cyber risk occurrence highlights the main role that employee competencies play in reducing operational vulnerabilities (Becker, 1993). Meanwhile, the positive relationships involving policies and leadership commitment highlight the importance of institutional governance and managerial control in promoting cybersecurity compliance and risk awareness. These findings demonstrate that cyber risk management within MBSA is influenced by organizational structures and behavioral factors.</w:t>
      </w:r>
    </w:p>
    <w:bookmarkEnd w:id="6"/>
    <w:p w14:paraId="6E2AF440" w14:textId="77777777" w:rsidR="00E26131" w:rsidRPr="008F2D35" w:rsidRDefault="00E26131" w:rsidP="008F2D35">
      <w:pPr>
        <w:autoSpaceDE w:val="0"/>
        <w:autoSpaceDN w:val="0"/>
        <w:adjustRightInd w:val="0"/>
        <w:spacing w:after="0" w:line="276" w:lineRule="auto"/>
        <w:jc w:val="both"/>
        <w:rPr>
          <w:rFonts w:cs="Times New Roman"/>
          <w:sz w:val="20"/>
          <w:szCs w:val="20"/>
          <w:lang w:val="en-MY"/>
        </w:rPr>
      </w:pPr>
    </w:p>
    <w:p w14:paraId="00E9202F" w14:textId="0E00F6BA" w:rsidR="00E26131" w:rsidRPr="00BA7FCF" w:rsidRDefault="00BA7FCF" w:rsidP="00E26131">
      <w:pPr>
        <w:autoSpaceDE w:val="0"/>
        <w:autoSpaceDN w:val="0"/>
        <w:adjustRightInd w:val="0"/>
        <w:spacing w:line="276" w:lineRule="auto"/>
        <w:jc w:val="both"/>
        <w:rPr>
          <w:rFonts w:cs="Times New Roman"/>
          <w:b/>
          <w:bCs/>
          <w:sz w:val="20"/>
          <w:szCs w:val="24"/>
          <w:lang w:val="en-MY"/>
        </w:rPr>
      </w:pPr>
      <w:r w:rsidRPr="00BA7FCF">
        <w:rPr>
          <w:rFonts w:cs="Times New Roman"/>
          <w:b/>
          <w:bCs/>
          <w:sz w:val="20"/>
          <w:szCs w:val="24"/>
          <w:lang w:val="en-MY"/>
        </w:rPr>
        <w:t xml:space="preserve">4.5.2. </w:t>
      </w:r>
      <w:r w:rsidR="00E26131" w:rsidRPr="00BA7FCF">
        <w:rPr>
          <w:rFonts w:cs="Times New Roman"/>
          <w:b/>
          <w:bCs/>
          <w:sz w:val="20"/>
          <w:szCs w:val="24"/>
          <w:lang w:val="en-MY"/>
        </w:rPr>
        <w:t>Multiple Regression Analysis</w:t>
      </w:r>
    </w:p>
    <w:p w14:paraId="11492EA0" w14:textId="111C10D4" w:rsidR="00E26131" w:rsidRPr="008F2D35" w:rsidRDefault="00E26131" w:rsidP="008F2D35">
      <w:pPr>
        <w:autoSpaceDE w:val="0"/>
        <w:autoSpaceDN w:val="0"/>
        <w:adjustRightInd w:val="0"/>
        <w:spacing w:after="0" w:line="276" w:lineRule="auto"/>
        <w:jc w:val="both"/>
        <w:rPr>
          <w:rFonts w:cs="Times New Roman"/>
          <w:sz w:val="20"/>
          <w:szCs w:val="20"/>
          <w:lang w:val="en-MY"/>
        </w:rPr>
      </w:pPr>
      <w:r w:rsidRPr="008F2D35">
        <w:rPr>
          <w:rFonts w:cs="Times New Roman"/>
          <w:sz w:val="20"/>
          <w:szCs w:val="20"/>
          <w:lang w:val="en-MY"/>
        </w:rPr>
        <w:t xml:space="preserve">Multiple regression analysis examines whether independent variables (cybersecurity policies, cybersecurity training, and leadership commitment) influence the dependent variable (cyber risk occurrence). However, prior to multiple regression, there are some assumptions, such as multicollinearity, outliers, normality, homoscedasticity of residuals, and autocorrelation, that should be reported to ensure that the data can actually be </w:t>
      </w:r>
      <w:proofErr w:type="spellStart"/>
      <w:r w:rsidRPr="008F2D35">
        <w:rPr>
          <w:rFonts w:cs="Times New Roman"/>
          <w:sz w:val="20"/>
          <w:szCs w:val="20"/>
          <w:lang w:val="en-MY"/>
        </w:rPr>
        <w:t>analyzed</w:t>
      </w:r>
      <w:proofErr w:type="spellEnd"/>
      <w:r w:rsidRPr="008F2D35">
        <w:rPr>
          <w:rFonts w:cs="Times New Roman"/>
          <w:sz w:val="20"/>
          <w:szCs w:val="20"/>
          <w:lang w:val="en-MY"/>
        </w:rPr>
        <w:t xml:space="preserve"> using multiple regression. The results showed that all study variables had lower than 5 VIF values, ranging from 2.45 to 2.47; thus, it could be assumed that there is no multicollinearity (Daoud, 2017). For checking outliers, the results showed that the value was less than 4/n; thus, there are no outliers (Cook, 1979). For checking normality, the P-P plot and histogram showed that the data are normally distributed. Next, the dots in the scatterplot were all equally distributed and did not have an obvious pattern; thus, the data could be assumed as achieving homoscedasticity. Last but not least, the autocorrelation was tested by Durbin-Watson, and since the d value is between the ranges of 1.5 to 2.5, it is thus considered acceptable (Kenton, 2025).</w:t>
      </w:r>
    </w:p>
    <w:p w14:paraId="54C30D8D" w14:textId="77777777" w:rsidR="00BA7FCF" w:rsidRDefault="00BA7FCF" w:rsidP="008F2D35">
      <w:pPr>
        <w:autoSpaceDE w:val="0"/>
        <w:autoSpaceDN w:val="0"/>
        <w:adjustRightInd w:val="0"/>
        <w:spacing w:after="0" w:line="276" w:lineRule="auto"/>
        <w:jc w:val="both"/>
        <w:rPr>
          <w:rFonts w:cs="Times New Roman"/>
          <w:sz w:val="20"/>
          <w:szCs w:val="20"/>
          <w:lang w:val="en-MY"/>
        </w:rPr>
      </w:pPr>
    </w:p>
    <w:p w14:paraId="084E8820" w14:textId="77777777" w:rsidR="002B2CB1" w:rsidRPr="008F2D35" w:rsidRDefault="002B2CB1" w:rsidP="008F2D35">
      <w:pPr>
        <w:autoSpaceDE w:val="0"/>
        <w:autoSpaceDN w:val="0"/>
        <w:adjustRightInd w:val="0"/>
        <w:spacing w:after="0" w:line="276" w:lineRule="auto"/>
        <w:jc w:val="both"/>
        <w:rPr>
          <w:rFonts w:cs="Times New Roman"/>
          <w:sz w:val="20"/>
          <w:szCs w:val="20"/>
          <w:lang w:val="en-MY"/>
        </w:rPr>
      </w:pPr>
    </w:p>
    <w:p w14:paraId="3F8E7074" w14:textId="03CF05AB" w:rsidR="00E26131" w:rsidRPr="008F2D35" w:rsidRDefault="00E26131" w:rsidP="008F2D35">
      <w:pPr>
        <w:pStyle w:val="Caption"/>
        <w:spacing w:line="276" w:lineRule="auto"/>
        <w:jc w:val="center"/>
        <w:rPr>
          <w:rFonts w:ascii="Palatino Linotype" w:hAnsi="Palatino Linotype"/>
          <w:sz w:val="20"/>
          <w:szCs w:val="20"/>
        </w:rPr>
      </w:pPr>
      <w:bookmarkStart w:id="7" w:name="_Toc218334503"/>
      <w:r w:rsidRPr="008F2D35">
        <w:rPr>
          <w:rFonts w:ascii="Palatino Linotype" w:hAnsi="Palatino Linotype"/>
          <w:sz w:val="20"/>
          <w:szCs w:val="20"/>
        </w:rPr>
        <w:lastRenderedPageBreak/>
        <w:t xml:space="preserve">Table </w:t>
      </w:r>
      <w:r w:rsidR="002B2CB1">
        <w:rPr>
          <w:rFonts w:ascii="Palatino Linotype" w:hAnsi="Palatino Linotype"/>
          <w:sz w:val="20"/>
          <w:szCs w:val="20"/>
        </w:rPr>
        <w:t>3</w:t>
      </w:r>
      <w:r w:rsidR="008F2D35">
        <w:rPr>
          <w:rFonts w:ascii="Palatino Linotype" w:hAnsi="Palatino Linotype"/>
          <w:sz w:val="20"/>
          <w:szCs w:val="20"/>
        </w:rPr>
        <w:t>.</w:t>
      </w:r>
    </w:p>
    <w:p w14:paraId="567CD670" w14:textId="77777777" w:rsidR="00E26131" w:rsidRPr="008F2D35" w:rsidRDefault="00E26131" w:rsidP="008F2D35">
      <w:pPr>
        <w:pStyle w:val="Caption"/>
        <w:spacing w:line="276" w:lineRule="auto"/>
        <w:jc w:val="center"/>
        <w:rPr>
          <w:rFonts w:ascii="Palatino Linotype" w:hAnsi="Palatino Linotype"/>
          <w:sz w:val="20"/>
          <w:szCs w:val="20"/>
        </w:rPr>
      </w:pPr>
      <w:r w:rsidRPr="008F2D35">
        <w:rPr>
          <w:rFonts w:ascii="Palatino Linotype" w:hAnsi="Palatino Linotype"/>
          <w:sz w:val="20"/>
          <w:szCs w:val="20"/>
        </w:rPr>
        <w:t>Result of Multiple Regression Analysis</w:t>
      </w:r>
      <w:bookmarkEnd w:id="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859"/>
        <w:gridCol w:w="1124"/>
        <w:gridCol w:w="979"/>
        <w:gridCol w:w="1032"/>
        <w:gridCol w:w="899"/>
      </w:tblGrid>
      <w:tr w:rsidR="00E26131" w:rsidRPr="008F2D35" w14:paraId="65DCEA99" w14:textId="77777777" w:rsidTr="00F74DB8">
        <w:tc>
          <w:tcPr>
            <w:tcW w:w="2977" w:type="dxa"/>
            <w:tcBorders>
              <w:top w:val="single" w:sz="4" w:space="0" w:color="auto"/>
              <w:bottom w:val="single" w:sz="4" w:space="0" w:color="auto"/>
            </w:tcBorders>
          </w:tcPr>
          <w:p w14:paraId="0E3B6301" w14:textId="77777777" w:rsidR="00E26131" w:rsidRPr="008F2D35" w:rsidRDefault="00E26131" w:rsidP="008F2D35">
            <w:pPr>
              <w:spacing w:after="0" w:line="276" w:lineRule="auto"/>
              <w:jc w:val="center"/>
              <w:rPr>
                <w:rFonts w:cs="Times New Roman"/>
                <w:b/>
                <w:sz w:val="20"/>
                <w:szCs w:val="20"/>
              </w:rPr>
            </w:pPr>
            <w:r w:rsidRPr="008F2D35">
              <w:rPr>
                <w:rFonts w:cs="Times New Roman"/>
                <w:b/>
                <w:sz w:val="20"/>
                <w:szCs w:val="20"/>
              </w:rPr>
              <w:t>Variables</w:t>
            </w:r>
          </w:p>
        </w:tc>
        <w:tc>
          <w:tcPr>
            <w:tcW w:w="987" w:type="dxa"/>
            <w:tcBorders>
              <w:top w:val="single" w:sz="4" w:space="0" w:color="auto"/>
              <w:bottom w:val="single" w:sz="4" w:space="0" w:color="auto"/>
            </w:tcBorders>
          </w:tcPr>
          <w:p w14:paraId="1751C873" w14:textId="77777777" w:rsidR="00E26131" w:rsidRPr="008F2D35" w:rsidRDefault="00E26131" w:rsidP="008F2D35">
            <w:pPr>
              <w:spacing w:after="0" w:line="276" w:lineRule="auto"/>
              <w:jc w:val="center"/>
              <w:rPr>
                <w:rFonts w:cs="Times New Roman"/>
                <w:b/>
                <w:sz w:val="20"/>
                <w:szCs w:val="20"/>
              </w:rPr>
            </w:pPr>
            <w:r w:rsidRPr="008F2D35">
              <w:rPr>
                <w:rFonts w:cs="Times New Roman"/>
                <w:b/>
                <w:sz w:val="20"/>
                <w:szCs w:val="20"/>
              </w:rPr>
              <w:t>Beta</w:t>
            </w:r>
          </w:p>
        </w:tc>
        <w:tc>
          <w:tcPr>
            <w:tcW w:w="1418" w:type="dxa"/>
            <w:tcBorders>
              <w:top w:val="single" w:sz="4" w:space="0" w:color="auto"/>
              <w:bottom w:val="single" w:sz="4" w:space="0" w:color="auto"/>
            </w:tcBorders>
          </w:tcPr>
          <w:p w14:paraId="3783A843" w14:textId="77777777" w:rsidR="00E26131" w:rsidRPr="008F2D35" w:rsidRDefault="00E26131" w:rsidP="008F2D35">
            <w:pPr>
              <w:spacing w:after="0" w:line="276" w:lineRule="auto"/>
              <w:jc w:val="center"/>
              <w:rPr>
                <w:rFonts w:cs="Times New Roman"/>
                <w:b/>
                <w:sz w:val="20"/>
                <w:szCs w:val="20"/>
              </w:rPr>
            </w:pPr>
            <w:r w:rsidRPr="008F2D35">
              <w:rPr>
                <w:rFonts w:cs="Times New Roman"/>
                <w:b/>
                <w:sz w:val="20"/>
                <w:szCs w:val="20"/>
              </w:rPr>
              <w:t>Std. Error</w:t>
            </w:r>
          </w:p>
        </w:tc>
        <w:tc>
          <w:tcPr>
            <w:tcW w:w="1276" w:type="dxa"/>
            <w:tcBorders>
              <w:top w:val="single" w:sz="4" w:space="0" w:color="auto"/>
              <w:bottom w:val="single" w:sz="4" w:space="0" w:color="auto"/>
            </w:tcBorders>
          </w:tcPr>
          <w:p w14:paraId="50DAECED" w14:textId="77777777" w:rsidR="00E26131" w:rsidRPr="008F2D35" w:rsidRDefault="00E26131" w:rsidP="008F2D35">
            <w:pPr>
              <w:spacing w:after="0" w:line="276" w:lineRule="auto"/>
              <w:jc w:val="center"/>
              <w:rPr>
                <w:rFonts w:cs="Times New Roman"/>
                <w:b/>
                <w:sz w:val="20"/>
                <w:szCs w:val="20"/>
              </w:rPr>
            </w:pPr>
            <w:r w:rsidRPr="008F2D35">
              <w:rPr>
                <w:rFonts w:cs="Times New Roman"/>
                <w:b/>
                <w:bCs/>
                <w:i/>
                <w:iCs/>
                <w:sz w:val="20"/>
                <w:szCs w:val="20"/>
              </w:rPr>
              <w:t>β</w:t>
            </w:r>
          </w:p>
        </w:tc>
        <w:tc>
          <w:tcPr>
            <w:tcW w:w="1275" w:type="dxa"/>
            <w:tcBorders>
              <w:top w:val="single" w:sz="4" w:space="0" w:color="auto"/>
              <w:bottom w:val="single" w:sz="4" w:space="0" w:color="auto"/>
            </w:tcBorders>
          </w:tcPr>
          <w:p w14:paraId="79C03116" w14:textId="77777777" w:rsidR="00E26131" w:rsidRPr="008F2D35" w:rsidRDefault="00E26131" w:rsidP="008F2D35">
            <w:pPr>
              <w:spacing w:after="0" w:line="276" w:lineRule="auto"/>
              <w:jc w:val="center"/>
              <w:rPr>
                <w:rFonts w:cs="Times New Roman"/>
                <w:b/>
                <w:sz w:val="20"/>
                <w:szCs w:val="20"/>
              </w:rPr>
            </w:pPr>
            <w:r w:rsidRPr="008F2D35">
              <w:rPr>
                <w:rFonts w:cs="Times New Roman"/>
                <w:b/>
                <w:bCs/>
                <w:i/>
                <w:iCs/>
                <w:sz w:val="20"/>
                <w:szCs w:val="20"/>
              </w:rPr>
              <w:t>t</w:t>
            </w:r>
          </w:p>
        </w:tc>
        <w:tc>
          <w:tcPr>
            <w:tcW w:w="1083" w:type="dxa"/>
            <w:tcBorders>
              <w:top w:val="single" w:sz="4" w:space="0" w:color="auto"/>
              <w:bottom w:val="single" w:sz="4" w:space="0" w:color="auto"/>
            </w:tcBorders>
          </w:tcPr>
          <w:p w14:paraId="5D2815E5" w14:textId="77777777" w:rsidR="00E26131" w:rsidRPr="008F2D35" w:rsidRDefault="00E26131" w:rsidP="008F2D35">
            <w:pPr>
              <w:spacing w:after="0" w:line="276" w:lineRule="auto"/>
              <w:jc w:val="center"/>
              <w:rPr>
                <w:rFonts w:cs="Times New Roman"/>
                <w:b/>
                <w:sz w:val="20"/>
                <w:szCs w:val="20"/>
              </w:rPr>
            </w:pPr>
            <w:r w:rsidRPr="008F2D35">
              <w:rPr>
                <w:rFonts w:cs="Times New Roman"/>
                <w:b/>
                <w:bCs/>
                <w:i/>
                <w:iCs/>
                <w:sz w:val="20"/>
                <w:szCs w:val="20"/>
              </w:rPr>
              <w:t>p</w:t>
            </w:r>
          </w:p>
        </w:tc>
      </w:tr>
      <w:tr w:rsidR="00E26131" w:rsidRPr="008F2D35" w14:paraId="4504BA6E" w14:textId="77777777" w:rsidTr="00F74DB8">
        <w:tc>
          <w:tcPr>
            <w:tcW w:w="2977" w:type="dxa"/>
            <w:tcBorders>
              <w:top w:val="single" w:sz="4" w:space="0" w:color="auto"/>
            </w:tcBorders>
          </w:tcPr>
          <w:p w14:paraId="6720EBD0"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Constant</w:t>
            </w:r>
          </w:p>
        </w:tc>
        <w:tc>
          <w:tcPr>
            <w:tcW w:w="987" w:type="dxa"/>
            <w:tcBorders>
              <w:top w:val="single" w:sz="4" w:space="0" w:color="auto"/>
            </w:tcBorders>
          </w:tcPr>
          <w:p w14:paraId="75036A8B"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13.54</w:t>
            </w:r>
          </w:p>
        </w:tc>
        <w:tc>
          <w:tcPr>
            <w:tcW w:w="1418" w:type="dxa"/>
            <w:tcBorders>
              <w:top w:val="single" w:sz="4" w:space="0" w:color="auto"/>
            </w:tcBorders>
          </w:tcPr>
          <w:p w14:paraId="1F1B4A7D"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1.07</w:t>
            </w:r>
          </w:p>
        </w:tc>
        <w:tc>
          <w:tcPr>
            <w:tcW w:w="1276" w:type="dxa"/>
            <w:tcBorders>
              <w:top w:val="single" w:sz="4" w:space="0" w:color="auto"/>
            </w:tcBorders>
          </w:tcPr>
          <w:p w14:paraId="750557C7" w14:textId="77777777" w:rsidR="00E26131" w:rsidRPr="008F2D35" w:rsidRDefault="00E26131" w:rsidP="008F2D35">
            <w:pPr>
              <w:spacing w:after="0" w:line="276" w:lineRule="auto"/>
              <w:rPr>
                <w:rFonts w:cs="Times New Roman"/>
                <w:sz w:val="20"/>
                <w:szCs w:val="20"/>
              </w:rPr>
            </w:pPr>
          </w:p>
        </w:tc>
        <w:tc>
          <w:tcPr>
            <w:tcW w:w="1275" w:type="dxa"/>
            <w:tcBorders>
              <w:top w:val="single" w:sz="4" w:space="0" w:color="auto"/>
            </w:tcBorders>
          </w:tcPr>
          <w:p w14:paraId="69055A3D"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12.70</w:t>
            </w:r>
          </w:p>
        </w:tc>
        <w:tc>
          <w:tcPr>
            <w:tcW w:w="1083" w:type="dxa"/>
            <w:tcBorders>
              <w:top w:val="single" w:sz="4" w:space="0" w:color="auto"/>
            </w:tcBorders>
          </w:tcPr>
          <w:p w14:paraId="0D63B433"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.00**</w:t>
            </w:r>
          </w:p>
        </w:tc>
      </w:tr>
      <w:tr w:rsidR="00E26131" w:rsidRPr="008F2D35" w14:paraId="7A9198F8" w14:textId="77777777" w:rsidTr="00F74DB8">
        <w:tc>
          <w:tcPr>
            <w:tcW w:w="2977" w:type="dxa"/>
          </w:tcPr>
          <w:p w14:paraId="6170E6C0" w14:textId="77777777" w:rsidR="00E26131" w:rsidRPr="008F2D35" w:rsidRDefault="00E26131" w:rsidP="008F2D35">
            <w:pPr>
              <w:widowControl w:val="0"/>
              <w:pBdr>
                <w:top w:val="nil"/>
                <w:left w:val="nil"/>
                <w:bottom w:val="nil"/>
                <w:right w:val="nil"/>
                <w:between w:val="nil"/>
              </w:pBdr>
              <w:spacing w:after="0" w:line="276" w:lineRule="auto"/>
              <w:rPr>
                <w:rFonts w:cs="Times New Roman"/>
                <w:sz w:val="20"/>
                <w:szCs w:val="20"/>
              </w:rPr>
            </w:pPr>
            <w:r w:rsidRPr="008F2D35">
              <w:rPr>
                <w:rFonts w:cs="Times New Roman"/>
                <w:spacing w:val="-11"/>
                <w:sz w:val="20"/>
                <w:szCs w:val="20"/>
              </w:rPr>
              <w:t>Cybersecurity Policies (CP)</w:t>
            </w:r>
          </w:p>
        </w:tc>
        <w:tc>
          <w:tcPr>
            <w:tcW w:w="987" w:type="dxa"/>
          </w:tcPr>
          <w:p w14:paraId="435136F5"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.70</w:t>
            </w:r>
          </w:p>
        </w:tc>
        <w:tc>
          <w:tcPr>
            <w:tcW w:w="1418" w:type="dxa"/>
          </w:tcPr>
          <w:p w14:paraId="1DB61B5D"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.45</w:t>
            </w:r>
          </w:p>
        </w:tc>
        <w:tc>
          <w:tcPr>
            <w:tcW w:w="1276" w:type="dxa"/>
          </w:tcPr>
          <w:p w14:paraId="6E4487C3"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.15</w:t>
            </w:r>
          </w:p>
        </w:tc>
        <w:tc>
          <w:tcPr>
            <w:tcW w:w="1275" w:type="dxa"/>
          </w:tcPr>
          <w:p w14:paraId="561940E5"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1.56</w:t>
            </w:r>
          </w:p>
        </w:tc>
        <w:tc>
          <w:tcPr>
            <w:tcW w:w="1083" w:type="dxa"/>
          </w:tcPr>
          <w:p w14:paraId="21DB712D"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.12</w:t>
            </w:r>
          </w:p>
        </w:tc>
      </w:tr>
      <w:tr w:rsidR="00E26131" w:rsidRPr="008F2D35" w14:paraId="1F47B2C9" w14:textId="77777777" w:rsidTr="00F74DB8">
        <w:tc>
          <w:tcPr>
            <w:tcW w:w="2977" w:type="dxa"/>
          </w:tcPr>
          <w:p w14:paraId="3EA66931" w14:textId="77777777" w:rsidR="00E26131" w:rsidRPr="008F2D35" w:rsidRDefault="00E26131" w:rsidP="008F2D35">
            <w:pPr>
              <w:widowControl w:val="0"/>
              <w:pBdr>
                <w:top w:val="nil"/>
                <w:left w:val="nil"/>
                <w:bottom w:val="nil"/>
                <w:right w:val="nil"/>
                <w:between w:val="nil"/>
              </w:pBdr>
              <w:spacing w:after="0" w:line="276" w:lineRule="auto"/>
              <w:rPr>
                <w:rFonts w:cs="Times New Roman"/>
                <w:sz w:val="20"/>
                <w:szCs w:val="20"/>
              </w:rPr>
            </w:pPr>
            <w:r w:rsidRPr="008F2D35">
              <w:rPr>
                <w:rFonts w:cs="Times New Roman"/>
                <w:spacing w:val="-11"/>
                <w:sz w:val="20"/>
                <w:szCs w:val="20"/>
              </w:rPr>
              <w:t>Cybersecurity Training (CT)</w:t>
            </w:r>
          </w:p>
        </w:tc>
        <w:tc>
          <w:tcPr>
            <w:tcW w:w="987" w:type="dxa"/>
          </w:tcPr>
          <w:p w14:paraId="111E4376"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1.06</w:t>
            </w:r>
          </w:p>
        </w:tc>
        <w:tc>
          <w:tcPr>
            <w:tcW w:w="1418" w:type="dxa"/>
          </w:tcPr>
          <w:p w14:paraId="510EC45B"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.52</w:t>
            </w:r>
          </w:p>
        </w:tc>
        <w:tc>
          <w:tcPr>
            <w:tcW w:w="1276" w:type="dxa"/>
          </w:tcPr>
          <w:p w14:paraId="3E8FC3A1"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.20</w:t>
            </w:r>
          </w:p>
        </w:tc>
        <w:tc>
          <w:tcPr>
            <w:tcW w:w="1275" w:type="dxa"/>
          </w:tcPr>
          <w:p w14:paraId="2C50D8E6"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2.05</w:t>
            </w:r>
          </w:p>
        </w:tc>
        <w:tc>
          <w:tcPr>
            <w:tcW w:w="1083" w:type="dxa"/>
          </w:tcPr>
          <w:p w14:paraId="349DA820"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.04*</w:t>
            </w:r>
          </w:p>
        </w:tc>
      </w:tr>
      <w:tr w:rsidR="00E26131" w:rsidRPr="008F2D35" w14:paraId="253216B6" w14:textId="77777777" w:rsidTr="00F74DB8">
        <w:tc>
          <w:tcPr>
            <w:tcW w:w="2977" w:type="dxa"/>
          </w:tcPr>
          <w:p w14:paraId="1CA296B9" w14:textId="77777777" w:rsidR="00E26131" w:rsidRPr="008F2D35" w:rsidRDefault="00E26131" w:rsidP="008F2D35">
            <w:pPr>
              <w:widowControl w:val="0"/>
              <w:pBdr>
                <w:top w:val="nil"/>
                <w:left w:val="nil"/>
                <w:bottom w:val="nil"/>
                <w:right w:val="nil"/>
                <w:between w:val="nil"/>
              </w:pBdr>
              <w:spacing w:after="0" w:line="276" w:lineRule="auto"/>
              <w:rPr>
                <w:rFonts w:cs="Times New Roman"/>
                <w:sz w:val="20"/>
                <w:szCs w:val="20"/>
              </w:rPr>
            </w:pPr>
            <w:r w:rsidRPr="008F2D35">
              <w:rPr>
                <w:rFonts w:cs="Times New Roman"/>
                <w:spacing w:val="-11"/>
                <w:sz w:val="20"/>
                <w:szCs w:val="20"/>
              </w:rPr>
              <w:t>Leadership Commitment (LC)</w:t>
            </w:r>
          </w:p>
        </w:tc>
        <w:tc>
          <w:tcPr>
            <w:tcW w:w="987" w:type="dxa"/>
          </w:tcPr>
          <w:p w14:paraId="247CF88C"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-.06</w:t>
            </w:r>
          </w:p>
        </w:tc>
        <w:tc>
          <w:tcPr>
            <w:tcW w:w="1418" w:type="dxa"/>
          </w:tcPr>
          <w:p w14:paraId="6957D552"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.37</w:t>
            </w:r>
          </w:p>
        </w:tc>
        <w:tc>
          <w:tcPr>
            <w:tcW w:w="1276" w:type="dxa"/>
          </w:tcPr>
          <w:p w14:paraId="699F890C"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-.02</w:t>
            </w:r>
          </w:p>
        </w:tc>
        <w:tc>
          <w:tcPr>
            <w:tcW w:w="1275" w:type="dxa"/>
          </w:tcPr>
          <w:p w14:paraId="28597E88"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-.15</w:t>
            </w:r>
          </w:p>
        </w:tc>
        <w:tc>
          <w:tcPr>
            <w:tcW w:w="1083" w:type="dxa"/>
          </w:tcPr>
          <w:p w14:paraId="0C57F3D6"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.88</w:t>
            </w:r>
          </w:p>
        </w:tc>
      </w:tr>
    </w:tbl>
    <w:p w14:paraId="0D9DFFEA" w14:textId="77777777" w:rsidR="00E26131" w:rsidRPr="008F2D35" w:rsidRDefault="00E26131" w:rsidP="008F2D35">
      <w:pPr>
        <w:spacing w:after="0" w:line="276" w:lineRule="auto"/>
        <w:rPr>
          <w:rFonts w:cs="Times New Roman"/>
          <w:sz w:val="20"/>
          <w:szCs w:val="20"/>
        </w:rPr>
      </w:pPr>
      <w:r w:rsidRPr="008F2D35">
        <w:rPr>
          <w:rFonts w:cs="Times New Roman"/>
          <w:sz w:val="20"/>
          <w:szCs w:val="20"/>
        </w:rPr>
        <w:t>Note: Significant level=**</w:t>
      </w:r>
      <w:r w:rsidRPr="008F2D35">
        <w:rPr>
          <w:rFonts w:cs="Times New Roman"/>
          <w:i/>
          <w:iCs/>
          <w:sz w:val="20"/>
          <w:szCs w:val="20"/>
        </w:rPr>
        <w:t xml:space="preserve"> p </w:t>
      </w:r>
      <w:r w:rsidRPr="008F2D35">
        <w:rPr>
          <w:rFonts w:cs="Times New Roman"/>
          <w:sz w:val="20"/>
          <w:szCs w:val="20"/>
        </w:rPr>
        <w:t xml:space="preserve">&lt;.01, * </w:t>
      </w:r>
      <w:r w:rsidRPr="008F2D35">
        <w:rPr>
          <w:rFonts w:cs="Times New Roman"/>
          <w:i/>
          <w:iCs/>
          <w:sz w:val="20"/>
          <w:szCs w:val="20"/>
        </w:rPr>
        <w:t xml:space="preserve">p </w:t>
      </w:r>
      <w:r w:rsidRPr="008F2D35">
        <w:rPr>
          <w:rFonts w:cs="Times New Roman"/>
          <w:sz w:val="20"/>
          <w:szCs w:val="20"/>
        </w:rPr>
        <w:t xml:space="preserve">&lt;.05, </w:t>
      </w:r>
      <w:r w:rsidRPr="008F2D35">
        <w:rPr>
          <w:rFonts w:cs="Times New Roman"/>
          <w:i/>
          <w:iCs/>
          <w:sz w:val="20"/>
          <w:szCs w:val="20"/>
        </w:rPr>
        <w:t>F</w:t>
      </w:r>
      <w:r w:rsidRPr="008F2D35">
        <w:rPr>
          <w:rFonts w:cs="Times New Roman"/>
          <w:sz w:val="20"/>
          <w:szCs w:val="20"/>
        </w:rPr>
        <w:t xml:space="preserve">= 8.56, </w:t>
      </w:r>
      <w:r w:rsidRPr="008F2D35">
        <w:rPr>
          <w:rFonts w:cs="Times New Roman"/>
          <w:i/>
          <w:iCs/>
          <w:sz w:val="20"/>
          <w:szCs w:val="20"/>
        </w:rPr>
        <w:t>R</w:t>
      </w:r>
      <w:r w:rsidRPr="008F2D35">
        <w:rPr>
          <w:rFonts w:cs="Times New Roman"/>
          <w:sz w:val="20"/>
          <w:szCs w:val="20"/>
        </w:rPr>
        <w:t xml:space="preserve">= .31, </w:t>
      </w:r>
      <w:r w:rsidRPr="008F2D35">
        <w:rPr>
          <w:rFonts w:eastAsia="DengXian" w:cs="Times New Roman"/>
          <w:sz w:val="20"/>
          <w:szCs w:val="20"/>
        </w:rPr>
        <w:t>R²</w:t>
      </w:r>
      <w:r w:rsidRPr="008F2D35">
        <w:rPr>
          <w:rFonts w:cs="Times New Roman"/>
          <w:sz w:val="20"/>
          <w:szCs w:val="20"/>
        </w:rPr>
        <w:t xml:space="preserve">= .10, Adjusted </w:t>
      </w:r>
      <w:r w:rsidRPr="008F2D35">
        <w:rPr>
          <w:rFonts w:eastAsia="DengXian" w:cs="Times New Roman"/>
          <w:sz w:val="20"/>
          <w:szCs w:val="20"/>
        </w:rPr>
        <w:t>R²</w:t>
      </w:r>
      <w:r w:rsidRPr="008F2D35">
        <w:rPr>
          <w:rFonts w:cs="Times New Roman"/>
          <w:sz w:val="20"/>
          <w:szCs w:val="20"/>
        </w:rPr>
        <w:t>= .09</w:t>
      </w:r>
    </w:p>
    <w:p w14:paraId="016F658A" w14:textId="77777777" w:rsidR="00E26131" w:rsidRPr="008F2D35" w:rsidRDefault="00E26131" w:rsidP="008F2D35">
      <w:pPr>
        <w:autoSpaceDE w:val="0"/>
        <w:autoSpaceDN w:val="0"/>
        <w:adjustRightInd w:val="0"/>
        <w:spacing w:after="0" w:line="276" w:lineRule="auto"/>
        <w:jc w:val="both"/>
        <w:rPr>
          <w:rFonts w:cs="Times New Roman"/>
          <w:bCs/>
          <w:color w:val="FF0000"/>
          <w:sz w:val="20"/>
          <w:szCs w:val="20"/>
        </w:rPr>
      </w:pPr>
    </w:p>
    <w:p w14:paraId="29971515" w14:textId="39A8FBB8" w:rsidR="00E26131" w:rsidRPr="008F2D35" w:rsidRDefault="00E26131" w:rsidP="008F2D35">
      <w:pPr>
        <w:spacing w:after="0" w:line="276" w:lineRule="auto"/>
        <w:ind w:firstLine="720"/>
        <w:jc w:val="both"/>
        <w:rPr>
          <w:rFonts w:cs="Times New Roman"/>
          <w:bCs/>
          <w:iCs/>
          <w:sz w:val="20"/>
          <w:szCs w:val="20"/>
          <w:lang w:val="en-MY"/>
        </w:rPr>
      </w:pPr>
      <w:bookmarkStart w:id="8" w:name="_Toc218334504"/>
      <w:r w:rsidRPr="008F2D35">
        <w:rPr>
          <w:rFonts w:cs="Times New Roman"/>
          <w:bCs/>
          <w:iCs/>
          <w:sz w:val="20"/>
          <w:szCs w:val="20"/>
          <w:lang w:val="en-MY"/>
        </w:rPr>
        <w:t xml:space="preserve">Table </w:t>
      </w:r>
      <w:r w:rsidR="002B2CB1">
        <w:rPr>
          <w:rFonts w:cs="Times New Roman"/>
          <w:bCs/>
          <w:iCs/>
          <w:sz w:val="20"/>
          <w:szCs w:val="20"/>
          <w:lang w:val="en-MY"/>
        </w:rPr>
        <w:t>3</w:t>
      </w:r>
      <w:r w:rsidRPr="008F2D35">
        <w:rPr>
          <w:rFonts w:cs="Times New Roman"/>
          <w:bCs/>
          <w:iCs/>
          <w:sz w:val="20"/>
          <w:szCs w:val="20"/>
          <w:lang w:val="en-MY"/>
        </w:rPr>
        <w:t xml:space="preserve"> shows that the multiple regression model significantly predicted CRO, </w:t>
      </w:r>
      <w:r w:rsidRPr="008F2D35">
        <w:rPr>
          <w:rFonts w:cs="Times New Roman"/>
          <w:bCs/>
          <w:i/>
          <w:iCs/>
          <w:sz w:val="20"/>
          <w:szCs w:val="20"/>
          <w:lang w:val="en-MY"/>
        </w:rPr>
        <w:t xml:space="preserve">F </w:t>
      </w:r>
      <w:r w:rsidRPr="008F2D35">
        <w:rPr>
          <w:rFonts w:cs="Times New Roman"/>
          <w:bCs/>
          <w:iCs/>
          <w:sz w:val="20"/>
          <w:szCs w:val="20"/>
          <w:lang w:val="en-MY"/>
        </w:rPr>
        <w:t xml:space="preserve">(3, 238) = 8.56, </w:t>
      </w:r>
      <w:r w:rsidRPr="008F2D35">
        <w:rPr>
          <w:rFonts w:cs="Times New Roman"/>
          <w:bCs/>
          <w:i/>
          <w:iCs/>
          <w:sz w:val="20"/>
          <w:szCs w:val="20"/>
          <w:lang w:val="en-MY"/>
        </w:rPr>
        <w:t xml:space="preserve">p </w:t>
      </w:r>
      <w:r w:rsidRPr="008F2D35">
        <w:rPr>
          <w:rFonts w:cs="Times New Roman"/>
          <w:bCs/>
          <w:iCs/>
          <w:sz w:val="20"/>
          <w:szCs w:val="20"/>
          <w:lang w:val="en-MY"/>
        </w:rPr>
        <w:t>&lt; .001, and an adjusted R²</w:t>
      </w:r>
      <w:r w:rsidRPr="008F2D35">
        <w:rPr>
          <w:rFonts w:cs="Times New Roman"/>
          <w:bCs/>
          <w:i/>
          <w:iCs/>
          <w:sz w:val="20"/>
          <w:szCs w:val="20"/>
          <w:lang w:val="en-MY"/>
        </w:rPr>
        <w:t xml:space="preserve"> </w:t>
      </w:r>
      <w:r w:rsidRPr="008F2D35">
        <w:rPr>
          <w:rFonts w:cs="Times New Roman"/>
          <w:bCs/>
          <w:iCs/>
          <w:sz w:val="20"/>
          <w:szCs w:val="20"/>
          <w:lang w:val="en-MY"/>
        </w:rPr>
        <w:t>of .10 implies that those predictor variables (cybersecurity policies, cybersecurity training, and leadership commitment) explained about 10% of the variance, R² =. 10. Moreover, the F statistic was 8.56, with a significance value less than .001, indicating that the overall regression model is statistically significant and a good fit for the model.</w:t>
      </w:r>
    </w:p>
    <w:p w14:paraId="24109814" w14:textId="77777777" w:rsidR="00E26131" w:rsidRPr="008F2D35" w:rsidRDefault="00E26131" w:rsidP="008F2D35">
      <w:pPr>
        <w:spacing w:after="0" w:line="276" w:lineRule="auto"/>
        <w:ind w:firstLine="720"/>
        <w:jc w:val="both"/>
        <w:rPr>
          <w:rFonts w:cs="Times New Roman"/>
          <w:bCs/>
          <w:iCs/>
          <w:sz w:val="20"/>
          <w:szCs w:val="20"/>
          <w:lang w:val="en-MY"/>
        </w:rPr>
      </w:pPr>
      <w:r w:rsidRPr="008F2D35">
        <w:rPr>
          <w:rFonts w:cs="Times New Roman"/>
          <w:bCs/>
          <w:iCs/>
          <w:sz w:val="20"/>
          <w:szCs w:val="20"/>
          <w:lang w:val="en-MY"/>
        </w:rPr>
        <w:t>Based on the findings, only cybersecurity training (</w:t>
      </w:r>
      <w:r w:rsidRPr="008F2D35">
        <w:rPr>
          <w:rFonts w:cs="Times New Roman"/>
          <w:bCs/>
          <w:i/>
          <w:iCs/>
          <w:sz w:val="20"/>
          <w:szCs w:val="20"/>
          <w:lang w:val="en-MY"/>
        </w:rPr>
        <w:t xml:space="preserve">β </w:t>
      </w:r>
      <w:r w:rsidRPr="008F2D35">
        <w:rPr>
          <w:rFonts w:cs="Times New Roman"/>
          <w:bCs/>
          <w:iCs/>
          <w:sz w:val="20"/>
          <w:szCs w:val="20"/>
          <w:lang w:val="en-MY"/>
        </w:rPr>
        <w:t xml:space="preserve">= 1.06, </w:t>
      </w:r>
      <w:r w:rsidRPr="008F2D35">
        <w:rPr>
          <w:rFonts w:cs="Times New Roman"/>
          <w:bCs/>
          <w:i/>
          <w:iCs/>
          <w:sz w:val="20"/>
          <w:szCs w:val="20"/>
          <w:lang w:val="en-MY"/>
        </w:rPr>
        <w:t xml:space="preserve">p </w:t>
      </w:r>
      <w:r w:rsidRPr="008F2D35">
        <w:rPr>
          <w:rFonts w:cs="Times New Roman"/>
          <w:bCs/>
          <w:iCs/>
          <w:sz w:val="20"/>
          <w:szCs w:val="20"/>
          <w:lang w:val="en-MY"/>
        </w:rPr>
        <w:t>&lt; 0.05) significantly predicts and influences cyber risk occurrence. If the organizations put in efforts and provide cybersecurity training to their employees, they tend to be more effective in handling cyber risk occurrences, and this is consistent with the past studies that mentioned the effectiveness of cybersecurity training in influencing cyber risk occurrence (Goswami et al., 2023; Aliane &amp; Zakariya, 2023). Besides, cybersecurity training is the most influential organizational factor in predicting cyber risk occurrence within MBSA. This result is supported by human capital theory, which mentioned that employee knowledge and competencies are critical resources for mitigating operational risks (Becker, 1993).</w:t>
      </w:r>
    </w:p>
    <w:p w14:paraId="2BA70741" w14:textId="77777777" w:rsidR="00E26131" w:rsidRPr="008F2D35" w:rsidRDefault="00E26131" w:rsidP="008F2D35">
      <w:pPr>
        <w:spacing w:after="0" w:line="276" w:lineRule="auto"/>
        <w:ind w:firstLine="720"/>
        <w:jc w:val="both"/>
        <w:rPr>
          <w:rFonts w:cs="Times New Roman"/>
          <w:bCs/>
          <w:iCs/>
          <w:sz w:val="20"/>
          <w:szCs w:val="20"/>
          <w:lang w:val="en-MY"/>
        </w:rPr>
      </w:pPr>
      <w:bookmarkStart w:id="9" w:name="_Hlk229729133"/>
      <w:r w:rsidRPr="008F2D35">
        <w:rPr>
          <w:rFonts w:cs="Times New Roman"/>
          <w:bCs/>
          <w:iCs/>
          <w:sz w:val="20"/>
          <w:szCs w:val="20"/>
          <w:lang w:val="en-MY"/>
        </w:rPr>
        <w:t>In contrast, cybersecurity policies and leadership commitment did not predict cyber risk occurrence in this study. This suggests that policies and leadership support alone may be insufficient to reduce cyber risks unless they include training programs as well. From the perspective of risk management theory, this finding implies that risk controls become effective only when supported by adequate human competencies and operational implementation</w:t>
      </w:r>
      <w:bookmarkEnd w:id="9"/>
      <w:r w:rsidRPr="008F2D35">
        <w:rPr>
          <w:rFonts w:cs="Times New Roman"/>
          <w:bCs/>
          <w:iCs/>
          <w:sz w:val="20"/>
          <w:szCs w:val="20"/>
          <w:lang w:val="en-MY"/>
        </w:rPr>
        <w:t>.</w:t>
      </w:r>
    </w:p>
    <w:p w14:paraId="41CE0B7D" w14:textId="77777777" w:rsidR="00E26131" w:rsidRPr="008F2D35" w:rsidRDefault="00E26131" w:rsidP="008F2D35">
      <w:pPr>
        <w:spacing w:after="0" w:line="276" w:lineRule="auto"/>
        <w:ind w:firstLine="720"/>
        <w:jc w:val="both"/>
        <w:rPr>
          <w:rFonts w:cs="Times New Roman"/>
          <w:bCs/>
          <w:iCs/>
          <w:sz w:val="20"/>
          <w:szCs w:val="20"/>
          <w:lang w:val="en-MY"/>
        </w:rPr>
      </w:pPr>
      <w:bookmarkStart w:id="10" w:name="_Hlk229729170"/>
      <w:r w:rsidRPr="008F2D35">
        <w:rPr>
          <w:rFonts w:cs="Times New Roman"/>
          <w:bCs/>
          <w:iCs/>
          <w:sz w:val="20"/>
          <w:szCs w:val="20"/>
          <w:lang w:val="en-MY"/>
        </w:rPr>
        <w:t xml:space="preserve">Furthermore, the relatively low explanatory power of the model (Adjusted R² = .09) indicates that cyber risk occurrence could be influenced by </w:t>
      </w:r>
      <w:r w:rsidRPr="008F2D35">
        <w:rPr>
          <w:rFonts w:cs="Times New Roman"/>
          <w:bCs/>
          <w:iCs/>
          <w:sz w:val="20"/>
          <w:szCs w:val="20"/>
          <w:lang w:val="en-MY"/>
        </w:rPr>
        <w:lastRenderedPageBreak/>
        <w:t>additional factors, such as technological infrastructure, third-party risks, and external threat environments. Nevertheless, the significant role of training highlights its importance as a main factor in strengthening organizational cyber resilience within MBSA.</w:t>
      </w:r>
    </w:p>
    <w:bookmarkEnd w:id="10"/>
    <w:p w14:paraId="625FA359" w14:textId="419E7F7E" w:rsidR="00BA7FCF" w:rsidRDefault="00E26131" w:rsidP="008F2D35">
      <w:pPr>
        <w:spacing w:after="0" w:line="276" w:lineRule="auto"/>
        <w:ind w:firstLine="720"/>
        <w:jc w:val="both"/>
        <w:rPr>
          <w:rFonts w:cs="Times New Roman"/>
          <w:bCs/>
          <w:iCs/>
          <w:sz w:val="20"/>
          <w:szCs w:val="20"/>
          <w:lang w:val="en-MY"/>
        </w:rPr>
      </w:pPr>
      <w:r w:rsidRPr="008F2D35">
        <w:rPr>
          <w:rFonts w:cs="Times New Roman"/>
          <w:bCs/>
          <w:iCs/>
          <w:sz w:val="20"/>
          <w:szCs w:val="20"/>
          <w:lang w:val="en-MY"/>
        </w:rPr>
        <w:t xml:space="preserve">Table </w:t>
      </w:r>
      <w:r w:rsidR="002B2CB1">
        <w:rPr>
          <w:rFonts w:cs="Times New Roman"/>
          <w:bCs/>
          <w:iCs/>
          <w:sz w:val="20"/>
          <w:szCs w:val="20"/>
          <w:lang w:val="en-MY"/>
        </w:rPr>
        <w:t>4</w:t>
      </w:r>
      <w:r w:rsidRPr="008F2D35">
        <w:rPr>
          <w:rFonts w:cs="Times New Roman"/>
          <w:bCs/>
          <w:iCs/>
          <w:sz w:val="20"/>
          <w:szCs w:val="20"/>
          <w:lang w:val="en-MY"/>
        </w:rPr>
        <w:t xml:space="preserve"> presents the summary of the hypothesis testing results. The findings indicated that two alternative hypotheses are rejected. These results are in contrast with the past research, which mentioned that cybersecurity policies are necessary to reduce cyber risks (Gupta &amp; </w:t>
      </w:r>
      <w:proofErr w:type="spellStart"/>
      <w:r w:rsidRPr="008F2D35">
        <w:rPr>
          <w:rFonts w:cs="Times New Roman"/>
          <w:bCs/>
          <w:iCs/>
          <w:sz w:val="20"/>
          <w:szCs w:val="20"/>
          <w:lang w:val="en-MY"/>
        </w:rPr>
        <w:t>Remella</w:t>
      </w:r>
      <w:proofErr w:type="spellEnd"/>
      <w:r w:rsidRPr="008F2D35">
        <w:rPr>
          <w:rFonts w:cs="Times New Roman"/>
          <w:bCs/>
          <w:iCs/>
          <w:sz w:val="20"/>
          <w:szCs w:val="20"/>
          <w:lang w:val="en-MY"/>
        </w:rPr>
        <w:t>, 2025; Chong et al., 2022), and the prior studies, which highlighted the importance of leadership commitment in cyber risk management (</w:t>
      </w:r>
      <w:proofErr w:type="spellStart"/>
      <w:r w:rsidRPr="008F2D35">
        <w:rPr>
          <w:rFonts w:cs="Times New Roman"/>
          <w:bCs/>
          <w:iCs/>
          <w:sz w:val="20"/>
          <w:szCs w:val="20"/>
          <w:lang w:val="en-MY"/>
        </w:rPr>
        <w:t>Sarumi</w:t>
      </w:r>
      <w:proofErr w:type="spellEnd"/>
      <w:r w:rsidRPr="008F2D35">
        <w:rPr>
          <w:rFonts w:cs="Times New Roman"/>
          <w:bCs/>
          <w:iCs/>
          <w:sz w:val="20"/>
          <w:szCs w:val="20"/>
          <w:lang w:val="en-MY"/>
        </w:rPr>
        <w:t xml:space="preserve"> &amp; Abdul-Raheem, 2022; Herath &amp; Rao, 2009). The present study recorded significant findings that cybersecurity training significantly contributes to cyber risk occurrence.</w:t>
      </w:r>
    </w:p>
    <w:p w14:paraId="662A4E2B" w14:textId="77777777" w:rsidR="00382780" w:rsidRPr="008F2D35" w:rsidRDefault="00382780" w:rsidP="008F2D35">
      <w:pPr>
        <w:spacing w:after="0" w:line="276" w:lineRule="auto"/>
        <w:ind w:firstLine="720"/>
        <w:jc w:val="both"/>
        <w:rPr>
          <w:rFonts w:cs="Times New Roman"/>
          <w:bCs/>
          <w:iCs/>
          <w:sz w:val="20"/>
          <w:szCs w:val="20"/>
          <w:lang w:val="en-MY"/>
        </w:rPr>
      </w:pPr>
    </w:p>
    <w:p w14:paraId="0B460BDD" w14:textId="0441874D" w:rsidR="00E26131" w:rsidRPr="008F2D35" w:rsidRDefault="00E26131" w:rsidP="008F2D35">
      <w:pPr>
        <w:pStyle w:val="Caption"/>
        <w:spacing w:line="276" w:lineRule="auto"/>
        <w:jc w:val="center"/>
        <w:rPr>
          <w:rFonts w:ascii="Palatino Linotype" w:hAnsi="Palatino Linotype"/>
          <w:sz w:val="20"/>
          <w:szCs w:val="20"/>
        </w:rPr>
      </w:pPr>
      <w:r w:rsidRPr="008F2D35">
        <w:rPr>
          <w:rFonts w:ascii="Palatino Linotype" w:hAnsi="Palatino Linotype"/>
          <w:sz w:val="20"/>
          <w:szCs w:val="20"/>
        </w:rPr>
        <w:t xml:space="preserve">Table </w:t>
      </w:r>
      <w:r w:rsidR="002B2CB1">
        <w:rPr>
          <w:rFonts w:ascii="Palatino Linotype" w:hAnsi="Palatino Linotype"/>
          <w:sz w:val="20"/>
          <w:szCs w:val="20"/>
        </w:rPr>
        <w:t>4.</w:t>
      </w:r>
    </w:p>
    <w:p w14:paraId="1941C779" w14:textId="495E6AB9" w:rsidR="00E26131" w:rsidRPr="008F2D35" w:rsidRDefault="00E26131" w:rsidP="008F2D35">
      <w:pPr>
        <w:pStyle w:val="Caption"/>
        <w:spacing w:line="276" w:lineRule="auto"/>
        <w:jc w:val="center"/>
        <w:rPr>
          <w:rFonts w:ascii="Palatino Linotype" w:hAnsi="Palatino Linotype"/>
          <w:sz w:val="20"/>
          <w:szCs w:val="20"/>
        </w:rPr>
      </w:pPr>
      <w:r w:rsidRPr="008F2D35">
        <w:rPr>
          <w:rFonts w:ascii="Palatino Linotype" w:hAnsi="Palatino Linotype"/>
          <w:sz w:val="20"/>
          <w:szCs w:val="20"/>
        </w:rPr>
        <w:t>Hypothesis Testing</w:t>
      </w:r>
      <w:bookmarkEnd w:id="8"/>
    </w:p>
    <w:tbl>
      <w:tblPr>
        <w:tblW w:w="5000" w:type="pct"/>
        <w:tblCellMar>
          <w:left w:w="0" w:type="dxa"/>
          <w:right w:w="0" w:type="dxa"/>
        </w:tblCellMar>
        <w:tblLook w:val="01E0" w:firstRow="1" w:lastRow="1" w:firstColumn="1" w:lastColumn="1" w:noHBand="0" w:noVBand="0"/>
      </w:tblPr>
      <w:tblGrid>
        <w:gridCol w:w="2850"/>
        <w:gridCol w:w="2050"/>
        <w:gridCol w:w="678"/>
        <w:gridCol w:w="678"/>
        <w:gridCol w:w="949"/>
      </w:tblGrid>
      <w:tr w:rsidR="00E26131" w:rsidRPr="008F2D35" w14:paraId="5820C822" w14:textId="77777777" w:rsidTr="00BA7FCF">
        <w:trPr>
          <w:trHeight w:val="306"/>
        </w:trPr>
        <w:tc>
          <w:tcPr>
            <w:tcW w:w="1984" w:type="pct"/>
            <w:tcBorders>
              <w:top w:val="single" w:sz="4" w:space="0" w:color="000000"/>
              <w:bottom w:val="single" w:sz="4" w:space="0" w:color="000000"/>
            </w:tcBorders>
          </w:tcPr>
          <w:p w14:paraId="0B8E2A8D" w14:textId="77777777" w:rsidR="00E26131" w:rsidRPr="008F2D35" w:rsidRDefault="00E26131" w:rsidP="008F2D35">
            <w:pPr>
              <w:autoSpaceDE w:val="0"/>
              <w:autoSpaceDN w:val="0"/>
              <w:spacing w:after="0" w:line="276" w:lineRule="auto"/>
              <w:rPr>
                <w:rFonts w:eastAsia="Times New Roman" w:cs="Times New Roman"/>
                <w:b/>
                <w:bCs/>
                <w:sz w:val="20"/>
                <w:szCs w:val="20"/>
              </w:rPr>
            </w:pPr>
            <w:r w:rsidRPr="008F2D35">
              <w:rPr>
                <w:rFonts w:eastAsia="Times New Roman" w:cs="Times New Roman"/>
                <w:b/>
                <w:bCs/>
                <w:spacing w:val="-2"/>
                <w:sz w:val="20"/>
                <w:szCs w:val="20"/>
              </w:rPr>
              <w:t>Hypothesis</w:t>
            </w:r>
          </w:p>
        </w:tc>
        <w:tc>
          <w:tcPr>
            <w:tcW w:w="1429" w:type="pct"/>
            <w:tcBorders>
              <w:top w:val="single" w:sz="4" w:space="0" w:color="000000"/>
              <w:bottom w:val="single" w:sz="4" w:space="0" w:color="000000"/>
            </w:tcBorders>
          </w:tcPr>
          <w:p w14:paraId="68032289" w14:textId="77777777" w:rsidR="00E26131" w:rsidRPr="008F2D35" w:rsidRDefault="00E26131" w:rsidP="008F2D35">
            <w:pPr>
              <w:autoSpaceDE w:val="0"/>
              <w:autoSpaceDN w:val="0"/>
              <w:spacing w:after="0" w:line="276" w:lineRule="auto"/>
              <w:jc w:val="center"/>
              <w:rPr>
                <w:rFonts w:eastAsia="Times New Roman" w:cs="Times New Roman"/>
                <w:b/>
                <w:bCs/>
                <w:sz w:val="20"/>
                <w:szCs w:val="20"/>
              </w:rPr>
            </w:pPr>
            <w:r w:rsidRPr="008F2D35">
              <w:rPr>
                <w:rFonts w:eastAsia="Times New Roman" w:cs="Times New Roman"/>
                <w:b/>
                <w:bCs/>
                <w:sz w:val="20"/>
                <w:szCs w:val="20"/>
              </w:rPr>
              <w:t>Independent</w:t>
            </w:r>
            <w:r w:rsidRPr="008F2D35">
              <w:rPr>
                <w:rFonts w:eastAsia="Times New Roman" w:cs="Times New Roman"/>
                <w:b/>
                <w:bCs/>
                <w:spacing w:val="-2"/>
                <w:sz w:val="20"/>
                <w:szCs w:val="20"/>
              </w:rPr>
              <w:t xml:space="preserve"> Variable</w:t>
            </w:r>
          </w:p>
        </w:tc>
        <w:tc>
          <w:tcPr>
            <w:tcW w:w="476" w:type="pct"/>
            <w:tcBorders>
              <w:top w:val="single" w:sz="4" w:space="0" w:color="000000"/>
              <w:bottom w:val="single" w:sz="4" w:space="0" w:color="000000"/>
            </w:tcBorders>
          </w:tcPr>
          <w:p w14:paraId="5B50CE44" w14:textId="77777777" w:rsidR="00E26131" w:rsidRPr="008F2D35" w:rsidRDefault="00E26131" w:rsidP="008F2D35">
            <w:pPr>
              <w:autoSpaceDE w:val="0"/>
              <w:autoSpaceDN w:val="0"/>
              <w:spacing w:after="0" w:line="276" w:lineRule="auto"/>
              <w:jc w:val="center"/>
              <w:rPr>
                <w:rFonts w:eastAsia="Times New Roman" w:cs="Times New Roman"/>
                <w:b/>
                <w:bCs/>
                <w:sz w:val="20"/>
                <w:szCs w:val="20"/>
              </w:rPr>
            </w:pPr>
            <w:r w:rsidRPr="008F2D35">
              <w:rPr>
                <w:rFonts w:eastAsia="Times New Roman" w:cs="Times New Roman"/>
                <w:b/>
                <w:bCs/>
                <w:sz w:val="20"/>
                <w:szCs w:val="20"/>
              </w:rPr>
              <w:t>Beta</w:t>
            </w:r>
            <w:r w:rsidRPr="008F2D35">
              <w:rPr>
                <w:rFonts w:eastAsia="Times New Roman" w:cs="Times New Roman"/>
                <w:b/>
                <w:bCs/>
                <w:spacing w:val="3"/>
                <w:sz w:val="20"/>
                <w:szCs w:val="20"/>
              </w:rPr>
              <w:t xml:space="preserve"> </w:t>
            </w:r>
            <w:r w:rsidRPr="008F2D35">
              <w:rPr>
                <w:rFonts w:eastAsia="Times New Roman" w:cs="Times New Roman"/>
                <w:b/>
                <w:bCs/>
                <w:spacing w:val="-5"/>
                <w:sz w:val="20"/>
                <w:szCs w:val="20"/>
              </w:rPr>
              <w:t>(β)</w:t>
            </w:r>
          </w:p>
        </w:tc>
        <w:tc>
          <w:tcPr>
            <w:tcW w:w="476" w:type="pct"/>
            <w:tcBorders>
              <w:top w:val="single" w:sz="4" w:space="0" w:color="000000"/>
              <w:bottom w:val="single" w:sz="4" w:space="0" w:color="000000"/>
            </w:tcBorders>
          </w:tcPr>
          <w:p w14:paraId="4605E124" w14:textId="77777777" w:rsidR="00E26131" w:rsidRPr="008F2D35" w:rsidRDefault="00E26131" w:rsidP="008F2D35">
            <w:pPr>
              <w:autoSpaceDE w:val="0"/>
              <w:autoSpaceDN w:val="0"/>
              <w:spacing w:after="0" w:line="276" w:lineRule="auto"/>
              <w:jc w:val="center"/>
              <w:rPr>
                <w:rFonts w:eastAsia="Times New Roman" w:cs="Times New Roman"/>
                <w:b/>
                <w:bCs/>
                <w:sz w:val="20"/>
                <w:szCs w:val="20"/>
              </w:rPr>
            </w:pPr>
            <w:r w:rsidRPr="008F2D35">
              <w:rPr>
                <w:rFonts w:eastAsia="Times New Roman" w:cs="Times New Roman"/>
                <w:b/>
                <w:bCs/>
                <w:sz w:val="20"/>
                <w:szCs w:val="20"/>
              </w:rPr>
              <w:t>p-</w:t>
            </w:r>
            <w:r w:rsidRPr="008F2D35">
              <w:rPr>
                <w:rFonts w:eastAsia="Times New Roman" w:cs="Times New Roman"/>
                <w:b/>
                <w:bCs/>
                <w:spacing w:val="-2"/>
                <w:sz w:val="20"/>
                <w:szCs w:val="20"/>
              </w:rPr>
              <w:t>value</w:t>
            </w:r>
          </w:p>
        </w:tc>
        <w:tc>
          <w:tcPr>
            <w:tcW w:w="635" w:type="pct"/>
            <w:tcBorders>
              <w:top w:val="single" w:sz="4" w:space="0" w:color="000000"/>
              <w:bottom w:val="single" w:sz="4" w:space="0" w:color="000000"/>
            </w:tcBorders>
          </w:tcPr>
          <w:p w14:paraId="6A9B0522" w14:textId="77777777" w:rsidR="00E26131" w:rsidRPr="008F2D35" w:rsidRDefault="00E26131" w:rsidP="008F2D35">
            <w:pPr>
              <w:autoSpaceDE w:val="0"/>
              <w:autoSpaceDN w:val="0"/>
              <w:spacing w:after="0" w:line="276" w:lineRule="auto"/>
              <w:jc w:val="center"/>
              <w:rPr>
                <w:rFonts w:eastAsia="Times New Roman" w:cs="Times New Roman"/>
                <w:b/>
                <w:bCs/>
                <w:sz w:val="20"/>
                <w:szCs w:val="20"/>
              </w:rPr>
            </w:pPr>
            <w:r w:rsidRPr="008F2D35">
              <w:rPr>
                <w:rFonts w:eastAsia="Times New Roman" w:cs="Times New Roman"/>
                <w:b/>
                <w:bCs/>
                <w:spacing w:val="-2"/>
                <w:sz w:val="20"/>
                <w:szCs w:val="20"/>
              </w:rPr>
              <w:t>Supported</w:t>
            </w:r>
          </w:p>
        </w:tc>
      </w:tr>
      <w:tr w:rsidR="00E26131" w:rsidRPr="008F2D35" w14:paraId="0307BBB9" w14:textId="77777777" w:rsidTr="00BA7FCF">
        <w:trPr>
          <w:trHeight w:val="355"/>
        </w:trPr>
        <w:tc>
          <w:tcPr>
            <w:tcW w:w="1984" w:type="pct"/>
            <w:tcBorders>
              <w:top w:val="single" w:sz="4" w:space="0" w:color="000000"/>
            </w:tcBorders>
          </w:tcPr>
          <w:p w14:paraId="3C5F4821" w14:textId="0A0A7795" w:rsidR="00E26131" w:rsidRPr="008F2D35" w:rsidRDefault="00E26131" w:rsidP="008F2D35">
            <w:pPr>
              <w:autoSpaceDE w:val="0"/>
              <w:autoSpaceDN w:val="0"/>
              <w:spacing w:after="0" w:line="276" w:lineRule="auto"/>
              <w:rPr>
                <w:sz w:val="20"/>
                <w:szCs w:val="20"/>
              </w:rPr>
            </w:pPr>
            <w:r w:rsidRPr="008F2D35">
              <w:rPr>
                <w:rFonts w:eastAsia="Times New Roman" w:cs="Times New Roman"/>
                <w:spacing w:val="-5"/>
                <w:sz w:val="20"/>
                <w:szCs w:val="20"/>
              </w:rPr>
              <w:t>H1:</w:t>
            </w:r>
            <w:r w:rsidRPr="008F2D35">
              <w:rPr>
                <w:sz w:val="20"/>
                <w:szCs w:val="20"/>
              </w:rPr>
              <w:t xml:space="preserve"> Cybersecurity policies significantly reduce cyber risk occurrence at MBSA</w:t>
            </w:r>
          </w:p>
        </w:tc>
        <w:tc>
          <w:tcPr>
            <w:tcW w:w="1429" w:type="pct"/>
            <w:tcBorders>
              <w:top w:val="single" w:sz="4" w:space="0" w:color="000000"/>
            </w:tcBorders>
          </w:tcPr>
          <w:p w14:paraId="2E5F0104"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cs="Times New Roman"/>
                <w:spacing w:val="-11"/>
                <w:sz w:val="20"/>
                <w:szCs w:val="20"/>
              </w:rPr>
              <w:t>Cybersecurity Policies (CP)</w:t>
            </w:r>
          </w:p>
        </w:tc>
        <w:tc>
          <w:tcPr>
            <w:tcW w:w="476" w:type="pct"/>
            <w:tcBorders>
              <w:top w:val="single" w:sz="4" w:space="0" w:color="000000"/>
            </w:tcBorders>
          </w:tcPr>
          <w:p w14:paraId="0DB6C6EE"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eastAsia="Times New Roman" w:cs="Times New Roman"/>
                <w:spacing w:val="-4"/>
                <w:sz w:val="20"/>
                <w:szCs w:val="20"/>
              </w:rPr>
              <w:t>.15</w:t>
            </w:r>
          </w:p>
        </w:tc>
        <w:tc>
          <w:tcPr>
            <w:tcW w:w="476" w:type="pct"/>
            <w:tcBorders>
              <w:top w:val="single" w:sz="4" w:space="0" w:color="000000"/>
            </w:tcBorders>
          </w:tcPr>
          <w:p w14:paraId="37FA4F16"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eastAsia="Times New Roman" w:cs="Times New Roman"/>
                <w:spacing w:val="-2"/>
                <w:sz w:val="20"/>
                <w:szCs w:val="20"/>
              </w:rPr>
              <w:t>.12</w:t>
            </w:r>
          </w:p>
        </w:tc>
        <w:tc>
          <w:tcPr>
            <w:tcW w:w="635" w:type="pct"/>
            <w:tcBorders>
              <w:top w:val="single" w:sz="4" w:space="0" w:color="000000"/>
            </w:tcBorders>
          </w:tcPr>
          <w:p w14:paraId="18B8C26E"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eastAsia="Times New Roman" w:cs="Times New Roman"/>
                <w:spacing w:val="-5"/>
                <w:sz w:val="20"/>
                <w:szCs w:val="20"/>
              </w:rPr>
              <w:t>No</w:t>
            </w:r>
          </w:p>
        </w:tc>
      </w:tr>
      <w:tr w:rsidR="00E26131" w:rsidRPr="008F2D35" w14:paraId="793A8EE4" w14:textId="77777777" w:rsidTr="00BA7FCF">
        <w:trPr>
          <w:trHeight w:val="343"/>
        </w:trPr>
        <w:tc>
          <w:tcPr>
            <w:tcW w:w="1984" w:type="pct"/>
          </w:tcPr>
          <w:p w14:paraId="149D3323" w14:textId="4E9A5855" w:rsidR="00E26131" w:rsidRPr="008F2D35" w:rsidRDefault="00E26131" w:rsidP="008F2D35">
            <w:pPr>
              <w:spacing w:after="0"/>
              <w:rPr>
                <w:sz w:val="20"/>
                <w:szCs w:val="20"/>
              </w:rPr>
            </w:pPr>
            <w:r w:rsidRPr="008F2D35">
              <w:rPr>
                <w:rFonts w:eastAsia="Times New Roman" w:cs="Times New Roman"/>
                <w:spacing w:val="-5"/>
                <w:sz w:val="20"/>
                <w:szCs w:val="20"/>
              </w:rPr>
              <w:t xml:space="preserve">H2: </w:t>
            </w:r>
            <w:r w:rsidRPr="008F2D35">
              <w:rPr>
                <w:sz w:val="20"/>
                <w:szCs w:val="20"/>
              </w:rPr>
              <w:t>Cybersecurity training significantly reduces cyber risk occurrence at MBSA.</w:t>
            </w:r>
          </w:p>
        </w:tc>
        <w:tc>
          <w:tcPr>
            <w:tcW w:w="1429" w:type="pct"/>
          </w:tcPr>
          <w:p w14:paraId="6DBF9343"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cs="Times New Roman"/>
                <w:spacing w:val="-11"/>
                <w:sz w:val="20"/>
                <w:szCs w:val="20"/>
              </w:rPr>
              <w:t>Cybersecurity Training (CT)</w:t>
            </w:r>
          </w:p>
        </w:tc>
        <w:tc>
          <w:tcPr>
            <w:tcW w:w="476" w:type="pct"/>
          </w:tcPr>
          <w:p w14:paraId="69817177"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eastAsia="Times New Roman" w:cs="Times New Roman"/>
                <w:spacing w:val="-4"/>
                <w:sz w:val="20"/>
                <w:szCs w:val="20"/>
              </w:rPr>
              <w:t>.20</w:t>
            </w:r>
          </w:p>
        </w:tc>
        <w:tc>
          <w:tcPr>
            <w:tcW w:w="476" w:type="pct"/>
          </w:tcPr>
          <w:p w14:paraId="25EAD373"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eastAsia="Times New Roman" w:cs="Times New Roman"/>
                <w:spacing w:val="-2"/>
                <w:sz w:val="20"/>
                <w:szCs w:val="20"/>
              </w:rPr>
              <w:t>&lt;0.05</w:t>
            </w:r>
          </w:p>
        </w:tc>
        <w:tc>
          <w:tcPr>
            <w:tcW w:w="635" w:type="pct"/>
          </w:tcPr>
          <w:p w14:paraId="3CBEA7DD"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eastAsia="Times New Roman" w:cs="Times New Roman"/>
                <w:sz w:val="20"/>
                <w:szCs w:val="20"/>
              </w:rPr>
              <w:t>Yes</w:t>
            </w:r>
          </w:p>
        </w:tc>
      </w:tr>
      <w:tr w:rsidR="00E26131" w:rsidRPr="008F2D35" w14:paraId="16D72C8A" w14:textId="77777777" w:rsidTr="00BA7FCF">
        <w:trPr>
          <w:trHeight w:val="340"/>
        </w:trPr>
        <w:tc>
          <w:tcPr>
            <w:tcW w:w="1984" w:type="pct"/>
            <w:tcBorders>
              <w:bottom w:val="single" w:sz="4" w:space="0" w:color="auto"/>
            </w:tcBorders>
          </w:tcPr>
          <w:p w14:paraId="5688B737" w14:textId="77777777" w:rsidR="00E26131" w:rsidRPr="008F2D35" w:rsidRDefault="00E26131" w:rsidP="008F2D35">
            <w:pPr>
              <w:spacing w:after="0"/>
              <w:rPr>
                <w:sz w:val="20"/>
                <w:szCs w:val="20"/>
              </w:rPr>
            </w:pPr>
            <w:r w:rsidRPr="008F2D35">
              <w:rPr>
                <w:rFonts w:eastAsia="Times New Roman" w:cs="Times New Roman"/>
                <w:spacing w:val="-5"/>
                <w:sz w:val="20"/>
                <w:szCs w:val="20"/>
              </w:rPr>
              <w:t>H3:</w:t>
            </w:r>
            <w:r w:rsidRPr="008F2D35">
              <w:rPr>
                <w:sz w:val="20"/>
                <w:szCs w:val="20"/>
              </w:rPr>
              <w:t xml:space="preserve"> Leadership commitment significantly reduces cyber risk occurrence at MBSA.</w:t>
            </w:r>
          </w:p>
        </w:tc>
        <w:tc>
          <w:tcPr>
            <w:tcW w:w="1429" w:type="pct"/>
            <w:tcBorders>
              <w:bottom w:val="single" w:sz="4" w:space="0" w:color="auto"/>
            </w:tcBorders>
          </w:tcPr>
          <w:p w14:paraId="55E99285"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cs="Times New Roman"/>
                <w:spacing w:val="-11"/>
                <w:sz w:val="20"/>
                <w:szCs w:val="20"/>
              </w:rPr>
              <w:t>Leadership Commitment (LC)</w:t>
            </w:r>
          </w:p>
        </w:tc>
        <w:tc>
          <w:tcPr>
            <w:tcW w:w="476" w:type="pct"/>
            <w:tcBorders>
              <w:bottom w:val="single" w:sz="4" w:space="0" w:color="auto"/>
            </w:tcBorders>
          </w:tcPr>
          <w:p w14:paraId="7CA6D47A"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eastAsia="Times New Roman" w:cs="Times New Roman"/>
                <w:spacing w:val="-4"/>
                <w:sz w:val="20"/>
                <w:szCs w:val="20"/>
              </w:rPr>
              <w:t>-.02</w:t>
            </w:r>
          </w:p>
        </w:tc>
        <w:tc>
          <w:tcPr>
            <w:tcW w:w="476" w:type="pct"/>
            <w:tcBorders>
              <w:bottom w:val="single" w:sz="4" w:space="0" w:color="auto"/>
            </w:tcBorders>
          </w:tcPr>
          <w:p w14:paraId="27323632"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eastAsia="Times New Roman" w:cs="Times New Roman"/>
                <w:spacing w:val="-2"/>
                <w:sz w:val="20"/>
                <w:szCs w:val="20"/>
              </w:rPr>
              <w:t>.88</w:t>
            </w:r>
          </w:p>
        </w:tc>
        <w:tc>
          <w:tcPr>
            <w:tcW w:w="635" w:type="pct"/>
            <w:tcBorders>
              <w:bottom w:val="single" w:sz="4" w:space="0" w:color="auto"/>
            </w:tcBorders>
          </w:tcPr>
          <w:p w14:paraId="4C55E8F7" w14:textId="77777777" w:rsidR="00E26131" w:rsidRPr="008F2D35" w:rsidRDefault="00E26131" w:rsidP="008F2D35">
            <w:pPr>
              <w:autoSpaceDE w:val="0"/>
              <w:autoSpaceDN w:val="0"/>
              <w:spacing w:after="0" w:line="276" w:lineRule="auto"/>
              <w:jc w:val="center"/>
              <w:rPr>
                <w:rFonts w:eastAsia="Times New Roman" w:cs="Times New Roman"/>
                <w:sz w:val="20"/>
                <w:szCs w:val="20"/>
              </w:rPr>
            </w:pPr>
            <w:r w:rsidRPr="008F2D35">
              <w:rPr>
                <w:rFonts w:eastAsia="Times New Roman" w:cs="Times New Roman"/>
                <w:sz w:val="20"/>
                <w:szCs w:val="20"/>
              </w:rPr>
              <w:t>No</w:t>
            </w:r>
          </w:p>
        </w:tc>
      </w:tr>
    </w:tbl>
    <w:p w14:paraId="067A805C" w14:textId="063AEDC3" w:rsidR="00B55AF4" w:rsidRPr="008F2D35" w:rsidRDefault="00B55AF4" w:rsidP="008F2D35">
      <w:pPr>
        <w:spacing w:after="0" w:line="276" w:lineRule="auto"/>
        <w:rPr>
          <w:rFonts w:eastAsia="Palatino Linotype"/>
          <w:bCs/>
          <w:sz w:val="20"/>
          <w:szCs w:val="20"/>
          <w:lang w:val="en-US"/>
        </w:rPr>
      </w:pPr>
    </w:p>
    <w:p w14:paraId="061EB6B1" w14:textId="77777777" w:rsidR="00975E37" w:rsidRPr="00AA50DB" w:rsidRDefault="00975E37" w:rsidP="00975E37">
      <w:pPr>
        <w:spacing w:after="120" w:line="276" w:lineRule="auto"/>
        <w:rPr>
          <w:rFonts w:eastAsia="Palatino Linotype"/>
          <w:b/>
          <w:sz w:val="20"/>
          <w:szCs w:val="20"/>
          <w:lang w:val="en-US"/>
        </w:rPr>
      </w:pPr>
      <w:r w:rsidRPr="00AA50DB">
        <w:rPr>
          <w:rFonts w:eastAsia="Palatino Linotype"/>
          <w:b/>
          <w:sz w:val="20"/>
          <w:szCs w:val="20"/>
          <w:lang w:val="en-US"/>
        </w:rPr>
        <w:t>V. CONCLUSION AND RECOMMENDATION</w:t>
      </w:r>
    </w:p>
    <w:p w14:paraId="781C2B04" w14:textId="5C026727" w:rsidR="00BA7FCF" w:rsidRPr="002B2CB1" w:rsidRDefault="00BA7FCF" w:rsidP="002B2CB1">
      <w:pPr>
        <w:autoSpaceDE w:val="0"/>
        <w:autoSpaceDN w:val="0"/>
        <w:adjustRightInd w:val="0"/>
        <w:spacing w:after="0" w:line="276" w:lineRule="auto"/>
        <w:jc w:val="both"/>
        <w:rPr>
          <w:rFonts w:cs="Times New Roman"/>
          <w:sz w:val="20"/>
          <w:szCs w:val="24"/>
          <w:lang w:val="en-MY"/>
        </w:rPr>
      </w:pPr>
      <w:r w:rsidRPr="002B2CB1">
        <w:rPr>
          <w:rFonts w:cs="Times New Roman"/>
          <w:sz w:val="20"/>
          <w:szCs w:val="24"/>
          <w:lang w:val="en-MY"/>
        </w:rPr>
        <w:t>This study examines the relationship between cybersecurity policies, cybersecurity training, leadership commitment, and cyber risk occurrence. The findings of this study reveal that all of these organizational factors (cybersecurity policies, cybersecurity training, and leadership commitment) play a significant role in influencing cyber risk occurrence within MBSA.</w:t>
      </w:r>
      <w:r w:rsidR="002B2CB1" w:rsidRPr="002B2CB1">
        <w:rPr>
          <w:rFonts w:cs="Times New Roman"/>
          <w:sz w:val="20"/>
          <w:szCs w:val="24"/>
          <w:lang w:val="en-MY"/>
        </w:rPr>
        <w:t xml:space="preserve"> </w:t>
      </w:r>
      <w:r w:rsidRPr="002B2CB1">
        <w:rPr>
          <w:rFonts w:cs="Times New Roman"/>
          <w:sz w:val="20"/>
          <w:szCs w:val="24"/>
          <w:lang w:val="en-MY"/>
        </w:rPr>
        <w:t xml:space="preserve">First, there is a statistically significant negative relationship between cybersecurity policies and cyber risk occurrence. The high mean scores in policy clarity, policy enforcement, and awareness among employees indicate that structured policies provide clear </w:t>
      </w:r>
      <w:r w:rsidRPr="002B2CB1">
        <w:rPr>
          <w:rFonts w:cs="Times New Roman"/>
          <w:sz w:val="20"/>
          <w:szCs w:val="24"/>
          <w:lang w:val="en-MY"/>
        </w:rPr>
        <w:lastRenderedPageBreak/>
        <w:t xml:space="preserve">guidance on acceptable </w:t>
      </w:r>
      <w:proofErr w:type="spellStart"/>
      <w:r w:rsidRPr="002B2CB1">
        <w:rPr>
          <w:rFonts w:cs="Times New Roman"/>
          <w:sz w:val="20"/>
          <w:szCs w:val="24"/>
          <w:lang w:val="en-MY"/>
        </w:rPr>
        <w:t>behavior</w:t>
      </w:r>
      <w:proofErr w:type="spellEnd"/>
      <w:r w:rsidRPr="002B2CB1">
        <w:rPr>
          <w:rFonts w:cs="Times New Roman"/>
          <w:sz w:val="20"/>
          <w:szCs w:val="24"/>
          <w:lang w:val="en-MY"/>
        </w:rPr>
        <w:t xml:space="preserve">, incident response procedures, and accountability mechanisms. These results are consistent with earlier studies that emphasized that formalized policies serve as the foundation for effective cyber governance (Herath &amp; Rao, 2009; Gupta &amp; </w:t>
      </w:r>
      <w:proofErr w:type="spellStart"/>
      <w:r w:rsidRPr="002B2CB1">
        <w:rPr>
          <w:rFonts w:cs="Times New Roman"/>
          <w:sz w:val="20"/>
          <w:szCs w:val="24"/>
          <w:lang w:val="en-MY"/>
        </w:rPr>
        <w:t>Remella</w:t>
      </w:r>
      <w:proofErr w:type="spellEnd"/>
      <w:r w:rsidRPr="002B2CB1">
        <w:rPr>
          <w:rFonts w:cs="Times New Roman"/>
          <w:sz w:val="20"/>
          <w:szCs w:val="24"/>
          <w:lang w:val="en-MY"/>
        </w:rPr>
        <w:t>, 2025). This finding reinforces risk management theory by suggesting that clearly articulated policies help organizations identify, assess, and mitigate risks systematically. Besides, documented cybersecurity policies have contributed to reducing ambiguity and strengthening organizational control over cyber threats in the context of MBSA.</w:t>
      </w:r>
      <w:r w:rsidR="002B2CB1" w:rsidRPr="002B2CB1">
        <w:rPr>
          <w:rFonts w:cs="Times New Roman"/>
          <w:sz w:val="20"/>
          <w:szCs w:val="24"/>
          <w:lang w:val="en-MY"/>
        </w:rPr>
        <w:t xml:space="preserve"> </w:t>
      </w:r>
      <w:r w:rsidRPr="002B2CB1">
        <w:rPr>
          <w:rFonts w:cs="Times New Roman"/>
          <w:sz w:val="20"/>
          <w:szCs w:val="24"/>
          <w:lang w:val="en-MY"/>
        </w:rPr>
        <w:t>Moreover,</w:t>
      </w:r>
      <w:r w:rsidRPr="002B2CB1">
        <w:rPr>
          <w:rFonts w:cs="Times New Roman"/>
          <w:b/>
          <w:bCs/>
          <w:sz w:val="20"/>
          <w:szCs w:val="24"/>
          <w:lang w:val="en-MY"/>
        </w:rPr>
        <w:t xml:space="preserve"> </w:t>
      </w:r>
      <w:r w:rsidRPr="002B2CB1">
        <w:rPr>
          <w:rFonts w:cs="Times New Roman"/>
          <w:sz w:val="20"/>
          <w:szCs w:val="24"/>
          <w:lang w:val="en-MY"/>
        </w:rPr>
        <w:t>cybersecurity training is statistically significantly negatively correlated with cyber risk occurrence, and training emerged as a strong predictor in reducing cyber risk, indicating that increased training frequency and quality are associated with lower incidences of cyber threats. This finding supports the human capital theory, which presents investment in employee knowledge and skills enhances organizational performance and resilience (Becker, 1993). These results align with previous empirical findings that continuous training significantly reduces the most common cause of cybersecurity breaches, which is human-related vulnerabilities (</w:t>
      </w:r>
      <w:proofErr w:type="spellStart"/>
      <w:r w:rsidRPr="002B2CB1">
        <w:rPr>
          <w:rFonts w:cs="Times New Roman"/>
          <w:sz w:val="20"/>
          <w:szCs w:val="24"/>
          <w:lang w:val="en-MY"/>
        </w:rPr>
        <w:t>Puhakainen</w:t>
      </w:r>
      <w:proofErr w:type="spellEnd"/>
      <w:r w:rsidRPr="002B2CB1">
        <w:rPr>
          <w:rFonts w:cs="Times New Roman"/>
          <w:sz w:val="20"/>
          <w:szCs w:val="24"/>
          <w:lang w:val="en-MY"/>
        </w:rPr>
        <w:t xml:space="preserve"> &amp; Siponen, 2010; Goswami et al., 2023). This is also consistent with real-world cyber incidents, such as the 2019 Baltimore ransomware attack, where insufficient employee preparedness is the key contributing factor to the severity of the incident (U.S. Department of Justice, 2018; Herath &amp; Rao, 2009; </w:t>
      </w:r>
      <w:proofErr w:type="spellStart"/>
      <w:r w:rsidRPr="002B2CB1">
        <w:rPr>
          <w:rFonts w:cs="Times New Roman"/>
          <w:sz w:val="20"/>
          <w:szCs w:val="24"/>
          <w:lang w:val="en-MY"/>
        </w:rPr>
        <w:t>Puhakainen</w:t>
      </w:r>
      <w:proofErr w:type="spellEnd"/>
      <w:r w:rsidRPr="002B2CB1">
        <w:rPr>
          <w:rFonts w:cs="Times New Roman"/>
          <w:sz w:val="20"/>
          <w:szCs w:val="24"/>
          <w:lang w:val="en-MY"/>
        </w:rPr>
        <w:t xml:space="preserve"> &amp; Siponen, 2010). Thus, the findings affirm that training is essential in mitigating cyber risk.</w:t>
      </w:r>
      <w:r w:rsidR="002B2CB1" w:rsidRPr="002B2CB1">
        <w:rPr>
          <w:rFonts w:cs="Times New Roman"/>
          <w:sz w:val="20"/>
          <w:szCs w:val="24"/>
          <w:lang w:val="en-MY"/>
        </w:rPr>
        <w:t xml:space="preserve"> </w:t>
      </w:r>
      <w:r w:rsidRPr="002B2CB1">
        <w:rPr>
          <w:rFonts w:cs="Times New Roman"/>
          <w:sz w:val="20"/>
          <w:szCs w:val="24"/>
          <w:lang w:val="en-MY"/>
        </w:rPr>
        <w:t xml:space="preserve">Furthermore, leadership commitment </w:t>
      </w:r>
      <w:r w:rsidR="005F52B2">
        <w:rPr>
          <w:rFonts w:cs="Times New Roman"/>
          <w:sz w:val="20"/>
          <w:szCs w:val="24"/>
          <w:lang w:val="en-MY"/>
        </w:rPr>
        <w:t>is correlated with the</w:t>
      </w:r>
      <w:r w:rsidRPr="002B2CB1">
        <w:rPr>
          <w:rFonts w:cs="Times New Roman"/>
          <w:sz w:val="20"/>
          <w:szCs w:val="24"/>
          <w:lang w:val="en-MY"/>
        </w:rPr>
        <w:t xml:space="preserve"> cyber risk occurrence, consistent with transformational leadership theory, which emphasizes the role of leaders in shaping organizational culture and driving behavioral change. This result is supported by prior studies (</w:t>
      </w:r>
      <w:proofErr w:type="spellStart"/>
      <w:r w:rsidRPr="002B2CB1">
        <w:rPr>
          <w:rFonts w:cs="Times New Roman"/>
          <w:sz w:val="20"/>
          <w:szCs w:val="24"/>
          <w:lang w:val="en-MY"/>
        </w:rPr>
        <w:t>Sarumi</w:t>
      </w:r>
      <w:proofErr w:type="spellEnd"/>
      <w:r w:rsidRPr="002B2CB1">
        <w:rPr>
          <w:rFonts w:cs="Times New Roman"/>
          <w:sz w:val="20"/>
          <w:szCs w:val="24"/>
          <w:lang w:val="en-MY"/>
        </w:rPr>
        <w:t xml:space="preserve"> &amp; Abdul-Raheem, 2022; Herath &amp; Rao, 2009), which found that leadership engagement significantly improves cybersecurity by promoting proactive risk management. Strong leadership commitment was found to influence policy enforcement, training participation, and overall risk mitigation efforts in the context of MBSA.</w:t>
      </w:r>
    </w:p>
    <w:p w14:paraId="6BAB1DD4" w14:textId="77777777" w:rsidR="00BA7FCF" w:rsidRPr="002B2CB1" w:rsidRDefault="00BA7FCF" w:rsidP="002B2CB1">
      <w:pPr>
        <w:autoSpaceDE w:val="0"/>
        <w:autoSpaceDN w:val="0"/>
        <w:adjustRightInd w:val="0"/>
        <w:spacing w:after="0" w:line="276" w:lineRule="auto"/>
        <w:jc w:val="both"/>
        <w:rPr>
          <w:rFonts w:cs="Times New Roman"/>
          <w:sz w:val="20"/>
          <w:szCs w:val="24"/>
          <w:lang w:val="en-MY"/>
        </w:rPr>
      </w:pPr>
      <w:r w:rsidRPr="002B2CB1">
        <w:rPr>
          <w:rFonts w:cs="Times New Roman"/>
          <w:sz w:val="20"/>
          <w:szCs w:val="24"/>
          <w:lang w:val="en-MY"/>
        </w:rPr>
        <w:t> </w:t>
      </w:r>
    </w:p>
    <w:p w14:paraId="1EA44514" w14:textId="39FD706D" w:rsidR="00BA7FCF" w:rsidRPr="00BA7FCF" w:rsidRDefault="00BA7FCF" w:rsidP="00BA7FCF">
      <w:pPr>
        <w:autoSpaceDE w:val="0"/>
        <w:autoSpaceDN w:val="0"/>
        <w:adjustRightInd w:val="0"/>
        <w:spacing w:line="276" w:lineRule="auto"/>
        <w:jc w:val="both"/>
        <w:rPr>
          <w:rFonts w:cs="Times New Roman"/>
          <w:b/>
          <w:bCs/>
          <w:sz w:val="20"/>
          <w:szCs w:val="24"/>
          <w:lang w:val="en-MY"/>
        </w:rPr>
      </w:pPr>
      <w:r w:rsidRPr="00BA7FCF">
        <w:rPr>
          <w:rFonts w:cs="Times New Roman"/>
          <w:b/>
          <w:bCs/>
          <w:sz w:val="20"/>
          <w:szCs w:val="24"/>
          <w:lang w:val="en-MY"/>
        </w:rPr>
        <w:t>5.</w:t>
      </w:r>
      <w:r w:rsidR="002B2CB1">
        <w:rPr>
          <w:rFonts w:cs="Times New Roman"/>
          <w:b/>
          <w:bCs/>
          <w:sz w:val="20"/>
          <w:szCs w:val="24"/>
          <w:lang w:val="en-MY"/>
        </w:rPr>
        <w:t>1</w:t>
      </w:r>
      <w:r w:rsidRPr="00BA7FCF">
        <w:rPr>
          <w:rFonts w:cs="Times New Roman"/>
          <w:b/>
          <w:bCs/>
          <w:sz w:val="20"/>
          <w:szCs w:val="24"/>
          <w:lang w:val="en-MY"/>
        </w:rPr>
        <w:t>. Theoretical Implications</w:t>
      </w:r>
    </w:p>
    <w:p w14:paraId="1EFADBDF" w14:textId="77777777" w:rsidR="00BA7FCF" w:rsidRPr="002B2CB1" w:rsidRDefault="00BA7FCF" w:rsidP="002B2CB1">
      <w:pPr>
        <w:autoSpaceDE w:val="0"/>
        <w:autoSpaceDN w:val="0"/>
        <w:adjustRightInd w:val="0"/>
        <w:spacing w:after="0" w:line="276" w:lineRule="auto"/>
        <w:jc w:val="both"/>
        <w:rPr>
          <w:rFonts w:cs="Times New Roman"/>
          <w:sz w:val="20"/>
          <w:szCs w:val="24"/>
          <w:lang w:val="en-MY"/>
        </w:rPr>
      </w:pPr>
      <w:r w:rsidRPr="002B2CB1">
        <w:rPr>
          <w:rFonts w:cs="Times New Roman"/>
          <w:sz w:val="20"/>
          <w:szCs w:val="24"/>
          <w:lang w:val="en-MY"/>
        </w:rPr>
        <w:t>Next, this study explains theoretical implications. This research contributes to the existing body of knowledge by reinforcing and extending theoretical frameworks related to cybersecurity management in public sector organizations.</w:t>
      </w:r>
      <w:r w:rsidRPr="002B2CB1">
        <w:rPr>
          <w:rFonts w:cs="Times New Roman"/>
          <w:b/>
          <w:bCs/>
          <w:sz w:val="20"/>
          <w:szCs w:val="24"/>
          <w:lang w:val="en-MY"/>
        </w:rPr>
        <w:t xml:space="preserve"> </w:t>
      </w:r>
      <w:r w:rsidRPr="002B2CB1">
        <w:rPr>
          <w:rFonts w:cs="Times New Roman"/>
          <w:sz w:val="20"/>
          <w:szCs w:val="24"/>
          <w:lang w:val="en-MY"/>
        </w:rPr>
        <w:t xml:space="preserve">First, the findings provide strong empirical support for risk management theory through highlighting the significant role of cybersecurity policies (CP). Well-structured and </w:t>
      </w:r>
      <w:r w:rsidRPr="002B2CB1">
        <w:rPr>
          <w:rFonts w:cs="Times New Roman"/>
          <w:sz w:val="20"/>
          <w:szCs w:val="24"/>
          <w:lang w:val="en-MY"/>
        </w:rPr>
        <w:lastRenderedPageBreak/>
        <w:t xml:space="preserve">consistently enforced policies could act as formal risk control mechanisms that minimize organizational exposure to cyber threats; thus, this confirms that CP operates as a preventive governance tool within the risk management cycle of risk identification, assessment, and mitigation. Second, under the lens of human capital theory, the influence of cybersecurity training (CT) on cyber risk occurrence has been explained. Investment in employee knowledge, skills, and awareness significantly strengthens organizational capability to detect, prevent, and respond to cyber threats; hence, this result extends human capital theory by demonstrating its relevance within public sector cybersecurity governance, at the same time highlighting that human error remains a dominant risk factor. Next, the study reinforces Transformational Leadership Theory by describing the role of Leadership Commitment (LC) in shaping cybersecurity governance. The findings confirm that leaders who actively promote cybersecurity initiatives, allocate adequate resources, and model risk-aware </w:t>
      </w:r>
      <w:proofErr w:type="spellStart"/>
      <w:r w:rsidRPr="002B2CB1">
        <w:rPr>
          <w:rFonts w:cs="Times New Roman"/>
          <w:sz w:val="20"/>
          <w:szCs w:val="24"/>
          <w:lang w:val="en-MY"/>
        </w:rPr>
        <w:t>behavior</w:t>
      </w:r>
      <w:proofErr w:type="spellEnd"/>
      <w:r w:rsidRPr="002B2CB1">
        <w:rPr>
          <w:rFonts w:cs="Times New Roman"/>
          <w:sz w:val="20"/>
          <w:szCs w:val="24"/>
          <w:lang w:val="en-MY"/>
        </w:rPr>
        <w:t xml:space="preserve"> improve accountability and continuous progress. This supports the view that transformational leaders influence employee </w:t>
      </w:r>
      <w:proofErr w:type="spellStart"/>
      <w:r w:rsidRPr="002B2CB1">
        <w:rPr>
          <w:rFonts w:cs="Times New Roman"/>
          <w:sz w:val="20"/>
          <w:szCs w:val="24"/>
          <w:lang w:val="en-MY"/>
        </w:rPr>
        <w:t>behavior</w:t>
      </w:r>
      <w:proofErr w:type="spellEnd"/>
      <w:r w:rsidRPr="002B2CB1">
        <w:rPr>
          <w:rFonts w:cs="Times New Roman"/>
          <w:sz w:val="20"/>
          <w:szCs w:val="24"/>
          <w:lang w:val="en-MY"/>
        </w:rPr>
        <w:t xml:space="preserve"> and organizational priorities, thereby strengthening cybersecurity maturity.</w:t>
      </w:r>
      <w:r w:rsidRPr="002B2CB1">
        <w:rPr>
          <w:rFonts w:cs="Times New Roman"/>
          <w:b/>
          <w:bCs/>
          <w:sz w:val="20"/>
          <w:szCs w:val="24"/>
          <w:lang w:val="en-MY"/>
        </w:rPr>
        <w:t xml:space="preserve"> </w:t>
      </w:r>
      <w:r w:rsidRPr="002B2CB1">
        <w:rPr>
          <w:rFonts w:cs="Times New Roman"/>
          <w:sz w:val="20"/>
          <w:szCs w:val="24"/>
          <w:lang w:val="en-MY"/>
        </w:rPr>
        <w:t>By explicitly linking CP to risk management theory, CT to human capital theory, and LC to transformational leadership theory, this theoretical integration offers a holistic and context-specific explanation of cybersecurity risk management in Malaysian local authorities through describing how structural controls, human capabilities, and leadership practices collectively influence cyber risk occurrence. It extends existing theories beyond private-sector and Western-dominated settings and provides a validated empirical foundation for future public sector cybersecurity research.</w:t>
      </w:r>
    </w:p>
    <w:p w14:paraId="408EB3D9" w14:textId="4DDD3484" w:rsidR="00BA7FCF" w:rsidRPr="002B2CB1" w:rsidRDefault="00BA7FCF" w:rsidP="002B2CB1">
      <w:pPr>
        <w:autoSpaceDE w:val="0"/>
        <w:autoSpaceDN w:val="0"/>
        <w:adjustRightInd w:val="0"/>
        <w:spacing w:after="0" w:line="276" w:lineRule="auto"/>
        <w:jc w:val="both"/>
        <w:rPr>
          <w:rFonts w:cs="Times New Roman"/>
          <w:sz w:val="20"/>
          <w:szCs w:val="24"/>
          <w:lang w:val="en-MY"/>
        </w:rPr>
      </w:pPr>
      <w:r w:rsidRPr="002B2CB1">
        <w:rPr>
          <w:rFonts w:cs="Times New Roman"/>
          <w:sz w:val="20"/>
          <w:szCs w:val="24"/>
          <w:lang w:val="en-MY"/>
        </w:rPr>
        <w:t> </w:t>
      </w:r>
    </w:p>
    <w:p w14:paraId="3D965F9A" w14:textId="779F0908" w:rsidR="00BA7FCF" w:rsidRPr="00BA7FCF" w:rsidRDefault="00BA7FCF" w:rsidP="00BA7FCF">
      <w:pPr>
        <w:autoSpaceDE w:val="0"/>
        <w:autoSpaceDN w:val="0"/>
        <w:adjustRightInd w:val="0"/>
        <w:spacing w:line="276" w:lineRule="auto"/>
        <w:jc w:val="both"/>
        <w:rPr>
          <w:rFonts w:cs="Times New Roman"/>
          <w:b/>
          <w:bCs/>
          <w:sz w:val="20"/>
          <w:szCs w:val="24"/>
          <w:lang w:val="en-MY"/>
        </w:rPr>
      </w:pPr>
      <w:r w:rsidRPr="00BA7FCF">
        <w:rPr>
          <w:rFonts w:cs="Times New Roman"/>
          <w:b/>
          <w:bCs/>
          <w:sz w:val="20"/>
          <w:szCs w:val="24"/>
          <w:lang w:val="en-MY"/>
        </w:rPr>
        <w:t>5.</w:t>
      </w:r>
      <w:r w:rsidR="00382780">
        <w:rPr>
          <w:rFonts w:cs="Times New Roman"/>
          <w:b/>
          <w:bCs/>
          <w:sz w:val="20"/>
          <w:szCs w:val="24"/>
          <w:lang w:val="en-MY"/>
        </w:rPr>
        <w:t>2</w:t>
      </w:r>
      <w:r w:rsidRPr="00BA7FCF">
        <w:rPr>
          <w:rFonts w:cs="Times New Roman"/>
          <w:b/>
          <w:bCs/>
          <w:sz w:val="20"/>
          <w:szCs w:val="24"/>
          <w:lang w:val="en-MY"/>
        </w:rPr>
        <w:t>. Practical Implications</w:t>
      </w:r>
    </w:p>
    <w:p w14:paraId="076B8B6D" w14:textId="02FCD3CD" w:rsidR="00BA7FCF" w:rsidRPr="002B2CB1" w:rsidRDefault="00BA7FCF" w:rsidP="002B2CB1">
      <w:pPr>
        <w:autoSpaceDE w:val="0"/>
        <w:autoSpaceDN w:val="0"/>
        <w:adjustRightInd w:val="0"/>
        <w:spacing w:after="0" w:line="276" w:lineRule="auto"/>
        <w:jc w:val="both"/>
        <w:rPr>
          <w:rFonts w:cs="Times New Roman"/>
          <w:sz w:val="20"/>
          <w:szCs w:val="24"/>
          <w:lang w:val="en-MY"/>
        </w:rPr>
      </w:pPr>
      <w:r w:rsidRPr="002B2CB1">
        <w:rPr>
          <w:rFonts w:cs="Times New Roman"/>
          <w:sz w:val="20"/>
          <w:szCs w:val="24"/>
          <w:lang w:val="en-MY"/>
        </w:rPr>
        <w:t xml:space="preserve">This research explains significant practical implications for policymakers, public sector administrators, and cybersecurity practitioners. For policymakers, the results highlight the necessity of establishing comprehensive cybersecurity policies aligned with national and international standards such as ISO/IEC 27001 in order to guide public sector agencies in implementing consistent and effective cybersecurity controls. For organizational leaders and management, the findings suggest the importance of leadership commitment in promoting a security-oriented culture. For instance, senior management must actively support cybersecurity projects, allocate sufficient funding, and integrate cybersecurity concerns into strategic planning and decision-making procedures. For </w:t>
      </w:r>
      <w:r w:rsidRPr="002B2CB1">
        <w:rPr>
          <w:rFonts w:cs="Times New Roman"/>
          <w:sz w:val="20"/>
          <w:szCs w:val="24"/>
          <w:lang w:val="en-MY"/>
        </w:rPr>
        <w:lastRenderedPageBreak/>
        <w:t>practitioners and operational staff, the study emphasizes the value of continuous training programs that could enhance awareness, reduce human error, and prepare employees with the skills required to respond effectively to cyber incidents. Investment in capacity-building initiatives is therefore essential to enhance organizational resilience. Last but not least, the findings offer practical insights for government agencies, including MBSA, to improve their cyber risk governance frameworks, strengthen compliance with regulatory requirements, and protect public trust in digital services.</w:t>
      </w:r>
    </w:p>
    <w:p w14:paraId="32CF39D2" w14:textId="77777777" w:rsidR="00BA7FCF" w:rsidRPr="002B2CB1" w:rsidRDefault="00BA7FCF" w:rsidP="002B2CB1">
      <w:pPr>
        <w:autoSpaceDE w:val="0"/>
        <w:autoSpaceDN w:val="0"/>
        <w:adjustRightInd w:val="0"/>
        <w:spacing w:after="0" w:line="276" w:lineRule="auto"/>
        <w:jc w:val="both"/>
        <w:rPr>
          <w:rFonts w:cs="Times New Roman"/>
          <w:sz w:val="20"/>
          <w:szCs w:val="24"/>
          <w:lang w:val="en-MY"/>
        </w:rPr>
      </w:pPr>
      <w:r w:rsidRPr="002B2CB1">
        <w:rPr>
          <w:rFonts w:cs="Times New Roman"/>
          <w:sz w:val="20"/>
          <w:szCs w:val="24"/>
          <w:lang w:val="en-MY"/>
        </w:rPr>
        <w:t> </w:t>
      </w:r>
    </w:p>
    <w:p w14:paraId="52E9E99B" w14:textId="3C69B909" w:rsidR="00BA7FCF" w:rsidRPr="00BA7FCF" w:rsidRDefault="00BA7FCF" w:rsidP="00BA7FCF">
      <w:pPr>
        <w:autoSpaceDE w:val="0"/>
        <w:autoSpaceDN w:val="0"/>
        <w:adjustRightInd w:val="0"/>
        <w:spacing w:line="276" w:lineRule="auto"/>
        <w:jc w:val="both"/>
        <w:rPr>
          <w:rFonts w:cs="Times New Roman"/>
          <w:b/>
          <w:bCs/>
          <w:sz w:val="20"/>
          <w:szCs w:val="24"/>
          <w:lang w:val="en-MY"/>
        </w:rPr>
      </w:pPr>
      <w:r w:rsidRPr="00BA7FCF">
        <w:rPr>
          <w:rFonts w:cs="Times New Roman"/>
          <w:b/>
          <w:bCs/>
          <w:sz w:val="20"/>
          <w:szCs w:val="24"/>
          <w:lang w:val="en-MY"/>
        </w:rPr>
        <w:t>5.</w:t>
      </w:r>
      <w:r w:rsidR="00382780">
        <w:rPr>
          <w:rFonts w:cs="Times New Roman"/>
          <w:b/>
          <w:bCs/>
          <w:sz w:val="20"/>
          <w:szCs w:val="24"/>
          <w:lang w:val="en-MY"/>
        </w:rPr>
        <w:t>3</w:t>
      </w:r>
      <w:r w:rsidRPr="00BA7FCF">
        <w:rPr>
          <w:rFonts w:cs="Times New Roman"/>
          <w:b/>
          <w:bCs/>
          <w:sz w:val="20"/>
          <w:szCs w:val="24"/>
          <w:lang w:val="en-MY"/>
        </w:rPr>
        <w:t>. Limitations of the Study and Recommendations for Future Research</w:t>
      </w:r>
    </w:p>
    <w:p w14:paraId="72B3C19D" w14:textId="77777777" w:rsidR="00BA7FCF" w:rsidRPr="002B2CB1" w:rsidRDefault="00BA7FCF" w:rsidP="002B2CB1">
      <w:pPr>
        <w:autoSpaceDE w:val="0"/>
        <w:autoSpaceDN w:val="0"/>
        <w:adjustRightInd w:val="0"/>
        <w:spacing w:after="0" w:line="276" w:lineRule="auto"/>
        <w:jc w:val="both"/>
        <w:rPr>
          <w:rFonts w:cs="Times New Roman"/>
          <w:sz w:val="20"/>
          <w:szCs w:val="24"/>
          <w:lang w:val="en-MY"/>
        </w:rPr>
      </w:pPr>
      <w:r w:rsidRPr="002B2CB1">
        <w:rPr>
          <w:rFonts w:cs="Times New Roman"/>
          <w:sz w:val="20"/>
          <w:szCs w:val="24"/>
          <w:lang w:val="en-MY"/>
        </w:rPr>
        <w:t>Despite its contributions, this study has several limitations. First, the research is confined to a single local authority only, which may restrict the generalizability of the findings to other public sector organizations or private entities. This is because organizational structures, governance practices, and resource availability may differ across institutions. Second, the study relies primarily on self-reported data, which may be subject to response bias, social desirability bias, or perceptual inaccuracies. Respondents may have provided socially acceptable responses rather than fully accurate or honest answers. Third, the cross-sectional nature of the study captures perceptions at a single point in time only and does not track for changes in cybersecurity practices or evolving threat landscapes. Therefore, future research could expand by addressing these cautions in several ways. Firstly, in order to track changes in cybersecurity practices over time and evaluate the long-term effectiveness of policy and training interventions, researchers may consider conducting longitudinal studies. Secondly, future studies may incorporate larger sample sizes or additional measurement indicators to enhance the generalizability and validity of findings related to organizational cybersecurity practices. Thirdly, comparative studies involving multiple local authorities or cross-country analyses could provide broader insights into how different governance structures influence cyber risk management. It would also be possible to compare public and private cybersecurity practices if private-sector organizations were included. Finally, future research could explore additional variables such as technological infrastructure maturity, organizational culture, and external regulatory pressures to develop a more comprehensive understanding of cyber risk management.</w:t>
      </w:r>
    </w:p>
    <w:p w14:paraId="61EFE7E6" w14:textId="77777777" w:rsidR="00BA7FCF" w:rsidRDefault="00BA7FCF" w:rsidP="00D61C93">
      <w:pPr>
        <w:spacing w:after="120" w:line="276" w:lineRule="auto"/>
        <w:rPr>
          <w:rFonts w:eastAsia="Palatino Linotype"/>
          <w:b/>
          <w:sz w:val="20"/>
          <w:szCs w:val="20"/>
          <w:lang w:val="en-MY"/>
        </w:rPr>
      </w:pPr>
    </w:p>
    <w:p w14:paraId="15511A78" w14:textId="77777777" w:rsidR="005F52B2" w:rsidRPr="00BA7FCF" w:rsidRDefault="005F52B2" w:rsidP="00D61C93">
      <w:pPr>
        <w:spacing w:after="120" w:line="276" w:lineRule="auto"/>
        <w:rPr>
          <w:rFonts w:eastAsia="Palatino Linotype"/>
          <w:b/>
          <w:sz w:val="20"/>
          <w:szCs w:val="20"/>
          <w:lang w:val="en-MY"/>
        </w:rPr>
      </w:pPr>
    </w:p>
    <w:p w14:paraId="5E1FAA08" w14:textId="77777777" w:rsidR="00975E37" w:rsidRPr="00AA50DB" w:rsidRDefault="00975E37" w:rsidP="00975E37">
      <w:pPr>
        <w:spacing w:after="120" w:line="276" w:lineRule="auto"/>
        <w:rPr>
          <w:rFonts w:eastAsia="Palatino Linotype"/>
          <w:b/>
          <w:sz w:val="20"/>
          <w:szCs w:val="20"/>
          <w:lang w:val="en-US"/>
        </w:rPr>
      </w:pPr>
      <w:r w:rsidRPr="00AA50DB">
        <w:rPr>
          <w:rFonts w:eastAsia="Palatino Linotype"/>
          <w:b/>
          <w:sz w:val="20"/>
          <w:szCs w:val="20"/>
          <w:lang w:val="en-US"/>
        </w:rPr>
        <w:lastRenderedPageBreak/>
        <w:t>REFERENCES</w:t>
      </w:r>
    </w:p>
    <w:p w14:paraId="364BDDB6" w14:textId="77777777" w:rsidR="000329E4" w:rsidRPr="000329E4" w:rsidRDefault="000329E4" w:rsidP="000329E4">
      <w:pPr>
        <w:spacing w:after="0" w:line="276" w:lineRule="auto"/>
        <w:ind w:left="709" w:hanging="709"/>
        <w:contextualSpacing/>
        <w:jc w:val="both"/>
        <w:rPr>
          <w:rFonts w:cs="Times New Roman"/>
          <w:sz w:val="20"/>
          <w:szCs w:val="20"/>
        </w:rPr>
      </w:pPr>
      <w:r w:rsidRPr="000329E4">
        <w:rPr>
          <w:rFonts w:cs="Times New Roman"/>
          <w:sz w:val="20"/>
          <w:szCs w:val="20"/>
        </w:rPr>
        <w:t xml:space="preserve">Aliane, N., &amp; Zakariya, A. (2023). Enhancing cyber security resilience in the industrial sector: A comprehensive framework for third-party risk management. </w:t>
      </w:r>
      <w:r w:rsidRPr="000329E4">
        <w:rPr>
          <w:rFonts w:cs="Times New Roman"/>
          <w:i/>
          <w:iCs/>
          <w:sz w:val="20"/>
          <w:szCs w:val="20"/>
        </w:rPr>
        <w:t>International Journal of Cyber Criminology, 17</w:t>
      </w:r>
      <w:r w:rsidRPr="000329E4">
        <w:rPr>
          <w:rFonts w:cs="Times New Roman"/>
          <w:sz w:val="20"/>
          <w:szCs w:val="20"/>
        </w:rPr>
        <w:t>(2), 262–283. https://doi.org/10.5281/zenodo.4766716</w:t>
      </w:r>
      <w:r w:rsidRPr="000329E4">
        <w:rPr>
          <w:rFonts w:cs="Times New Roman"/>
          <w:i/>
          <w:iCs/>
          <w:sz w:val="20"/>
          <w:szCs w:val="20"/>
        </w:rPr>
        <w:t>.</w:t>
      </w:r>
    </w:p>
    <w:p w14:paraId="178552D1" w14:textId="77777777" w:rsidR="000329E4" w:rsidRPr="000329E4" w:rsidRDefault="000329E4" w:rsidP="000329E4">
      <w:pPr>
        <w:spacing w:after="0" w:line="276" w:lineRule="auto"/>
        <w:ind w:left="709" w:hanging="709"/>
        <w:contextualSpacing/>
        <w:jc w:val="both"/>
        <w:rPr>
          <w:rFonts w:cs="Times New Roman"/>
          <w:sz w:val="20"/>
          <w:szCs w:val="20"/>
        </w:rPr>
      </w:pPr>
      <w:r w:rsidRPr="000329E4">
        <w:rPr>
          <w:rFonts w:cs="Times New Roman"/>
          <w:sz w:val="20"/>
          <w:szCs w:val="20"/>
        </w:rPr>
        <w:t xml:space="preserve">Allens. (2017). </w:t>
      </w:r>
      <w:r w:rsidRPr="000329E4">
        <w:rPr>
          <w:rFonts w:cs="Times New Roman"/>
          <w:i/>
          <w:iCs/>
          <w:sz w:val="20"/>
          <w:szCs w:val="20"/>
        </w:rPr>
        <w:t>Spotlight: Cyber breach at Target</w:t>
      </w:r>
      <w:r w:rsidRPr="000329E4">
        <w:rPr>
          <w:rFonts w:cs="Times New Roman"/>
          <w:sz w:val="20"/>
          <w:szCs w:val="20"/>
        </w:rPr>
        <w:t>. Allens. https://www.allens.com.au/insights-news/insights/2017/09/spotlight-cyber-breach-at-target/</w:t>
      </w:r>
    </w:p>
    <w:p w14:paraId="70C6E6DA"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Alshaikh, M. (2020). Developing cybersecurity culture to influence employee compliance behavior. </w:t>
      </w:r>
      <w:r w:rsidRPr="000329E4">
        <w:rPr>
          <w:rFonts w:cs="Times New Roman"/>
          <w:i/>
          <w:iCs/>
          <w:sz w:val="20"/>
          <w:szCs w:val="20"/>
        </w:rPr>
        <w:t>Computers &amp; Security, 98</w:t>
      </w:r>
      <w:r w:rsidRPr="000329E4">
        <w:rPr>
          <w:rFonts w:cs="Times New Roman"/>
          <w:sz w:val="20"/>
          <w:szCs w:val="20"/>
        </w:rPr>
        <w:t>, 101734. https://doi.org/10.1016/j.cose.2020.101734</w:t>
      </w:r>
    </w:p>
    <w:p w14:paraId="19932B9D"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Alshaikh, M., Maynard, S. B., Ahmad, A., &amp; Chang, S. (2021). </w:t>
      </w:r>
      <w:r w:rsidRPr="000329E4">
        <w:rPr>
          <w:rFonts w:cs="Times New Roman"/>
          <w:i/>
          <w:iCs/>
          <w:sz w:val="20"/>
          <w:szCs w:val="20"/>
        </w:rPr>
        <w:t>Policy communication &amp; employee compliance</w:t>
      </w:r>
      <w:r w:rsidRPr="000329E4">
        <w:rPr>
          <w:rFonts w:cs="Times New Roman"/>
          <w:sz w:val="20"/>
          <w:szCs w:val="20"/>
        </w:rPr>
        <w:t xml:space="preserve">. Section: </w:t>
      </w:r>
      <w:r w:rsidRPr="000329E4">
        <w:rPr>
          <w:rFonts w:cs="Times New Roman"/>
          <w:i/>
          <w:iCs/>
          <w:sz w:val="20"/>
          <w:szCs w:val="20"/>
        </w:rPr>
        <w:t>Information security policy effectiveness</w:t>
      </w:r>
      <w:r w:rsidRPr="000329E4">
        <w:rPr>
          <w:rFonts w:cs="Times New Roman"/>
          <w:sz w:val="20"/>
          <w:szCs w:val="20"/>
        </w:rPr>
        <w:t>, pp. 1–9. https://doi.org/10.1016/j.cose.2021.102202</w:t>
      </w:r>
    </w:p>
    <w:p w14:paraId="3DFCE799" w14:textId="77777777" w:rsidR="000329E4" w:rsidRPr="000329E4" w:rsidRDefault="000329E4" w:rsidP="000329E4">
      <w:pPr>
        <w:spacing w:after="0" w:line="276" w:lineRule="auto"/>
        <w:ind w:left="709" w:hanging="709"/>
        <w:contextualSpacing/>
        <w:jc w:val="both"/>
        <w:rPr>
          <w:rFonts w:cs="Times New Roman"/>
          <w:sz w:val="20"/>
          <w:szCs w:val="20"/>
        </w:rPr>
      </w:pPr>
      <w:r w:rsidRPr="000329E4">
        <w:rPr>
          <w:rFonts w:cs="Times New Roman"/>
          <w:sz w:val="20"/>
          <w:szCs w:val="20"/>
        </w:rPr>
        <w:t xml:space="preserve">Amishav, J. (2024, December 8). </w:t>
      </w:r>
      <w:r w:rsidRPr="000329E4">
        <w:rPr>
          <w:rFonts w:cs="Times New Roman"/>
          <w:i/>
          <w:iCs/>
          <w:sz w:val="20"/>
          <w:szCs w:val="20"/>
        </w:rPr>
        <w:t>Equifax data breach case study: Causes and aftermath</w:t>
      </w:r>
      <w:r w:rsidRPr="000329E4">
        <w:rPr>
          <w:rFonts w:cs="Times New Roman"/>
          <w:sz w:val="20"/>
          <w:szCs w:val="20"/>
        </w:rPr>
        <w:t>. Breachsense. https://www.breachsense.com/blog/equifax-data-breach</w:t>
      </w:r>
    </w:p>
    <w:p w14:paraId="2A4DAFF3" w14:textId="77777777" w:rsidR="000329E4" w:rsidRPr="000329E4" w:rsidRDefault="000329E4" w:rsidP="000329E4">
      <w:pPr>
        <w:spacing w:after="0" w:line="276" w:lineRule="auto"/>
        <w:ind w:left="720" w:hanging="720"/>
        <w:contextualSpacing/>
        <w:jc w:val="both"/>
        <w:rPr>
          <w:rFonts w:cs="Times New Roman"/>
          <w:i/>
          <w:iCs/>
          <w:sz w:val="20"/>
          <w:szCs w:val="20"/>
        </w:rPr>
      </w:pPr>
      <w:r w:rsidRPr="000329E4">
        <w:rPr>
          <w:rFonts w:cs="Times New Roman"/>
          <w:sz w:val="20"/>
          <w:szCs w:val="20"/>
        </w:rPr>
        <w:t xml:space="preserve">Avast Business (2025). </w:t>
      </w:r>
      <w:r w:rsidRPr="000329E4">
        <w:rPr>
          <w:rFonts w:cs="Times New Roman"/>
          <w:i/>
          <w:iCs/>
          <w:sz w:val="20"/>
          <w:szCs w:val="20"/>
        </w:rPr>
        <w:t>City of Atlanta Ransomware Attack</w:t>
      </w:r>
      <w:r w:rsidRPr="000329E4">
        <w:rPr>
          <w:rFonts w:cs="Times New Roman"/>
          <w:sz w:val="20"/>
          <w:szCs w:val="20"/>
        </w:rPr>
        <w:t>. Gen Digital Inc. https://www.avast.com/en-my/business/resources/atlanta-ransomware#pc</w:t>
      </w:r>
      <w:r w:rsidRPr="000329E4">
        <w:rPr>
          <w:rFonts w:cs="Times New Roman"/>
          <w:i/>
          <w:iCs/>
          <w:sz w:val="20"/>
          <w:szCs w:val="20"/>
        </w:rPr>
        <w:t>.</w:t>
      </w:r>
    </w:p>
    <w:p w14:paraId="0163CF2E"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Bada, M., Sasse, A. M., &amp; Nurse, J. R. C. (2019), </w:t>
      </w:r>
      <w:r w:rsidRPr="000329E4">
        <w:rPr>
          <w:rFonts w:cs="Times New Roman"/>
          <w:i/>
          <w:iCs/>
          <w:sz w:val="20"/>
          <w:szCs w:val="20"/>
        </w:rPr>
        <w:t>Human behaviour &amp; cybersecurity policy compliance</w:t>
      </w:r>
      <w:r w:rsidRPr="000329E4">
        <w:rPr>
          <w:rFonts w:cs="Times New Roman"/>
          <w:sz w:val="20"/>
          <w:szCs w:val="20"/>
        </w:rPr>
        <w:t xml:space="preserve">. Section: </w:t>
      </w:r>
      <w:r w:rsidRPr="000329E4">
        <w:rPr>
          <w:rFonts w:cs="Times New Roman"/>
          <w:i/>
          <w:iCs/>
          <w:sz w:val="20"/>
          <w:szCs w:val="20"/>
        </w:rPr>
        <w:t>Cyber security awareness campaigns</w:t>
      </w:r>
      <w:r w:rsidRPr="000329E4">
        <w:rPr>
          <w:rFonts w:cs="Times New Roman"/>
          <w:sz w:val="20"/>
          <w:szCs w:val="20"/>
        </w:rPr>
        <w:t>, pp. 118–125. https://doi.org/10.1016/j.cose.2019.03.007</w:t>
      </w:r>
    </w:p>
    <w:p w14:paraId="6D0FB947" w14:textId="77777777" w:rsidR="000329E4" w:rsidRPr="000329E4" w:rsidRDefault="000329E4" w:rsidP="000329E4">
      <w:pPr>
        <w:spacing w:after="0" w:line="276" w:lineRule="auto"/>
        <w:ind w:left="720" w:hanging="720"/>
        <w:contextualSpacing/>
        <w:jc w:val="both"/>
        <w:rPr>
          <w:rFonts w:cs="Times New Roman"/>
          <w:sz w:val="20"/>
          <w:szCs w:val="20"/>
        </w:rPr>
      </w:pPr>
      <w:r w:rsidRPr="000329E4">
        <w:rPr>
          <w:rFonts w:cs="Times New Roman"/>
          <w:sz w:val="20"/>
          <w:szCs w:val="20"/>
        </w:rPr>
        <w:t xml:space="preserve">Chong, W. F., Feng, R., Hu, H., &amp; Zhang, L. (2025). Cyber risk assessment for capital management. </w:t>
      </w:r>
      <w:r w:rsidRPr="000329E4">
        <w:rPr>
          <w:rFonts w:cs="Times New Roman"/>
          <w:i/>
          <w:iCs/>
          <w:sz w:val="20"/>
          <w:szCs w:val="20"/>
        </w:rPr>
        <w:t>Journal of Risk and Insurance, 92</w:t>
      </w:r>
      <w:r w:rsidRPr="000329E4">
        <w:rPr>
          <w:rFonts w:cs="Times New Roman"/>
          <w:sz w:val="20"/>
          <w:szCs w:val="20"/>
        </w:rPr>
        <w:t xml:space="preserve">(2), 424–471. https://doi.org/10.1111/jori.12504 </w:t>
      </w:r>
    </w:p>
    <w:p w14:paraId="0F43C106"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shd w:val="clear" w:color="auto" w:fill="FFFFFF"/>
        </w:rPr>
      </w:pPr>
      <w:r w:rsidRPr="000329E4">
        <w:rPr>
          <w:rFonts w:cs="Times New Roman"/>
          <w:sz w:val="20"/>
          <w:szCs w:val="20"/>
          <w:shd w:val="clear" w:color="auto" w:fill="FFFFFF"/>
        </w:rPr>
        <w:t>Cook, R. D. (1979). Influential observations in linear regression. </w:t>
      </w:r>
      <w:r w:rsidRPr="000329E4">
        <w:rPr>
          <w:rFonts w:cs="Times New Roman"/>
          <w:i/>
          <w:iCs/>
          <w:sz w:val="20"/>
          <w:szCs w:val="20"/>
          <w:shd w:val="clear" w:color="auto" w:fill="FFFFFF"/>
        </w:rPr>
        <w:t>Journal of the American Statistical Association</w:t>
      </w:r>
      <w:r w:rsidRPr="000329E4">
        <w:rPr>
          <w:rFonts w:cs="Times New Roman"/>
          <w:sz w:val="20"/>
          <w:szCs w:val="20"/>
          <w:shd w:val="clear" w:color="auto" w:fill="FFFFFF"/>
        </w:rPr>
        <w:t>, </w:t>
      </w:r>
      <w:r w:rsidRPr="000329E4">
        <w:rPr>
          <w:rFonts w:cs="Times New Roman"/>
          <w:i/>
          <w:iCs/>
          <w:sz w:val="20"/>
          <w:szCs w:val="20"/>
          <w:shd w:val="clear" w:color="auto" w:fill="FFFFFF"/>
        </w:rPr>
        <w:t>74</w:t>
      </w:r>
      <w:r w:rsidRPr="000329E4">
        <w:rPr>
          <w:rFonts w:cs="Times New Roman"/>
          <w:sz w:val="20"/>
          <w:szCs w:val="20"/>
          <w:shd w:val="clear" w:color="auto" w:fill="FFFFFF"/>
        </w:rPr>
        <w:t>(365), 169-174. https://doi.org/10.1080/01621459.1979.10481634</w:t>
      </w:r>
    </w:p>
    <w:p w14:paraId="3550B54F" w14:textId="77777777" w:rsidR="000329E4" w:rsidRPr="000329E4" w:rsidRDefault="000329E4" w:rsidP="000329E4">
      <w:pPr>
        <w:autoSpaceDE w:val="0"/>
        <w:autoSpaceDN w:val="0"/>
        <w:adjustRightInd w:val="0"/>
        <w:spacing w:after="0" w:line="276" w:lineRule="auto"/>
        <w:ind w:left="709" w:hanging="709"/>
        <w:jc w:val="both"/>
        <w:rPr>
          <w:rFonts w:cs="Times New Roman"/>
          <w:color w:val="212121"/>
          <w:sz w:val="20"/>
          <w:szCs w:val="20"/>
        </w:rPr>
      </w:pPr>
      <w:r w:rsidRPr="000329E4">
        <w:rPr>
          <w:rFonts w:cs="Times New Roman"/>
          <w:color w:val="212121"/>
          <w:sz w:val="20"/>
          <w:szCs w:val="20"/>
        </w:rPr>
        <w:t xml:space="preserve">Cortina, J. M. (1993). What is coefficient alpha? An examination of theory and applications. </w:t>
      </w:r>
      <w:r w:rsidRPr="000329E4">
        <w:rPr>
          <w:rFonts w:cs="Times New Roman"/>
          <w:i/>
          <w:iCs/>
          <w:color w:val="212121"/>
          <w:sz w:val="20"/>
          <w:szCs w:val="20"/>
        </w:rPr>
        <w:t>Journal of Applied Psychology</w:t>
      </w:r>
      <w:r w:rsidRPr="000329E4">
        <w:rPr>
          <w:rFonts w:cs="Times New Roman"/>
          <w:color w:val="212121"/>
          <w:sz w:val="20"/>
          <w:szCs w:val="20"/>
        </w:rPr>
        <w:t xml:space="preserve">, </w:t>
      </w:r>
      <w:r w:rsidRPr="000329E4">
        <w:rPr>
          <w:rFonts w:cs="Times New Roman"/>
          <w:i/>
          <w:iCs/>
          <w:color w:val="212121"/>
          <w:sz w:val="20"/>
          <w:szCs w:val="20"/>
        </w:rPr>
        <w:t>78</w:t>
      </w:r>
      <w:r w:rsidRPr="000329E4">
        <w:rPr>
          <w:rFonts w:cs="Times New Roman"/>
          <w:color w:val="212121"/>
          <w:sz w:val="20"/>
          <w:szCs w:val="20"/>
        </w:rPr>
        <w:t>(1), 98. https://doi.org/10.1037/0021-9010.78.1.98</w:t>
      </w:r>
    </w:p>
    <w:p w14:paraId="74485F07"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Cyber Security Agency of Singapore. (2021). </w:t>
      </w:r>
      <w:r w:rsidRPr="000329E4">
        <w:rPr>
          <w:rFonts w:cs="Times New Roman"/>
          <w:i/>
          <w:iCs/>
          <w:sz w:val="20"/>
          <w:szCs w:val="20"/>
        </w:rPr>
        <w:t>Singapore cybersecurity strategy</w:t>
      </w:r>
      <w:r w:rsidRPr="000329E4">
        <w:rPr>
          <w:rFonts w:cs="Times New Roman"/>
          <w:sz w:val="20"/>
          <w:szCs w:val="20"/>
        </w:rPr>
        <w:t>, pp. 18–25.</w:t>
      </w:r>
      <w:r w:rsidRPr="000329E4">
        <w:rPr>
          <w:rFonts w:cs="Times New Roman"/>
          <w:sz w:val="20"/>
          <w:szCs w:val="20"/>
        </w:rPr>
        <w:br/>
        <w:t>https://www.csa.gov.sg/Strategy/singapore-cybersecurity-strategy</w:t>
      </w:r>
    </w:p>
    <w:p w14:paraId="17728CC0" w14:textId="77777777" w:rsidR="000329E4" w:rsidRPr="000329E4" w:rsidRDefault="000329E4" w:rsidP="000329E4">
      <w:pPr>
        <w:spacing w:after="0" w:line="276" w:lineRule="auto"/>
        <w:ind w:left="720" w:hanging="720"/>
        <w:contextualSpacing/>
        <w:jc w:val="both"/>
        <w:rPr>
          <w:rFonts w:cs="Times New Roman"/>
          <w:sz w:val="20"/>
          <w:szCs w:val="20"/>
        </w:rPr>
      </w:pPr>
      <w:r w:rsidRPr="000329E4">
        <w:rPr>
          <w:rFonts w:cs="Times New Roman"/>
          <w:sz w:val="20"/>
          <w:szCs w:val="20"/>
        </w:rPr>
        <w:t xml:space="preserve">Cyber Security Agency of Singapore. (2021). </w:t>
      </w:r>
      <w:r w:rsidRPr="000329E4">
        <w:rPr>
          <w:rFonts w:cs="Times New Roman"/>
          <w:i/>
          <w:iCs/>
          <w:sz w:val="20"/>
          <w:szCs w:val="20"/>
        </w:rPr>
        <w:t>The Singapore Cybersecurity Strategy</w:t>
      </w:r>
      <w:r w:rsidRPr="000329E4">
        <w:rPr>
          <w:rFonts w:ascii="Times New Roman" w:hAnsi="Times New Roman" w:cs="Times New Roman"/>
          <w:i/>
          <w:iCs/>
          <w:sz w:val="20"/>
          <w:szCs w:val="20"/>
        </w:rPr>
        <w:t> </w:t>
      </w:r>
      <w:r w:rsidRPr="000329E4">
        <w:rPr>
          <w:rFonts w:cs="Times New Roman"/>
          <w:i/>
          <w:iCs/>
          <w:sz w:val="20"/>
          <w:szCs w:val="20"/>
        </w:rPr>
        <w:t>2021 (Policy document).</w:t>
      </w:r>
      <w:r w:rsidRPr="000329E4">
        <w:rPr>
          <w:rFonts w:cs="Times New Roman"/>
          <w:sz w:val="20"/>
          <w:szCs w:val="20"/>
        </w:rPr>
        <w:t xml:space="preserve"> Government of Singapore. </w:t>
      </w:r>
      <w:r w:rsidRPr="000329E4">
        <w:rPr>
          <w:rFonts w:cs="Times New Roman"/>
          <w:sz w:val="20"/>
          <w:szCs w:val="20"/>
        </w:rPr>
        <w:lastRenderedPageBreak/>
        <w:t>https://www.csa.gov.sg/resources/publications/the-singapore-cybersecurity-strategy-2021/</w:t>
      </w:r>
    </w:p>
    <w:p w14:paraId="208E694F"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rPr>
      </w:pPr>
      <w:r w:rsidRPr="000329E4">
        <w:rPr>
          <w:rFonts w:cs="Times New Roman"/>
          <w:sz w:val="20"/>
          <w:szCs w:val="20"/>
        </w:rPr>
        <w:t xml:space="preserve">Daoud, J. I. (2017, December). Multicollinearity and regression analysis. </w:t>
      </w:r>
      <w:r w:rsidRPr="000329E4">
        <w:rPr>
          <w:rFonts w:cs="Times New Roman"/>
          <w:i/>
          <w:iCs/>
          <w:sz w:val="20"/>
          <w:szCs w:val="20"/>
        </w:rPr>
        <w:t xml:space="preserve">Journal of Physics: Conference Series, </w:t>
      </w:r>
      <w:r w:rsidRPr="000329E4">
        <w:rPr>
          <w:rFonts w:cs="Times New Roman"/>
          <w:sz w:val="20"/>
          <w:szCs w:val="20"/>
        </w:rPr>
        <w:t>949(</w:t>
      </w:r>
      <w:r w:rsidRPr="000329E4">
        <w:rPr>
          <w:rFonts w:cs="Times New Roman"/>
          <w:i/>
          <w:iCs/>
          <w:sz w:val="20"/>
          <w:szCs w:val="20"/>
        </w:rPr>
        <w:t>1</w:t>
      </w:r>
      <w:r w:rsidRPr="000329E4">
        <w:rPr>
          <w:rFonts w:cs="Times New Roman"/>
          <w:sz w:val="20"/>
          <w:szCs w:val="20"/>
        </w:rPr>
        <w:t>). https://doi.org/10.1088/1742-6596/949/1/012009</w:t>
      </w:r>
    </w:p>
    <w:p w14:paraId="126AC116"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rPr>
      </w:pPr>
      <w:r w:rsidRPr="000329E4">
        <w:rPr>
          <w:rFonts w:cs="Times New Roman"/>
          <w:sz w:val="20"/>
          <w:szCs w:val="20"/>
        </w:rPr>
        <w:t xml:space="preserve">Das, K. R., &amp; Imon, A. H. M. R. (2016). A brief review of tests for normality. </w:t>
      </w:r>
      <w:r w:rsidRPr="000329E4">
        <w:rPr>
          <w:rFonts w:cs="Times New Roman"/>
          <w:i/>
          <w:iCs/>
          <w:sz w:val="20"/>
          <w:szCs w:val="20"/>
        </w:rPr>
        <w:t>American Journal of Theoretical and Applied Statistics, 5</w:t>
      </w:r>
      <w:r w:rsidRPr="000329E4">
        <w:rPr>
          <w:rFonts w:cs="Times New Roman"/>
          <w:sz w:val="20"/>
          <w:szCs w:val="20"/>
        </w:rPr>
        <w:t>(1), 5-12. https://doi.org/10.11648/j.ajtas.20160501.12</w:t>
      </w:r>
    </w:p>
    <w:p w14:paraId="247E241D"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Equifax Inc. (2017). </w:t>
      </w:r>
      <w:r w:rsidRPr="000329E4">
        <w:rPr>
          <w:rFonts w:cs="Times New Roman"/>
          <w:i/>
          <w:iCs/>
          <w:sz w:val="20"/>
          <w:szCs w:val="20"/>
        </w:rPr>
        <w:t>Equifax announces cybersecurity incident involving consumer information</w:t>
      </w:r>
      <w:r w:rsidRPr="000329E4">
        <w:rPr>
          <w:rFonts w:cs="Times New Roman"/>
          <w:sz w:val="20"/>
          <w:szCs w:val="20"/>
        </w:rPr>
        <w:t>, pp. 4–7.</w:t>
      </w:r>
      <w:r w:rsidRPr="000329E4">
        <w:rPr>
          <w:rFonts w:cs="Times New Roman"/>
          <w:sz w:val="20"/>
          <w:szCs w:val="20"/>
        </w:rPr>
        <w:br/>
        <w:t>https://www.equifax.com/personal/education/identity-theft/articles/-/learn/equifax-data-breach/</w:t>
      </w:r>
    </w:p>
    <w:p w14:paraId="163C2C14"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European Union Agency for Cybersecurity (ENISA),2022. Cybersecurity training, skills development, phishing and credential misuse in public sector organisations. Pages 22–35. </w:t>
      </w:r>
    </w:p>
    <w:p w14:paraId="1D73AFF1" w14:textId="77777777" w:rsidR="000329E4" w:rsidRPr="000329E4" w:rsidRDefault="000329E4" w:rsidP="000329E4">
      <w:pPr>
        <w:spacing w:after="0" w:line="276" w:lineRule="auto"/>
        <w:ind w:left="720" w:hanging="720"/>
        <w:contextualSpacing/>
        <w:jc w:val="both"/>
        <w:rPr>
          <w:rFonts w:cs="Times New Roman"/>
          <w:sz w:val="20"/>
          <w:szCs w:val="20"/>
        </w:rPr>
      </w:pPr>
      <w:r w:rsidRPr="000329E4">
        <w:rPr>
          <w:rFonts w:cs="Times New Roman"/>
          <w:sz w:val="20"/>
          <w:szCs w:val="20"/>
        </w:rPr>
        <w:t xml:space="preserve">European Union Agency for Cybersecurity. (2026). </w:t>
      </w:r>
      <w:r w:rsidRPr="000329E4">
        <w:rPr>
          <w:rFonts w:cs="Times New Roman"/>
          <w:i/>
          <w:iCs/>
          <w:sz w:val="20"/>
          <w:szCs w:val="20"/>
        </w:rPr>
        <w:t>Cybersecurity certification framework</w:t>
      </w:r>
      <w:r w:rsidRPr="000329E4">
        <w:rPr>
          <w:rFonts w:cs="Times New Roman"/>
          <w:sz w:val="20"/>
          <w:szCs w:val="20"/>
        </w:rPr>
        <w:t>. ENISA. https://www.enisa.europa.eu/topics/product-security-and-certification/cybersecurity-certification-framework</w:t>
      </w:r>
    </w:p>
    <w:p w14:paraId="7A317E9F"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Fabritius, P. (2019). Baltimore ransomware attack costs city over $18 million. </w:t>
      </w:r>
      <w:r w:rsidRPr="000329E4">
        <w:rPr>
          <w:rFonts w:cs="Times New Roman"/>
          <w:i/>
          <w:iCs/>
          <w:sz w:val="20"/>
          <w:szCs w:val="20"/>
        </w:rPr>
        <w:t>Government Technology</w:t>
      </w:r>
      <w:r w:rsidRPr="000329E4">
        <w:rPr>
          <w:rFonts w:cs="Times New Roman"/>
          <w:sz w:val="20"/>
          <w:szCs w:val="20"/>
        </w:rPr>
        <w:t>.</w:t>
      </w:r>
      <w:r w:rsidRPr="000329E4">
        <w:rPr>
          <w:rFonts w:cs="Times New Roman"/>
          <w:sz w:val="20"/>
          <w:szCs w:val="20"/>
        </w:rPr>
        <w:br/>
        <w:t>https://www.govtech.com/security/Baltimore-Ransomware-Attack-Costs-City-Over-18M.html</w:t>
      </w:r>
    </w:p>
    <w:p w14:paraId="57D3A44E" w14:textId="77777777" w:rsidR="000329E4" w:rsidRPr="000329E4" w:rsidRDefault="000329E4" w:rsidP="000329E4">
      <w:pPr>
        <w:spacing w:after="0" w:line="276" w:lineRule="auto"/>
        <w:ind w:left="709" w:hanging="709"/>
        <w:contextualSpacing/>
        <w:jc w:val="both"/>
        <w:rPr>
          <w:rFonts w:cs="Times New Roman"/>
          <w:sz w:val="20"/>
          <w:szCs w:val="20"/>
        </w:rPr>
      </w:pPr>
      <w:r w:rsidRPr="000329E4">
        <w:rPr>
          <w:rFonts w:cs="Times New Roman"/>
          <w:sz w:val="20"/>
          <w:szCs w:val="20"/>
        </w:rPr>
        <w:t xml:space="preserve">Fabritius, W. (2019). July 25). </w:t>
      </w:r>
      <w:r w:rsidRPr="000329E4">
        <w:rPr>
          <w:rFonts w:cs="Times New Roman"/>
          <w:i/>
          <w:iCs/>
          <w:sz w:val="20"/>
          <w:szCs w:val="20"/>
        </w:rPr>
        <w:t>Ransomware attack shows Baltimore’s lack of organizational resilience.</w:t>
      </w:r>
      <w:r w:rsidRPr="000329E4">
        <w:rPr>
          <w:rFonts w:cs="Times New Roman"/>
          <w:sz w:val="20"/>
          <w:szCs w:val="20"/>
        </w:rPr>
        <w:t xml:space="preserve"> https://www.route-fifty.com/digital-government/2019/07/ransomware-baltimore-organizational-resilience/158314/</w:t>
      </w:r>
    </w:p>
    <w:p w14:paraId="6D5318A1" w14:textId="77777777" w:rsidR="000329E4" w:rsidRPr="000329E4" w:rsidRDefault="000329E4" w:rsidP="000329E4">
      <w:pPr>
        <w:spacing w:after="0" w:line="276" w:lineRule="auto"/>
        <w:ind w:left="630" w:hanging="630"/>
        <w:contextualSpacing/>
        <w:jc w:val="both"/>
        <w:rPr>
          <w:rFonts w:cs="Times New Roman"/>
          <w:sz w:val="20"/>
          <w:szCs w:val="20"/>
        </w:rPr>
      </w:pPr>
      <w:r w:rsidRPr="000329E4">
        <w:rPr>
          <w:rFonts w:cs="Times New Roman"/>
          <w:sz w:val="20"/>
          <w:szCs w:val="20"/>
        </w:rPr>
        <w:t xml:space="preserve">Goswami, S. S., Sarkar, S., Gupta, K. K., &amp; Mondal, S. (2023). The role of cyber security in advancing sustainable digitalization: Opportunities and challenges. </w:t>
      </w:r>
      <w:r w:rsidRPr="000329E4">
        <w:rPr>
          <w:rFonts w:cs="Times New Roman"/>
          <w:i/>
          <w:iCs/>
          <w:sz w:val="20"/>
          <w:szCs w:val="20"/>
        </w:rPr>
        <w:t>Journal of Decision Analytics and Intelligent Computing, 3</w:t>
      </w:r>
      <w:r w:rsidRPr="000329E4">
        <w:rPr>
          <w:rFonts w:cs="Times New Roman"/>
          <w:sz w:val="20"/>
          <w:szCs w:val="20"/>
        </w:rPr>
        <w:t>(1), 270–285. https://doi.org/10.31181/jdaic10018122023g</w:t>
      </w:r>
    </w:p>
    <w:p w14:paraId="27E4BF97"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Goswami, S., Dey, S., &amp; Mukherjee, S. (2023). Human factors in cybersecurity risk management: A systematic review. </w:t>
      </w:r>
      <w:r w:rsidRPr="000329E4">
        <w:rPr>
          <w:rFonts w:cs="Times New Roman"/>
          <w:i/>
          <w:iCs/>
          <w:sz w:val="20"/>
          <w:szCs w:val="20"/>
        </w:rPr>
        <w:t>Computers &amp; Security, 124</w:t>
      </w:r>
      <w:r w:rsidRPr="000329E4">
        <w:rPr>
          <w:rFonts w:cs="Times New Roman"/>
          <w:sz w:val="20"/>
          <w:szCs w:val="20"/>
        </w:rPr>
        <w:t>, 102973, pp. 6–12.</w:t>
      </w:r>
      <w:r w:rsidRPr="000329E4">
        <w:rPr>
          <w:rFonts w:cs="Times New Roman"/>
          <w:sz w:val="20"/>
          <w:szCs w:val="20"/>
        </w:rPr>
        <w:br/>
        <w:t>https://doi.org/10.1016/j.cose.2022.102973</w:t>
      </w:r>
    </w:p>
    <w:p w14:paraId="0D96DB4D"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shd w:val="clear" w:color="auto" w:fill="FFFFFF"/>
        </w:rPr>
      </w:pPr>
      <w:r w:rsidRPr="000329E4">
        <w:rPr>
          <w:rFonts w:cs="Times New Roman"/>
          <w:sz w:val="20"/>
          <w:szCs w:val="20"/>
          <w:shd w:val="clear" w:color="auto" w:fill="FFFFFF"/>
        </w:rPr>
        <w:t xml:space="preserve">Gupta, A., &amp; Remella, S. (2025). Building resilience in hybrid cloud systems: Security frameworks for mission‑critical applications — A systematic </w:t>
      </w:r>
      <w:r w:rsidRPr="000329E4">
        <w:rPr>
          <w:rFonts w:cs="Times New Roman"/>
          <w:sz w:val="20"/>
          <w:szCs w:val="20"/>
          <w:shd w:val="clear" w:color="auto" w:fill="FFFFFF"/>
        </w:rPr>
        <w:lastRenderedPageBreak/>
        <w:t xml:space="preserve">literature review. </w:t>
      </w:r>
      <w:r w:rsidRPr="000329E4">
        <w:rPr>
          <w:rFonts w:cs="Times New Roman"/>
          <w:i/>
          <w:iCs/>
          <w:sz w:val="20"/>
          <w:szCs w:val="20"/>
          <w:shd w:val="clear" w:color="auto" w:fill="FFFFFF"/>
        </w:rPr>
        <w:t>International Journal of Computer Science and Mobile Computing, 14</w:t>
      </w:r>
      <w:r w:rsidRPr="000329E4">
        <w:rPr>
          <w:rFonts w:cs="Times New Roman"/>
          <w:sz w:val="20"/>
          <w:szCs w:val="20"/>
          <w:shd w:val="clear" w:color="auto" w:fill="FFFFFF"/>
        </w:rPr>
        <w:t>(9), 52–62. https://doi.org/10.47760/ijcsmc.2025.v14i09.008</w:t>
      </w:r>
    </w:p>
    <w:p w14:paraId="6F67CB79"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shd w:val="clear" w:color="auto" w:fill="FFFFFF"/>
        </w:rPr>
      </w:pPr>
      <w:r w:rsidRPr="000329E4">
        <w:rPr>
          <w:rFonts w:cs="Times New Roman"/>
          <w:sz w:val="20"/>
          <w:szCs w:val="20"/>
          <w:shd w:val="clear" w:color="auto" w:fill="FFFFFF"/>
        </w:rPr>
        <w:t>Hair, J. F., Hult, G. T. M., Ringle, C. M., Sarstedt, M., &amp; Thiele, K. O. (2017). Mirror, mirror on the wall: A comparative evaluation of composite-based structural equation modeling methods. </w:t>
      </w:r>
      <w:r w:rsidRPr="000329E4">
        <w:rPr>
          <w:rFonts w:cs="Times New Roman"/>
          <w:i/>
          <w:iCs/>
          <w:sz w:val="20"/>
          <w:szCs w:val="20"/>
          <w:shd w:val="clear" w:color="auto" w:fill="FFFFFF"/>
        </w:rPr>
        <w:t>Journal of the Academy of Marketing Science</w:t>
      </w:r>
      <w:r w:rsidRPr="000329E4">
        <w:rPr>
          <w:rFonts w:cs="Times New Roman"/>
          <w:sz w:val="20"/>
          <w:szCs w:val="20"/>
          <w:shd w:val="clear" w:color="auto" w:fill="FFFFFF"/>
        </w:rPr>
        <w:t>, </w:t>
      </w:r>
      <w:r w:rsidRPr="000329E4">
        <w:rPr>
          <w:rFonts w:cs="Times New Roman"/>
          <w:i/>
          <w:iCs/>
          <w:sz w:val="20"/>
          <w:szCs w:val="20"/>
          <w:shd w:val="clear" w:color="auto" w:fill="FFFFFF"/>
        </w:rPr>
        <w:t>45</w:t>
      </w:r>
      <w:r w:rsidRPr="000329E4">
        <w:rPr>
          <w:rFonts w:cs="Times New Roman"/>
          <w:sz w:val="20"/>
          <w:szCs w:val="20"/>
          <w:shd w:val="clear" w:color="auto" w:fill="FFFFFF"/>
        </w:rPr>
        <w:t>(5), 616-632. https://doi.org/10.1007/s11747-017-0517-x</w:t>
      </w:r>
    </w:p>
    <w:p w14:paraId="7BF5CB21"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rPr>
      </w:pPr>
      <w:r w:rsidRPr="000329E4">
        <w:rPr>
          <w:rFonts w:cs="Times New Roman"/>
          <w:sz w:val="20"/>
          <w:szCs w:val="20"/>
        </w:rPr>
        <w:t xml:space="preserve">Hannigan, R. (2025, December 3). Securing the unseen: The future of supply chain cybersecurity [Keynote presentation]. </w:t>
      </w:r>
      <w:r w:rsidRPr="000329E4">
        <w:rPr>
          <w:rFonts w:cs="Times New Roman"/>
          <w:i/>
          <w:iCs/>
          <w:sz w:val="20"/>
          <w:szCs w:val="20"/>
        </w:rPr>
        <w:t>SANS CyberThreat Summit 2025</w:t>
      </w:r>
      <w:r w:rsidRPr="000329E4">
        <w:rPr>
          <w:rFonts w:cs="Times New Roman"/>
          <w:sz w:val="20"/>
          <w:szCs w:val="20"/>
        </w:rPr>
        <w:t>.</w:t>
      </w:r>
    </w:p>
    <w:p w14:paraId="1F7E99AA"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rPr>
      </w:pPr>
      <w:r w:rsidRPr="000329E4">
        <w:rPr>
          <w:rFonts w:cs="Times New Roman"/>
          <w:sz w:val="20"/>
          <w:szCs w:val="20"/>
        </w:rPr>
        <w:t xml:space="preserve">Heal, R., &amp; Twycross, A. (2015). Validity and reliability in quantitative research. </w:t>
      </w:r>
      <w:r w:rsidRPr="000329E4">
        <w:rPr>
          <w:rFonts w:cs="Times New Roman"/>
          <w:i/>
          <w:iCs/>
          <w:sz w:val="20"/>
          <w:szCs w:val="20"/>
        </w:rPr>
        <w:t>Evidence-Based Nursing</w:t>
      </w:r>
      <w:r w:rsidRPr="000329E4">
        <w:rPr>
          <w:rFonts w:cs="Times New Roman"/>
          <w:sz w:val="20"/>
          <w:szCs w:val="20"/>
        </w:rPr>
        <w:t>, 66-67. https://doi.org/10.1136/eb-2015-102129</w:t>
      </w:r>
    </w:p>
    <w:p w14:paraId="56D9DF28"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Herath, T., &amp; Rao, H. R. (2009). Encouraging information security behaviors in organizations: Role of penalties, pressures and perceived effectiveness. </w:t>
      </w:r>
      <w:r w:rsidRPr="000329E4">
        <w:rPr>
          <w:rFonts w:cs="Times New Roman"/>
          <w:i/>
          <w:iCs/>
          <w:sz w:val="20"/>
          <w:szCs w:val="20"/>
        </w:rPr>
        <w:t>Decision Support Systems, 47</w:t>
      </w:r>
      <w:r w:rsidRPr="000329E4">
        <w:rPr>
          <w:rFonts w:cs="Times New Roman"/>
          <w:sz w:val="20"/>
          <w:szCs w:val="20"/>
        </w:rPr>
        <w:t>(2), 154–165.</w:t>
      </w:r>
      <w:r w:rsidRPr="000329E4">
        <w:rPr>
          <w:rFonts w:cs="Times New Roman"/>
          <w:sz w:val="20"/>
          <w:szCs w:val="20"/>
        </w:rPr>
        <w:br/>
        <w:t>https://doi.org/10.1016/j.dss.2009.02.005</w:t>
      </w:r>
    </w:p>
    <w:p w14:paraId="7F52D78C"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Herath, T., &amp; Rao, H. R. (2009). Encouraging information security behaviors in organizations: Role of penalties, pressures and perceived effectiveness. </w:t>
      </w:r>
      <w:r w:rsidRPr="000329E4">
        <w:rPr>
          <w:rFonts w:cs="Times New Roman"/>
          <w:i/>
          <w:iCs/>
          <w:sz w:val="20"/>
          <w:szCs w:val="20"/>
        </w:rPr>
        <w:t>Decision Support Systems, 47</w:t>
      </w:r>
      <w:r w:rsidRPr="000329E4">
        <w:rPr>
          <w:rFonts w:cs="Times New Roman"/>
          <w:sz w:val="20"/>
          <w:szCs w:val="20"/>
        </w:rPr>
        <w:t>(2), 154–165. https://doi.org/10.1016/j.dss.2008.10.007</w:t>
      </w:r>
    </w:p>
    <w:p w14:paraId="282403C8" w14:textId="77777777" w:rsidR="000329E4" w:rsidRPr="000329E4" w:rsidRDefault="000329E4" w:rsidP="000329E4">
      <w:pPr>
        <w:spacing w:after="0" w:line="276" w:lineRule="auto"/>
        <w:ind w:left="720" w:hanging="720"/>
        <w:contextualSpacing/>
        <w:jc w:val="both"/>
        <w:rPr>
          <w:rFonts w:cs="Times New Roman"/>
          <w:sz w:val="20"/>
          <w:szCs w:val="20"/>
        </w:rPr>
      </w:pPr>
      <w:r w:rsidRPr="000329E4">
        <w:rPr>
          <w:rFonts w:cs="Times New Roman"/>
          <w:sz w:val="20"/>
          <w:szCs w:val="20"/>
        </w:rPr>
        <w:t xml:space="preserve">Herath, T., &amp; Rao, H. R. (2009). Protection motivation and deterrence: A framework for security policy compliance in organisations. </w:t>
      </w:r>
      <w:r w:rsidRPr="000329E4">
        <w:rPr>
          <w:rFonts w:cs="Times New Roman"/>
          <w:i/>
          <w:iCs/>
          <w:sz w:val="20"/>
          <w:szCs w:val="20"/>
        </w:rPr>
        <w:t>European Journal of Information Systems, 18</w:t>
      </w:r>
      <w:r w:rsidRPr="000329E4">
        <w:rPr>
          <w:rFonts w:cs="Times New Roman"/>
          <w:sz w:val="20"/>
          <w:szCs w:val="20"/>
        </w:rPr>
        <w:t>(2), 106–125. https://doi.org/10.1057/ejis.2009.6</w:t>
      </w:r>
    </w:p>
    <w:p w14:paraId="08B1D51E" w14:textId="77777777" w:rsidR="000329E4" w:rsidRPr="000329E4" w:rsidRDefault="000329E4" w:rsidP="000329E4">
      <w:pPr>
        <w:widowControl w:val="0"/>
        <w:autoSpaceDE w:val="0"/>
        <w:autoSpaceDN w:val="0"/>
        <w:spacing w:after="0" w:line="276" w:lineRule="auto"/>
        <w:ind w:left="720"/>
        <w:jc w:val="both"/>
        <w:rPr>
          <w:rFonts w:cs="Times New Roman"/>
          <w:sz w:val="20"/>
          <w:szCs w:val="20"/>
        </w:rPr>
      </w:pPr>
      <w:r w:rsidRPr="000329E4">
        <w:rPr>
          <w:rFonts w:cs="Times New Roman"/>
          <w:sz w:val="20"/>
          <w:szCs w:val="20"/>
        </w:rPr>
        <w:t>https://www.enisa.europa.eu/publications/cybersecurity-skills-development</w:t>
      </w:r>
    </w:p>
    <w:p w14:paraId="2949A1FD" w14:textId="77777777" w:rsidR="000329E4" w:rsidRPr="000329E4" w:rsidRDefault="000329E4" w:rsidP="000329E4">
      <w:pPr>
        <w:widowControl w:val="0"/>
        <w:autoSpaceDE w:val="0"/>
        <w:autoSpaceDN w:val="0"/>
        <w:spacing w:after="0" w:line="276" w:lineRule="auto"/>
        <w:ind w:firstLine="715"/>
        <w:jc w:val="both"/>
        <w:rPr>
          <w:rFonts w:cs="Times New Roman"/>
          <w:sz w:val="20"/>
          <w:szCs w:val="20"/>
        </w:rPr>
      </w:pPr>
      <w:r w:rsidRPr="000329E4">
        <w:rPr>
          <w:rFonts w:cs="Times New Roman"/>
          <w:sz w:val="20"/>
          <w:szCs w:val="20"/>
        </w:rPr>
        <w:tab/>
        <w:t>https://www.iso.org/standard/27001</w:t>
      </w:r>
    </w:p>
    <w:p w14:paraId="08D82255" w14:textId="77777777" w:rsidR="000329E4" w:rsidRPr="000329E4" w:rsidRDefault="000329E4" w:rsidP="000329E4">
      <w:pPr>
        <w:spacing w:after="0" w:line="276" w:lineRule="auto"/>
        <w:ind w:left="709" w:hanging="709"/>
        <w:contextualSpacing/>
        <w:jc w:val="both"/>
        <w:rPr>
          <w:rFonts w:cs="Times New Roman"/>
          <w:sz w:val="20"/>
          <w:szCs w:val="20"/>
        </w:rPr>
      </w:pPr>
      <w:r w:rsidRPr="000329E4">
        <w:rPr>
          <w:rFonts w:cs="Times New Roman"/>
          <w:sz w:val="20"/>
          <w:szCs w:val="20"/>
        </w:rPr>
        <w:t xml:space="preserve">InfoMSP. (2025, May 30). </w:t>
      </w:r>
      <w:r w:rsidRPr="000329E4">
        <w:rPr>
          <w:rFonts w:cs="Times New Roman"/>
          <w:i/>
          <w:iCs/>
          <w:sz w:val="20"/>
          <w:szCs w:val="20"/>
        </w:rPr>
        <w:t>Definition of cyber risk management</w:t>
      </w:r>
      <w:r w:rsidRPr="000329E4">
        <w:rPr>
          <w:rFonts w:cs="Times New Roman"/>
          <w:sz w:val="20"/>
          <w:szCs w:val="20"/>
        </w:rPr>
        <w:t>. InfoMSP. https://www.infomsp.com/whatis/definition/cyber-risk-management/</w:t>
      </w:r>
    </w:p>
    <w:p w14:paraId="66A9CBED"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shd w:val="clear" w:color="auto" w:fill="FFFFFF"/>
        </w:rPr>
      </w:pPr>
      <w:r w:rsidRPr="000329E4">
        <w:rPr>
          <w:rFonts w:cs="Times New Roman"/>
          <w:sz w:val="20"/>
          <w:szCs w:val="20"/>
          <w:shd w:val="clear" w:color="auto" w:fill="FFFFFF"/>
        </w:rPr>
        <w:t xml:space="preserve">Insurica (2025, April 25). </w:t>
      </w:r>
      <w:r w:rsidRPr="000329E4">
        <w:rPr>
          <w:rFonts w:cs="Times New Roman"/>
          <w:i/>
          <w:iCs/>
          <w:sz w:val="20"/>
          <w:szCs w:val="20"/>
          <w:shd w:val="clear" w:color="auto" w:fill="FFFFFF"/>
        </w:rPr>
        <w:t>Cyber case study: Colonial Pipeline ransomware attack</w:t>
      </w:r>
      <w:r w:rsidRPr="000329E4">
        <w:rPr>
          <w:rFonts w:cs="Times New Roman"/>
          <w:sz w:val="20"/>
          <w:szCs w:val="20"/>
          <w:shd w:val="clear" w:color="auto" w:fill="FFFFFF"/>
        </w:rPr>
        <w:t>. Insurica. https://insurica.com/blog/colonial-pipeline-ransomware-attack/</w:t>
      </w:r>
    </w:p>
    <w:p w14:paraId="1B013404"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International Organization for Standardization. (2018). </w:t>
      </w:r>
      <w:r w:rsidRPr="000329E4">
        <w:rPr>
          <w:rFonts w:cs="Times New Roman"/>
          <w:i/>
          <w:iCs/>
          <w:sz w:val="20"/>
          <w:szCs w:val="20"/>
        </w:rPr>
        <w:t>ISO/IEC 27005:2018 — Information technology — Security techniques — Information security risk management</w:t>
      </w:r>
      <w:r w:rsidRPr="000329E4">
        <w:rPr>
          <w:rFonts w:cs="Times New Roman"/>
          <w:sz w:val="20"/>
          <w:szCs w:val="20"/>
        </w:rPr>
        <w:t>. ISO, Clauses 6–8.</w:t>
      </w:r>
      <w:r w:rsidRPr="000329E4">
        <w:rPr>
          <w:rFonts w:cs="Times New Roman"/>
          <w:sz w:val="20"/>
          <w:szCs w:val="20"/>
        </w:rPr>
        <w:br/>
        <w:t>https://www.iso.org/standard/75281.html</w:t>
      </w:r>
    </w:p>
    <w:p w14:paraId="18354D08" w14:textId="77777777" w:rsidR="000329E4" w:rsidRPr="000329E4" w:rsidRDefault="000329E4" w:rsidP="000329E4">
      <w:pPr>
        <w:spacing w:after="0" w:line="276" w:lineRule="auto"/>
        <w:ind w:left="709" w:hanging="709"/>
        <w:contextualSpacing/>
        <w:jc w:val="both"/>
        <w:rPr>
          <w:rFonts w:cs="Times New Roman"/>
          <w:sz w:val="20"/>
          <w:szCs w:val="20"/>
        </w:rPr>
      </w:pPr>
      <w:r w:rsidRPr="000329E4">
        <w:rPr>
          <w:rFonts w:cs="Times New Roman"/>
          <w:sz w:val="20"/>
          <w:szCs w:val="20"/>
        </w:rPr>
        <w:t xml:space="preserve">International Organization for Standardization. (2022). </w:t>
      </w:r>
      <w:r w:rsidRPr="000329E4">
        <w:rPr>
          <w:rFonts w:cs="Times New Roman"/>
          <w:i/>
          <w:iCs/>
          <w:sz w:val="20"/>
          <w:szCs w:val="20"/>
        </w:rPr>
        <w:t>ISO/IEC 27001:2022 — Information security management systems — Requirements</w:t>
      </w:r>
      <w:r w:rsidRPr="000329E4">
        <w:rPr>
          <w:rFonts w:cs="Times New Roman"/>
          <w:sz w:val="20"/>
          <w:szCs w:val="20"/>
        </w:rPr>
        <w:t>. https://www.iso.org/standard/27001</w:t>
      </w:r>
    </w:p>
    <w:p w14:paraId="4FD8DBA3"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lastRenderedPageBreak/>
        <w:t xml:space="preserve">ISO/IEC (2022), </w:t>
      </w:r>
      <w:r w:rsidRPr="000329E4">
        <w:rPr>
          <w:rFonts w:cs="Times New Roman"/>
          <w:i/>
          <w:iCs/>
          <w:sz w:val="20"/>
          <w:szCs w:val="20"/>
        </w:rPr>
        <w:t>Information Security Management governance</w:t>
      </w:r>
      <w:r w:rsidRPr="000329E4">
        <w:rPr>
          <w:rFonts w:cs="Times New Roman"/>
          <w:sz w:val="20"/>
          <w:szCs w:val="20"/>
        </w:rPr>
        <w:t>. ISO/IEC 27001:2022 – Clause 5 (Leadership), Clause 6 (Planning), Annex A.5 (Information Security Policies)</w:t>
      </w:r>
    </w:p>
    <w:p w14:paraId="4D6ECABD"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rPr>
      </w:pPr>
      <w:r w:rsidRPr="000329E4">
        <w:rPr>
          <w:rFonts w:cs="Times New Roman"/>
          <w:sz w:val="20"/>
          <w:szCs w:val="20"/>
        </w:rPr>
        <w:t xml:space="preserve">Jackson, S. L. (2012). </w:t>
      </w:r>
      <w:r w:rsidRPr="000329E4">
        <w:rPr>
          <w:rFonts w:cs="Times New Roman"/>
          <w:i/>
          <w:iCs/>
          <w:sz w:val="20"/>
          <w:szCs w:val="20"/>
        </w:rPr>
        <w:t xml:space="preserve">Research methods and statistics: A critical thinking approach </w:t>
      </w:r>
      <w:r w:rsidRPr="000329E4">
        <w:rPr>
          <w:rFonts w:cs="Times New Roman"/>
          <w:sz w:val="20"/>
          <w:szCs w:val="20"/>
        </w:rPr>
        <w:t>(4th ed.). Wadsworth Publishing.</w:t>
      </w:r>
    </w:p>
    <w:p w14:paraId="2E649C4A" w14:textId="77777777" w:rsidR="000329E4" w:rsidRPr="000329E4" w:rsidRDefault="000329E4" w:rsidP="000329E4">
      <w:pPr>
        <w:spacing w:after="0" w:line="276" w:lineRule="auto"/>
        <w:ind w:left="709" w:hanging="709"/>
        <w:jc w:val="both"/>
        <w:rPr>
          <w:rFonts w:eastAsia="Times New Roman" w:cs="Times New Roman"/>
          <w:sz w:val="20"/>
          <w:szCs w:val="20"/>
        </w:rPr>
      </w:pPr>
      <w:r w:rsidRPr="000329E4">
        <w:rPr>
          <w:rFonts w:eastAsia="Times New Roman" w:cs="Times New Roman"/>
          <w:sz w:val="20"/>
          <w:szCs w:val="20"/>
        </w:rPr>
        <w:t xml:space="preserve">Kenton, W. (2025, October). </w:t>
      </w:r>
      <w:r w:rsidRPr="000329E4">
        <w:rPr>
          <w:rFonts w:eastAsia="Times New Roman" w:cs="Times New Roman"/>
          <w:i/>
          <w:iCs/>
          <w:sz w:val="20"/>
          <w:szCs w:val="20"/>
        </w:rPr>
        <w:t>Durbin Watson Test explained: Understanding autocorrelation in regression analysis</w:t>
      </w:r>
      <w:r w:rsidRPr="000329E4">
        <w:rPr>
          <w:rFonts w:eastAsia="Times New Roman" w:cs="Times New Roman"/>
          <w:sz w:val="20"/>
          <w:szCs w:val="20"/>
        </w:rPr>
        <w:t xml:space="preserve">. Investopedia. https://www.investopedia.com/terms/d/durbin-watson-statistic.asp </w:t>
      </w:r>
    </w:p>
    <w:p w14:paraId="64CC7E60"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shd w:val="clear" w:color="auto" w:fill="FFFFFF"/>
        </w:rPr>
      </w:pPr>
      <w:r w:rsidRPr="000329E4">
        <w:rPr>
          <w:rFonts w:cs="Times New Roman"/>
          <w:sz w:val="20"/>
          <w:szCs w:val="20"/>
          <w:shd w:val="clear" w:color="auto" w:fill="FFFFFF"/>
        </w:rPr>
        <w:t xml:space="preserve">Kline, R. B. (2011). </w:t>
      </w:r>
      <w:r w:rsidRPr="000329E4">
        <w:rPr>
          <w:rFonts w:cs="Times New Roman"/>
          <w:i/>
          <w:iCs/>
          <w:sz w:val="20"/>
          <w:szCs w:val="20"/>
          <w:shd w:val="clear" w:color="auto" w:fill="FFFFFF"/>
        </w:rPr>
        <w:t>Principles and practice of structural equation modeling (5th ed</w:t>
      </w:r>
      <w:r w:rsidRPr="000329E4">
        <w:rPr>
          <w:rFonts w:cs="Times New Roman"/>
          <w:sz w:val="20"/>
          <w:szCs w:val="20"/>
          <w:shd w:val="clear" w:color="auto" w:fill="FFFFFF"/>
        </w:rPr>
        <w:t>.). The Guilford Press.</w:t>
      </w:r>
    </w:p>
    <w:p w14:paraId="14190B42" w14:textId="77777777" w:rsidR="000329E4" w:rsidRPr="000329E4" w:rsidRDefault="000329E4" w:rsidP="000329E4">
      <w:pPr>
        <w:pStyle w:val="NormalWeb"/>
        <w:spacing w:beforeAutospacing="0" w:afterAutospacing="0" w:line="276" w:lineRule="auto"/>
        <w:ind w:left="709" w:hanging="709"/>
        <w:jc w:val="both"/>
        <w:rPr>
          <w:rFonts w:ascii="Palatino Linotype" w:hAnsi="Palatino Linotype"/>
          <w:sz w:val="20"/>
          <w:szCs w:val="20"/>
        </w:rPr>
      </w:pPr>
      <w:r w:rsidRPr="000329E4">
        <w:rPr>
          <w:rFonts w:ascii="Palatino Linotype" w:hAnsi="Palatino Linotype"/>
          <w:sz w:val="20"/>
          <w:szCs w:val="20"/>
        </w:rPr>
        <w:t xml:space="preserve">Masson, V. L. (2025, June 26). </w:t>
      </w:r>
      <w:r w:rsidRPr="000329E4">
        <w:rPr>
          <w:rFonts w:ascii="Palatino Linotype" w:hAnsi="Palatino Linotype"/>
          <w:i/>
          <w:iCs/>
          <w:sz w:val="20"/>
          <w:szCs w:val="20"/>
        </w:rPr>
        <w:t>The magic number: How to optimize and improve your survey response rate</w:t>
      </w:r>
      <w:r w:rsidRPr="000329E4">
        <w:rPr>
          <w:rFonts w:ascii="Palatino Linotype" w:hAnsi="Palatino Linotype"/>
          <w:sz w:val="20"/>
          <w:szCs w:val="20"/>
        </w:rPr>
        <w:t xml:space="preserve">. Kantar. </w:t>
      </w:r>
    </w:p>
    <w:p w14:paraId="1FD1A969"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rPr>
      </w:pPr>
      <w:r w:rsidRPr="000329E4">
        <w:rPr>
          <w:rFonts w:cs="Times New Roman"/>
          <w:sz w:val="20"/>
          <w:szCs w:val="20"/>
        </w:rPr>
        <w:t xml:space="preserve">Mohajan, H. K. (2017). Two criteria for good measurements in research: Validity and reliability. </w:t>
      </w:r>
      <w:r w:rsidRPr="000329E4">
        <w:rPr>
          <w:rFonts w:cs="Times New Roman"/>
          <w:i/>
          <w:iCs/>
          <w:sz w:val="20"/>
          <w:szCs w:val="20"/>
        </w:rPr>
        <w:t>Economic Series, 17</w:t>
      </w:r>
      <w:r w:rsidRPr="000329E4">
        <w:rPr>
          <w:rFonts w:cs="Times New Roman"/>
          <w:sz w:val="20"/>
          <w:szCs w:val="20"/>
        </w:rPr>
        <w:t>(4), 59-82.</w:t>
      </w:r>
    </w:p>
    <w:p w14:paraId="495CF118"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National Audit Office – NAO (2018), National Health Service – WannaCry ransomware attack, Part Two: </w:t>
      </w:r>
      <w:r w:rsidRPr="000329E4">
        <w:rPr>
          <w:rFonts w:cs="Times New Roman"/>
          <w:i/>
          <w:iCs/>
          <w:sz w:val="20"/>
          <w:szCs w:val="20"/>
        </w:rPr>
        <w:t>Why the attack succeeded</w:t>
      </w:r>
      <w:r w:rsidRPr="000329E4">
        <w:rPr>
          <w:rFonts w:cs="Times New Roman"/>
          <w:sz w:val="20"/>
          <w:szCs w:val="20"/>
        </w:rPr>
        <w:t>, pp. 18–27. https://www.nao.org.uk/reports/investigation-wannacry-cyber-attack-and-the-nhs/</w:t>
      </w:r>
    </w:p>
    <w:p w14:paraId="0D99F84B"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National Audit Office (NAO), United Kingdom,</w:t>
      </w:r>
      <w:r w:rsidRPr="000329E4">
        <w:rPr>
          <w:sz w:val="20"/>
          <w:szCs w:val="20"/>
        </w:rPr>
        <w:t xml:space="preserve"> </w:t>
      </w:r>
      <w:r w:rsidRPr="000329E4">
        <w:rPr>
          <w:rFonts w:cs="Times New Roman"/>
          <w:sz w:val="20"/>
          <w:szCs w:val="20"/>
        </w:rPr>
        <w:t>2018. National Health Service – WannaCry ransomware attack, Staff awareness, outdated training, organisational preparedness, Pages 18–27</w:t>
      </w:r>
      <w:r w:rsidRPr="000329E4">
        <w:rPr>
          <w:rFonts w:cs="Times New Roman"/>
          <w:b/>
          <w:bCs/>
          <w:sz w:val="20"/>
          <w:szCs w:val="20"/>
        </w:rPr>
        <w:t xml:space="preserve">. </w:t>
      </w:r>
      <w:r w:rsidRPr="000329E4">
        <w:rPr>
          <w:rFonts w:cs="Times New Roman"/>
          <w:sz w:val="20"/>
          <w:szCs w:val="20"/>
        </w:rPr>
        <w:t>https://www.nao.org.uk/reports/investigation-wannacry-cyber-attack-and-the-nhs/</w:t>
      </w:r>
    </w:p>
    <w:p w14:paraId="66D70F2A"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National Audit Office. (2018). </w:t>
      </w:r>
      <w:r w:rsidRPr="000329E4">
        <w:rPr>
          <w:rFonts w:cs="Times New Roman"/>
          <w:i/>
          <w:iCs/>
          <w:sz w:val="20"/>
          <w:szCs w:val="20"/>
        </w:rPr>
        <w:t>Investigation: WannaCry cyber attack and the NHS</w:t>
      </w:r>
      <w:r w:rsidRPr="000329E4">
        <w:rPr>
          <w:rFonts w:cs="Times New Roman"/>
          <w:sz w:val="20"/>
          <w:szCs w:val="20"/>
        </w:rPr>
        <w:t>. https://www.nao.org.uk/reports/investigation-wannacry-cyber-attack-and-the-nhs/</w:t>
      </w:r>
    </w:p>
    <w:p w14:paraId="636DA7C1" w14:textId="77777777" w:rsidR="000329E4" w:rsidRPr="000329E4" w:rsidRDefault="000329E4" w:rsidP="000329E4">
      <w:pPr>
        <w:spacing w:after="0" w:line="276" w:lineRule="auto"/>
        <w:ind w:left="720" w:hanging="720"/>
        <w:contextualSpacing/>
        <w:jc w:val="both"/>
        <w:rPr>
          <w:rFonts w:cs="Times New Roman"/>
          <w:sz w:val="20"/>
          <w:szCs w:val="20"/>
        </w:rPr>
      </w:pPr>
      <w:r w:rsidRPr="000329E4">
        <w:rPr>
          <w:rFonts w:cs="Times New Roman"/>
          <w:sz w:val="20"/>
          <w:szCs w:val="20"/>
        </w:rPr>
        <w:t xml:space="preserve">Palo Alto Networks. (2025). What is cybersecurity? Why it matters &amp; core concepts. Palo Alto Networks. </w:t>
      </w:r>
      <w:r w:rsidRPr="000329E4">
        <w:rPr>
          <w:rFonts w:cs="Times New Roman"/>
          <w:i/>
          <w:iCs/>
          <w:sz w:val="20"/>
          <w:szCs w:val="20"/>
        </w:rPr>
        <w:t>https://www.paloaltonetworks.com/cyberpedia/what-is-cyber-security</w:t>
      </w:r>
    </w:p>
    <w:p w14:paraId="00C98DBB"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Parsons, K., McCormac, A., Butavicius, M., Pattinson, M., &amp; Jerram, C. (2017). </w:t>
      </w:r>
      <w:r w:rsidRPr="000329E4">
        <w:rPr>
          <w:rFonts w:cs="Times New Roman"/>
          <w:i/>
          <w:iCs/>
          <w:sz w:val="20"/>
          <w:szCs w:val="20"/>
        </w:rPr>
        <w:t>Human behaviour, phishing awareness, password practices, cybersecurity training effectiveness.</w:t>
      </w:r>
      <w:r w:rsidRPr="000329E4">
        <w:rPr>
          <w:rFonts w:cs="Times New Roman"/>
          <w:sz w:val="20"/>
          <w:szCs w:val="20"/>
        </w:rPr>
        <w:t xml:space="preserve"> Pages 165–172. https://doi.org/10.1016/j.cose.2017.01.002</w:t>
      </w:r>
    </w:p>
    <w:p w14:paraId="4F4EE0A7" w14:textId="77777777" w:rsidR="000329E4" w:rsidRPr="000329E4" w:rsidRDefault="000329E4" w:rsidP="000329E4">
      <w:pPr>
        <w:spacing w:after="0" w:line="276" w:lineRule="auto"/>
        <w:ind w:left="720" w:hanging="720"/>
        <w:contextualSpacing/>
        <w:rPr>
          <w:rFonts w:cs="Times New Roman"/>
          <w:sz w:val="20"/>
          <w:szCs w:val="20"/>
        </w:rPr>
      </w:pPr>
      <w:r w:rsidRPr="000329E4">
        <w:rPr>
          <w:rFonts w:cs="Times New Roman"/>
          <w:sz w:val="20"/>
          <w:szCs w:val="20"/>
        </w:rPr>
        <w:t xml:space="preserve">Ponemon Institute. (2020). </w:t>
      </w:r>
      <w:r w:rsidRPr="000329E4">
        <w:rPr>
          <w:rFonts w:cs="Times New Roman"/>
          <w:i/>
          <w:iCs/>
          <w:sz w:val="20"/>
          <w:szCs w:val="20"/>
        </w:rPr>
        <w:t>Cost of a data breach report 2020 (Research report).</w:t>
      </w:r>
      <w:r w:rsidRPr="000329E4">
        <w:rPr>
          <w:rFonts w:cs="Times New Roman"/>
          <w:sz w:val="20"/>
          <w:szCs w:val="20"/>
        </w:rPr>
        <w:t xml:space="preserve"> IBM Security &amp; Ponemon Institute. </w:t>
      </w:r>
      <w:r w:rsidRPr="000329E4">
        <w:rPr>
          <w:rFonts w:cs="Times New Roman"/>
          <w:sz w:val="20"/>
          <w:szCs w:val="20"/>
        </w:rPr>
        <w:lastRenderedPageBreak/>
        <w:t>https://www.capita.com/sites/g/files/nginej291/files/2020-08/Ponemon-Global-Cost-of-Data-Breach-Study-2020.pd</w:t>
      </w:r>
    </w:p>
    <w:p w14:paraId="200D3678"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Puhakainen, P., &amp; Siponen, M. (2010). Improving employees’ compliance through information systems security training: An action research study. </w:t>
      </w:r>
      <w:r w:rsidRPr="000329E4">
        <w:rPr>
          <w:rFonts w:cs="Times New Roman"/>
          <w:i/>
          <w:iCs/>
          <w:sz w:val="20"/>
          <w:szCs w:val="20"/>
        </w:rPr>
        <w:t>MIS Quarterly, 34</w:t>
      </w:r>
      <w:r w:rsidRPr="000329E4">
        <w:rPr>
          <w:rFonts w:cs="Times New Roman"/>
          <w:sz w:val="20"/>
          <w:szCs w:val="20"/>
        </w:rPr>
        <w:t>(4), 757–778.</w:t>
      </w:r>
      <w:r w:rsidRPr="000329E4">
        <w:rPr>
          <w:rFonts w:cs="Times New Roman"/>
          <w:sz w:val="20"/>
          <w:szCs w:val="20"/>
        </w:rPr>
        <w:br/>
        <w:t>https://doi.org/10.2307/25750704</w:t>
      </w:r>
    </w:p>
    <w:p w14:paraId="35EF69B1" w14:textId="77777777" w:rsidR="000329E4" w:rsidRPr="000329E4" w:rsidRDefault="000329E4" w:rsidP="000329E4">
      <w:pPr>
        <w:spacing w:after="0" w:line="276" w:lineRule="auto"/>
        <w:ind w:left="720" w:hanging="720"/>
        <w:contextualSpacing/>
        <w:jc w:val="both"/>
        <w:rPr>
          <w:rFonts w:cs="Times New Roman"/>
          <w:sz w:val="20"/>
          <w:szCs w:val="20"/>
        </w:rPr>
      </w:pPr>
      <w:r w:rsidRPr="000329E4">
        <w:rPr>
          <w:rFonts w:cs="Times New Roman"/>
          <w:sz w:val="20"/>
          <w:szCs w:val="20"/>
        </w:rPr>
        <w:t xml:space="preserve">Puhakainen, P., &amp; Siponen, M. T. (2010). Improving employees’ compliance through information systems security training: An action research study. </w:t>
      </w:r>
      <w:r w:rsidRPr="000329E4">
        <w:rPr>
          <w:rFonts w:cs="Times New Roman"/>
          <w:i/>
          <w:iCs/>
          <w:sz w:val="20"/>
          <w:szCs w:val="20"/>
        </w:rPr>
        <w:t>MIS Quarterly, 34</w:t>
      </w:r>
      <w:r w:rsidRPr="000329E4">
        <w:rPr>
          <w:rFonts w:cs="Times New Roman"/>
          <w:sz w:val="20"/>
          <w:szCs w:val="20"/>
        </w:rPr>
        <w:t>(4), 757–778. https://doi.org/10.2307/25750704</w:t>
      </w:r>
    </w:p>
    <w:p w14:paraId="3CB68BCF" w14:textId="77777777" w:rsidR="000329E4" w:rsidRPr="000329E4" w:rsidRDefault="000329E4" w:rsidP="000329E4">
      <w:pPr>
        <w:spacing w:after="0" w:line="276" w:lineRule="auto"/>
        <w:ind w:left="720" w:hanging="720"/>
        <w:contextualSpacing/>
        <w:jc w:val="both"/>
        <w:rPr>
          <w:rFonts w:cs="Times New Roman"/>
          <w:sz w:val="20"/>
          <w:szCs w:val="20"/>
        </w:rPr>
      </w:pPr>
      <w:r w:rsidRPr="000329E4">
        <w:rPr>
          <w:rFonts w:cs="Times New Roman"/>
          <w:sz w:val="20"/>
          <w:szCs w:val="20"/>
        </w:rPr>
        <w:t xml:space="preserve">Rapid7 (2017, Dec 14). </w:t>
      </w:r>
      <w:r w:rsidRPr="000329E4">
        <w:rPr>
          <w:rFonts w:cs="Times New Roman"/>
          <w:i/>
          <w:iCs/>
          <w:sz w:val="20"/>
          <w:szCs w:val="20"/>
        </w:rPr>
        <w:t>Introduction to ISO/IEC 27035 - Planning for and Detection of Incidents.</w:t>
      </w:r>
      <w:r w:rsidRPr="000329E4">
        <w:rPr>
          <w:rFonts w:cs="Times New Roman"/>
          <w:sz w:val="20"/>
          <w:szCs w:val="20"/>
        </w:rPr>
        <w:t xml:space="preserve"> https://www.rapid7.com/blog/post/2017/04/20/introduction-to-isoiec-27035-planning-for-and-detection-of-incidents/</w:t>
      </w:r>
    </w:p>
    <w:p w14:paraId="421E5C3D" w14:textId="77777777" w:rsidR="000329E4" w:rsidRPr="000329E4" w:rsidRDefault="000329E4" w:rsidP="000329E4">
      <w:pPr>
        <w:autoSpaceDE w:val="0"/>
        <w:autoSpaceDN w:val="0"/>
        <w:adjustRightInd w:val="0"/>
        <w:spacing w:after="0" w:line="276" w:lineRule="auto"/>
        <w:ind w:left="709" w:hanging="709"/>
        <w:jc w:val="both"/>
        <w:rPr>
          <w:rFonts w:cs="Times New Roman"/>
          <w:sz w:val="20"/>
          <w:szCs w:val="20"/>
          <w:shd w:val="clear" w:color="auto" w:fill="FFFFFF"/>
        </w:rPr>
      </w:pPr>
      <w:r w:rsidRPr="000329E4">
        <w:rPr>
          <w:rFonts w:cs="Times New Roman"/>
          <w:sz w:val="20"/>
          <w:szCs w:val="20"/>
          <w:shd w:val="clear" w:color="auto" w:fill="FFFFFF"/>
        </w:rPr>
        <w:t xml:space="preserve">Saccenti, E., Hendriks, M. H., &amp; Smilde, A. K. (2020). Corruption of the Pearson correlation coefficient by measurement error and its estimation, bias, and correction under different error models. </w:t>
      </w:r>
      <w:r w:rsidRPr="000329E4">
        <w:rPr>
          <w:rFonts w:cs="Times New Roman"/>
          <w:i/>
          <w:iCs/>
          <w:sz w:val="20"/>
          <w:szCs w:val="20"/>
          <w:shd w:val="clear" w:color="auto" w:fill="FFFFFF"/>
        </w:rPr>
        <w:t>Scientific Reports</w:t>
      </w:r>
      <w:r w:rsidRPr="000329E4">
        <w:rPr>
          <w:rFonts w:cs="Times New Roman"/>
          <w:sz w:val="20"/>
          <w:szCs w:val="20"/>
          <w:shd w:val="clear" w:color="auto" w:fill="FFFFFF"/>
        </w:rPr>
        <w:t xml:space="preserve">, </w:t>
      </w:r>
      <w:r w:rsidRPr="000329E4">
        <w:rPr>
          <w:rFonts w:cs="Times New Roman"/>
          <w:i/>
          <w:iCs/>
          <w:sz w:val="20"/>
          <w:szCs w:val="20"/>
          <w:shd w:val="clear" w:color="auto" w:fill="FFFFFF"/>
        </w:rPr>
        <w:t>10</w:t>
      </w:r>
      <w:r w:rsidRPr="000329E4">
        <w:rPr>
          <w:rFonts w:cs="Times New Roman"/>
          <w:sz w:val="20"/>
          <w:szCs w:val="20"/>
          <w:shd w:val="clear" w:color="auto" w:fill="FFFFFF"/>
        </w:rPr>
        <w:t>(1), 438. https://doi.org/10.1038/s41598-019-57247-4</w:t>
      </w:r>
    </w:p>
    <w:p w14:paraId="21C57A69" w14:textId="77777777" w:rsidR="000329E4" w:rsidRPr="000329E4" w:rsidRDefault="000329E4" w:rsidP="000329E4">
      <w:pPr>
        <w:spacing w:after="0" w:line="276" w:lineRule="auto"/>
        <w:ind w:left="709" w:hanging="709"/>
        <w:contextualSpacing/>
        <w:jc w:val="both"/>
        <w:rPr>
          <w:rFonts w:cs="Times New Roman"/>
          <w:sz w:val="20"/>
          <w:szCs w:val="20"/>
        </w:rPr>
      </w:pPr>
      <w:r w:rsidRPr="000329E4">
        <w:rPr>
          <w:rFonts w:cs="Times New Roman"/>
          <w:sz w:val="20"/>
          <w:szCs w:val="20"/>
        </w:rPr>
        <w:t xml:space="preserve">Saini, D., &amp; Raman, N. (2025). A case study of the 2007 attack on Estonia. </w:t>
      </w:r>
      <w:r w:rsidRPr="000329E4">
        <w:rPr>
          <w:rFonts w:cs="Times New Roman"/>
          <w:i/>
          <w:iCs/>
          <w:sz w:val="20"/>
          <w:szCs w:val="20"/>
        </w:rPr>
        <w:t>International Journal of Creative Research Thoughts, 13</w:t>
      </w:r>
      <w:r w:rsidRPr="000329E4">
        <w:rPr>
          <w:rFonts w:cs="Times New Roman"/>
          <w:sz w:val="20"/>
          <w:szCs w:val="20"/>
        </w:rPr>
        <w:t>(4), a32–a36.</w:t>
      </w:r>
    </w:p>
    <w:p w14:paraId="2FF5D75A"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Sarumi, A. O., &amp; Abdul-Raheem, I. (2022). Leadership commitment and cybersecurity governance in public organizations. </w:t>
      </w:r>
      <w:r w:rsidRPr="000329E4">
        <w:rPr>
          <w:rFonts w:cs="Times New Roman"/>
          <w:i/>
          <w:iCs/>
          <w:sz w:val="20"/>
          <w:szCs w:val="20"/>
        </w:rPr>
        <w:t>Journal of Information Security and Applications, 67</w:t>
      </w:r>
      <w:r w:rsidRPr="000329E4">
        <w:rPr>
          <w:rFonts w:cs="Times New Roman"/>
          <w:sz w:val="20"/>
          <w:szCs w:val="20"/>
        </w:rPr>
        <w:t>, 103176, pp. 5–9.</w:t>
      </w:r>
      <w:r w:rsidRPr="000329E4">
        <w:rPr>
          <w:rFonts w:cs="Times New Roman"/>
          <w:sz w:val="20"/>
          <w:szCs w:val="20"/>
        </w:rPr>
        <w:br/>
        <w:t>https://doi.org/10.1016/j.jisa.2022.103176</w:t>
      </w:r>
    </w:p>
    <w:p w14:paraId="05535CEF" w14:textId="77777777" w:rsidR="000329E4" w:rsidRPr="000329E4" w:rsidRDefault="000329E4" w:rsidP="000329E4">
      <w:pPr>
        <w:spacing w:after="0" w:line="276" w:lineRule="auto"/>
        <w:ind w:left="709" w:hanging="709"/>
        <w:contextualSpacing/>
        <w:jc w:val="both"/>
        <w:rPr>
          <w:rFonts w:cs="Times New Roman"/>
          <w:sz w:val="20"/>
          <w:szCs w:val="20"/>
        </w:rPr>
      </w:pPr>
      <w:r w:rsidRPr="000329E4">
        <w:rPr>
          <w:rFonts w:cs="Times New Roman"/>
          <w:sz w:val="20"/>
          <w:szCs w:val="20"/>
        </w:rPr>
        <w:t xml:space="preserve">Sarumi, J., &amp; Abdul-Raheem, I. (2022). Ethical hacking and cyber security in Nigerian telecommunication industry. </w:t>
      </w:r>
      <w:r w:rsidRPr="000329E4">
        <w:rPr>
          <w:rFonts w:cs="Times New Roman"/>
          <w:i/>
          <w:iCs/>
          <w:sz w:val="20"/>
          <w:szCs w:val="20"/>
        </w:rPr>
        <w:t>Advances in Multidisciplinary &amp; Scientific Research Journal Publication, 10</w:t>
      </w:r>
      <w:r w:rsidRPr="000329E4">
        <w:rPr>
          <w:rFonts w:cs="Times New Roman"/>
          <w:sz w:val="20"/>
          <w:szCs w:val="20"/>
        </w:rPr>
        <w:t>(1), 1–36.</w:t>
      </w:r>
    </w:p>
    <w:p w14:paraId="6A20EA01" w14:textId="77777777" w:rsidR="000329E4" w:rsidRPr="000329E4" w:rsidRDefault="000329E4" w:rsidP="000329E4">
      <w:pPr>
        <w:autoSpaceDE w:val="0"/>
        <w:autoSpaceDN w:val="0"/>
        <w:adjustRightInd w:val="0"/>
        <w:spacing w:after="0" w:line="276" w:lineRule="auto"/>
        <w:ind w:left="709" w:hanging="709"/>
        <w:jc w:val="both"/>
        <w:rPr>
          <w:rFonts w:cs="Times New Roman"/>
          <w:i/>
          <w:iCs/>
          <w:color w:val="FF0000"/>
          <w:sz w:val="20"/>
          <w:szCs w:val="20"/>
        </w:rPr>
      </w:pPr>
      <w:r w:rsidRPr="000329E4">
        <w:rPr>
          <w:rFonts w:cs="Times New Roman"/>
          <w:color w:val="212121"/>
          <w:sz w:val="20"/>
          <w:szCs w:val="20"/>
        </w:rPr>
        <w:t xml:space="preserve">Schmitt, N. (1996). Uses and abuses of coefficient alpha. </w:t>
      </w:r>
      <w:r w:rsidRPr="000329E4">
        <w:rPr>
          <w:rFonts w:cs="Times New Roman"/>
          <w:i/>
          <w:iCs/>
          <w:color w:val="212121"/>
          <w:sz w:val="20"/>
          <w:szCs w:val="20"/>
        </w:rPr>
        <w:t>Psychological Assessment</w:t>
      </w:r>
      <w:r w:rsidRPr="000329E4">
        <w:rPr>
          <w:rFonts w:cs="Times New Roman"/>
          <w:color w:val="212121"/>
          <w:sz w:val="20"/>
          <w:szCs w:val="20"/>
        </w:rPr>
        <w:t xml:space="preserve">, </w:t>
      </w:r>
      <w:r w:rsidRPr="000329E4">
        <w:rPr>
          <w:rFonts w:cs="Times New Roman"/>
          <w:i/>
          <w:iCs/>
          <w:color w:val="212121"/>
          <w:sz w:val="20"/>
          <w:szCs w:val="20"/>
        </w:rPr>
        <w:t>8</w:t>
      </w:r>
      <w:r w:rsidRPr="000329E4">
        <w:rPr>
          <w:rFonts w:cs="Times New Roman"/>
          <w:color w:val="212121"/>
          <w:sz w:val="20"/>
          <w:szCs w:val="20"/>
        </w:rPr>
        <w:t>(4), 350. https://doi.org/10.1037/1040-3590.8.4.350</w:t>
      </w:r>
    </w:p>
    <w:p w14:paraId="0BBE1683" w14:textId="77777777" w:rsidR="000329E4" w:rsidRPr="000329E4" w:rsidRDefault="000329E4" w:rsidP="000329E4">
      <w:pPr>
        <w:spacing w:after="0" w:line="276" w:lineRule="auto"/>
        <w:ind w:left="720" w:hanging="720"/>
        <w:contextualSpacing/>
        <w:jc w:val="both"/>
        <w:rPr>
          <w:rFonts w:cs="Times New Roman"/>
          <w:sz w:val="20"/>
          <w:szCs w:val="20"/>
        </w:rPr>
      </w:pPr>
      <w:r w:rsidRPr="000329E4">
        <w:rPr>
          <w:rFonts w:cs="Times New Roman"/>
          <w:sz w:val="20"/>
          <w:szCs w:val="20"/>
        </w:rPr>
        <w:t xml:space="preserve">Siponen, M., &amp; Willison, R. (2009). Information security management standards: Problems and solutions. </w:t>
      </w:r>
      <w:r w:rsidRPr="000329E4">
        <w:rPr>
          <w:rFonts w:cs="Times New Roman"/>
          <w:i/>
          <w:iCs/>
          <w:sz w:val="20"/>
          <w:szCs w:val="20"/>
        </w:rPr>
        <w:t>Information &amp; Management, 46</w:t>
      </w:r>
      <w:r w:rsidRPr="000329E4">
        <w:rPr>
          <w:rFonts w:cs="Times New Roman"/>
          <w:sz w:val="20"/>
          <w:szCs w:val="20"/>
        </w:rPr>
        <w:t>(5), 267–270. https://doi.org/10.1016/j.im.2008.12.007</w:t>
      </w:r>
    </w:p>
    <w:p w14:paraId="16725385" w14:textId="77777777" w:rsidR="000329E4" w:rsidRPr="000329E4" w:rsidRDefault="000329E4" w:rsidP="000329E4">
      <w:pPr>
        <w:spacing w:after="0" w:line="276" w:lineRule="auto"/>
        <w:ind w:left="720" w:hanging="720"/>
        <w:contextualSpacing/>
        <w:jc w:val="both"/>
        <w:rPr>
          <w:rFonts w:cs="Times New Roman"/>
          <w:sz w:val="20"/>
          <w:szCs w:val="20"/>
        </w:rPr>
      </w:pPr>
      <w:r w:rsidRPr="000329E4">
        <w:rPr>
          <w:rFonts w:cs="Times New Roman"/>
          <w:sz w:val="20"/>
          <w:szCs w:val="20"/>
        </w:rPr>
        <w:t xml:space="preserve">Traynor, O. (2025, March 24). </w:t>
      </w:r>
      <w:r w:rsidRPr="000329E4">
        <w:rPr>
          <w:rFonts w:cs="Times New Roman"/>
          <w:i/>
          <w:iCs/>
          <w:sz w:val="20"/>
          <w:szCs w:val="20"/>
        </w:rPr>
        <w:t>NIST Cybersecurity Framework 2.0: An Overview</w:t>
      </w:r>
      <w:r w:rsidRPr="000329E4">
        <w:rPr>
          <w:rFonts w:cs="Times New Roman"/>
          <w:sz w:val="20"/>
          <w:szCs w:val="20"/>
        </w:rPr>
        <w:t>. https://cybelangel.com/blog/guide_nist_2/</w:t>
      </w:r>
    </w:p>
    <w:p w14:paraId="3AFAC413"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U.S. Department of Justice (DOJ), 2018. </w:t>
      </w:r>
      <w:r w:rsidRPr="000329E4">
        <w:rPr>
          <w:rFonts w:cs="Times New Roman"/>
          <w:i/>
          <w:iCs/>
          <w:sz w:val="20"/>
          <w:szCs w:val="20"/>
        </w:rPr>
        <w:t>City of Atlanta ransomware attack / Employee preparedness, cybersecurity training gaps, incident escalation</w:t>
      </w:r>
      <w:r w:rsidRPr="000329E4">
        <w:rPr>
          <w:rFonts w:cs="Times New Roman"/>
          <w:sz w:val="20"/>
          <w:szCs w:val="20"/>
        </w:rPr>
        <w:t>, Pages 4–9. https://www.justice.gov/criminal-ccips/file/1096976/download</w:t>
      </w:r>
    </w:p>
    <w:p w14:paraId="4140CD91"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U.S. Government Accountability Office – GAO (2021). </w:t>
      </w:r>
      <w:r w:rsidRPr="000329E4">
        <w:rPr>
          <w:rFonts w:cs="Times New Roman"/>
          <w:i/>
          <w:iCs/>
          <w:sz w:val="20"/>
          <w:szCs w:val="20"/>
        </w:rPr>
        <w:t xml:space="preserve">SolarWinds supply-chain </w:t>
      </w:r>
      <w:r w:rsidRPr="000329E4">
        <w:rPr>
          <w:rFonts w:cs="Times New Roman"/>
          <w:i/>
          <w:iCs/>
          <w:sz w:val="20"/>
          <w:szCs w:val="20"/>
        </w:rPr>
        <w:lastRenderedPageBreak/>
        <w:t>cyberattack</w:t>
      </w:r>
      <w:r w:rsidRPr="000329E4">
        <w:rPr>
          <w:rFonts w:cs="Times New Roman"/>
          <w:sz w:val="20"/>
          <w:szCs w:val="20"/>
        </w:rPr>
        <w:t>. GAO-21-105325, pp. 9–18 (Root causes &amp; governance gaps). https://www.gao.gov/products/gao-21-105325</w:t>
      </w:r>
    </w:p>
    <w:p w14:paraId="6E1B0425"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U.S. House Committee on Oversight and Reform. (2018). </w:t>
      </w:r>
      <w:r w:rsidRPr="000329E4">
        <w:rPr>
          <w:rFonts w:cs="Times New Roman"/>
          <w:i/>
          <w:iCs/>
          <w:sz w:val="20"/>
          <w:szCs w:val="20"/>
        </w:rPr>
        <w:t>The Equifax data breach</w:t>
      </w:r>
      <w:r w:rsidRPr="000329E4">
        <w:rPr>
          <w:rFonts w:cs="Times New Roman"/>
          <w:sz w:val="20"/>
          <w:szCs w:val="20"/>
        </w:rPr>
        <w:t xml:space="preserve"> (Majority staff report). https://oversight.house.gov/wp-content/uploads/2018/12/Equifax-Report.pdf</w:t>
      </w:r>
    </w:p>
    <w:p w14:paraId="1D7B02CB"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United Nations Department of Economic and Social Affairs. (2022). </w:t>
      </w:r>
      <w:r w:rsidRPr="000329E4">
        <w:rPr>
          <w:rFonts w:cs="Times New Roman"/>
          <w:i/>
          <w:iCs/>
          <w:sz w:val="20"/>
          <w:szCs w:val="20"/>
        </w:rPr>
        <w:t>United Nations E‑Government Survey 2022: The future of digital government (Report).</w:t>
      </w:r>
      <w:r w:rsidRPr="000329E4">
        <w:rPr>
          <w:rFonts w:cs="Times New Roman"/>
          <w:sz w:val="20"/>
          <w:szCs w:val="20"/>
        </w:rPr>
        <w:t xml:space="preserve"> United Nations. https://unpan.un.org/sites/unpan.org/files/Full%20report%20and%20annexes%20%28English%29.pdf</w:t>
      </w:r>
    </w:p>
    <w:p w14:paraId="1326E942" w14:textId="77777777" w:rsidR="000329E4" w:rsidRPr="000329E4" w:rsidRDefault="000329E4" w:rsidP="000329E4">
      <w:pPr>
        <w:widowControl w:val="0"/>
        <w:autoSpaceDE w:val="0"/>
        <w:autoSpaceDN w:val="0"/>
        <w:spacing w:after="0" w:line="276" w:lineRule="auto"/>
        <w:ind w:left="720" w:hanging="720"/>
        <w:jc w:val="both"/>
        <w:rPr>
          <w:rFonts w:cs="Times New Roman"/>
          <w:sz w:val="20"/>
          <w:szCs w:val="20"/>
        </w:rPr>
      </w:pPr>
      <w:r w:rsidRPr="000329E4">
        <w:rPr>
          <w:rFonts w:cs="Times New Roman"/>
          <w:sz w:val="20"/>
          <w:szCs w:val="20"/>
        </w:rPr>
        <w:t xml:space="preserve">von Solms, R. &amp; van Niekerk, J. (2013), Cybersecurity governance framework. Section: </w:t>
      </w:r>
      <w:r w:rsidRPr="000329E4">
        <w:rPr>
          <w:rFonts w:cs="Times New Roman"/>
          <w:i/>
          <w:iCs/>
          <w:sz w:val="20"/>
          <w:szCs w:val="20"/>
        </w:rPr>
        <w:t>From information security to cyber security</w:t>
      </w:r>
      <w:r w:rsidRPr="000329E4">
        <w:rPr>
          <w:rFonts w:cs="Times New Roman"/>
          <w:sz w:val="20"/>
          <w:szCs w:val="20"/>
        </w:rPr>
        <w:t xml:space="preserve"> (pp. 97–102, Computers &amp; Security, Vol. 38). https://doi.org/10.1016/j.cose.2013.04.004</w:t>
      </w:r>
    </w:p>
    <w:p w14:paraId="7D4F39EE" w14:textId="06914E1F" w:rsidR="0030573F" w:rsidRPr="000329E4" w:rsidRDefault="0030573F" w:rsidP="00311E6B">
      <w:pPr>
        <w:spacing w:after="120" w:line="276" w:lineRule="auto"/>
        <w:rPr>
          <w:rFonts w:eastAsia="Palatino Linotype"/>
          <w:b/>
          <w:sz w:val="20"/>
          <w:szCs w:val="24"/>
        </w:rPr>
      </w:pPr>
    </w:p>
    <w:sectPr w:rsidR="0030573F" w:rsidRPr="000329E4" w:rsidSect="00B71CA1">
      <w:headerReference w:type="even" r:id="rId9"/>
      <w:headerReference w:type="default" r:id="rId10"/>
      <w:pgSz w:w="9639" w:h="13892"/>
      <w:pgMar w:top="677" w:right="1138" w:bottom="1440" w:left="129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64BE" w14:textId="77777777" w:rsidR="002E3EE7" w:rsidRDefault="002E3EE7" w:rsidP="00D65FDC">
      <w:pPr>
        <w:spacing w:after="0" w:line="240" w:lineRule="auto"/>
      </w:pPr>
      <w:r>
        <w:separator/>
      </w:r>
    </w:p>
  </w:endnote>
  <w:endnote w:type="continuationSeparator" w:id="0">
    <w:p w14:paraId="4EB9DDAE" w14:textId="77777777" w:rsidR="002E3EE7" w:rsidRDefault="002E3EE7" w:rsidP="00D6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1E41" w14:textId="77777777" w:rsidR="002E3EE7" w:rsidRDefault="002E3EE7" w:rsidP="00D65FDC">
      <w:pPr>
        <w:spacing w:after="0" w:line="240" w:lineRule="auto"/>
      </w:pPr>
      <w:r>
        <w:separator/>
      </w:r>
    </w:p>
  </w:footnote>
  <w:footnote w:type="continuationSeparator" w:id="0">
    <w:p w14:paraId="3297F910" w14:textId="77777777" w:rsidR="002E3EE7" w:rsidRDefault="002E3EE7" w:rsidP="00D65FDC">
      <w:pPr>
        <w:spacing w:after="0" w:line="240" w:lineRule="auto"/>
      </w:pPr>
      <w:r>
        <w:continuationSeparator/>
      </w:r>
    </w:p>
  </w:footnote>
  <w:footnote w:id="1">
    <w:p w14:paraId="3A476972" w14:textId="475E64B5" w:rsidR="002E239A" w:rsidRPr="00027D41" w:rsidRDefault="002E239A">
      <w:pPr>
        <w:pStyle w:val="FootnoteText"/>
        <w:rPr>
          <w:lang w:val="nl-NL"/>
        </w:rPr>
      </w:pPr>
      <w:r>
        <w:rPr>
          <w:rStyle w:val="FootnoteReference"/>
        </w:rPr>
        <w:footnoteRef/>
      </w:r>
      <w:r w:rsidRPr="00027D41">
        <w:rPr>
          <w:lang w:val="nl-NL"/>
        </w:rPr>
        <w:t xml:space="preserve"> </w:t>
      </w:r>
      <w:r w:rsidR="00027D41" w:rsidRPr="00027D41">
        <w:rPr>
          <w:rFonts w:ascii="Palatino Linotype" w:hAnsi="Palatino Linotype"/>
          <w:b/>
          <w:bCs/>
          <w:sz w:val="16"/>
          <w:szCs w:val="16"/>
          <w:lang w:val="nl-NL"/>
        </w:rPr>
        <w:t xml:space="preserve">Halil Paino, </w:t>
      </w:r>
      <w:hyperlink r:id="rId1" w:history="1">
        <w:r w:rsidR="00027D41" w:rsidRPr="00027D41">
          <w:rPr>
            <w:rStyle w:val="Hyperlink"/>
            <w:rFonts w:ascii="Palatino Linotype" w:hAnsi="Palatino Linotype"/>
            <w:b/>
            <w:bCs/>
            <w:sz w:val="16"/>
            <w:szCs w:val="16"/>
            <w:lang w:val="nl-NL"/>
          </w:rPr>
          <w:t>halil@uitm.edu.my</w:t>
        </w:r>
      </w:hyperlink>
      <w:r w:rsidR="00027D41" w:rsidRPr="00027D41">
        <w:rPr>
          <w:rFonts w:ascii="Palatino Linotype" w:hAnsi="Palatino Linotype"/>
          <w:b/>
          <w:bCs/>
          <w:sz w:val="16"/>
          <w:szCs w:val="16"/>
          <w:lang w:val="nl-NL"/>
        </w:rPr>
        <w:t xml:space="preserve"> Universiti Te</w:t>
      </w:r>
      <w:r w:rsidR="00027D41">
        <w:rPr>
          <w:rFonts w:ascii="Palatino Linotype" w:hAnsi="Palatino Linotype"/>
          <w:b/>
          <w:bCs/>
          <w:sz w:val="16"/>
          <w:szCs w:val="16"/>
          <w:lang w:val="nl-NL"/>
        </w:rPr>
        <w:t>knologi MARA Malaysia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909841"/>
      <w:docPartObj>
        <w:docPartGallery w:val="Page Numbers (Top of Page)"/>
        <w:docPartUnique/>
      </w:docPartObj>
    </w:sdtPr>
    <w:sdtEndPr>
      <w:rPr>
        <w:noProof/>
      </w:rPr>
    </w:sdtEndPr>
    <w:sdtContent>
      <w:p w14:paraId="42295D84" w14:textId="65D88BC5" w:rsidR="00C46C13" w:rsidRDefault="00C46C13" w:rsidP="00E90F03">
        <w:pPr>
          <w:pStyle w:val="Header"/>
          <w:spacing w:after="120"/>
        </w:pPr>
        <w:r>
          <w:fldChar w:fldCharType="begin"/>
        </w:r>
        <w:r>
          <w:instrText xml:space="preserve"> PAGE   \* MERGEFORMAT </w:instrText>
        </w:r>
        <w:r>
          <w:fldChar w:fldCharType="separate"/>
        </w:r>
        <w:r w:rsidR="00287B3D">
          <w:rPr>
            <w:noProof/>
          </w:rPr>
          <w:t>2</w:t>
        </w:r>
        <w:r>
          <w:rPr>
            <w:noProof/>
          </w:rPr>
          <w:fldChar w:fldCharType="end"/>
        </w:r>
        <w:r>
          <w:rPr>
            <w:noProof/>
            <w:lang w:val="en-US"/>
          </w:rPr>
          <w:t xml:space="preserve"> </w:t>
        </w:r>
        <w:r>
          <w:rPr>
            <w:noProof/>
            <w:lang w:val="en-U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521335"/>
      <w:docPartObj>
        <w:docPartGallery w:val="Page Numbers (Top of Page)"/>
        <w:docPartUnique/>
      </w:docPartObj>
    </w:sdtPr>
    <w:sdtEndPr>
      <w:rPr>
        <w:noProof/>
      </w:rPr>
    </w:sdtEndPr>
    <w:sdtContent>
      <w:p w14:paraId="2AE9B81F" w14:textId="62C4DD17" w:rsidR="00986902" w:rsidRDefault="00986902" w:rsidP="00E90F03">
        <w:pPr>
          <w:pStyle w:val="Header"/>
          <w:spacing w:after="120"/>
          <w:jc w:val="right"/>
        </w:pPr>
        <w:r>
          <w:fldChar w:fldCharType="begin"/>
        </w:r>
        <w:r>
          <w:instrText xml:space="preserve"> PAGE   \* MERGEFORMAT </w:instrText>
        </w:r>
        <w:r>
          <w:fldChar w:fldCharType="separate"/>
        </w:r>
        <w:r w:rsidR="00287B3D">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4AC3213"/>
    <w:multiLevelType w:val="hybridMultilevel"/>
    <w:tmpl w:val="3D183638"/>
    <w:lvl w:ilvl="0" w:tplc="5D5E3A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405A28"/>
    <w:multiLevelType w:val="hybridMultilevel"/>
    <w:tmpl w:val="58922C8E"/>
    <w:lvl w:ilvl="0" w:tplc="402C586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2B7567"/>
    <w:multiLevelType w:val="hybridMultilevel"/>
    <w:tmpl w:val="19D08C36"/>
    <w:lvl w:ilvl="0" w:tplc="5D5E3A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7E5E28"/>
    <w:multiLevelType w:val="hybridMultilevel"/>
    <w:tmpl w:val="C8387EC0"/>
    <w:lvl w:ilvl="0" w:tplc="5D5E3A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3C6092B"/>
    <w:multiLevelType w:val="hybridMultilevel"/>
    <w:tmpl w:val="B4EC3818"/>
    <w:lvl w:ilvl="0" w:tplc="7E5C35D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4F77E20"/>
    <w:multiLevelType w:val="multilevel"/>
    <w:tmpl w:val="BF08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5B2056"/>
    <w:multiLevelType w:val="hybridMultilevel"/>
    <w:tmpl w:val="754A0C3C"/>
    <w:lvl w:ilvl="0" w:tplc="5D5E3A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32097582">
    <w:abstractNumId w:val="0"/>
  </w:num>
  <w:num w:numId="2" w16cid:durableId="318191537">
    <w:abstractNumId w:val="2"/>
  </w:num>
  <w:num w:numId="3" w16cid:durableId="1150753684">
    <w:abstractNumId w:val="5"/>
  </w:num>
  <w:num w:numId="4" w16cid:durableId="172691307">
    <w:abstractNumId w:val="3"/>
  </w:num>
  <w:num w:numId="5" w16cid:durableId="868763777">
    <w:abstractNumId w:val="4"/>
  </w:num>
  <w:num w:numId="6" w16cid:durableId="566457185">
    <w:abstractNumId w:val="1"/>
  </w:num>
  <w:num w:numId="7" w16cid:durableId="504637576">
    <w:abstractNumId w:val="7"/>
  </w:num>
  <w:num w:numId="8" w16cid:durableId="532158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FDC"/>
    <w:rsid w:val="00027D41"/>
    <w:rsid w:val="000313CC"/>
    <w:rsid w:val="000329E4"/>
    <w:rsid w:val="00036E66"/>
    <w:rsid w:val="00044121"/>
    <w:rsid w:val="000474AB"/>
    <w:rsid w:val="000812E5"/>
    <w:rsid w:val="0008210F"/>
    <w:rsid w:val="000B4536"/>
    <w:rsid w:val="000E4409"/>
    <w:rsid w:val="000F44E9"/>
    <w:rsid w:val="00122836"/>
    <w:rsid w:val="00181E21"/>
    <w:rsid w:val="00182A16"/>
    <w:rsid w:val="00182C59"/>
    <w:rsid w:val="001B25C6"/>
    <w:rsid w:val="001B50E3"/>
    <w:rsid w:val="001B73A7"/>
    <w:rsid w:val="001B7533"/>
    <w:rsid w:val="001B7F49"/>
    <w:rsid w:val="001C4B70"/>
    <w:rsid w:val="001C5398"/>
    <w:rsid w:val="0023194A"/>
    <w:rsid w:val="00246AC3"/>
    <w:rsid w:val="00287B3D"/>
    <w:rsid w:val="002A39E9"/>
    <w:rsid w:val="002B2CB1"/>
    <w:rsid w:val="002C64D3"/>
    <w:rsid w:val="002D33F4"/>
    <w:rsid w:val="002E239A"/>
    <w:rsid w:val="002E3EE7"/>
    <w:rsid w:val="0030106B"/>
    <w:rsid w:val="0030573F"/>
    <w:rsid w:val="00311E6B"/>
    <w:rsid w:val="003265A5"/>
    <w:rsid w:val="00330425"/>
    <w:rsid w:val="0037225E"/>
    <w:rsid w:val="00382780"/>
    <w:rsid w:val="00382E3B"/>
    <w:rsid w:val="00386761"/>
    <w:rsid w:val="0041222C"/>
    <w:rsid w:val="00420C78"/>
    <w:rsid w:val="00426864"/>
    <w:rsid w:val="00465F68"/>
    <w:rsid w:val="004701DB"/>
    <w:rsid w:val="00511D77"/>
    <w:rsid w:val="0055732C"/>
    <w:rsid w:val="005643D1"/>
    <w:rsid w:val="00577BAC"/>
    <w:rsid w:val="00584F75"/>
    <w:rsid w:val="005A397B"/>
    <w:rsid w:val="005B261C"/>
    <w:rsid w:val="005B6970"/>
    <w:rsid w:val="005E22CE"/>
    <w:rsid w:val="005E2D90"/>
    <w:rsid w:val="005F52B2"/>
    <w:rsid w:val="006003C6"/>
    <w:rsid w:val="006517D6"/>
    <w:rsid w:val="00657229"/>
    <w:rsid w:val="00667C39"/>
    <w:rsid w:val="00672D7C"/>
    <w:rsid w:val="00687E78"/>
    <w:rsid w:val="006A12C1"/>
    <w:rsid w:val="006C6B6A"/>
    <w:rsid w:val="006E36D7"/>
    <w:rsid w:val="00715803"/>
    <w:rsid w:val="007452B7"/>
    <w:rsid w:val="0074720E"/>
    <w:rsid w:val="007530BA"/>
    <w:rsid w:val="007A0E5E"/>
    <w:rsid w:val="00810A94"/>
    <w:rsid w:val="0081496A"/>
    <w:rsid w:val="00820E94"/>
    <w:rsid w:val="008363B2"/>
    <w:rsid w:val="00853EAC"/>
    <w:rsid w:val="00867D0C"/>
    <w:rsid w:val="00871FD5"/>
    <w:rsid w:val="0087315A"/>
    <w:rsid w:val="00880CB9"/>
    <w:rsid w:val="00887789"/>
    <w:rsid w:val="008C07B3"/>
    <w:rsid w:val="008C3476"/>
    <w:rsid w:val="008C3FF3"/>
    <w:rsid w:val="008E5574"/>
    <w:rsid w:val="008F2D35"/>
    <w:rsid w:val="00962F90"/>
    <w:rsid w:val="00963373"/>
    <w:rsid w:val="00975E37"/>
    <w:rsid w:val="00986902"/>
    <w:rsid w:val="009947E6"/>
    <w:rsid w:val="009A645A"/>
    <w:rsid w:val="009B2C8C"/>
    <w:rsid w:val="009D62B7"/>
    <w:rsid w:val="00A118DB"/>
    <w:rsid w:val="00A46B6F"/>
    <w:rsid w:val="00A8234A"/>
    <w:rsid w:val="00A94259"/>
    <w:rsid w:val="00A96476"/>
    <w:rsid w:val="00AA50DB"/>
    <w:rsid w:val="00B338D4"/>
    <w:rsid w:val="00B55AF4"/>
    <w:rsid w:val="00B60D6A"/>
    <w:rsid w:val="00B71CA1"/>
    <w:rsid w:val="00B75DEA"/>
    <w:rsid w:val="00B92756"/>
    <w:rsid w:val="00BA11E9"/>
    <w:rsid w:val="00BA7FCF"/>
    <w:rsid w:val="00BC4216"/>
    <w:rsid w:val="00BC7CD4"/>
    <w:rsid w:val="00BD03BD"/>
    <w:rsid w:val="00BE0C51"/>
    <w:rsid w:val="00BE1F0B"/>
    <w:rsid w:val="00BE45B5"/>
    <w:rsid w:val="00BF7E45"/>
    <w:rsid w:val="00C04E5B"/>
    <w:rsid w:val="00C2416F"/>
    <w:rsid w:val="00C35B1C"/>
    <w:rsid w:val="00C4581E"/>
    <w:rsid w:val="00C46845"/>
    <w:rsid w:val="00C46C13"/>
    <w:rsid w:val="00C55A64"/>
    <w:rsid w:val="00C84177"/>
    <w:rsid w:val="00C94B88"/>
    <w:rsid w:val="00CC1165"/>
    <w:rsid w:val="00CE662C"/>
    <w:rsid w:val="00D01785"/>
    <w:rsid w:val="00D234AA"/>
    <w:rsid w:val="00D437BE"/>
    <w:rsid w:val="00D446DF"/>
    <w:rsid w:val="00D508D3"/>
    <w:rsid w:val="00D61C93"/>
    <w:rsid w:val="00D63BFA"/>
    <w:rsid w:val="00D6506D"/>
    <w:rsid w:val="00D65FDC"/>
    <w:rsid w:val="00D75047"/>
    <w:rsid w:val="00D7638F"/>
    <w:rsid w:val="00DA7B28"/>
    <w:rsid w:val="00DD3667"/>
    <w:rsid w:val="00DE57BB"/>
    <w:rsid w:val="00E26131"/>
    <w:rsid w:val="00E40DF8"/>
    <w:rsid w:val="00E41F81"/>
    <w:rsid w:val="00E5215B"/>
    <w:rsid w:val="00E71B9D"/>
    <w:rsid w:val="00E74A60"/>
    <w:rsid w:val="00E90F03"/>
    <w:rsid w:val="00ED6391"/>
    <w:rsid w:val="00EF1349"/>
    <w:rsid w:val="00EF1C6E"/>
    <w:rsid w:val="00F0658B"/>
    <w:rsid w:val="00F131B5"/>
    <w:rsid w:val="00F239DB"/>
    <w:rsid w:val="00F254D3"/>
    <w:rsid w:val="00F37E9C"/>
    <w:rsid w:val="00F5762A"/>
    <w:rsid w:val="00F634F0"/>
    <w:rsid w:val="00F66AE9"/>
    <w:rsid w:val="00F75F4B"/>
    <w:rsid w:val="00FB2829"/>
    <w:rsid w:val="00FB4020"/>
    <w:rsid w:val="00FE1526"/>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07AFF"/>
  <w15:chartTrackingRefBased/>
  <w15:docId w15:val="{1FF56012-6203-4149-9045-313F5B7C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785"/>
    <w:pPr>
      <w:spacing w:after="160" w:line="259" w:lineRule="auto"/>
    </w:pPr>
    <w:rPr>
      <w:rFonts w:ascii="Palatino Linotype" w:hAnsi="Palatino Linotype"/>
      <w:sz w:val="18"/>
      <w:szCs w:val="22"/>
    </w:rPr>
  </w:style>
  <w:style w:type="paragraph" w:styleId="Heading2">
    <w:name w:val="heading 2"/>
    <w:basedOn w:val="Normal"/>
    <w:next w:val="Normal"/>
    <w:link w:val="Heading2Char"/>
    <w:uiPriority w:val="1"/>
    <w:unhideWhenUsed/>
    <w:qFormat/>
    <w:rsid w:val="00D6506D"/>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65FDC"/>
    <w:pPr>
      <w:spacing w:after="0" w:line="240" w:lineRule="auto"/>
    </w:pPr>
    <w:rPr>
      <w:rFonts w:ascii="Times New Roman" w:eastAsia="SimSun" w:hAnsi="Times New Roman" w:cs="Times New Roman"/>
      <w:sz w:val="20"/>
      <w:szCs w:val="20"/>
      <w:lang w:val="en-US" w:eastAsia="zh-CN"/>
    </w:rPr>
  </w:style>
  <w:style w:type="character" w:customStyle="1" w:styleId="FootnoteTextChar">
    <w:name w:val="Footnote Text Char"/>
    <w:link w:val="FootnoteText"/>
    <w:uiPriority w:val="99"/>
    <w:rsid w:val="00D65FDC"/>
    <w:rPr>
      <w:rFonts w:ascii="Times New Roman" w:eastAsia="SimSun" w:hAnsi="Times New Roman" w:cs="Times New Roman"/>
      <w:lang w:val="en-US" w:eastAsia="zh-CN"/>
    </w:rPr>
  </w:style>
  <w:style w:type="character" w:styleId="FootnoteReference">
    <w:name w:val="footnote reference"/>
    <w:uiPriority w:val="99"/>
    <w:rsid w:val="00D65FDC"/>
    <w:rPr>
      <w:vertAlign w:val="superscript"/>
    </w:rPr>
  </w:style>
  <w:style w:type="character" w:styleId="Hyperlink">
    <w:name w:val="Hyperlink"/>
    <w:uiPriority w:val="99"/>
    <w:unhideWhenUsed/>
    <w:rsid w:val="00D01785"/>
    <w:rPr>
      <w:color w:val="0563C1"/>
      <w:u w:val="single"/>
    </w:rPr>
  </w:style>
  <w:style w:type="character" w:styleId="FollowedHyperlink">
    <w:name w:val="FollowedHyperlink"/>
    <w:basedOn w:val="DefaultParagraphFont"/>
    <w:uiPriority w:val="99"/>
    <w:semiHidden/>
    <w:unhideWhenUsed/>
    <w:rsid w:val="0008210F"/>
    <w:rPr>
      <w:color w:val="954F72" w:themeColor="followedHyperlink"/>
      <w:u w:val="single"/>
    </w:rPr>
  </w:style>
  <w:style w:type="paragraph" w:styleId="Header">
    <w:name w:val="header"/>
    <w:basedOn w:val="Normal"/>
    <w:link w:val="HeaderChar"/>
    <w:uiPriority w:val="99"/>
    <w:unhideWhenUsed/>
    <w:rsid w:val="008E5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574"/>
    <w:rPr>
      <w:rFonts w:ascii="Palatino Linotype" w:hAnsi="Palatino Linotype"/>
      <w:sz w:val="18"/>
      <w:szCs w:val="22"/>
    </w:rPr>
  </w:style>
  <w:style w:type="paragraph" w:styleId="Footer">
    <w:name w:val="footer"/>
    <w:basedOn w:val="Normal"/>
    <w:link w:val="FooterChar"/>
    <w:uiPriority w:val="99"/>
    <w:unhideWhenUsed/>
    <w:rsid w:val="008E5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574"/>
    <w:rPr>
      <w:rFonts w:ascii="Palatino Linotype" w:hAnsi="Palatino Linotype"/>
      <w:sz w:val="18"/>
      <w:szCs w:val="22"/>
    </w:rPr>
  </w:style>
  <w:style w:type="paragraph" w:styleId="IntenseQuote">
    <w:name w:val="Intense Quote"/>
    <w:basedOn w:val="Normal"/>
    <w:next w:val="Normal"/>
    <w:link w:val="IntenseQuoteChar"/>
    <w:uiPriority w:val="30"/>
    <w:qFormat/>
    <w:rsid w:val="0037225E"/>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37225E"/>
    <w:rPr>
      <w:rFonts w:ascii="Palatino Linotype" w:hAnsi="Palatino Linotype"/>
      <w:i/>
      <w:iCs/>
      <w:color w:val="000000" w:themeColor="text1"/>
      <w:sz w:val="18"/>
      <w:szCs w:val="22"/>
    </w:rPr>
  </w:style>
  <w:style w:type="paragraph" w:styleId="BodyText">
    <w:name w:val="Body Text"/>
    <w:basedOn w:val="Normal"/>
    <w:link w:val="BodyTextChar"/>
    <w:uiPriority w:val="99"/>
    <w:semiHidden/>
    <w:unhideWhenUsed/>
    <w:rsid w:val="00027D41"/>
    <w:pPr>
      <w:spacing w:after="120"/>
    </w:pPr>
  </w:style>
  <w:style w:type="character" w:customStyle="1" w:styleId="BodyTextChar">
    <w:name w:val="Body Text Char"/>
    <w:basedOn w:val="DefaultParagraphFont"/>
    <w:link w:val="BodyText"/>
    <w:uiPriority w:val="99"/>
    <w:semiHidden/>
    <w:rsid w:val="00027D41"/>
    <w:rPr>
      <w:rFonts w:ascii="Palatino Linotype" w:hAnsi="Palatino Linotype"/>
      <w:sz w:val="18"/>
      <w:szCs w:val="22"/>
    </w:rPr>
  </w:style>
  <w:style w:type="character" w:styleId="UnresolvedMention">
    <w:name w:val="Unresolved Mention"/>
    <w:basedOn w:val="DefaultParagraphFont"/>
    <w:uiPriority w:val="99"/>
    <w:semiHidden/>
    <w:unhideWhenUsed/>
    <w:rsid w:val="00027D41"/>
    <w:rPr>
      <w:color w:val="605E5C"/>
      <w:shd w:val="clear" w:color="auto" w:fill="E1DFDD"/>
    </w:rPr>
  </w:style>
  <w:style w:type="paragraph" w:styleId="ListParagraph">
    <w:name w:val="List Paragraph"/>
    <w:basedOn w:val="Normal"/>
    <w:uiPriority w:val="34"/>
    <w:qFormat/>
    <w:rsid w:val="00D6506D"/>
    <w:pPr>
      <w:spacing w:after="0" w:line="240" w:lineRule="auto"/>
      <w:ind w:left="720"/>
      <w:contextualSpacing/>
    </w:pPr>
    <w:rPr>
      <w:rFonts w:asciiTheme="minorHAnsi" w:eastAsiaTheme="minorEastAsia" w:hAnsiTheme="minorHAnsi" w:cstheme="minorBidi"/>
      <w:sz w:val="20"/>
      <w:szCs w:val="20"/>
      <w:lang w:val="en-US" w:eastAsia="zh-CN"/>
    </w:rPr>
  </w:style>
  <w:style w:type="character" w:customStyle="1" w:styleId="Heading2Char">
    <w:name w:val="Heading 2 Char"/>
    <w:basedOn w:val="DefaultParagraphFont"/>
    <w:link w:val="Heading2"/>
    <w:uiPriority w:val="9"/>
    <w:rsid w:val="00D6506D"/>
    <w:rPr>
      <w:rFonts w:asciiTheme="majorHAnsi" w:eastAsiaTheme="majorEastAsia" w:hAnsiTheme="majorHAnsi" w:cstheme="majorBidi"/>
      <w:color w:val="2E74B5" w:themeColor="accent1" w:themeShade="BF"/>
      <w:sz w:val="32"/>
      <w:szCs w:val="32"/>
      <w:lang w:val="en-US" w:eastAsia="zh-CN"/>
    </w:rPr>
  </w:style>
  <w:style w:type="paragraph" w:styleId="Caption">
    <w:name w:val="caption"/>
    <w:basedOn w:val="Normal"/>
    <w:next w:val="Normal"/>
    <w:uiPriority w:val="10"/>
    <w:unhideWhenUsed/>
    <w:qFormat/>
    <w:rsid w:val="00E26131"/>
    <w:pPr>
      <w:spacing w:after="0" w:line="240" w:lineRule="auto"/>
    </w:pPr>
    <w:rPr>
      <w:rFonts w:ascii="Times New Roman" w:eastAsiaTheme="minorEastAsia" w:hAnsi="Times New Roman" w:cstheme="minorBidi"/>
      <w:b/>
      <w:iCs/>
      <w:sz w:val="24"/>
      <w:szCs w:val="18"/>
      <w:lang w:val="en-US" w:eastAsia="zh-CN"/>
    </w:rPr>
  </w:style>
  <w:style w:type="table" w:styleId="TableGrid">
    <w:name w:val="Table Grid"/>
    <w:basedOn w:val="TableNormal"/>
    <w:uiPriority w:val="39"/>
    <w:rsid w:val="00E26131"/>
    <w:rPr>
      <w:rFonts w:asciiTheme="minorHAnsi" w:eastAsiaTheme="minorEastAsia" w:hAnsiTheme="minorHAnsi" w:cstheme="minorBidi"/>
      <w:sz w:val="22"/>
      <w:szCs w:val="22"/>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0329E4"/>
    <w:pPr>
      <w:spacing w:beforeAutospacing="1" w:afterAutospacing="1"/>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halil@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E6E8752B-A8C0-42CD-A1E2-2DF5D798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10285</Words>
  <Characters>58630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68778</CharactersWithSpaces>
  <SharedDoc>false</SharedDoc>
  <HLinks>
    <vt:vector size="6" baseType="variant">
      <vt:variant>
        <vt:i4>4325452</vt:i4>
      </vt:variant>
      <vt:variant>
        <vt:i4>3</vt:i4>
      </vt:variant>
      <vt:variant>
        <vt:i4>0</vt:i4>
      </vt:variant>
      <vt:variant>
        <vt:i4>5</vt:i4>
      </vt:variant>
      <vt:variant>
        <vt:lpwstr>https://www.phdfood2019.it/wp-content/uploads/2019/05/APA_Guide_2017.pdf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Alanshori</dc:creator>
  <cp:keywords/>
  <dc:description/>
  <cp:lastModifiedBy>lenovo ideapad</cp:lastModifiedBy>
  <cp:revision>10</cp:revision>
  <dcterms:created xsi:type="dcterms:W3CDTF">2026-04-21T15:58:00Z</dcterms:created>
  <dcterms:modified xsi:type="dcterms:W3CDTF">2026-05-15T02:00:00Z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b42fb8d6-58a6-4f1a-b467-d7e12a3652d0</vt:lpwstr>
  </property>
</Properties>
</file>