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8CD1F" w14:textId="77777777" w:rsidR="00B1578E" w:rsidRDefault="009D1EBD" w:rsidP="00B1578E">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0000"/>
          <w:sz w:val="36"/>
          <w:szCs w:val="36"/>
        </w:rPr>
      </w:pPr>
      <w:r w:rsidRPr="00B1578E">
        <w:rPr>
          <w:rFonts w:ascii="Times New Roman" w:eastAsia="Times New Roman" w:hAnsi="Times New Roman" w:cs="Times New Roman"/>
          <w:b/>
          <w:color w:val="000000"/>
          <w:sz w:val="36"/>
          <w:szCs w:val="36"/>
        </w:rPr>
        <w:t xml:space="preserve">Migration and its impact on agriculture in Nainital district’s </w:t>
      </w:r>
      <w:proofErr w:type="spellStart"/>
      <w:r w:rsidRPr="00B1578E">
        <w:rPr>
          <w:rFonts w:ascii="Times New Roman" w:eastAsia="Times New Roman" w:hAnsi="Times New Roman" w:cs="Times New Roman"/>
          <w:b/>
          <w:color w:val="000000"/>
          <w:sz w:val="36"/>
          <w:szCs w:val="36"/>
        </w:rPr>
        <w:t>Bhabhar</w:t>
      </w:r>
      <w:proofErr w:type="spellEnd"/>
    </w:p>
    <w:p w14:paraId="6CE3CA2E" w14:textId="0D65878C" w:rsidR="009D1EBD" w:rsidRPr="00B1578E" w:rsidRDefault="00B1578E" w:rsidP="00B1578E">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                          </w:t>
      </w:r>
      <w:r w:rsidR="009D1EBD" w:rsidRPr="00B1578E">
        <w:rPr>
          <w:rFonts w:ascii="Times New Roman" w:eastAsia="Times New Roman" w:hAnsi="Times New Roman" w:cs="Times New Roman"/>
          <w:b/>
          <w:color w:val="000000"/>
          <w:sz w:val="36"/>
          <w:szCs w:val="36"/>
        </w:rPr>
        <w:t xml:space="preserve"> </w:t>
      </w:r>
      <w:r>
        <w:rPr>
          <w:rFonts w:ascii="Times New Roman" w:eastAsia="Times New Roman" w:hAnsi="Times New Roman" w:cs="Times New Roman"/>
          <w:b/>
          <w:color w:val="000000"/>
          <w:sz w:val="36"/>
          <w:szCs w:val="36"/>
        </w:rPr>
        <w:t xml:space="preserve">                      </w:t>
      </w:r>
      <w:r w:rsidR="009D1EBD" w:rsidRPr="00B1578E">
        <w:rPr>
          <w:rFonts w:ascii="Times New Roman" w:eastAsia="Times New Roman" w:hAnsi="Times New Roman" w:cs="Times New Roman"/>
          <w:b/>
          <w:color w:val="000000"/>
          <w:sz w:val="36"/>
          <w:szCs w:val="36"/>
        </w:rPr>
        <w:t>region</w:t>
      </w:r>
    </w:p>
    <w:p w14:paraId="202C654D" w14:textId="67F7A4BD" w:rsidR="009D1EBD" w:rsidRPr="009D1EBD" w:rsidRDefault="009D1EBD" w:rsidP="009D1EBD">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r w:rsidR="00B1578E">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Aprajit Puri </w:t>
      </w:r>
    </w:p>
    <w:p w14:paraId="72CD3F39" w14:textId="7C80B57A" w:rsidR="00482E23" w:rsidRPr="00591BCC" w:rsidRDefault="00EA6542" w:rsidP="00E46B67">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0000"/>
          <w:sz w:val="28"/>
          <w:szCs w:val="28"/>
        </w:rPr>
      </w:pPr>
      <w:r w:rsidRPr="00591BCC">
        <w:rPr>
          <w:rFonts w:ascii="Times New Roman" w:eastAsia="Times New Roman" w:hAnsi="Times New Roman" w:cs="Times New Roman"/>
          <w:b/>
          <w:color w:val="000000"/>
          <w:sz w:val="28"/>
          <w:szCs w:val="28"/>
        </w:rPr>
        <w:t>Abstract</w:t>
      </w:r>
    </w:p>
    <w:p w14:paraId="3147DA19" w14:textId="05679BB6" w:rsidR="00E46B67" w:rsidRPr="00342FF7" w:rsidRDefault="00E46B67" w:rsidP="00E46B67">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rPr>
      </w:pPr>
      <w:r w:rsidRPr="00342FF7">
        <w:rPr>
          <w:rFonts w:ascii="Times New Roman" w:eastAsia="Times New Roman" w:hAnsi="Times New Roman" w:cs="Times New Roman"/>
          <w:color w:val="000000"/>
          <w:sz w:val="24"/>
        </w:rPr>
        <w:t>Migration has emerged as a notable socio-economic occurrence in numerous rural areas of India. This research explores the primary causes and effects of migration in the Kaladhungi and Bealparao areas of Nainital district, Uttarakhand. The study emphasizes pinpointing the elements that drive individuals to leave these regions, including scarce job prospects, poor agricultural yields, absence of advanced educational institutions, and insufficient healthcare resources. Simultaneously, enhanced job opportunities, increased salaries, superior education, and elevated living conditions in cities serve as powerful attractions driving migration.</w:t>
      </w:r>
      <w:r w:rsidR="00C1495B" w:rsidRPr="00342FF7">
        <w:t xml:space="preserve"> </w:t>
      </w:r>
      <w:r w:rsidR="00C1495B" w:rsidRPr="00342FF7">
        <w:rPr>
          <w:rFonts w:ascii="Times New Roman" w:eastAsia="Times New Roman" w:hAnsi="Times New Roman" w:cs="Times New Roman"/>
          <w:color w:val="000000"/>
          <w:sz w:val="24"/>
        </w:rPr>
        <w:t>This study explores the patterns and elements affecting land use and land cover change (LULCC) in these areas, employing a combination of remote sensing data, Geographic Information System (GIS) analysis, and field surveys to assess and demonstrate the spatial changes in land from conventional agriculture to orchard cultivation. Results indicate a notable increase in orchard spaces, often at the expense of traditional farming land, influenced by factors such as market demands, policy incentives, evolving labor circumstances, and the pursuit of enhanced financial benefits</w:t>
      </w:r>
    </w:p>
    <w:p w14:paraId="13AF9DE1" w14:textId="39D71B01" w:rsidR="00AB6B10" w:rsidRPr="00342FF7" w:rsidRDefault="00AB6B10" w:rsidP="00AB6B1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rPr>
      </w:pPr>
      <w:r w:rsidRPr="00342FF7">
        <w:rPr>
          <w:rFonts w:ascii="Times New Roman" w:eastAsia="Times New Roman" w:hAnsi="Times New Roman" w:cs="Times New Roman"/>
          <w:color w:val="000000"/>
          <w:sz w:val="24"/>
        </w:rPr>
        <w:t xml:space="preserve">Between 2011–12 and 2021–22, Nainital district experienced a notable decline in agricultural activity, with the net sown area decreasing by approximately 10.5% and the gross sown area dropping by about 7.4%. Concurrently, cultivable wasteland increased by roughly 14.8%, and fallow land surged by approximately 67%. </w:t>
      </w:r>
    </w:p>
    <w:p w14:paraId="53486A79" w14:textId="38F95E14" w:rsidR="00AB6B10" w:rsidRDefault="00EA6542" w:rsidP="00AB6B10">
      <w:pPr>
        <w:pBdr>
          <w:top w:val="none" w:sz="4" w:space="0" w:color="000000"/>
          <w:left w:val="none" w:sz="4" w:space="0" w:color="000000"/>
          <w:bottom w:val="none" w:sz="4" w:space="0" w:color="000000"/>
          <w:right w:val="none" w:sz="4" w:space="0" w:color="000000"/>
        </w:pBdr>
        <w:jc w:val="both"/>
        <w:rPr>
          <w:b/>
        </w:rPr>
      </w:pPr>
      <w:r>
        <w:rPr>
          <w:b/>
        </w:rPr>
        <w:t>Key Words-</w:t>
      </w:r>
      <w:r w:rsidR="003167B9">
        <w:rPr>
          <w:b/>
        </w:rPr>
        <w:t xml:space="preserve"> </w:t>
      </w:r>
      <w:r w:rsidR="003167B9">
        <w:rPr>
          <w:rFonts w:ascii="Times New Roman" w:hAnsi="Times New Roman" w:cs="Times New Roman"/>
          <w:sz w:val="24"/>
          <w:szCs w:val="24"/>
        </w:rPr>
        <w:t>land use and land cover change, Fragmented landholdings, land Rejuvenation</w:t>
      </w:r>
    </w:p>
    <w:p w14:paraId="38B03F70" w14:textId="70C0FFB3" w:rsidR="00482E23" w:rsidRPr="00591BCC" w:rsidRDefault="00EA6542" w:rsidP="00EA6542">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8"/>
          <w:szCs w:val="28"/>
        </w:rPr>
      </w:pPr>
      <w:r w:rsidRPr="00591BCC">
        <w:rPr>
          <w:rFonts w:ascii="Times New Roman" w:hAnsi="Times New Roman" w:cs="Times New Roman"/>
          <w:b/>
          <w:sz w:val="28"/>
          <w:szCs w:val="28"/>
        </w:rPr>
        <w:t>Introduction</w:t>
      </w:r>
    </w:p>
    <w:p w14:paraId="4A509D92" w14:textId="1EAB9CEF" w:rsidR="00EA6542" w:rsidRPr="00482E23" w:rsidRDefault="00EA6542" w:rsidP="00EA6542">
      <w:pPr>
        <w:pBdr>
          <w:top w:val="none" w:sz="4" w:space="0" w:color="000000"/>
          <w:left w:val="none" w:sz="4" w:space="0" w:color="000000"/>
          <w:bottom w:val="none" w:sz="4" w:space="0" w:color="000000"/>
          <w:right w:val="none" w:sz="4" w:space="0" w:color="000000"/>
        </w:pBdr>
        <w:jc w:val="both"/>
        <w:rPr>
          <w:b/>
          <w:sz w:val="28"/>
          <w:szCs w:val="28"/>
        </w:rPr>
      </w:pPr>
      <w:r w:rsidRPr="00EA6542">
        <w:rPr>
          <w:rFonts w:ascii="Times New Roman" w:hAnsi="Times New Roman" w:cs="Times New Roman"/>
          <w:sz w:val="24"/>
          <w:szCs w:val="24"/>
        </w:rPr>
        <w:t xml:space="preserve">Migration has become a significant challenge for agriculture in the foothill areas of the Himalayas, especially in locations like Kaladhungi and </w:t>
      </w:r>
      <w:r w:rsidR="00315950" w:rsidRPr="00EA6542">
        <w:rPr>
          <w:rFonts w:ascii="Times New Roman" w:hAnsi="Times New Roman" w:cs="Times New Roman"/>
          <w:sz w:val="24"/>
          <w:szCs w:val="24"/>
        </w:rPr>
        <w:t>Bealparao</w:t>
      </w:r>
      <w:r w:rsidRPr="00EA6542">
        <w:rPr>
          <w:rFonts w:ascii="Times New Roman" w:hAnsi="Times New Roman" w:cs="Times New Roman"/>
          <w:sz w:val="24"/>
          <w:szCs w:val="24"/>
        </w:rPr>
        <w:t xml:space="preserve"> in the Nainital district. Historic</w:t>
      </w:r>
      <w:bookmarkStart w:id="0" w:name="_GoBack"/>
      <w:bookmarkEnd w:id="0"/>
      <w:r w:rsidRPr="00EA6542">
        <w:rPr>
          <w:rFonts w:ascii="Times New Roman" w:hAnsi="Times New Roman" w:cs="Times New Roman"/>
          <w:sz w:val="24"/>
          <w:szCs w:val="24"/>
        </w:rPr>
        <w:t>ally, agriculture has been the foundation of rural livelihoods in these areas, bolstering local economies and ensuring household food security. In recent decades, the outflow of rural populations—particularly young people and working-age persons—has increased, resulting in a notable decrease in agricultural labor availability and the gradual neglect of farmlands.</w:t>
      </w:r>
    </w:p>
    <w:p w14:paraId="0FD0E7EC" w14:textId="0E64C119" w:rsidR="00EA6542" w:rsidRPr="00EA6542" w:rsidRDefault="00EA6542" w:rsidP="00EA6542">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EA6542">
        <w:rPr>
          <w:rFonts w:ascii="Times New Roman" w:hAnsi="Times New Roman" w:cs="Times New Roman"/>
          <w:sz w:val="24"/>
          <w:szCs w:val="24"/>
        </w:rPr>
        <w:t>Various elements influence this trend, such as reduced agricultural profitability, small and scattered land parcels, susceptibility to wildlife harm, and the absence of modern infrastructure and market accessibility. Consequently, numerous residents move to nearby cities or other states looking for enhanced job prospects and better quality of life. Although migration can yield economic advantages via remittances, it simultaneously poses a challenge for the agricultural sector by diminishing the labor force, undermining traditional farming methods, and jeopardizing long-term sustainability in agriculture.</w:t>
      </w:r>
    </w:p>
    <w:p w14:paraId="3A499900" w14:textId="5DDC193E" w:rsidR="00EA6542" w:rsidRDefault="00EA6542" w:rsidP="00EA6542">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EA6542">
        <w:rPr>
          <w:rFonts w:ascii="Times New Roman" w:hAnsi="Times New Roman" w:cs="Times New Roman"/>
          <w:sz w:val="24"/>
          <w:szCs w:val="24"/>
        </w:rPr>
        <w:t xml:space="preserve">In the villages near Kaladhungi and </w:t>
      </w:r>
      <w:r w:rsidR="00315950" w:rsidRPr="00EA6542">
        <w:rPr>
          <w:rFonts w:ascii="Times New Roman" w:hAnsi="Times New Roman" w:cs="Times New Roman"/>
          <w:sz w:val="24"/>
          <w:szCs w:val="24"/>
        </w:rPr>
        <w:t>Bealparao</w:t>
      </w:r>
      <w:r w:rsidRPr="00EA6542">
        <w:rPr>
          <w:rFonts w:ascii="Times New Roman" w:hAnsi="Times New Roman" w:cs="Times New Roman"/>
          <w:sz w:val="24"/>
          <w:szCs w:val="24"/>
        </w:rPr>
        <w:t>, the impact of migration is especially apparent through unused fields, an aging farming demographic, and reduced agricultural output. This scenario presents issues not only for the future of agriculture but also for socio-economic stability in rural areas and food security within the region. Thus, recognizing migration as a vital concern in Nainital district's agricultural context is crucial for formulating policies and strategies that can enhance rural livelihoods and promote sustainable agricultural growth</w:t>
      </w:r>
    </w:p>
    <w:p w14:paraId="2435036E" w14:textId="77777777" w:rsidR="00591BCC" w:rsidRDefault="00591BCC" w:rsidP="00C1495B">
      <w:pPr>
        <w:jc w:val="both"/>
        <w:rPr>
          <w:rFonts w:ascii="Times New Roman" w:hAnsi="Times New Roman" w:cs="Times New Roman"/>
          <w:b/>
          <w:sz w:val="28"/>
          <w:szCs w:val="28"/>
        </w:rPr>
      </w:pPr>
    </w:p>
    <w:p w14:paraId="1574576C" w14:textId="371E65D2" w:rsidR="00C1495B" w:rsidRPr="00292B67" w:rsidRDefault="00C1495B" w:rsidP="00C1495B">
      <w:pPr>
        <w:jc w:val="both"/>
        <w:rPr>
          <w:rFonts w:ascii="Times New Roman" w:hAnsi="Times New Roman" w:cs="Times New Roman"/>
          <w:sz w:val="24"/>
          <w:szCs w:val="24"/>
        </w:rPr>
      </w:pPr>
      <w:r w:rsidRPr="00BF3B41">
        <w:rPr>
          <w:rFonts w:ascii="Times New Roman" w:hAnsi="Times New Roman" w:cs="Times New Roman"/>
          <w:b/>
          <w:sz w:val="28"/>
          <w:szCs w:val="28"/>
        </w:rPr>
        <w:lastRenderedPageBreak/>
        <w:t>Study region</w:t>
      </w:r>
    </w:p>
    <w:p w14:paraId="2B4A85A7" w14:textId="77777777" w:rsidR="00C1495B" w:rsidRDefault="00C1495B" w:rsidP="00C1495B">
      <w:pPr>
        <w:jc w:val="both"/>
        <w:rPr>
          <w:rFonts w:ascii="Times New Roman" w:hAnsi="Times New Roman" w:cs="Times New Roman"/>
          <w:bCs/>
          <w:sz w:val="24"/>
          <w:szCs w:val="24"/>
        </w:rPr>
      </w:pPr>
      <w:r w:rsidRPr="001A155C">
        <w:rPr>
          <w:rFonts w:ascii="Times New Roman" w:hAnsi="Times New Roman" w:cs="Times New Roman"/>
          <w:bCs/>
          <w:sz w:val="24"/>
          <w:szCs w:val="24"/>
        </w:rPr>
        <w:t>The Kaladhungi- Bealparao region lies in Nainital district of Uttarakhand state</w:t>
      </w:r>
      <w:r w:rsidRPr="001A155C">
        <w:rPr>
          <w:rFonts w:ascii="Times New Roman" w:hAnsi="Times New Roman" w:cs="Times New Roman"/>
          <w:sz w:val="24"/>
          <w:szCs w:val="24"/>
        </w:rPr>
        <w:t xml:space="preserve"> </w:t>
      </w:r>
      <w:r w:rsidRPr="001A155C">
        <w:rPr>
          <w:rFonts w:ascii="Times New Roman" w:hAnsi="Times New Roman" w:cs="Times New Roman"/>
          <w:bCs/>
          <w:sz w:val="24"/>
          <w:szCs w:val="24"/>
        </w:rPr>
        <w:t xml:space="preserve">Kaladhungi at   Coordinates 29° 17' 0.636" N &amp; 79° 21' 3.6" E. </w:t>
      </w:r>
      <w:r>
        <w:rPr>
          <w:rFonts w:ascii="Times New Roman" w:hAnsi="Times New Roman" w:cs="Times New Roman"/>
          <w:bCs/>
          <w:sz w:val="24"/>
          <w:szCs w:val="24"/>
        </w:rPr>
        <w:t>It is well situated in the catchment area of river Koshi.</w:t>
      </w:r>
      <w:r w:rsidRPr="001A155C">
        <w:rPr>
          <w:rFonts w:ascii="Times New Roman" w:hAnsi="Times New Roman" w:cs="Times New Roman"/>
          <w:bCs/>
          <w:sz w:val="24"/>
          <w:szCs w:val="24"/>
        </w:rPr>
        <w:t xml:space="preserve">  The </w:t>
      </w:r>
      <w:proofErr w:type="spellStart"/>
      <w:r w:rsidRPr="001A155C">
        <w:rPr>
          <w:rFonts w:ascii="Times New Roman" w:hAnsi="Times New Roman" w:cs="Times New Roman"/>
          <w:bCs/>
          <w:sz w:val="24"/>
          <w:szCs w:val="24"/>
        </w:rPr>
        <w:t>Kosi</w:t>
      </w:r>
      <w:proofErr w:type="spellEnd"/>
      <w:r w:rsidRPr="001A155C">
        <w:rPr>
          <w:rFonts w:ascii="Times New Roman" w:hAnsi="Times New Roman" w:cs="Times New Roman"/>
          <w:bCs/>
          <w:sz w:val="24"/>
          <w:szCs w:val="24"/>
        </w:rPr>
        <w:t xml:space="preserve"> River, a significant geographical feature, forms a natural boundary between Nainital and </w:t>
      </w:r>
      <w:proofErr w:type="spellStart"/>
      <w:r w:rsidRPr="001A155C">
        <w:rPr>
          <w:rFonts w:ascii="Times New Roman" w:hAnsi="Times New Roman" w:cs="Times New Roman"/>
          <w:bCs/>
          <w:sz w:val="24"/>
          <w:szCs w:val="24"/>
        </w:rPr>
        <w:t>Almora</w:t>
      </w:r>
      <w:proofErr w:type="spellEnd"/>
      <w:r w:rsidRPr="001A155C">
        <w:rPr>
          <w:rFonts w:ascii="Times New Roman" w:hAnsi="Times New Roman" w:cs="Times New Roman"/>
          <w:bCs/>
          <w:sz w:val="24"/>
          <w:szCs w:val="24"/>
        </w:rPr>
        <w:t xml:space="preserve"> districts before merging with the Ramganga River flows through this region, and the region is well irrigated by these rivers.</w:t>
      </w:r>
      <w:r w:rsidRPr="00E12426">
        <w:rPr>
          <w:rFonts w:ascii="Times New Roman" w:hAnsi="Times New Roman" w:cs="Times New Roman"/>
          <w:bCs/>
          <w:sz w:val="24"/>
          <w:szCs w:val="24"/>
        </w:rPr>
        <w:t xml:space="preserve"> </w:t>
      </w:r>
      <w:r w:rsidRPr="001A155C">
        <w:rPr>
          <w:rFonts w:ascii="Times New Roman" w:hAnsi="Times New Roman" w:cs="Times New Roman"/>
          <w:bCs/>
          <w:sz w:val="24"/>
          <w:szCs w:val="24"/>
        </w:rPr>
        <w:t>The region is rich in agriculture and orchards.</w:t>
      </w:r>
    </w:p>
    <w:p w14:paraId="51125766" w14:textId="38326260" w:rsidR="00C1495B" w:rsidRPr="00B26D0B" w:rsidRDefault="00C1495B" w:rsidP="00C1495B">
      <w:pPr>
        <w:jc w:val="both"/>
        <w:rPr>
          <w:rFonts w:ascii="Times New Roman" w:hAnsi="Times New Roman" w:cs="Times New Roman"/>
          <w:b/>
          <w:sz w:val="28"/>
          <w:szCs w:val="28"/>
        </w:rPr>
      </w:pPr>
      <w:r w:rsidRPr="00B26D0B">
        <w:rPr>
          <w:rFonts w:ascii="Times New Roman" w:hAnsi="Times New Roman" w:cs="Times New Roman"/>
          <w:b/>
          <w:sz w:val="28"/>
          <w:szCs w:val="28"/>
        </w:rPr>
        <w:t xml:space="preserve">Objectives </w:t>
      </w:r>
      <w:r w:rsidRPr="00B26D0B">
        <w:rPr>
          <w:rFonts w:ascii="Times New Roman" w:hAnsi="Times New Roman" w:cs="Times New Roman"/>
          <w:color w:val="000000"/>
          <w:sz w:val="24"/>
          <w:szCs w:val="24"/>
        </w:rPr>
        <w:t>The following objectives are sufficient to understand the cause and changes in land use pattern</w:t>
      </w:r>
      <w:r>
        <w:rPr>
          <w:rFonts w:ascii="Times New Roman" w:hAnsi="Times New Roman" w:cs="Times New Roman"/>
          <w:color w:val="000000"/>
          <w:sz w:val="24"/>
          <w:szCs w:val="24"/>
        </w:rPr>
        <w:t xml:space="preserve"> due to migration</w:t>
      </w:r>
      <w:r w:rsidRPr="00B26D0B">
        <w:rPr>
          <w:rFonts w:ascii="Times New Roman" w:hAnsi="Times New Roman" w:cs="Times New Roman"/>
          <w:color w:val="000000"/>
          <w:sz w:val="24"/>
          <w:szCs w:val="24"/>
        </w:rPr>
        <w:t xml:space="preserve"> in the study area.</w:t>
      </w:r>
    </w:p>
    <w:p w14:paraId="47AFB294" w14:textId="77777777" w:rsidR="00C1495B" w:rsidRPr="00B26D0B" w:rsidRDefault="00C1495B" w:rsidP="00C1495B">
      <w:pPr>
        <w:pStyle w:val="ListParagraph"/>
        <w:numPr>
          <w:ilvl w:val="0"/>
          <w:numId w:val="4"/>
        </w:numPr>
        <w:jc w:val="both"/>
        <w:rPr>
          <w:rFonts w:ascii="Times New Roman" w:hAnsi="Times New Roman" w:cs="Times New Roman"/>
          <w:b/>
          <w:bCs/>
          <w:color w:val="000000"/>
          <w:sz w:val="24"/>
          <w:szCs w:val="24"/>
        </w:rPr>
      </w:pPr>
      <w:r w:rsidRPr="00B26D0B">
        <w:rPr>
          <w:rFonts w:ascii="Times New Roman" w:hAnsi="Times New Roman" w:cs="Times New Roman"/>
          <w:color w:val="000000"/>
          <w:sz w:val="24"/>
          <w:szCs w:val="24"/>
        </w:rPr>
        <w:t xml:space="preserve">To study land use Management of the study area. </w:t>
      </w:r>
    </w:p>
    <w:p w14:paraId="3A62BF64" w14:textId="4DB1FAE7" w:rsidR="00C1495B" w:rsidRDefault="00C1495B" w:rsidP="00C1495B">
      <w:pPr>
        <w:pStyle w:val="ListParagraph"/>
        <w:numPr>
          <w:ilvl w:val="0"/>
          <w:numId w:val="4"/>
        </w:numPr>
        <w:jc w:val="both"/>
        <w:rPr>
          <w:rFonts w:ascii="Times New Roman" w:hAnsi="Times New Roman" w:cs="Times New Roman"/>
          <w:color w:val="000000"/>
          <w:sz w:val="24"/>
          <w:szCs w:val="24"/>
        </w:rPr>
      </w:pPr>
      <w:r w:rsidRPr="00B26D0B">
        <w:rPr>
          <w:rFonts w:ascii="Times New Roman" w:hAnsi="Times New Roman" w:cs="Times New Roman"/>
          <w:color w:val="000000"/>
          <w:sz w:val="24"/>
          <w:szCs w:val="24"/>
        </w:rPr>
        <w:t xml:space="preserve">Agricultural development and it’s challenges due to </w:t>
      </w:r>
      <w:r>
        <w:rPr>
          <w:rFonts w:ascii="Times New Roman" w:hAnsi="Times New Roman" w:cs="Times New Roman"/>
          <w:color w:val="000000"/>
          <w:sz w:val="24"/>
          <w:szCs w:val="24"/>
        </w:rPr>
        <w:t>migration</w:t>
      </w:r>
      <w:r w:rsidRPr="00B26D0B">
        <w:rPr>
          <w:rFonts w:ascii="Times New Roman" w:hAnsi="Times New Roman" w:cs="Times New Roman"/>
          <w:color w:val="000000"/>
          <w:sz w:val="24"/>
          <w:szCs w:val="24"/>
        </w:rPr>
        <w:t xml:space="preserve">. </w:t>
      </w:r>
    </w:p>
    <w:p w14:paraId="71A6BD10" w14:textId="77777777" w:rsidR="00C1495B" w:rsidRPr="00BF3B41" w:rsidRDefault="00C1495B" w:rsidP="00C1495B">
      <w:pPr>
        <w:jc w:val="both"/>
        <w:rPr>
          <w:rFonts w:ascii="Times New Roman" w:hAnsi="Times New Roman" w:cs="Times New Roman"/>
          <w:b/>
          <w:sz w:val="28"/>
          <w:szCs w:val="28"/>
        </w:rPr>
      </w:pPr>
      <w:r w:rsidRPr="00BF3B41">
        <w:rPr>
          <w:rFonts w:ascii="Times New Roman" w:hAnsi="Times New Roman" w:cs="Times New Roman"/>
          <w:b/>
          <w:sz w:val="28"/>
          <w:szCs w:val="28"/>
        </w:rPr>
        <w:t>Research Methodology</w:t>
      </w:r>
    </w:p>
    <w:p w14:paraId="791D949B" w14:textId="2F3DEBEF" w:rsidR="00C1495B" w:rsidRDefault="00C1495B" w:rsidP="00C1495B">
      <w:pPr>
        <w:jc w:val="both"/>
        <w:rPr>
          <w:rFonts w:ascii="Times New Roman" w:hAnsi="Times New Roman" w:cs="Times New Roman"/>
          <w:b/>
          <w:sz w:val="24"/>
          <w:szCs w:val="24"/>
        </w:rPr>
      </w:pPr>
      <w:r w:rsidRPr="001A155C">
        <w:rPr>
          <w:rFonts w:ascii="Times New Roman" w:hAnsi="Times New Roman" w:cs="Times New Roman"/>
          <w:sz w:val="24"/>
          <w:szCs w:val="24"/>
        </w:rPr>
        <w:t>The spatial data utilized in this research was mainly sourced from multi-temporal satellite imagery to examine land use and land cover (LULC) changes in the Kaladhungi area of Nainital district, Uttarakhand. Data from Landsat satellites, specifically Landsat 5 (TM), Landsat 7 (ETM+), and Landsat 8 (OLI/TIRS), was used because of their reliable temporal coverage and appropriate spatial resolution for regional-scale studies. Furthermore, RESOURCESAT imagery was utilized to improve the accuracy and validation of LULC classification. These datasets</w:t>
      </w:r>
      <w:r w:rsidRPr="00C1495B">
        <w:rPr>
          <w:rFonts w:ascii="Times New Roman" w:hAnsi="Times New Roman" w:cs="Times New Roman"/>
          <w:sz w:val="24"/>
          <w:szCs w:val="24"/>
        </w:rPr>
        <w:t xml:space="preserve"> </w:t>
      </w:r>
      <w:r w:rsidRPr="001A155C">
        <w:rPr>
          <w:rFonts w:ascii="Times New Roman" w:hAnsi="Times New Roman" w:cs="Times New Roman"/>
          <w:sz w:val="24"/>
          <w:szCs w:val="24"/>
        </w:rPr>
        <w:t xml:space="preserve">offered detailed spectral data necessary for recognizing and delineating different land use and land cover types in the study area </w:t>
      </w:r>
    </w:p>
    <w:p w14:paraId="7EDAE987" w14:textId="77777777" w:rsidR="00C1495B" w:rsidRDefault="00C1495B" w:rsidP="00C1495B">
      <w:pPr>
        <w:jc w:val="both"/>
        <w:rPr>
          <w:rFonts w:ascii="Times New Roman" w:hAnsi="Times New Roman" w:cs="Times New Roman"/>
          <w:sz w:val="24"/>
          <w:szCs w:val="24"/>
        </w:rPr>
      </w:pPr>
      <w:r w:rsidRPr="001A155C">
        <w:rPr>
          <w:rFonts w:ascii="Times New Roman" w:hAnsi="Times New Roman" w:cs="Times New Roman"/>
          <w:sz w:val="24"/>
          <w:szCs w:val="24"/>
        </w:rPr>
        <w:t>For the primary data collection several interviews of local resident were collected.</w:t>
      </w:r>
    </w:p>
    <w:p w14:paraId="1C298478" w14:textId="77777777" w:rsidR="00AB6B10" w:rsidRPr="00482E23" w:rsidRDefault="00AB6B10" w:rsidP="00AB6B10">
      <w:pPr>
        <w:pStyle w:val="Heading3"/>
        <w:pBdr>
          <w:top w:val="none" w:sz="4" w:space="0" w:color="000000"/>
          <w:left w:val="none" w:sz="4" w:space="0" w:color="000000"/>
          <w:bottom w:val="none" w:sz="4" w:space="0" w:color="000000"/>
          <w:right w:val="none" w:sz="4" w:space="0" w:color="000000"/>
        </w:pBdr>
        <w:jc w:val="both"/>
        <w:rPr>
          <w:sz w:val="24"/>
          <w:szCs w:val="24"/>
        </w:rPr>
      </w:pPr>
      <w:r w:rsidRPr="00482E23">
        <w:rPr>
          <w:rFonts w:ascii="Times New Roman" w:eastAsia="Times New Roman" w:hAnsi="Times New Roman" w:cs="Times New Roman"/>
          <w:b/>
          <w:color w:val="000000"/>
          <w:sz w:val="24"/>
          <w:szCs w:val="24"/>
        </w:rPr>
        <w:t>Labor Shortages &amp; Declining Productivity</w:t>
      </w:r>
    </w:p>
    <w:p w14:paraId="41709F72" w14:textId="77777777" w:rsidR="00C1495B" w:rsidRDefault="00AB6B10" w:rsidP="00C1495B">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The migration of young men to urban centers has led to a significant labor shortage, impacting labor-intensive tasks such as weeding and terrace maintenance. Elderly farmers and women often struggle to manage distant plots, resulting in widespread field abandonment. Studies in the Himalayas indicate a decline in agricultural productivity, from approximately 583 kg/ha in 2001 to around 430 kg/ha in 2013, driven by reduced irrigation, erratic rainfall, and migration-related labor shortages.</w:t>
      </w:r>
    </w:p>
    <w:p w14:paraId="4DEE1D18" w14:textId="77777777" w:rsidR="00482E23" w:rsidRPr="00482E23" w:rsidRDefault="00AB6B10" w:rsidP="00AB6B1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482E23">
        <w:rPr>
          <w:rFonts w:ascii="Times New Roman" w:eastAsia="Times New Roman" w:hAnsi="Times New Roman" w:cs="Times New Roman"/>
          <w:b/>
          <w:color w:val="000000"/>
          <w:sz w:val="24"/>
          <w:szCs w:val="24"/>
        </w:rPr>
        <w:t>Crop Pattern Changes</w:t>
      </w:r>
      <w:r w:rsidR="00C1495B" w:rsidRPr="00482E23">
        <w:rPr>
          <w:rFonts w:ascii="Times New Roman" w:eastAsia="Times New Roman" w:hAnsi="Times New Roman" w:cs="Times New Roman"/>
          <w:color w:val="000000"/>
          <w:sz w:val="24"/>
          <w:szCs w:val="24"/>
        </w:rPr>
        <w:t xml:space="preserve"> </w:t>
      </w:r>
    </w:p>
    <w:p w14:paraId="5D41B5D3" w14:textId="50A10FF5" w:rsidR="00AB6B10" w:rsidRPr="00482E23" w:rsidRDefault="00AB6B10" w:rsidP="00AB6B1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rPr>
        <w:t>Traditional subsistence crops, including millets, pulses, and oilseeds, have largely been replaced by market-oriented crops like rice and wheat, or in some cases, farming has ceased entirely. This shift reduces crop diversity, increasing vulnerability to market fluctuations and extreme weather events, thereby undermining the region’s agricultural resilience.</w:t>
      </w:r>
    </w:p>
    <w:p w14:paraId="20032717" w14:textId="77777777" w:rsidR="00591BCC" w:rsidRDefault="00A95F6A" w:rsidP="00A95F6A">
      <w:pPr>
        <w:rPr>
          <w:rFonts w:ascii="Times New Roman" w:hAnsi="Times New Roman" w:cs="Times New Roman"/>
          <w:b/>
          <w:sz w:val="24"/>
          <w:szCs w:val="24"/>
        </w:rPr>
      </w:pPr>
      <w:r>
        <w:rPr>
          <w:rFonts w:ascii="Times New Roman" w:hAnsi="Times New Roman" w:cs="Times New Roman"/>
          <w:b/>
          <w:sz w:val="24"/>
          <w:szCs w:val="24"/>
        </w:rPr>
        <w:t xml:space="preserve">                              </w:t>
      </w:r>
    </w:p>
    <w:p w14:paraId="64F50B3D" w14:textId="77777777" w:rsidR="00591BCC" w:rsidRDefault="00591BCC" w:rsidP="00A95F6A">
      <w:pPr>
        <w:rPr>
          <w:rFonts w:ascii="Times New Roman" w:hAnsi="Times New Roman" w:cs="Times New Roman"/>
          <w:b/>
          <w:sz w:val="24"/>
          <w:szCs w:val="24"/>
        </w:rPr>
      </w:pPr>
    </w:p>
    <w:p w14:paraId="1B0B9A9A" w14:textId="77777777" w:rsidR="00591BCC" w:rsidRDefault="00591BCC" w:rsidP="00A95F6A">
      <w:pPr>
        <w:rPr>
          <w:rFonts w:ascii="Times New Roman" w:hAnsi="Times New Roman" w:cs="Times New Roman"/>
          <w:b/>
          <w:sz w:val="24"/>
          <w:szCs w:val="24"/>
        </w:rPr>
      </w:pPr>
    </w:p>
    <w:p w14:paraId="7B73DEE2" w14:textId="77777777" w:rsidR="00591BCC" w:rsidRDefault="00591BCC" w:rsidP="00A95F6A">
      <w:pPr>
        <w:rPr>
          <w:rFonts w:ascii="Times New Roman" w:hAnsi="Times New Roman" w:cs="Times New Roman"/>
          <w:b/>
          <w:sz w:val="24"/>
          <w:szCs w:val="24"/>
        </w:rPr>
      </w:pPr>
    </w:p>
    <w:p w14:paraId="0A2EFEE1" w14:textId="77777777" w:rsidR="00591BCC" w:rsidRDefault="00591BCC" w:rsidP="00A95F6A">
      <w:pPr>
        <w:rPr>
          <w:rFonts w:ascii="Times New Roman" w:hAnsi="Times New Roman" w:cs="Times New Roman"/>
          <w:b/>
          <w:sz w:val="24"/>
          <w:szCs w:val="24"/>
        </w:rPr>
      </w:pPr>
    </w:p>
    <w:p w14:paraId="13F9DD3B" w14:textId="77777777" w:rsidR="00591BCC" w:rsidRDefault="00591BCC" w:rsidP="00A95F6A">
      <w:pPr>
        <w:rPr>
          <w:rFonts w:ascii="Times New Roman" w:hAnsi="Times New Roman" w:cs="Times New Roman"/>
          <w:b/>
          <w:sz w:val="24"/>
          <w:szCs w:val="24"/>
        </w:rPr>
      </w:pPr>
    </w:p>
    <w:p w14:paraId="011F79B5" w14:textId="47F4C36C" w:rsidR="00A95F6A" w:rsidRDefault="00A95F6A" w:rsidP="00A95F6A">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1495B" w:rsidRPr="001D24E6">
        <w:rPr>
          <w:rFonts w:ascii="Times New Roman" w:hAnsi="Times New Roman" w:cs="Times New Roman"/>
          <w:b/>
          <w:sz w:val="24"/>
          <w:szCs w:val="24"/>
        </w:rPr>
        <w:t>Fig. 1.1 Landsat Images of Kaladhungi region</w:t>
      </w:r>
    </w:p>
    <w:p w14:paraId="4791099B" w14:textId="04B86D08" w:rsidR="00A95F6A" w:rsidRDefault="00C1495B" w:rsidP="00A95F6A">
      <w:pPr>
        <w:rPr>
          <w:rFonts w:ascii="Times New Roman" w:hAnsi="Times New Roman" w:cs="Times New Roman"/>
          <w:sz w:val="24"/>
          <w:szCs w:val="24"/>
        </w:rPr>
      </w:pPr>
      <w:r w:rsidRPr="001A155C">
        <w:rPr>
          <w:rFonts w:ascii="Times New Roman" w:hAnsi="Times New Roman" w:cs="Times New Roman"/>
          <w:sz w:val="24"/>
          <w:szCs w:val="24"/>
        </w:rPr>
        <w:t>LULC Kaladhungi Bealparao region (2015-16</w:t>
      </w:r>
      <w:r w:rsidR="00A95F6A">
        <w:rPr>
          <w:rFonts w:ascii="Times New Roman" w:hAnsi="Times New Roman" w:cs="Times New Roman"/>
          <w:sz w:val="24"/>
          <w:szCs w:val="24"/>
        </w:rPr>
        <w:t xml:space="preserve">)   </w:t>
      </w:r>
      <w:r w:rsidR="00A95F6A" w:rsidRPr="00A95F6A">
        <w:rPr>
          <w:rFonts w:ascii="Times New Roman" w:hAnsi="Times New Roman" w:cs="Times New Roman"/>
          <w:sz w:val="24"/>
          <w:szCs w:val="24"/>
        </w:rPr>
        <w:t xml:space="preserve"> </w:t>
      </w:r>
      <w:r w:rsidR="00A95F6A" w:rsidRPr="001A155C">
        <w:rPr>
          <w:rFonts w:ascii="Times New Roman" w:hAnsi="Times New Roman" w:cs="Times New Roman"/>
          <w:sz w:val="24"/>
          <w:szCs w:val="24"/>
        </w:rPr>
        <w:t>LULC Kaladhungi Bealparao</w:t>
      </w:r>
      <w:r w:rsidR="00A95F6A">
        <w:rPr>
          <w:rFonts w:ascii="Times New Roman" w:hAnsi="Times New Roman" w:cs="Times New Roman"/>
          <w:sz w:val="24"/>
          <w:szCs w:val="24"/>
        </w:rPr>
        <w:t xml:space="preserve"> </w:t>
      </w:r>
      <w:r w:rsidR="00A95F6A" w:rsidRPr="001A155C">
        <w:rPr>
          <w:rFonts w:ascii="Times New Roman" w:hAnsi="Times New Roman" w:cs="Times New Roman"/>
          <w:sz w:val="24"/>
          <w:szCs w:val="24"/>
        </w:rPr>
        <w:t>region</w:t>
      </w:r>
      <w:r w:rsidR="00A95F6A">
        <w:rPr>
          <w:rFonts w:ascii="Times New Roman" w:hAnsi="Times New Roman" w:cs="Times New Roman"/>
          <w:sz w:val="24"/>
          <w:szCs w:val="24"/>
        </w:rPr>
        <w:t xml:space="preserve"> </w:t>
      </w:r>
      <w:r w:rsidR="00A95F6A" w:rsidRPr="001A155C">
        <w:rPr>
          <w:rFonts w:ascii="Times New Roman" w:hAnsi="Times New Roman" w:cs="Times New Roman"/>
          <w:sz w:val="24"/>
          <w:szCs w:val="24"/>
        </w:rPr>
        <w:t>(2023)</w:t>
      </w:r>
    </w:p>
    <w:p w14:paraId="291CDACD" w14:textId="62C90B4B" w:rsidR="00C1495B" w:rsidRDefault="00C1495B" w:rsidP="00A95F6A">
      <w:pPr>
        <w:rPr>
          <w:rFonts w:ascii="Times New Roman" w:hAnsi="Times New Roman" w:cs="Times New Roman"/>
          <w:b/>
          <w:sz w:val="24"/>
          <w:szCs w:val="24"/>
        </w:rPr>
      </w:pPr>
      <w:r w:rsidRPr="001A155C">
        <w:rPr>
          <w:rFonts w:ascii="Times New Roman" w:hAnsi="Times New Roman" w:cs="Times New Roman"/>
          <w:noProof/>
          <w:sz w:val="24"/>
          <w:szCs w:val="24"/>
        </w:rPr>
        <w:drawing>
          <wp:inline distT="0" distB="0" distL="0" distR="0" wp14:anchorId="11D1F790" wp14:editId="3F130290">
            <wp:extent cx="2735619" cy="16694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lc kaladhungi 2915-16.png"/>
                    <pic:cNvPicPr/>
                  </pic:nvPicPr>
                  <pic:blipFill rotWithShape="1">
                    <a:blip r:embed="rId7" cstate="screen">
                      <a:extLst>
                        <a:ext uri="{28A0092B-C50C-407E-A947-70E740481C1C}">
                          <a14:useLocalDpi xmlns:a14="http://schemas.microsoft.com/office/drawing/2010/main" val="0"/>
                        </a:ext>
                      </a:extLst>
                    </a:blip>
                    <a:srcRect/>
                    <a:stretch/>
                  </pic:blipFill>
                  <pic:spPr bwMode="auto">
                    <a:xfrm>
                      <a:off x="0" y="0"/>
                      <a:ext cx="2792229" cy="1703961"/>
                    </a:xfrm>
                    <a:prstGeom prst="rect">
                      <a:avLst/>
                    </a:prstGeom>
                    <a:ln>
                      <a:noFill/>
                    </a:ln>
                    <a:extLst>
                      <a:ext uri="{53640926-AAD7-44D8-BBD7-CCE9431645EC}">
                        <a14:shadowObscured xmlns:a14="http://schemas.microsoft.com/office/drawing/2010/main"/>
                      </a:ext>
                    </a:extLst>
                  </pic:spPr>
                </pic:pic>
              </a:graphicData>
            </a:graphic>
          </wp:inline>
        </w:drawing>
      </w:r>
      <w:r w:rsidRPr="001A155C">
        <w:rPr>
          <w:rFonts w:ascii="Times New Roman" w:hAnsi="Times New Roman" w:cs="Times New Roman"/>
          <w:sz w:val="24"/>
          <w:szCs w:val="24"/>
        </w:rPr>
        <w:t xml:space="preserve"> </w:t>
      </w:r>
      <w:r w:rsidR="00A95F6A">
        <w:rPr>
          <w:rFonts w:ascii="Times New Roman" w:hAnsi="Times New Roman" w:cs="Times New Roman"/>
          <w:sz w:val="24"/>
          <w:szCs w:val="24"/>
        </w:rPr>
        <w:t xml:space="preserve">    </w:t>
      </w:r>
      <w:r w:rsidRPr="001A155C">
        <w:rPr>
          <w:rFonts w:ascii="Times New Roman" w:hAnsi="Times New Roman" w:cs="Times New Roman"/>
          <w:noProof/>
          <w:sz w:val="24"/>
          <w:szCs w:val="24"/>
        </w:rPr>
        <w:drawing>
          <wp:inline distT="0" distB="0" distL="0" distR="0" wp14:anchorId="57563171" wp14:editId="20B3A1CE">
            <wp:extent cx="2774731" cy="16764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lc 2023 kaladhungi.png"/>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2835660" cy="1713211"/>
                    </a:xfrm>
                    <a:prstGeom prst="rect">
                      <a:avLst/>
                    </a:prstGeom>
                    <a:ln>
                      <a:noFill/>
                    </a:ln>
                    <a:extLst>
                      <a:ext uri="{53640926-AAD7-44D8-BBD7-CCE9431645EC}">
                        <a14:shadowObscured xmlns:a14="http://schemas.microsoft.com/office/drawing/2010/main"/>
                      </a:ext>
                    </a:extLst>
                  </pic:spPr>
                </pic:pic>
              </a:graphicData>
            </a:graphic>
          </wp:inline>
        </w:drawing>
      </w:r>
    </w:p>
    <w:p w14:paraId="2B630C0C" w14:textId="2AF77AB7" w:rsidR="00C1495B" w:rsidRPr="00750966" w:rsidRDefault="00A95F6A" w:rsidP="00C1495B">
      <w:pPr>
        <w:rPr>
          <w:rFonts w:ascii="Times New Roman" w:hAnsi="Times New Roman" w:cs="Times New Roman"/>
          <w:noProof/>
          <w:sz w:val="24"/>
          <w:szCs w:val="24"/>
        </w:rPr>
      </w:pPr>
      <w:r>
        <w:rPr>
          <w:rFonts w:ascii="Times New Roman" w:hAnsi="Times New Roman" w:cs="Times New Roman"/>
          <w:b/>
          <w:sz w:val="24"/>
          <w:szCs w:val="24"/>
        </w:rPr>
        <w:t xml:space="preserve">                                                      </w:t>
      </w:r>
      <w:r w:rsidR="00C1495B">
        <w:rPr>
          <w:rFonts w:ascii="Times New Roman" w:hAnsi="Times New Roman" w:cs="Times New Roman"/>
          <w:b/>
          <w:sz w:val="24"/>
          <w:szCs w:val="24"/>
        </w:rPr>
        <w:t xml:space="preserve"> Fig 1.2 Legend</w:t>
      </w:r>
      <w:r w:rsidR="00C1495B" w:rsidRPr="001A155C">
        <w:rPr>
          <w:rFonts w:ascii="Times New Roman" w:hAnsi="Times New Roman" w:cs="Times New Roman"/>
          <w:sz w:val="24"/>
          <w:szCs w:val="24"/>
        </w:rPr>
        <w:t xml:space="preserve">                                                                                             </w:t>
      </w:r>
      <w:r w:rsidR="00C1495B" w:rsidRPr="001A155C">
        <w:rPr>
          <w:rFonts w:ascii="Times New Roman" w:hAnsi="Times New Roman" w:cs="Times New Roman"/>
          <w:noProof/>
          <w:sz w:val="24"/>
          <w:szCs w:val="24"/>
        </w:rPr>
        <w:t xml:space="preserve">     </w:t>
      </w:r>
      <w:r w:rsidR="00C1495B" w:rsidRPr="001A155C">
        <w:rPr>
          <w:rFonts w:ascii="Times New Roman" w:hAnsi="Times New Roman" w:cs="Times New Roman"/>
          <w:sz w:val="24"/>
          <w:szCs w:val="24"/>
        </w:rPr>
        <w:t xml:space="preserve">                   </w:t>
      </w:r>
      <w:r w:rsidR="00C1495B">
        <w:rPr>
          <w:rFonts w:ascii="Times New Roman" w:hAnsi="Times New Roman" w:cs="Times New Roman"/>
          <w:sz w:val="24"/>
          <w:szCs w:val="24"/>
        </w:rPr>
        <w:t xml:space="preserve">    </w:t>
      </w:r>
      <w:r w:rsidR="00C1495B" w:rsidRPr="001A155C">
        <w:rPr>
          <w:rFonts w:ascii="Times New Roman" w:hAnsi="Times New Roman" w:cs="Times New Roman"/>
          <w:sz w:val="24"/>
          <w:szCs w:val="24"/>
        </w:rPr>
        <w:t xml:space="preserve">      </w:t>
      </w:r>
      <w:r w:rsidR="00C1495B">
        <w:rPr>
          <w:rFonts w:ascii="Times New Roman" w:hAnsi="Times New Roman" w:cs="Times New Roman"/>
          <w:b/>
          <w:noProof/>
          <w:sz w:val="24"/>
          <w:szCs w:val="24"/>
        </w:rPr>
        <w:drawing>
          <wp:inline distT="0" distB="0" distL="0" distR="0" wp14:anchorId="265328F0" wp14:editId="0B69B00A">
            <wp:extent cx="2203450" cy="209359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lc 2023 legend 2.png"/>
                    <pic:cNvPicPr/>
                  </pic:nvPicPr>
                  <pic:blipFill rotWithShape="1">
                    <a:blip r:embed="rId9" cstate="screen">
                      <a:extLst>
                        <a:ext uri="{28A0092B-C50C-407E-A947-70E740481C1C}">
                          <a14:useLocalDpi xmlns:a14="http://schemas.microsoft.com/office/drawing/2010/main" val="0"/>
                        </a:ext>
                      </a:extLst>
                    </a:blip>
                    <a:srcRect/>
                    <a:stretch/>
                  </pic:blipFill>
                  <pic:spPr bwMode="auto">
                    <a:xfrm>
                      <a:off x="0" y="0"/>
                      <a:ext cx="2324478" cy="2208589"/>
                    </a:xfrm>
                    <a:prstGeom prst="rect">
                      <a:avLst/>
                    </a:prstGeom>
                    <a:ln>
                      <a:noFill/>
                    </a:ln>
                    <a:extLst>
                      <a:ext uri="{53640926-AAD7-44D8-BBD7-CCE9431645EC}">
                        <a14:shadowObscured xmlns:a14="http://schemas.microsoft.com/office/drawing/2010/main"/>
                      </a:ext>
                    </a:extLst>
                  </pic:spPr>
                </pic:pic>
              </a:graphicData>
            </a:graphic>
          </wp:inline>
        </w:drawing>
      </w:r>
      <w:r w:rsidR="00C1495B">
        <w:rPr>
          <w:rFonts w:ascii="Times New Roman" w:hAnsi="Times New Roman" w:cs="Times New Roman"/>
          <w:sz w:val="24"/>
          <w:szCs w:val="24"/>
        </w:rPr>
        <w:t xml:space="preserve">  </w:t>
      </w:r>
      <w:r w:rsidR="00C1495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C1495B">
        <w:rPr>
          <w:rFonts w:ascii="Times New Roman" w:hAnsi="Times New Roman" w:cs="Times New Roman"/>
          <w:noProof/>
          <w:sz w:val="24"/>
          <w:szCs w:val="24"/>
        </w:rPr>
        <w:t xml:space="preserve"> </w:t>
      </w:r>
      <w:r w:rsidR="00C1495B" w:rsidRPr="00750966">
        <w:rPr>
          <w:rFonts w:ascii="Times New Roman" w:hAnsi="Times New Roman" w:cs="Times New Roman"/>
          <w:noProof/>
          <w:sz w:val="24"/>
          <w:szCs w:val="24"/>
          <w:u w:val="single"/>
        </w:rPr>
        <w:drawing>
          <wp:inline distT="0" distB="0" distL="0" distR="0" wp14:anchorId="0E1B194C" wp14:editId="0B8166A7">
            <wp:extent cx="2070100" cy="202946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lc 2023 legend 2.png"/>
                    <pic:cNvPicPr/>
                  </pic:nvPicPr>
                  <pic:blipFill rotWithShape="1">
                    <a:blip r:embed="rId10" cstate="screen">
                      <a:extLst>
                        <a:ext uri="{28A0092B-C50C-407E-A947-70E740481C1C}">
                          <a14:useLocalDpi xmlns:a14="http://schemas.microsoft.com/office/drawing/2010/main" val="0"/>
                        </a:ext>
                      </a:extLst>
                    </a:blip>
                    <a:srcRect/>
                    <a:stretch/>
                  </pic:blipFill>
                  <pic:spPr bwMode="auto">
                    <a:xfrm>
                      <a:off x="0" y="0"/>
                      <a:ext cx="2204818" cy="2161533"/>
                    </a:xfrm>
                    <a:prstGeom prst="rect">
                      <a:avLst/>
                    </a:prstGeom>
                    <a:ln>
                      <a:noFill/>
                    </a:ln>
                    <a:extLst>
                      <a:ext uri="{53640926-AAD7-44D8-BBD7-CCE9431645EC}">
                        <a14:shadowObscured xmlns:a14="http://schemas.microsoft.com/office/drawing/2010/main"/>
                      </a:ext>
                    </a:extLst>
                  </pic:spPr>
                </pic:pic>
              </a:graphicData>
            </a:graphic>
          </wp:inline>
        </w:drawing>
      </w:r>
    </w:p>
    <w:p w14:paraId="5DE17F51" w14:textId="77777777" w:rsidR="00AB6B10" w:rsidRDefault="00AB6B10" w:rsidP="00AB6B10">
      <w:pPr>
        <w:pStyle w:val="Heading3"/>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rPr>
        <w:t>Environmental &amp; Social Feedback Loops</w:t>
      </w:r>
    </w:p>
    <w:p w14:paraId="2EDE4009" w14:textId="77777777" w:rsidR="00AB6B10" w:rsidRDefault="00AB6B10" w:rsidP="00AB6B1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In areas where farming has ceased, natural forest regrowth may stabilize slopes and reduce landslide risks. However, the increase in fallow land and the decline in active farming threaten biodiversity and weaken local food security. Many migrants rely on remittances, fostering a “money-order economy,” which contributes to the erosion of traditional agricultural knowledge and land stewardship across generations.</w:t>
      </w:r>
    </w:p>
    <w:p w14:paraId="2B6977E8" w14:textId="77777777" w:rsidR="00AB6B10" w:rsidRDefault="00AB6B10" w:rsidP="00AB6B10">
      <w:pPr>
        <w:pStyle w:val="Heading3"/>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rPr>
        <w:t>Adaptive Responses</w:t>
      </w:r>
    </w:p>
    <w:p w14:paraId="0829D2E8" w14:textId="77777777" w:rsidR="00AB6B10" w:rsidRDefault="00AB6B10" w:rsidP="00AB6B1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In response to these challenges, some hill communities, such as those in </w:t>
      </w:r>
      <w:proofErr w:type="spellStart"/>
      <w:r>
        <w:rPr>
          <w:rFonts w:ascii="Times New Roman" w:eastAsia="Times New Roman" w:hAnsi="Times New Roman" w:cs="Times New Roman"/>
          <w:color w:val="000000"/>
          <w:sz w:val="24"/>
        </w:rPr>
        <w:t>Almora</w:t>
      </w:r>
      <w:proofErr w:type="spellEnd"/>
      <w:r>
        <w:rPr>
          <w:rFonts w:ascii="Times New Roman" w:eastAsia="Times New Roman" w:hAnsi="Times New Roman" w:cs="Times New Roman"/>
          <w:color w:val="000000"/>
          <w:sz w:val="24"/>
        </w:rPr>
        <w:t>, have transitioned abandoned farmlands to high-value crops like medicinal and aromatic plants, supported by government initiatives. Opportunities exist to revitalize irrigation systems and equip farmers with climate-resilient techniques to enhance community resilience and agricultural sustainability in the Kaladhungi–Bealparao region.</w:t>
      </w:r>
    </w:p>
    <w:p w14:paraId="7C489449" w14:textId="77777777" w:rsidR="00AB6B10" w:rsidRDefault="00AB6B10" w:rsidP="00AB6B10">
      <w:pPr>
        <w:pStyle w:val="Heading3"/>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rPr>
        <w:t>Summary of Migration-Related Challenges</w:t>
      </w:r>
    </w:p>
    <w:p w14:paraId="076DB061" w14:textId="77777777" w:rsidR="00AB6B10" w:rsidRDefault="00AB6B10" w:rsidP="00AB6B1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The key issues associated with migration in the Kaladhungi–Bealparao region include:</w:t>
      </w:r>
    </w:p>
    <w:p w14:paraId="2079E958" w14:textId="58509E3B" w:rsidR="00AB6B10" w:rsidRDefault="00AB6B10" w:rsidP="00EA6542">
      <w:pPr>
        <w:pStyle w:val="ListParagraph"/>
        <w:numPr>
          <w:ilvl w:val="0"/>
          <w:numId w:val="1"/>
        </w:numPr>
        <w:pBdr>
          <w:top w:val="none" w:sz="4" w:space="0" w:color="000000"/>
          <w:left w:val="none" w:sz="4" w:space="0" w:color="000000"/>
          <w:bottom w:val="none" w:sz="4" w:space="0" w:color="000000"/>
          <w:right w:val="none" w:sz="4" w:space="0" w:color="000000"/>
        </w:pBdr>
        <w:jc w:val="both"/>
      </w:pPr>
      <w:r w:rsidRPr="00482E23">
        <w:rPr>
          <w:rFonts w:ascii="Times New Roman" w:eastAsia="Times New Roman" w:hAnsi="Times New Roman" w:cs="Times New Roman"/>
          <w:b/>
          <w:color w:val="000000"/>
          <w:sz w:val="24"/>
        </w:rPr>
        <w:t>A significant reduction in cultivated land</w:t>
      </w:r>
      <w:r>
        <w:rPr>
          <w:rFonts w:ascii="Times New Roman" w:eastAsia="Times New Roman" w:hAnsi="Times New Roman" w:cs="Times New Roman"/>
          <w:color w:val="000000"/>
          <w:sz w:val="24"/>
        </w:rPr>
        <w:t>, accompanied by a rise in uncultivated and wasteland areas.</w:t>
      </w:r>
    </w:p>
    <w:p w14:paraId="3CD7CF38" w14:textId="50156659" w:rsidR="00AB6B10" w:rsidRDefault="00AB6B10" w:rsidP="00EA6542">
      <w:pPr>
        <w:pStyle w:val="ListParagraph"/>
        <w:numPr>
          <w:ilvl w:val="0"/>
          <w:numId w:val="1"/>
        </w:numPr>
        <w:pBdr>
          <w:top w:val="none" w:sz="4" w:space="0" w:color="000000"/>
          <w:left w:val="none" w:sz="4" w:space="0" w:color="000000"/>
          <w:bottom w:val="none" w:sz="4" w:space="0" w:color="000000"/>
          <w:right w:val="none" w:sz="4" w:space="0" w:color="000000"/>
        </w:pBdr>
        <w:jc w:val="both"/>
      </w:pPr>
      <w:r w:rsidRPr="00482E23">
        <w:rPr>
          <w:rFonts w:ascii="Times New Roman" w:eastAsia="Times New Roman" w:hAnsi="Times New Roman" w:cs="Times New Roman"/>
          <w:b/>
          <w:color w:val="000000"/>
          <w:sz w:val="24"/>
        </w:rPr>
        <w:t>Labor shortages</w:t>
      </w:r>
      <w:r>
        <w:rPr>
          <w:rFonts w:ascii="Times New Roman" w:eastAsia="Times New Roman" w:hAnsi="Times New Roman" w:cs="Times New Roman"/>
          <w:color w:val="000000"/>
          <w:sz w:val="24"/>
        </w:rPr>
        <w:t>, particularly among young men, hindering terrace maintenance and reducing productivity.</w:t>
      </w:r>
    </w:p>
    <w:p w14:paraId="24497DFB" w14:textId="2C4651B4" w:rsidR="00AB6B10" w:rsidRDefault="00AB6B10" w:rsidP="00EA6542">
      <w:pPr>
        <w:pStyle w:val="ListParagraph"/>
        <w:numPr>
          <w:ilvl w:val="0"/>
          <w:numId w:val="1"/>
        </w:numPr>
        <w:pBdr>
          <w:top w:val="none" w:sz="4" w:space="0" w:color="000000"/>
          <w:left w:val="none" w:sz="4" w:space="0" w:color="000000"/>
          <w:bottom w:val="none" w:sz="4" w:space="0" w:color="000000"/>
          <w:right w:val="none" w:sz="4" w:space="0" w:color="000000"/>
        </w:pBdr>
        <w:jc w:val="both"/>
      </w:pPr>
      <w:r w:rsidRPr="00482E23">
        <w:rPr>
          <w:rFonts w:ascii="Times New Roman" w:eastAsia="Times New Roman" w:hAnsi="Times New Roman" w:cs="Times New Roman"/>
          <w:b/>
          <w:color w:val="000000"/>
          <w:sz w:val="24"/>
        </w:rPr>
        <w:t>A shift away from traditional crops</w:t>
      </w:r>
      <w:r>
        <w:rPr>
          <w:rFonts w:ascii="Times New Roman" w:eastAsia="Times New Roman" w:hAnsi="Times New Roman" w:cs="Times New Roman"/>
          <w:color w:val="000000"/>
          <w:sz w:val="24"/>
        </w:rPr>
        <w:t>, decreasing diversity and increasing susceptibility to economic and climatic risks.</w:t>
      </w:r>
    </w:p>
    <w:p w14:paraId="6B0C2DA5" w14:textId="682B5F4A" w:rsidR="00AB6B10" w:rsidRDefault="00AB6B10" w:rsidP="00EA6542">
      <w:pPr>
        <w:pStyle w:val="ListParagraph"/>
        <w:numPr>
          <w:ilvl w:val="0"/>
          <w:numId w:val="1"/>
        </w:numPr>
        <w:pBdr>
          <w:top w:val="none" w:sz="4" w:space="0" w:color="000000"/>
          <w:left w:val="none" w:sz="4" w:space="0" w:color="000000"/>
          <w:bottom w:val="none" w:sz="4" w:space="0" w:color="000000"/>
          <w:right w:val="none" w:sz="4" w:space="0" w:color="000000"/>
        </w:pBdr>
        <w:jc w:val="both"/>
      </w:pPr>
      <w:r w:rsidRPr="00482E23">
        <w:rPr>
          <w:rFonts w:ascii="Times New Roman" w:eastAsia="Times New Roman" w:hAnsi="Times New Roman" w:cs="Times New Roman"/>
          <w:b/>
          <w:color w:val="000000"/>
          <w:sz w:val="24"/>
        </w:rPr>
        <w:t>Environmental consequences</w:t>
      </w:r>
      <w:r>
        <w:rPr>
          <w:rFonts w:ascii="Times New Roman" w:eastAsia="Times New Roman" w:hAnsi="Times New Roman" w:cs="Times New Roman"/>
          <w:color w:val="000000"/>
          <w:sz w:val="24"/>
        </w:rPr>
        <w:t>, including natural vegetation regrowth and diminished agricultural stewardship.</w:t>
      </w:r>
    </w:p>
    <w:p w14:paraId="4D400A27" w14:textId="77777777" w:rsidR="00AB6B10" w:rsidRDefault="00AB6B10" w:rsidP="00AB6B10">
      <w:pPr>
        <w:pStyle w:val="ListParagraph"/>
        <w:numPr>
          <w:ilvl w:val="0"/>
          <w:numId w:val="1"/>
        </w:numPr>
        <w:pBdr>
          <w:top w:val="none" w:sz="4" w:space="0" w:color="000000"/>
          <w:left w:val="none" w:sz="4" w:space="0" w:color="000000"/>
          <w:bottom w:val="none" w:sz="4" w:space="0" w:color="000000"/>
          <w:right w:val="none" w:sz="4" w:space="0" w:color="000000"/>
        </w:pBdr>
        <w:jc w:val="both"/>
      </w:pPr>
      <w:r w:rsidRPr="00482E23">
        <w:rPr>
          <w:rFonts w:ascii="Times New Roman" w:eastAsia="Times New Roman" w:hAnsi="Times New Roman" w:cs="Times New Roman"/>
          <w:b/>
          <w:color w:val="000000"/>
          <w:sz w:val="24"/>
        </w:rPr>
        <w:lastRenderedPageBreak/>
        <w:t>Emerging adaptive strategies</w:t>
      </w:r>
      <w:r>
        <w:rPr>
          <w:rFonts w:ascii="Times New Roman" w:eastAsia="Times New Roman" w:hAnsi="Times New Roman" w:cs="Times New Roman"/>
          <w:color w:val="000000"/>
          <w:sz w:val="24"/>
        </w:rPr>
        <w:t>, such as cultivating medicinal plants, which show potential but require customization for the Kaladhungi–Bealparao context.</w:t>
      </w:r>
    </w:p>
    <w:p w14:paraId="4D6254E2" w14:textId="75D5BB7A" w:rsidR="00AB6B10" w:rsidRDefault="00AB6B10" w:rsidP="00A95F6A">
      <w:pPr>
        <w:pStyle w:val="ListParagraph"/>
        <w:numPr>
          <w:ilvl w:val="0"/>
          <w:numId w:val="2"/>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Conversion of Fertile Agricultural Land</w:t>
      </w:r>
      <w:r>
        <w:rPr>
          <w:rFonts w:ascii="Times New Roman" w:eastAsia="Times New Roman" w:hAnsi="Times New Roman" w:cs="Times New Roman"/>
          <w:color w:val="000000"/>
          <w:sz w:val="24"/>
        </w:rPr>
        <w:t>: Prime farmland with rich soil and access to water from rivers and canals is being leased or sold for industrial and commercial purposes. Post-conversion, the land becomes unsuitable for agriculture due to soil pollution from chemicals or construction, topsoil removal during grading, and changes in land use designation.</w:t>
      </w:r>
    </w:p>
    <w:p w14:paraId="4B88273B" w14:textId="4E3EABE6" w:rsidR="00AB6B10" w:rsidRDefault="00AB6B10" w:rsidP="00A95F6A">
      <w:pPr>
        <w:pStyle w:val="ListParagraph"/>
        <w:numPr>
          <w:ilvl w:val="0"/>
          <w:numId w:val="2"/>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Urbanization and Infrastructure Expansion</w:t>
      </w:r>
      <w:r>
        <w:rPr>
          <w:rFonts w:ascii="Times New Roman" w:eastAsia="Times New Roman" w:hAnsi="Times New Roman" w:cs="Times New Roman"/>
          <w:color w:val="000000"/>
          <w:sz w:val="24"/>
        </w:rPr>
        <w:t>: The growth of tourism, particularly near Jim Corbett National Park, has increased demand for hotels, resorts</w:t>
      </w:r>
      <w:r w:rsidR="00482E23">
        <w:rPr>
          <w:rFonts w:ascii="Times New Roman" w:eastAsia="Times New Roman" w:hAnsi="Times New Roman" w:cs="Times New Roman"/>
          <w:color w:val="000000"/>
          <w:sz w:val="24"/>
        </w:rPr>
        <w:t xml:space="preserve"> and many new factories and small industries (Fig. 1.3)</w:t>
      </w:r>
      <w:r>
        <w:rPr>
          <w:rFonts w:ascii="Times New Roman" w:eastAsia="Times New Roman" w:hAnsi="Times New Roman" w:cs="Times New Roman"/>
          <w:color w:val="000000"/>
          <w:sz w:val="24"/>
        </w:rPr>
        <w:t>. Infrastructure developments, including roads and parking lots, encroach on farmland, reducing crop production areas and disrupting the rural agricultural landscape.</w:t>
      </w:r>
    </w:p>
    <w:p w14:paraId="15E4BB9F" w14:textId="4726D425" w:rsidR="00AB6B10" w:rsidRPr="007B7933" w:rsidRDefault="00AB6B10" w:rsidP="00A95F6A">
      <w:pPr>
        <w:pStyle w:val="ListParagraph"/>
        <w:numPr>
          <w:ilvl w:val="0"/>
          <w:numId w:val="2"/>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Disruption of Irrigation Systems</w:t>
      </w:r>
      <w:r>
        <w:rPr>
          <w:rFonts w:ascii="Times New Roman" w:eastAsia="Times New Roman" w:hAnsi="Times New Roman" w:cs="Times New Roman"/>
          <w:color w:val="000000"/>
          <w:sz w:val="24"/>
        </w:rPr>
        <w:t>: Commercial and industrial projects divert or overexploit water sources such as canals, wells, and rivers, reducing water availability for irrigation. This directly impacts crop yields, forcing farmers to abandon traditional farming practices.</w:t>
      </w:r>
    </w:p>
    <w:p w14:paraId="2449F060" w14:textId="5644BEF6" w:rsidR="00AB6B10" w:rsidRDefault="00AB6B10" w:rsidP="00A95F6A">
      <w:pPr>
        <w:pStyle w:val="ListParagraph"/>
        <w:numPr>
          <w:ilvl w:val="0"/>
          <w:numId w:val="2"/>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Rising Land Prices and Speculative Selling</w:t>
      </w:r>
      <w:r>
        <w:rPr>
          <w:rFonts w:ascii="Times New Roman" w:eastAsia="Times New Roman" w:hAnsi="Times New Roman" w:cs="Times New Roman"/>
          <w:color w:val="000000"/>
          <w:sz w:val="24"/>
        </w:rPr>
        <w:t>: High profits from land sales for commercial ventures incentivize small and marginal farmers to sell their plots, weakening the local agricultural economy and diminishing interest in farming as a sustainable livelihood</w:t>
      </w:r>
      <w:r w:rsidR="00A95F6A">
        <w:rPr>
          <w:rFonts w:ascii="Times New Roman" w:eastAsia="Times New Roman" w:hAnsi="Times New Roman" w:cs="Times New Roman"/>
          <w:color w:val="000000"/>
          <w:sz w:val="24"/>
        </w:rPr>
        <w:t>.</w:t>
      </w:r>
    </w:p>
    <w:p w14:paraId="54748582" w14:textId="77777777" w:rsidR="006C5300" w:rsidRPr="006C5300" w:rsidRDefault="00AB6B10" w:rsidP="006C5300">
      <w:pPr>
        <w:pStyle w:val="ListParagraph"/>
        <w:numPr>
          <w:ilvl w:val="0"/>
          <w:numId w:val="2"/>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Environmental Degradation</w:t>
      </w:r>
      <w:r>
        <w:rPr>
          <w:rFonts w:ascii="Times New Roman" w:eastAsia="Times New Roman" w:hAnsi="Times New Roman" w:cs="Times New Roman"/>
          <w:color w:val="000000"/>
          <w:sz w:val="24"/>
        </w:rPr>
        <w:t>: Industrial and hospitality developments contribute to waste disposal issues, soil and water contamination, deforestation in buffer zones, and increased human-wildlife conflict near forest boundaries, all of which undermine the natural resources critical for agriculture.</w:t>
      </w:r>
    </w:p>
    <w:p w14:paraId="4E1521EA" w14:textId="7D890E3D" w:rsidR="00BF5B29" w:rsidRDefault="00A95F6A" w:rsidP="00BF5B29">
      <w:pPr>
        <w:pStyle w:val="ListParagraph"/>
        <w:numPr>
          <w:ilvl w:val="0"/>
          <w:numId w:val="2"/>
        </w:numPr>
        <w:jc w:val="both"/>
      </w:pPr>
      <w:r w:rsidRPr="005812C9">
        <w:rPr>
          <w:rFonts w:ascii="Times New Roman" w:hAnsi="Times New Roman" w:cs="Times New Roman"/>
          <w:b/>
          <w:sz w:val="24"/>
          <w:szCs w:val="24"/>
        </w:rPr>
        <w:t xml:space="preserve">Small and Fragmented Landholdings </w:t>
      </w:r>
      <w:r w:rsidRPr="005812C9">
        <w:rPr>
          <w:rFonts w:ascii="Times New Roman" w:hAnsi="Times New Roman" w:cs="Times New Roman"/>
          <w:sz w:val="24"/>
          <w:szCs w:val="24"/>
        </w:rPr>
        <w:t>Land fragmentation, resulting in small and scattered plots, hinders efficient mechanized farming and limits crop diversification</w:t>
      </w:r>
      <w:r w:rsidR="00482E23" w:rsidRPr="005812C9">
        <w:rPr>
          <w:rFonts w:ascii="Times New Roman" w:hAnsi="Times New Roman" w:cs="Times New Roman"/>
          <w:sz w:val="24"/>
          <w:szCs w:val="24"/>
        </w:rPr>
        <w:t xml:space="preserve"> (Fig. 1.4)</w:t>
      </w:r>
      <w:r>
        <w:t xml:space="preserve">    </w:t>
      </w:r>
    </w:p>
    <w:p w14:paraId="35D5F0D4" w14:textId="514EC9E4" w:rsidR="00BF5B29" w:rsidRDefault="00956FC3" w:rsidP="00BF5B29">
      <w:pPr>
        <w:pStyle w:val="ListParagraph"/>
        <w:pBdr>
          <w:top w:val="none" w:sz="4" w:space="0" w:color="000000"/>
          <w:left w:val="none" w:sz="4" w:space="0" w:color="000000"/>
          <w:bottom w:val="none" w:sz="4" w:space="0" w:color="000000"/>
          <w:right w:val="none" w:sz="4" w:space="0" w:color="000000"/>
        </w:pBdr>
        <w:ind w:left="709"/>
        <w:jc w:val="both"/>
      </w:pPr>
      <w:r>
        <w:t xml:space="preserve">           </w:t>
      </w:r>
      <w:r w:rsidR="00482E23">
        <w:t>Fig. 1.3</w:t>
      </w:r>
      <w:r w:rsidR="00482E23" w:rsidRPr="00482E23">
        <w:t xml:space="preserve"> </w:t>
      </w:r>
      <w:r w:rsidR="00482E23">
        <w:t xml:space="preserve">   </w:t>
      </w:r>
      <w:r w:rsidR="009D1EBD">
        <w:t xml:space="preserve">                                             </w:t>
      </w:r>
      <w:r w:rsidR="00BF5B29">
        <w:t xml:space="preserve">                                                               </w:t>
      </w:r>
      <w:r w:rsidR="00BF5B29">
        <w:t xml:space="preserve">Fig. 1.4 </w:t>
      </w:r>
      <w:r w:rsidR="009D1EBD">
        <w:t xml:space="preserve">                                        </w:t>
      </w:r>
    </w:p>
    <w:p w14:paraId="27C9F6D1" w14:textId="73315479" w:rsidR="00B0056D" w:rsidRDefault="00BF5B29" w:rsidP="00BF5B29">
      <w:pPr>
        <w:pStyle w:val="ListParagraph"/>
        <w:pBdr>
          <w:top w:val="none" w:sz="4" w:space="0" w:color="000000"/>
          <w:left w:val="none" w:sz="4" w:space="0" w:color="000000"/>
          <w:bottom w:val="none" w:sz="4" w:space="0" w:color="000000"/>
          <w:right w:val="none" w:sz="4" w:space="0" w:color="000000"/>
        </w:pBdr>
        <w:ind w:left="709"/>
        <w:jc w:val="both"/>
      </w:pPr>
      <w:r>
        <w:rPr>
          <w:noProof/>
        </w:rPr>
        <w:drawing>
          <wp:inline distT="0" distB="0" distL="0" distR="0" wp14:anchorId="08CF7210" wp14:editId="195772F5">
            <wp:extent cx="1822450" cy="1092200"/>
            <wp:effectExtent l="0" t="0" r="635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tory bealparao.png"/>
                    <pic:cNvPicPr>
                      <a:picLocks noChangeAspect="1"/>
                    </pic:cNvPicPr>
                  </pic:nvPicPr>
                  <pic:blipFill>
                    <a:blip r:embed="rId11"/>
                    <a:stretch/>
                  </pic:blipFill>
                  <pic:spPr bwMode="auto">
                    <a:xfrm>
                      <a:off x="0" y="0"/>
                      <a:ext cx="1839553" cy="1102450"/>
                    </a:xfrm>
                    <a:prstGeom prst="rect">
                      <a:avLst/>
                    </a:prstGeom>
                  </pic:spPr>
                </pic:pic>
              </a:graphicData>
            </a:graphic>
          </wp:inline>
        </w:drawing>
      </w:r>
      <w:r>
        <w:t xml:space="preserve">                                                        </w:t>
      </w:r>
      <w:r>
        <w:rPr>
          <w:noProof/>
        </w:rPr>
        <w:drawing>
          <wp:inline distT="0" distB="0" distL="0" distR="0" wp14:anchorId="41CBF0F4" wp14:editId="47E7A20C">
            <wp:extent cx="1847849" cy="1101090"/>
            <wp:effectExtent l="0" t="0" r="635" b="381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708-WA0031.jpg"/>
                    <pic:cNvPicPr>
                      <a:picLocks noChangeAspect="1"/>
                    </pic:cNvPicPr>
                  </pic:nvPicPr>
                  <pic:blipFill>
                    <a:blip r:embed="rId12"/>
                    <a:stretch/>
                  </pic:blipFill>
                  <pic:spPr bwMode="auto">
                    <a:xfrm>
                      <a:off x="0" y="0"/>
                      <a:ext cx="1909693" cy="1137942"/>
                    </a:xfrm>
                    <a:prstGeom prst="rect">
                      <a:avLst/>
                    </a:prstGeom>
                  </pic:spPr>
                </pic:pic>
              </a:graphicData>
            </a:graphic>
          </wp:inline>
        </w:drawing>
      </w:r>
    </w:p>
    <w:p w14:paraId="67BFD8CA" w14:textId="77777777" w:rsidR="00B0056D" w:rsidRDefault="00B0056D" w:rsidP="00956FC3">
      <w:pPr>
        <w:pStyle w:val="ListParagraph"/>
        <w:pBdr>
          <w:top w:val="none" w:sz="4" w:space="0" w:color="000000"/>
          <w:left w:val="none" w:sz="4" w:space="0" w:color="000000"/>
          <w:bottom w:val="none" w:sz="4" w:space="0" w:color="000000"/>
          <w:right w:val="none" w:sz="4" w:space="0" w:color="000000"/>
        </w:pBdr>
        <w:ind w:left="709"/>
        <w:jc w:val="both"/>
        <w:rPr>
          <w:rFonts w:ascii="Times New Roman" w:eastAsia="Times New Roman" w:hAnsi="Times New Roman" w:cs="Times New Roman"/>
          <w:b/>
          <w:color w:val="000000"/>
          <w:sz w:val="24"/>
        </w:rPr>
      </w:pPr>
    </w:p>
    <w:p w14:paraId="0ADF60EC" w14:textId="1DE163BA" w:rsidR="00A95F6A" w:rsidRDefault="00B0056D" w:rsidP="007D655A">
      <w:pPr>
        <w:pStyle w:val="ListParagraph"/>
        <w:numPr>
          <w:ilvl w:val="0"/>
          <w:numId w:val="6"/>
        </w:numPr>
        <w:pBdr>
          <w:top w:val="none" w:sz="4" w:space="0" w:color="000000"/>
          <w:left w:val="none" w:sz="4" w:space="0" w:color="000000"/>
          <w:bottom w:val="none" w:sz="4" w:space="0" w:color="000000"/>
          <w:right w:val="none" w:sz="4" w:space="0" w:color="000000"/>
        </w:pBdr>
        <w:jc w:val="both"/>
      </w:pPr>
      <w:r w:rsidRPr="007D655A">
        <w:rPr>
          <w:rFonts w:ascii="Times New Roman" w:eastAsia="Times New Roman" w:hAnsi="Times New Roman" w:cs="Times New Roman"/>
          <w:b/>
          <w:color w:val="000000"/>
          <w:sz w:val="24"/>
        </w:rPr>
        <w:t>Loss of Traditional Farming Practices</w:t>
      </w:r>
      <w:r w:rsidRPr="007D655A">
        <w:rPr>
          <w:rFonts w:ascii="Times New Roman" w:eastAsia="Times New Roman" w:hAnsi="Times New Roman" w:cs="Times New Roman"/>
          <w:color w:val="000000"/>
          <w:sz w:val="24"/>
        </w:rPr>
        <w:t>: The shift to non-agricultural land uses erodes traditional agricultural knowledge and practices. Younger generations are increasingly migrating to urban areas or pursuing non-agricultural jobs, further reducing farming activities</w:t>
      </w:r>
      <w:r w:rsidR="007D655A">
        <w:rPr>
          <w:rFonts w:ascii="Times New Roman" w:eastAsia="Times New Roman" w:hAnsi="Times New Roman" w:cs="Times New Roman"/>
          <w:color w:val="000000"/>
          <w:sz w:val="24"/>
        </w:rPr>
        <w:t>.</w:t>
      </w:r>
    </w:p>
    <w:p w14:paraId="3C526D2F" w14:textId="16D46C37" w:rsidR="00956FC3" w:rsidRPr="00956FC3" w:rsidRDefault="00956FC3" w:rsidP="00AB6B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956FC3">
        <w:rPr>
          <w:rFonts w:ascii="Times New Roman" w:hAnsi="Times New Roman" w:cs="Times New Roman"/>
          <w:b/>
          <w:sz w:val="24"/>
          <w:szCs w:val="24"/>
        </w:rPr>
        <w:t>Conclusion</w:t>
      </w:r>
    </w:p>
    <w:p w14:paraId="3255EDCD" w14:textId="5DDE82F2" w:rsidR="00AB6B10" w:rsidRDefault="00956FC3" w:rsidP="00AB6B10">
      <w:pPr>
        <w:pBdr>
          <w:top w:val="none" w:sz="4" w:space="0" w:color="000000"/>
          <w:left w:val="none" w:sz="4" w:space="0" w:color="000000"/>
          <w:bottom w:val="none" w:sz="4" w:space="0" w:color="000000"/>
          <w:right w:val="none" w:sz="4" w:space="0" w:color="000000"/>
        </w:pBdr>
        <w:jc w:val="both"/>
      </w:pPr>
      <w:r>
        <w:t xml:space="preserve"> </w:t>
      </w:r>
      <w:r w:rsidR="00A95F6A">
        <w:t xml:space="preserve">  </w:t>
      </w:r>
      <w:r w:rsidR="00AB6B10">
        <w:rPr>
          <w:rFonts w:ascii="Times New Roman" w:eastAsia="Times New Roman" w:hAnsi="Times New Roman" w:cs="Times New Roman"/>
          <w:color w:val="000000"/>
          <w:sz w:val="24"/>
        </w:rPr>
        <w:t>The Kaladhungi–Bealparao region is undergoing a significant land use transformation driven by tourism, industrial growth, and urban expansion. While these developments may yield short-term economic benefits, they threaten long-term agricultural sustainability, food security, and rural livelihoods. To mitigate these impacts, the following measures are recommended:</w:t>
      </w:r>
    </w:p>
    <w:p w14:paraId="392E7790" w14:textId="10F2CD03" w:rsidR="00AB6B10" w:rsidRDefault="00AB6B10" w:rsidP="00482E23">
      <w:pPr>
        <w:pStyle w:val="ListParagraph"/>
        <w:numPr>
          <w:ilvl w:val="0"/>
          <w:numId w:val="3"/>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Zoning Regulations</w:t>
      </w:r>
      <w:r>
        <w:rPr>
          <w:rFonts w:ascii="Times New Roman" w:eastAsia="Times New Roman" w:hAnsi="Times New Roman" w:cs="Times New Roman"/>
          <w:color w:val="000000"/>
          <w:sz w:val="24"/>
        </w:rPr>
        <w:t>: Implement strict zoning policies to protect agricultural land from conversion to non-agricultural uses.</w:t>
      </w:r>
    </w:p>
    <w:p w14:paraId="1A9D6AF8" w14:textId="17EDB125" w:rsidR="00AB6B10" w:rsidRDefault="00AB6B10" w:rsidP="00482E23">
      <w:pPr>
        <w:pStyle w:val="ListParagraph"/>
        <w:numPr>
          <w:ilvl w:val="0"/>
          <w:numId w:val="3"/>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Sustainable Tourism</w:t>
      </w:r>
      <w:r>
        <w:rPr>
          <w:rFonts w:ascii="Times New Roman" w:eastAsia="Times New Roman" w:hAnsi="Times New Roman" w:cs="Times New Roman"/>
          <w:color w:val="000000"/>
          <w:sz w:val="24"/>
        </w:rPr>
        <w:t>: Promote eco-friendly tourism practices that minimize environmental degradation and support local communities</w:t>
      </w:r>
      <w:r w:rsidR="00482E23">
        <w:rPr>
          <w:rFonts w:ascii="Times New Roman" w:eastAsia="Times New Roman" w:hAnsi="Times New Roman" w:cs="Times New Roman"/>
          <w:color w:val="000000"/>
          <w:sz w:val="24"/>
        </w:rPr>
        <w:t>.</w:t>
      </w:r>
    </w:p>
    <w:p w14:paraId="188BB752" w14:textId="0B58276B" w:rsidR="00AB6B10" w:rsidRDefault="00AB6B10" w:rsidP="00482E23">
      <w:pPr>
        <w:pStyle w:val="ListParagraph"/>
        <w:numPr>
          <w:ilvl w:val="0"/>
          <w:numId w:val="3"/>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Community Awareness</w:t>
      </w:r>
      <w:r>
        <w:rPr>
          <w:rFonts w:ascii="Times New Roman" w:eastAsia="Times New Roman" w:hAnsi="Times New Roman" w:cs="Times New Roman"/>
          <w:color w:val="000000"/>
          <w:sz w:val="24"/>
        </w:rPr>
        <w:t>: Increase public awareness of the importance of preserving agricultural land and traditional practices.</w:t>
      </w:r>
    </w:p>
    <w:p w14:paraId="6EA8C69B" w14:textId="3D108A32" w:rsidR="00AB6B10" w:rsidRDefault="00AB6B10" w:rsidP="00482E23">
      <w:pPr>
        <w:pStyle w:val="ListParagraph"/>
        <w:numPr>
          <w:ilvl w:val="0"/>
          <w:numId w:val="3"/>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Land Rejuvenation</w:t>
      </w:r>
      <w:r>
        <w:rPr>
          <w:rFonts w:ascii="Times New Roman" w:eastAsia="Times New Roman" w:hAnsi="Times New Roman" w:cs="Times New Roman"/>
          <w:color w:val="000000"/>
          <w:sz w:val="24"/>
        </w:rPr>
        <w:t>: Map abandoned terraces to identify opportunities for revitalization, focusing on high-value crops suited to the region’s microclimate.</w:t>
      </w:r>
    </w:p>
    <w:p w14:paraId="0B3E61E1" w14:textId="082D0D04" w:rsidR="00AB6B10" w:rsidRDefault="00AB6B10" w:rsidP="00482E23">
      <w:pPr>
        <w:pStyle w:val="ListParagraph"/>
        <w:numPr>
          <w:ilvl w:val="0"/>
          <w:numId w:val="3"/>
        </w:num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Labor Assessment</w:t>
      </w:r>
      <w:r>
        <w:rPr>
          <w:rFonts w:ascii="Times New Roman" w:eastAsia="Times New Roman" w:hAnsi="Times New Roman" w:cs="Times New Roman"/>
          <w:color w:val="000000"/>
          <w:sz w:val="24"/>
        </w:rPr>
        <w:t>: Evaluate labor needs and availability to support sustainable agricultural practices.</w:t>
      </w:r>
    </w:p>
    <w:p w14:paraId="1A7C0659" w14:textId="77777777" w:rsidR="00591BCC" w:rsidRDefault="00591BCC" w:rsidP="006C74AC">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p>
    <w:p w14:paraId="2B01811E" w14:textId="77777777" w:rsidR="00591BCC" w:rsidRDefault="00591BCC" w:rsidP="006C74AC">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p>
    <w:p w14:paraId="1374BC0B" w14:textId="230C540F" w:rsidR="006C74AC" w:rsidRPr="006C74AC" w:rsidRDefault="006C74AC" w:rsidP="006C74AC">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rPr>
      </w:pPr>
      <w:r w:rsidRPr="000529A0">
        <w:rPr>
          <w:rFonts w:ascii="Times New Roman" w:hAnsi="Times New Roman" w:cs="Times New Roman"/>
          <w:b/>
          <w:sz w:val="24"/>
          <w:szCs w:val="24"/>
        </w:rPr>
        <w:t>References</w:t>
      </w:r>
    </w:p>
    <w:p w14:paraId="005EACF8" w14:textId="77777777" w:rsidR="006C74AC" w:rsidRPr="009B403C" w:rsidRDefault="006C74AC" w:rsidP="006C74AC">
      <w:pPr>
        <w:pStyle w:val="ListParagraph"/>
        <w:numPr>
          <w:ilvl w:val="0"/>
          <w:numId w:val="5"/>
        </w:numPr>
        <w:rPr>
          <w:rFonts w:ascii="Times New Roman" w:hAnsi="Times New Roman" w:cs="Times New Roman"/>
          <w:sz w:val="24"/>
          <w:szCs w:val="24"/>
        </w:rPr>
      </w:pPr>
      <w:r w:rsidRPr="009B403C">
        <w:rPr>
          <w:rFonts w:ascii="Times New Roman" w:hAnsi="Times New Roman" w:cs="Times New Roman"/>
          <w:sz w:val="24"/>
          <w:szCs w:val="24"/>
        </w:rPr>
        <w:t xml:space="preserve">Rawat, J. S., Biswas, V., &amp; Kumar, M. (2013). Changes in land use/cover using geospatial techniques: A case study of </w:t>
      </w:r>
      <w:proofErr w:type="spellStart"/>
      <w:r w:rsidRPr="009B403C">
        <w:rPr>
          <w:rFonts w:ascii="Times New Roman" w:hAnsi="Times New Roman" w:cs="Times New Roman"/>
          <w:sz w:val="24"/>
          <w:szCs w:val="24"/>
        </w:rPr>
        <w:t>Ramnagar</w:t>
      </w:r>
      <w:proofErr w:type="spellEnd"/>
      <w:r w:rsidRPr="009B403C">
        <w:rPr>
          <w:rFonts w:ascii="Times New Roman" w:hAnsi="Times New Roman" w:cs="Times New Roman"/>
          <w:sz w:val="24"/>
          <w:szCs w:val="24"/>
        </w:rPr>
        <w:t xml:space="preserve"> town area, Nainital, Uttarakhand, India. </w:t>
      </w:r>
      <w:r w:rsidRPr="009B403C">
        <w:rPr>
          <w:rFonts w:ascii="Times New Roman" w:hAnsi="Times New Roman" w:cs="Times New Roman"/>
          <w:i/>
          <w:sz w:val="24"/>
          <w:szCs w:val="24"/>
        </w:rPr>
        <w:t>The Egyptian Journal of Remote Sensing and Space Science, 16</w:t>
      </w:r>
      <w:r w:rsidRPr="009B403C">
        <w:rPr>
          <w:rFonts w:ascii="Times New Roman" w:hAnsi="Times New Roman" w:cs="Times New Roman"/>
          <w:sz w:val="24"/>
          <w:szCs w:val="24"/>
        </w:rPr>
        <w:t>(1), 111–117.</w:t>
      </w:r>
    </w:p>
    <w:p w14:paraId="4B1E57B2" w14:textId="77777777" w:rsidR="006C74AC" w:rsidRPr="009B403C" w:rsidRDefault="006C74AC" w:rsidP="006C74AC">
      <w:pPr>
        <w:pStyle w:val="ListParagraph"/>
        <w:numPr>
          <w:ilvl w:val="0"/>
          <w:numId w:val="5"/>
        </w:numPr>
        <w:rPr>
          <w:rFonts w:ascii="Times New Roman" w:hAnsi="Times New Roman" w:cs="Times New Roman"/>
          <w:sz w:val="24"/>
          <w:szCs w:val="24"/>
        </w:rPr>
      </w:pPr>
      <w:proofErr w:type="spellStart"/>
      <w:r w:rsidRPr="009B403C">
        <w:rPr>
          <w:rFonts w:ascii="Times New Roman" w:eastAsia="Times New Roman" w:hAnsi="Times New Roman" w:cs="Times New Roman"/>
          <w:color w:val="000000"/>
          <w:sz w:val="24"/>
          <w:szCs w:val="24"/>
        </w:rPr>
        <w:t>Rautela</w:t>
      </w:r>
      <w:proofErr w:type="spellEnd"/>
      <w:r w:rsidRPr="009B403C">
        <w:rPr>
          <w:rFonts w:ascii="Times New Roman" w:eastAsia="Times New Roman" w:hAnsi="Times New Roman" w:cs="Times New Roman"/>
          <w:color w:val="000000"/>
          <w:sz w:val="24"/>
          <w:szCs w:val="24"/>
        </w:rPr>
        <w:t xml:space="preserve">, P., et al. (2014). Implications of rapid land use/land cover changes upon the environment of the area around Nainital, Uttarakhand, India. </w:t>
      </w:r>
      <w:r w:rsidRPr="009B403C">
        <w:rPr>
          <w:rFonts w:ascii="Times New Roman" w:eastAsia="Times New Roman" w:hAnsi="Times New Roman" w:cs="Times New Roman"/>
          <w:i/>
          <w:color w:val="000000"/>
          <w:sz w:val="24"/>
          <w:szCs w:val="24"/>
        </w:rPr>
        <w:t>Asian Journal of Environment and Disaster Management, 6</w:t>
      </w:r>
      <w:r w:rsidRPr="009B403C">
        <w:rPr>
          <w:rFonts w:ascii="Times New Roman" w:eastAsia="Times New Roman" w:hAnsi="Times New Roman" w:cs="Times New Roman"/>
          <w:color w:val="000000"/>
          <w:sz w:val="24"/>
          <w:szCs w:val="24"/>
        </w:rPr>
        <w:t>(1), 83–93.</w:t>
      </w:r>
    </w:p>
    <w:p w14:paraId="66172AF2" w14:textId="77777777" w:rsidR="006C74AC" w:rsidRPr="009B403C" w:rsidRDefault="006C74AC" w:rsidP="006C74AC">
      <w:pPr>
        <w:pStyle w:val="ListParagraph"/>
        <w:numPr>
          <w:ilvl w:val="0"/>
          <w:numId w:val="5"/>
        </w:numPr>
        <w:rPr>
          <w:rFonts w:ascii="Times New Roman" w:hAnsi="Times New Roman" w:cs="Times New Roman"/>
          <w:sz w:val="24"/>
          <w:szCs w:val="24"/>
        </w:rPr>
      </w:pPr>
      <w:r w:rsidRPr="009B403C">
        <w:rPr>
          <w:rFonts w:ascii="Times New Roman" w:eastAsia="Times New Roman" w:hAnsi="Times New Roman" w:cs="Times New Roman"/>
          <w:color w:val="000000"/>
          <w:sz w:val="24"/>
          <w:szCs w:val="24"/>
        </w:rPr>
        <w:t xml:space="preserve">Rawat, J. S., Kumar, M., &amp; Biswas, V. (2014). Land use/cover dynamics using multi-temporal satellite imagery: A case study of Haldwani town area, Nainital, Uttarakhand, India. </w:t>
      </w:r>
      <w:r w:rsidRPr="009B403C">
        <w:rPr>
          <w:rFonts w:ascii="Times New Roman" w:eastAsia="Times New Roman" w:hAnsi="Times New Roman" w:cs="Times New Roman"/>
          <w:i/>
          <w:color w:val="000000"/>
          <w:sz w:val="24"/>
          <w:szCs w:val="24"/>
        </w:rPr>
        <w:t>International Journal of Geomatics and Geosciences, 4</w:t>
      </w:r>
      <w:r w:rsidRPr="009B403C">
        <w:rPr>
          <w:rFonts w:ascii="Times New Roman" w:eastAsia="Times New Roman" w:hAnsi="Times New Roman" w:cs="Times New Roman"/>
          <w:color w:val="000000"/>
          <w:sz w:val="24"/>
          <w:szCs w:val="24"/>
        </w:rPr>
        <w:t>(3), ISSN 0976–4380.</w:t>
      </w:r>
    </w:p>
    <w:p w14:paraId="21D761A1" w14:textId="77777777" w:rsidR="006C74AC" w:rsidRPr="009B403C" w:rsidRDefault="006C74AC" w:rsidP="006C74AC">
      <w:pPr>
        <w:pStyle w:val="ListParagraph"/>
        <w:numPr>
          <w:ilvl w:val="0"/>
          <w:numId w:val="5"/>
        </w:numPr>
        <w:rPr>
          <w:rFonts w:ascii="Times New Roman" w:hAnsi="Times New Roman" w:cs="Times New Roman"/>
          <w:sz w:val="24"/>
          <w:szCs w:val="24"/>
        </w:rPr>
      </w:pPr>
      <w:r w:rsidRPr="009B403C">
        <w:rPr>
          <w:rFonts w:ascii="Times New Roman" w:eastAsia="Times New Roman" w:hAnsi="Times New Roman" w:cs="Times New Roman"/>
          <w:color w:val="000000"/>
          <w:sz w:val="24"/>
          <w:szCs w:val="24"/>
        </w:rPr>
        <w:t xml:space="preserve">Wakeel, A., et al. (2005). Forest management and land use/cover changes in a typical micro-watershed in the mid-elevation zone of Central Himalaya, India. </w:t>
      </w:r>
      <w:r w:rsidRPr="009B403C">
        <w:rPr>
          <w:rFonts w:ascii="Times New Roman" w:eastAsia="Times New Roman" w:hAnsi="Times New Roman" w:cs="Times New Roman"/>
          <w:i/>
          <w:color w:val="000000"/>
          <w:sz w:val="24"/>
          <w:szCs w:val="24"/>
        </w:rPr>
        <w:t>Forest Ecology and Management, 213</w:t>
      </w:r>
      <w:r w:rsidRPr="009B403C">
        <w:rPr>
          <w:rFonts w:ascii="Times New Roman" w:eastAsia="Times New Roman" w:hAnsi="Times New Roman" w:cs="Times New Roman"/>
          <w:color w:val="000000"/>
          <w:sz w:val="24"/>
          <w:szCs w:val="24"/>
        </w:rPr>
        <w:t>(1–3), 229–242.</w:t>
      </w:r>
    </w:p>
    <w:p w14:paraId="76C234E9" w14:textId="21B5092C" w:rsidR="006C74AC" w:rsidRPr="009D1EBD" w:rsidRDefault="006C74AC" w:rsidP="009D1EBD">
      <w:pPr>
        <w:pStyle w:val="ListParagraph"/>
        <w:numPr>
          <w:ilvl w:val="0"/>
          <w:numId w:val="5"/>
        </w:numPr>
        <w:rPr>
          <w:rFonts w:ascii="Times New Roman" w:hAnsi="Times New Roman" w:cs="Times New Roman"/>
          <w:sz w:val="24"/>
          <w:szCs w:val="24"/>
        </w:rPr>
      </w:pPr>
      <w:r w:rsidRPr="009B403C">
        <w:rPr>
          <w:rFonts w:ascii="Times New Roman" w:hAnsi="Times New Roman" w:cs="Times New Roman"/>
          <w:sz w:val="24"/>
          <w:szCs w:val="24"/>
        </w:rPr>
        <w:t xml:space="preserve">Sharma, E., &amp; Xu, J. (2007). Land use, landscape management, and environmental services in Mountain Mainland Asia: Introduction. </w:t>
      </w:r>
      <w:r w:rsidRPr="009B403C">
        <w:rPr>
          <w:rFonts w:ascii="Times New Roman" w:hAnsi="Times New Roman" w:cs="Times New Roman"/>
          <w:i/>
          <w:sz w:val="24"/>
          <w:szCs w:val="24"/>
        </w:rPr>
        <w:t>Tropical Ecology, 48</w:t>
      </w:r>
      <w:r w:rsidRPr="009B403C">
        <w:rPr>
          <w:rFonts w:ascii="Times New Roman" w:hAnsi="Times New Roman" w:cs="Times New Roman"/>
          <w:sz w:val="24"/>
          <w:szCs w:val="24"/>
        </w:rPr>
        <w:t>(2), 129–136.</w:t>
      </w:r>
    </w:p>
    <w:p w14:paraId="20766BA1" w14:textId="77777777" w:rsidR="00B012FA" w:rsidRDefault="00B012FA"/>
    <w:sectPr w:rsidR="00B012FA" w:rsidSect="00DD7BBB">
      <w:pgSz w:w="11906" w:h="16838"/>
      <w:pgMar w:top="1095"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92D71" w14:textId="77777777" w:rsidR="00B64EAB" w:rsidRDefault="00B64EAB" w:rsidP="00C977B0">
      <w:pPr>
        <w:spacing w:after="0" w:line="240" w:lineRule="auto"/>
      </w:pPr>
      <w:r>
        <w:separator/>
      </w:r>
    </w:p>
  </w:endnote>
  <w:endnote w:type="continuationSeparator" w:id="0">
    <w:p w14:paraId="2842E638" w14:textId="77777777" w:rsidR="00B64EAB" w:rsidRDefault="00B64EAB" w:rsidP="00C9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76B1E" w14:textId="77777777" w:rsidR="00B64EAB" w:rsidRDefault="00B64EAB" w:rsidP="00C977B0">
      <w:pPr>
        <w:spacing w:after="0" w:line="240" w:lineRule="auto"/>
      </w:pPr>
      <w:r>
        <w:separator/>
      </w:r>
    </w:p>
  </w:footnote>
  <w:footnote w:type="continuationSeparator" w:id="0">
    <w:p w14:paraId="73DD11D3" w14:textId="77777777" w:rsidR="00B64EAB" w:rsidRDefault="00B64EAB" w:rsidP="00C977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3336F"/>
    <w:multiLevelType w:val="multilevel"/>
    <w:tmpl w:val="BC9061F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13F4217F"/>
    <w:multiLevelType w:val="multilevel"/>
    <w:tmpl w:val="55761B9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19F4589F"/>
    <w:multiLevelType w:val="multilevel"/>
    <w:tmpl w:val="3C0AB60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 w15:restartNumberingAfterBreak="0">
    <w:nsid w:val="1D4A619C"/>
    <w:multiLevelType w:val="hybridMultilevel"/>
    <w:tmpl w:val="D1B45F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5265F49"/>
    <w:multiLevelType w:val="hybridMultilevel"/>
    <w:tmpl w:val="83FC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7529DA"/>
    <w:multiLevelType w:val="hybridMultilevel"/>
    <w:tmpl w:val="B7A6D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B10"/>
    <w:rsid w:val="00315950"/>
    <w:rsid w:val="003167B9"/>
    <w:rsid w:val="00342FF7"/>
    <w:rsid w:val="00482E23"/>
    <w:rsid w:val="005812C9"/>
    <w:rsid w:val="00591BCC"/>
    <w:rsid w:val="006C5300"/>
    <w:rsid w:val="006C74AC"/>
    <w:rsid w:val="007D655A"/>
    <w:rsid w:val="00956FC3"/>
    <w:rsid w:val="009600AC"/>
    <w:rsid w:val="009D1EBD"/>
    <w:rsid w:val="00A35C9C"/>
    <w:rsid w:val="00A95F6A"/>
    <w:rsid w:val="00AB6B10"/>
    <w:rsid w:val="00B0056D"/>
    <w:rsid w:val="00B012FA"/>
    <w:rsid w:val="00B1578E"/>
    <w:rsid w:val="00B64EAB"/>
    <w:rsid w:val="00BF5B29"/>
    <w:rsid w:val="00C1495B"/>
    <w:rsid w:val="00C977B0"/>
    <w:rsid w:val="00DD7BBB"/>
    <w:rsid w:val="00E46B67"/>
    <w:rsid w:val="00EA6542"/>
    <w:rsid w:val="00EB0D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D7F67"/>
  <w15:chartTrackingRefBased/>
  <w15:docId w15:val="{3B4EB060-CB96-4086-B1F8-599F2924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B10"/>
    <w:pPr>
      <w:spacing w:after="200" w:line="276" w:lineRule="auto"/>
    </w:pPr>
    <w:rPr>
      <w:lang w:val="en-US"/>
    </w:rPr>
  </w:style>
  <w:style w:type="paragraph" w:styleId="Heading3">
    <w:name w:val="heading 3"/>
    <w:basedOn w:val="Normal"/>
    <w:next w:val="Normal"/>
    <w:link w:val="Heading3Char"/>
    <w:uiPriority w:val="9"/>
    <w:unhideWhenUsed/>
    <w:qFormat/>
    <w:rsid w:val="00AB6B10"/>
    <w:pPr>
      <w:keepNext/>
      <w:keepLines/>
      <w:spacing w:before="160" w:after="80"/>
      <w:outlineLvl w:val="2"/>
    </w:pPr>
    <w:rPr>
      <w:rFonts w:ascii="Arial" w:eastAsia="Arial" w:hAnsi="Arial" w:cs="Arial"/>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B6B10"/>
    <w:rPr>
      <w:rFonts w:ascii="Arial" w:eastAsia="Arial" w:hAnsi="Arial" w:cs="Arial"/>
      <w:color w:val="2F5496" w:themeColor="accent1" w:themeShade="BF"/>
      <w:sz w:val="28"/>
      <w:szCs w:val="28"/>
      <w:lang w:val="en-US"/>
    </w:rPr>
  </w:style>
  <w:style w:type="paragraph" w:styleId="ListParagraph">
    <w:name w:val="List Paragraph"/>
    <w:basedOn w:val="Normal"/>
    <w:uiPriority w:val="1"/>
    <w:qFormat/>
    <w:rsid w:val="00AB6B10"/>
    <w:pPr>
      <w:ind w:left="720"/>
      <w:contextualSpacing/>
    </w:pPr>
  </w:style>
  <w:style w:type="paragraph" w:styleId="Header">
    <w:name w:val="header"/>
    <w:basedOn w:val="Normal"/>
    <w:link w:val="HeaderChar"/>
    <w:uiPriority w:val="99"/>
    <w:unhideWhenUsed/>
    <w:rsid w:val="00C97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7B0"/>
    <w:rPr>
      <w:lang w:val="en-US"/>
    </w:rPr>
  </w:style>
  <w:style w:type="paragraph" w:styleId="Footer">
    <w:name w:val="footer"/>
    <w:basedOn w:val="Normal"/>
    <w:link w:val="FooterChar"/>
    <w:uiPriority w:val="99"/>
    <w:unhideWhenUsed/>
    <w:rsid w:val="00C97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7B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6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5</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2026-02-14T08:00:00Z</dcterms:created>
  <dcterms:modified xsi:type="dcterms:W3CDTF">2026-04-15T05:47:00Z</dcterms:modified>
</cp:coreProperties>
</file>