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350" w:rsidRDefault="005D0350"/>
    <w:p w:rsidR="005D0350" w:rsidRDefault="005D0350"/>
    <w:p w:rsidR="005D0350" w:rsidRDefault="00CF550A">
      <w:pPr>
        <w:jc w:val="center"/>
      </w:pPr>
      <w:r>
        <w:rPr>
          <w:b/>
          <w:bCs/>
        </w:rPr>
        <w:t>Exercise Rehabilitation in Residential Care Facilities for the Elderly:</w:t>
      </w:r>
    </w:p>
    <w:p w:rsidR="005D0350" w:rsidRDefault="00CF550A">
      <w:pPr>
        <w:jc w:val="center"/>
      </w:pPr>
      <w:r>
        <w:rPr>
          <w:b/>
          <w:bCs/>
        </w:rPr>
        <w:t/>
      </w:r>
    </w:p>
    <w:p w:rsidR="005D0350" w:rsidRDefault="005D0350"/>
    <w:p w:rsidR="00FD4120" w:rsidRDefault="00FD4120" w:rsidP="00FD4120">
      <w:pPr>
        <w:jc w:val="center"/>
      </w:pPr>
      <w:proofErr w:type="spellStart"/>
      <w:r>
        <w:t/>
      </w:r>
      <w:proofErr w:type="spellEnd"/>
      <w:r>
        <w:t xml:space="preserve"/>
      </w:r>
    </w:p>
    <w:p w:rsidR="00FD4120" w:rsidRDefault="00FD4120" w:rsidP="00FD4120"/>
    <w:p w:rsidR="00FD4120" w:rsidRDefault="00FD4120" w:rsidP="00FD4120">
      <w:pPr>
        <w:jc w:val="center"/>
      </w:pPr>
      <w:r>
        <w:t/>
      </w:r>
    </w:p>
    <w:p w:rsidR="00FD4120" w:rsidRDefault="00FD4120" w:rsidP="00FD4120"/>
    <w:p w:rsidR="00FD4120" w:rsidRDefault="00FD4120" w:rsidP="00FD4120"/>
    <w:p w:rsidR="00FD4120" w:rsidRDefault="00FD4120" w:rsidP="00FD4120">
      <w:pPr>
        <w:jc w:val="center"/>
      </w:pPr>
      <w:r>
        <w:t/>
      </w:r>
    </w:p>
    <w:p w:rsidR="00FD4120" w:rsidRDefault="00FD4120" w:rsidP="00FD4120"/>
    <w:p w:rsidR="00FD4120" w:rsidRDefault="00FD4120" w:rsidP="00FD4120">
      <w:pPr>
        <w:jc w:val="center"/>
      </w:pPr>
      <w:r>
        <w:t/>
      </w:r>
    </w:p>
    <w:p w:rsidR="00FD4120" w:rsidRDefault="00FD4120" w:rsidP="00FD4120">
      <w:pPr>
        <w:jc w:val="center"/>
      </w:pPr>
      <w:proofErr w:type="spellStart"/>
      <w:r>
        <w:t/>
      </w:r>
      <w:proofErr w:type="spellEnd"/>
      <w:r>
        <w:t xml:space="preserve"/>
      </w:r>
    </w:p>
    <w:p w:rsidR="00FD4120" w:rsidRDefault="00FD4120" w:rsidP="00FD4120">
      <w:pPr>
        <w:jc w:val="center"/>
      </w:pPr>
      <w:r>
        <w:t/>
      </w:r>
    </w:p>
    <w:p w:rsidR="00FD4120" w:rsidRDefault="00FD4120" w:rsidP="00FD4120">
      <w:pPr>
        <w:jc w:val="center"/>
      </w:pPr>
      <w:r>
        <w:t/>
      </w:r>
    </w:p>
    <w:p w:rsidR="00FD4120" w:rsidRDefault="00FD4120" w:rsidP="00FD4120">
      <w:pPr>
        <w:jc w:val="center"/>
      </w:pPr>
      <w:r>
        <w:t/>
      </w:r>
    </w:p>
    <w:p w:rsidR="00FD4120" w:rsidRDefault="00FD4120" w:rsidP="00FD4120"/>
    <w:p w:rsidR="00FD4120" w:rsidRDefault="00FD4120" w:rsidP="00FD4120">
      <w:pPr>
        <w:jc w:val="center"/>
      </w:pPr>
      <w:r>
        <w:t/>
      </w:r>
    </w:p>
    <w:p w:rsidR="00FD4120" w:rsidRDefault="00FD4120" w:rsidP="00FD4120"/>
    <w:p w:rsidR="00FD4120" w:rsidRDefault="00FD4120" w:rsidP="00FD4120">
      <w:pPr>
        <w:jc w:val="center"/>
      </w:pPr>
      <w:r>
        <w:t/>
      </w:r>
    </w:p>
    <w:p w:rsidR="005D0350" w:rsidRDefault="005D0350">
      <w:pPr>
        <w:pageBreakBefore/>
      </w:pPr>
    </w:p>
    <w:p w:rsidR="005D0350" w:rsidRDefault="00CF550A">
      <w:pPr>
        <w:spacing w:before="240" w:after="120" w:line="480" w:lineRule="auto"/>
      </w:pPr>
      <w:r>
        <w:rPr>
          <w:b/>
          <w:bCs/>
        </w:rPr>
        <w:t>ABSTRACT</w:t>
      </w:r>
    </w:p>
    <w:p w:rsidR="005D0350" w:rsidRDefault="005D0350"/>
    <w:p w:rsidR="005D0350" w:rsidRDefault="00CF550A">
      <w:pPr>
        <w:spacing w:line="480" w:lineRule="auto"/>
        <w:jc w:val="both"/>
      </w:pPr>
      <w:r>
        <w:rPr>
          <w:b/>
          <w:bCs/>
        </w:rPr>
        <w:t xml:space="preserve">Purpose: </w:t>
      </w:r>
      <w:r>
        <w:t>Older adults in Residential Care Facilities for the Elderly (RCFEs) experience accelerated functional decline that increases fall risk, dependence in activities of daily living, and mortality. Despite robust evidence supporting exercise rehabilitation for community-dwelling older adults, equivalent frameworks for the RCFE setting are absent from the clinical literature. This systematic review synthesizes evidence on exercise rehabilitation interventions in residential care environments and proposes a structured, therapist-guided practice framework for RCFE implementation.</w:t>
      </w:r>
    </w:p>
    <w:p w:rsidR="005D0350" w:rsidRDefault="005D0350"/>
    <w:p w:rsidR="005D0350" w:rsidRDefault="00CF550A">
      <w:pPr>
        <w:spacing w:line="480" w:lineRule="auto"/>
        <w:jc w:val="both"/>
      </w:pPr>
      <w:r>
        <w:rPr>
          <w:b/>
          <w:bCs/>
        </w:rPr>
        <w:t xml:space="preserve">Methods: </w:t>
      </w:r>
      <w:proofErr w:type="spellStart"/>
      <w:r>
        <w:t>PubMed</w:t>
      </w:r>
      <w:proofErr w:type="spellEnd"/>
      <w:r>
        <w:t>, CINAHL, and Scopus were searched for peer-reviewed studies published from January 2010 through December 2024. Eligible studies examined structured exercise or rehabilitation interventions in older adults (mean age ≥65 years) residing in long-term residential care. Outcomes included mobility, balance, fall incidence, activities of daily living (ADL) performance, and psychological well-being. Studies were screened using predefined inclusion and exclusion criteria following PRISMA guidelines.</w:t>
      </w:r>
    </w:p>
    <w:p w:rsidR="005D0350" w:rsidRDefault="005D0350"/>
    <w:p w:rsidR="005D0350" w:rsidRDefault="00CF550A">
      <w:pPr>
        <w:spacing w:line="480" w:lineRule="auto"/>
        <w:jc w:val="both"/>
      </w:pPr>
      <w:r>
        <w:rPr>
          <w:b/>
          <w:bCs/>
        </w:rPr>
        <w:t xml:space="preserve">Results: </w:t>
      </w:r>
      <w:r>
        <w:t>Thirty-one studies met inclusion criteria (n=4,287 participants; mean age 81.3 years). Multimodal programs combining resistance training with balance and functional mobility tasks produced the most consistent improvements, including fall rate reductions of 16–42%, lower-extremity strength gains, and improved ADL independence. Therapist-led programs demonstrated superior adherence and outcome magnitude compared to aide-supervised or self-directed protocols. Psychological outcomes improved significantly in 68% of relevant studies.</w:t>
      </w:r>
    </w:p>
    <w:p w:rsidR="005D0350" w:rsidRDefault="005D0350"/>
    <w:p w:rsidR="005D0350" w:rsidRDefault="00CF550A">
      <w:pPr>
        <w:spacing w:line="480" w:lineRule="auto"/>
        <w:jc w:val="both"/>
      </w:pPr>
      <w:r>
        <w:rPr>
          <w:b/>
          <w:bCs/>
        </w:rPr>
        <w:lastRenderedPageBreak/>
        <w:t xml:space="preserve">Conclusions: </w:t>
      </w:r>
      <w:r>
        <w:t>Structured, multimodal exercise rehabilitation under physical therapist supervision produces meaningful functional and psychological benefits in RCFE residents. A four-phase practice framework — intake assessment, individualized programming, progressive group exercise, and outcome-based reassessment — is proposed for implementation within Title 22-regulated residential care environments.</w:t>
      </w:r>
    </w:p>
    <w:p w:rsidR="005D0350" w:rsidRDefault="005D0350"/>
    <w:p w:rsidR="005D0350" w:rsidRDefault="00CF550A">
      <w:pPr>
        <w:spacing w:line="480" w:lineRule="auto"/>
        <w:jc w:val="both"/>
      </w:pPr>
      <w:r>
        <w:rPr>
          <w:b/>
          <w:bCs/>
        </w:rPr>
        <w:t xml:space="preserve">Keywords: </w:t>
      </w:r>
      <w:r>
        <w:t xml:space="preserve">Residential care, Exercise rehabilitation, </w:t>
      </w:r>
      <w:proofErr w:type="gramStart"/>
      <w:r>
        <w:t>Older</w:t>
      </w:r>
      <w:proofErr w:type="gramEnd"/>
      <w:r>
        <w:t xml:space="preserve"> adults, Fall prevention, Functional mobility, Long-term care</w:t>
      </w:r>
    </w:p>
    <w:p w:rsidR="005D0350" w:rsidRDefault="005D0350">
      <w:pPr>
        <w:pageBreakBefore/>
      </w:pPr>
    </w:p>
    <w:p w:rsidR="005D0350" w:rsidRDefault="00CF550A">
      <w:pPr>
        <w:spacing w:before="240" w:after="120" w:line="480" w:lineRule="auto"/>
      </w:pPr>
      <w:r>
        <w:rPr>
          <w:b/>
          <w:bCs/>
        </w:rPr>
        <w:t>INTRODUCTION</w:t>
      </w:r>
    </w:p>
    <w:p w:rsidR="005D0350" w:rsidRDefault="00CF550A">
      <w:pPr>
        <w:spacing w:line="480" w:lineRule="auto"/>
        <w:jc w:val="both"/>
      </w:pPr>
      <w:r>
        <w:t>The population of adults aged 65 years and older is expanding rapidly. In the United States, this demographic is projected to exceed 80 million by 2040, with the oldest-old cohort — those aged 85 and above — growing faster than any other age group (Administration on Aging, 2023). A substantial and increasing proportion of these individuals reside in residential care facilities, where structured support is provided for those requiring assistance with daily living activities but not the intensive medical services of a skilled nursing facility.</w:t>
      </w:r>
    </w:p>
    <w:p w:rsidR="005D0350" w:rsidRDefault="005D0350"/>
    <w:p w:rsidR="005D0350" w:rsidRDefault="00CF550A">
      <w:pPr>
        <w:spacing w:line="480" w:lineRule="auto"/>
        <w:jc w:val="both"/>
      </w:pPr>
      <w:r>
        <w:t>Residential Care Facilities for the Elderly (RCFEs), regulated in California under Title 22 of the California Code of Regulations, occupy a distinct position within the long-term care continuum. Unlike skilled nursing facilities, RCFEs are classified as non-medical facilities, meaning that responsibility for managing residents' functional trajectories falls on administrators, direct care staff, and, where engaged, contracted allied health professionals. Without mandated rehabilitative services, many RCFE residents experience progressive functional decline that is neither inevitable nor, absent intervention, adequately addressed.</w:t>
      </w:r>
    </w:p>
    <w:p w:rsidR="005D0350" w:rsidRDefault="005D0350"/>
    <w:p w:rsidR="005D0350" w:rsidRDefault="00CF550A">
      <w:pPr>
        <w:spacing w:line="480" w:lineRule="auto"/>
        <w:jc w:val="both"/>
      </w:pPr>
      <w:r>
        <w:t xml:space="preserve">The consequences of this gap are well-documented. Falls remain the leading cause of injury-related mortality among older adults in the United States, and institutionalized older adults face fall rates two to three times higher than their community-dwelling counterparts (Centers for Disease Control and Prevention, 2023). Loss of lower-extremity strength, reduced walking speed, and deteriorating balance are strongly predictive of ADL dependence, emergency department utilization, and accelerated cognitive decline (Fried et al., 2001; </w:t>
      </w:r>
      <w:proofErr w:type="spellStart"/>
      <w:r>
        <w:t>Studenski</w:t>
      </w:r>
      <w:proofErr w:type="spellEnd"/>
      <w:r>
        <w:t xml:space="preserve"> et al., 2011).</w:t>
      </w:r>
    </w:p>
    <w:p w:rsidR="005D0350" w:rsidRDefault="005D0350"/>
    <w:p w:rsidR="005D0350" w:rsidRDefault="00CF550A">
      <w:pPr>
        <w:spacing w:line="480" w:lineRule="auto"/>
        <w:jc w:val="both"/>
      </w:pPr>
      <w:r>
        <w:t xml:space="preserve">The evidence base for exercise rehabilitation as a mechanism to interrupt functional decline in older adults is robust. Systematic reviews consistently demonstrate that structured programs </w:t>
      </w:r>
      <w:r>
        <w:lastRenderedPageBreak/>
        <w:t>— particularly those incorporating resistance training, balance challenges, and functional mobility tasks — reduce fall incidence, improve muscular strength, and support psychological well-being (Sherrington et al., 2019; Liu and Latham, 2009). However, existing evidence derives predominantly from community-dwelling cohorts or skilled nursing settings, leaving RCFE-specific environments substantially underrepresented.</w:t>
      </w:r>
    </w:p>
    <w:p w:rsidR="005D0350" w:rsidRDefault="005D0350"/>
    <w:p w:rsidR="005D0350" w:rsidRDefault="00CF550A">
      <w:pPr>
        <w:spacing w:line="480" w:lineRule="auto"/>
        <w:jc w:val="both"/>
      </w:pPr>
      <w:r>
        <w:t xml:space="preserve">RCFEs operate under unique physical plant constraints, staffing structures, and regulatory requirements that differ meaningfully from both community and skilled nursing contexts. Residents are typically more functionally heterogeneous than nursing home residents, ranging from relatively independent </w:t>
      </w:r>
      <w:proofErr w:type="spellStart"/>
      <w:r>
        <w:t>ambulators</w:t>
      </w:r>
      <w:proofErr w:type="spellEnd"/>
      <w:r>
        <w:t xml:space="preserve"> to individuals requiring significant physical assistance. Frameworks that do not account for this heterogeneity, the non-medical environment, or limited on-site rehabilitation personnel are unlikely to achieve durable implementation.</w:t>
      </w:r>
    </w:p>
    <w:p w:rsidR="005D0350" w:rsidRDefault="005D0350"/>
    <w:p w:rsidR="005D0350" w:rsidRDefault="00CF550A">
      <w:pPr>
        <w:spacing w:line="480" w:lineRule="auto"/>
        <w:jc w:val="both"/>
      </w:pPr>
      <w:r>
        <w:t>The purpose of this systematic review is therefore twofold: to synthesize evidence on exercise rehabilitation interventions in residential care settings for older adults, and to derive from this evidence a structured, therapist-guided practice framework applicable to the operational and regulatory context of RCFEs. This review aims to support physical therapists, RCFE operators, and licensing bodies in closing the gap between evidence and practice.</w:t>
      </w:r>
    </w:p>
    <w:p w:rsidR="005D0350" w:rsidRDefault="005D0350"/>
    <w:p w:rsidR="005D0350" w:rsidRDefault="00CF550A">
      <w:pPr>
        <w:spacing w:before="240" w:after="120" w:line="480" w:lineRule="auto"/>
      </w:pPr>
      <w:r>
        <w:rPr>
          <w:b/>
          <w:bCs/>
        </w:rPr>
        <w:t>MATERIALS AND METHODS</w:t>
      </w:r>
    </w:p>
    <w:p w:rsidR="005D0350" w:rsidRDefault="00CF550A">
      <w:pPr>
        <w:spacing w:line="480" w:lineRule="auto"/>
        <w:jc w:val="both"/>
      </w:pPr>
      <w:r>
        <w:t>This systematic review was conducted in accordance with the Preferred Reporting Items for Systematic Reviews and Meta-Analyses (PRISMA) guidelines (</w:t>
      </w:r>
      <w:proofErr w:type="spellStart"/>
      <w:r>
        <w:t>Moher</w:t>
      </w:r>
      <w:proofErr w:type="spellEnd"/>
      <w:r>
        <w:t xml:space="preserve"> et al., 2009). The review protocol was established prior to data extraction and focused on identifying intervention studies examining the effects of structured exercise or rehabilitation programs on functional and psychological outcomes in older adults residing in long-term residential care.</w:t>
      </w:r>
    </w:p>
    <w:p w:rsidR="005D0350" w:rsidRDefault="005D0350"/>
    <w:p w:rsidR="005D0350" w:rsidRDefault="00CF550A">
      <w:pPr>
        <w:spacing w:line="480" w:lineRule="auto"/>
        <w:jc w:val="both"/>
      </w:pPr>
      <w:r>
        <w:rPr>
          <w:b/>
          <w:bCs/>
        </w:rPr>
        <w:t xml:space="preserve">Search strategy. </w:t>
      </w:r>
      <w:r>
        <w:t xml:space="preserve">A systematic search was performed across </w:t>
      </w:r>
      <w:proofErr w:type="spellStart"/>
      <w:r>
        <w:t>PubMed</w:t>
      </w:r>
      <w:proofErr w:type="spellEnd"/>
      <w:r>
        <w:t>, CINAHL, and Scopus for publications from January 2010 through December 2024. Search terms were organized around three domains: (a) population ("residential care," "assisted living," "long-term care facility," "care home"); (b) intervention ("exercise," "physical rehabilitation," "resistance training," "balance training," "physiotherapy"); and (c) outcomes ("falls," "functional mobility," "activities of daily living," "balance," "quality of life," "depression"). Boolean operators combined terms across domains. Reference lists of included studies were hand-searched for additional eligible articles. The search and selection process is illustrated in Fig. 1.</w:t>
      </w:r>
    </w:p>
    <w:p w:rsidR="005D0350" w:rsidRDefault="005D0350"/>
    <w:p w:rsidR="005D0350" w:rsidRDefault="00CF550A">
      <w:pPr>
        <w:spacing w:line="480" w:lineRule="auto"/>
        <w:jc w:val="both"/>
      </w:pPr>
      <w:proofErr w:type="gramStart"/>
      <w:r>
        <w:rPr>
          <w:b/>
          <w:bCs/>
        </w:rPr>
        <w:t>Inclusion and exclusion criteria.</w:t>
      </w:r>
      <w:proofErr w:type="gramEnd"/>
      <w:r>
        <w:rPr>
          <w:b/>
          <w:bCs/>
        </w:rPr>
        <w:t xml:space="preserve"> </w:t>
      </w:r>
      <w:r>
        <w:t>Studies were eligible if they: (1) enrolled participants with a mean age ≥65 years residing in long-term residential care (excluding acute wards, day programs, and skilled nursing facilities); (2) evaluated a structured exercise or rehabilitation intervention lasting ≥4 consecutive weeks; (3) reported at least one quantitative outcome related to physical function, fall incidence, ADL performance, or psychological well-being; and (4) were published in a peer-reviewed English-language journal. Studies examining pharmacological or dietary interventions without an exercise component, reporting only process outcomes, or lacking a comparison group or pre-post design were excluded.</w:t>
      </w:r>
    </w:p>
    <w:p w:rsidR="005D0350" w:rsidRDefault="005D0350"/>
    <w:p w:rsidR="005D0350" w:rsidRDefault="00CF550A">
      <w:pPr>
        <w:spacing w:line="480" w:lineRule="auto"/>
        <w:jc w:val="both"/>
      </w:pPr>
      <w:proofErr w:type="gramStart"/>
      <w:r>
        <w:rPr>
          <w:b/>
          <w:bCs/>
        </w:rPr>
        <w:t>Data extraction.</w:t>
      </w:r>
      <w:proofErr w:type="gramEnd"/>
      <w:r>
        <w:rPr>
          <w:b/>
          <w:bCs/>
        </w:rPr>
        <w:t xml:space="preserve"> </w:t>
      </w:r>
      <w:r>
        <w:t>A standardized form was used to extract study design, sample size, participant demographics, setting type, intervention components (modality, frequency, session duration, program length, supervision level), and outcome data as group means, standard deviations, and effect sizes where reported. Characteristics of representative included studies are summarized in Table 1.</w:t>
      </w:r>
    </w:p>
    <w:p w:rsidR="005D0350" w:rsidRDefault="005D0350"/>
    <w:p w:rsidR="005D0350" w:rsidRDefault="00CF550A">
      <w:pPr>
        <w:spacing w:line="480" w:lineRule="auto"/>
        <w:jc w:val="both"/>
      </w:pPr>
      <w:proofErr w:type="gramStart"/>
      <w:r>
        <w:rPr>
          <w:b/>
          <w:bCs/>
        </w:rPr>
        <w:lastRenderedPageBreak/>
        <w:t>Quality assessment.</w:t>
      </w:r>
      <w:proofErr w:type="gramEnd"/>
      <w:r>
        <w:rPr>
          <w:b/>
          <w:bCs/>
        </w:rPr>
        <w:t xml:space="preserve"> </w:t>
      </w:r>
      <w:r>
        <w:t>Methodological quality was assessed using the Physiotherapy Evidence Database (</w:t>
      </w:r>
      <w:proofErr w:type="spellStart"/>
      <w:r>
        <w:t>PEDro</w:t>
      </w:r>
      <w:proofErr w:type="spellEnd"/>
      <w:r>
        <w:t xml:space="preserve">) scale for randomized and controlled trials (Maher et al., 2003), and the Newcastle-Ottawa Scale (NOS) for observational studies (Wells et al., 2000). Studies scoring ≥6 on </w:t>
      </w:r>
      <w:proofErr w:type="spellStart"/>
      <w:r>
        <w:t>PEDro</w:t>
      </w:r>
      <w:proofErr w:type="spellEnd"/>
      <w:r>
        <w:t xml:space="preserve"> or ≥7 on NOS were classified as high quality. Quality ratings for representative studies are presented in Table 4.</w:t>
      </w:r>
    </w:p>
    <w:p w:rsidR="005D0350" w:rsidRDefault="005D0350"/>
    <w:p w:rsidR="005D0350" w:rsidRDefault="00CF550A">
      <w:pPr>
        <w:spacing w:line="480" w:lineRule="auto"/>
        <w:jc w:val="both"/>
      </w:pPr>
      <w:proofErr w:type="gramStart"/>
      <w:r>
        <w:rPr>
          <w:b/>
          <w:bCs/>
        </w:rPr>
        <w:t>Data synthesis.</w:t>
      </w:r>
      <w:proofErr w:type="gramEnd"/>
      <w:r>
        <w:rPr>
          <w:b/>
          <w:bCs/>
        </w:rPr>
        <w:t xml:space="preserve"> </w:t>
      </w:r>
      <w:r>
        <w:t>Given heterogeneity in intervention designs, outcome measures, and follow-up periods, a narrative synthesis approach was used. Findings were organized by outcome domain (mobility and balance, fall incidence, ADL function, and psychological outcomes) and by intervention type (multimodal, resistance-focused, balance-focused, aerobic, and mind-body). Descriptive summary statistics are reported where sufficient homogeneity existed.</w:t>
      </w:r>
    </w:p>
    <w:p w:rsidR="005D0350" w:rsidRDefault="005D0350"/>
    <w:p w:rsidR="005D0350" w:rsidRDefault="00CF550A">
      <w:pPr>
        <w:spacing w:before="240" w:after="120" w:line="480" w:lineRule="auto"/>
      </w:pPr>
      <w:r>
        <w:rPr>
          <w:b/>
          <w:bCs/>
        </w:rPr>
        <w:t>RESULTS</w:t>
      </w:r>
    </w:p>
    <w:p w:rsidR="005D0350" w:rsidRDefault="00CF550A">
      <w:pPr>
        <w:spacing w:line="480" w:lineRule="auto"/>
        <w:jc w:val="both"/>
      </w:pPr>
      <w:r>
        <w:rPr>
          <w:b/>
          <w:bCs/>
        </w:rPr>
        <w:t xml:space="preserve">Search results. </w:t>
      </w:r>
      <w:r>
        <w:t>The initial database search yielded 1,847 records. After duplicate removal (n=312), 1,535 records were screened at the title and abstract level; 1,421 were excluded. Full-text review was completed for 114 articles, resulting in 31 studies meeting all inclusion criteria (Fig. 1). The 31 studies enrolled 4,287 participants in total (mean age 81.3 years; range 65–94; 68% female). Study designs included randomized controlled trials (n=18), controlled pre-post studies (n=9), and prospective cohort studies (n=4).</w:t>
      </w:r>
    </w:p>
    <w:p w:rsidR="005D0350" w:rsidRDefault="005D0350"/>
    <w:p w:rsidR="005D0350" w:rsidRDefault="00CF550A">
      <w:pPr>
        <w:spacing w:line="480" w:lineRule="auto"/>
        <w:jc w:val="both"/>
      </w:pPr>
      <w:proofErr w:type="gramStart"/>
      <w:r>
        <w:rPr>
          <w:b/>
          <w:bCs/>
        </w:rPr>
        <w:t>Intervention characteristics.</w:t>
      </w:r>
      <w:proofErr w:type="gramEnd"/>
      <w:r>
        <w:rPr>
          <w:b/>
          <w:bCs/>
        </w:rPr>
        <w:t xml:space="preserve"> </w:t>
      </w:r>
      <w:r>
        <w:t xml:space="preserve">Program durations ranged from 6 to 52 weeks; 61% were conducted over 12–24 weeks. Session frequency was two to three times per week in 77% of studies, with session durations of 30–60 minutes. Intervention types included multimodal programs (n=14), resistance-focused training (n=7), balance and falls prevention (n=5), aerobic exercise (n=3), and mind-body approaches including tai chi and adapted yoga (n=2). </w:t>
      </w:r>
      <w:r>
        <w:lastRenderedPageBreak/>
        <w:t>Supervision was provided by physical therapists in 20 studies (65%), trained exercise instructors or rehabilitation aides in 8 studies (26%), and nursing staff with written protocols in 3 studies (9%).</w:t>
      </w:r>
    </w:p>
    <w:p w:rsidR="005D0350" w:rsidRDefault="005D0350"/>
    <w:p w:rsidR="005D0350" w:rsidRDefault="00CF550A">
      <w:pPr>
        <w:spacing w:line="480" w:lineRule="auto"/>
        <w:jc w:val="both"/>
      </w:pPr>
      <w:proofErr w:type="gramStart"/>
      <w:r>
        <w:rPr>
          <w:b/>
          <w:bCs/>
        </w:rPr>
        <w:t>Mobility and balance outcomes.</w:t>
      </w:r>
      <w:proofErr w:type="gramEnd"/>
      <w:r>
        <w:rPr>
          <w:b/>
          <w:bCs/>
        </w:rPr>
        <w:t xml:space="preserve"> </w:t>
      </w:r>
      <w:r>
        <w:t>Mobility and balance were assessed in 29 of 31 studies; 22 (76%) reported statistically significant improvements. The Timed Up and Go (TUG) test was most frequently used (n=19), with improvements ranging from 0.8 to 3.4 seconds. Berg Balance Scale (BBS) scores improved significantly in 16 of 20 studies, with mean gains of 2.1 to 6.7 points. Multimodal programs demonstrated the largest effect sizes for TUG (d=0.68–1.12) and BBS (d=0.54–0.97) outcomes. Lower-extremity strength gains on the Five-Times-Sit-to-Stand (FTSS) test were significant in 14 of 17 studies (82%). Outcome comparisons by intervention type are provided in Table 2.</w:t>
      </w:r>
    </w:p>
    <w:p w:rsidR="005D0350" w:rsidRDefault="005D0350"/>
    <w:p w:rsidR="005D0350" w:rsidRDefault="00CF550A">
      <w:pPr>
        <w:spacing w:line="480" w:lineRule="auto"/>
        <w:jc w:val="both"/>
      </w:pPr>
      <w:r>
        <w:rPr>
          <w:b/>
          <w:bCs/>
        </w:rPr>
        <w:t xml:space="preserve">Fall incidence. </w:t>
      </w:r>
      <w:r>
        <w:t>Nineteen studies tracked fall rates. Structured exercise was associated with reductions of 16–42% compared to control conditions, with the largest reductions observed for multimodal programs (mean 34%) and therapist-led balance-specific interventions (mean 29%). Programs shorter than 8 weeks or supervised by non-therapist personnel did not demonstrate statistically significant fall rate reductions in the majority of relevant studies. Three studies reported adverse events including minor musculoskeletal complaints; none required medical intervention.</w:t>
      </w:r>
    </w:p>
    <w:p w:rsidR="005D0350" w:rsidRDefault="005D0350"/>
    <w:p w:rsidR="005D0350" w:rsidRDefault="00CF550A">
      <w:pPr>
        <w:spacing w:line="480" w:lineRule="auto"/>
        <w:jc w:val="both"/>
      </w:pPr>
      <w:proofErr w:type="gramStart"/>
      <w:r>
        <w:rPr>
          <w:b/>
          <w:bCs/>
        </w:rPr>
        <w:t>ADL function.</w:t>
      </w:r>
      <w:proofErr w:type="gramEnd"/>
      <w:r>
        <w:rPr>
          <w:b/>
          <w:bCs/>
        </w:rPr>
        <w:t xml:space="preserve"> </w:t>
      </w:r>
      <w:r>
        <w:t xml:space="preserve">ADL outcomes were assessed in 21 studies using the </w:t>
      </w:r>
      <w:proofErr w:type="spellStart"/>
      <w:r>
        <w:t>Barthel</w:t>
      </w:r>
      <w:proofErr w:type="spellEnd"/>
      <w:r>
        <w:t xml:space="preserve"> Index, Functional Independence Measure (FIM), and Katz Index. Fourteen studies (67%) reported significant improvements, with </w:t>
      </w:r>
      <w:proofErr w:type="spellStart"/>
      <w:r>
        <w:t>Barthel</w:t>
      </w:r>
      <w:proofErr w:type="spellEnd"/>
      <w:r>
        <w:t xml:space="preserve"> Index scores improving an average of 3.8 points. The most consistently improved sub-domains were transfers (14 of 17 relevant studies) and ambulation (12 of 16 studies). No significant changes in personal hygiene or feeding independence were observed, likely reflecting high baseline independence in these domains.</w:t>
      </w:r>
    </w:p>
    <w:p w:rsidR="005D0350" w:rsidRDefault="005D0350"/>
    <w:p w:rsidR="005D0350" w:rsidRDefault="00CF550A">
      <w:pPr>
        <w:spacing w:line="480" w:lineRule="auto"/>
        <w:jc w:val="both"/>
      </w:pPr>
      <w:proofErr w:type="gramStart"/>
      <w:r>
        <w:rPr>
          <w:b/>
          <w:bCs/>
        </w:rPr>
        <w:t>Psychological outcomes.</w:t>
      </w:r>
      <w:proofErr w:type="gramEnd"/>
      <w:r>
        <w:rPr>
          <w:b/>
          <w:bCs/>
        </w:rPr>
        <w:t xml:space="preserve"> </w:t>
      </w:r>
      <w:r>
        <w:t>Psychological outcomes were examined in 22 studies using the Geriatric Depression Scale (GDS), Cornell Scale for Depression in Dementia (CSDD), and SF-36 or EQ-5D quality-of-life instruments. Fifteen studies (68%) reported significant reductions in depression symptom scores (mean GDS reduction 2.4 points). Quality-of-life improvements were reported in 13 of 17 studies. Group-format exercise programs produced significantly greater psychological benefits than individual formats (mean GDS improvement 2.9 vs. 1.4 points; P&lt;0.05).</w:t>
      </w:r>
    </w:p>
    <w:p w:rsidR="005D0350" w:rsidRDefault="005D0350"/>
    <w:p w:rsidR="005D0350" w:rsidRDefault="00CF550A">
      <w:pPr>
        <w:spacing w:line="480" w:lineRule="auto"/>
        <w:jc w:val="both"/>
      </w:pPr>
      <w:proofErr w:type="gramStart"/>
      <w:r>
        <w:rPr>
          <w:b/>
          <w:bCs/>
        </w:rPr>
        <w:t>Supervision and adherence.</w:t>
      </w:r>
      <w:proofErr w:type="gramEnd"/>
      <w:r>
        <w:rPr>
          <w:b/>
          <w:bCs/>
        </w:rPr>
        <w:t xml:space="preserve"> </w:t>
      </w:r>
      <w:r>
        <w:t>Mean program adherence across all studies was 74%. Therapist-led programs achieved higher adherence (81%) compared to aide-supervised (69%) and self-directed formats (58%). Therapist involvement was associated with larger effect sizes across all outcome domains, with a mean standardized mean difference (SMD) advantage of 0.31 over non-therapist-supervised protocols (95% confidence interval [CI]: 0.18–0.44).</w:t>
      </w:r>
    </w:p>
    <w:p w:rsidR="005D0350" w:rsidRDefault="005D0350"/>
    <w:p w:rsidR="005D0350" w:rsidRDefault="00CF550A">
      <w:pPr>
        <w:spacing w:before="240" w:after="120" w:line="480" w:lineRule="auto"/>
      </w:pPr>
      <w:r>
        <w:rPr>
          <w:b/>
          <w:bCs/>
        </w:rPr>
        <w:t>DISCUSSION</w:t>
      </w:r>
    </w:p>
    <w:p w:rsidR="005D0350" w:rsidRDefault="00CF550A">
      <w:pPr>
        <w:spacing w:line="480" w:lineRule="auto"/>
        <w:jc w:val="both"/>
      </w:pPr>
      <w:r>
        <w:t>The findings of this systematic review affirm that structured exercise rehabilitation programs produce clinically meaningful improvements in mobility, balance, fall prevention, ADL function, and psychological well-being in residential care populations. These conclusions extend the broader exercise rehabilitation literature by focusing specifically on RCFE-analogous environments — a setting that has received insufficient research attention despite its growing clinical and regulatory importance.</w:t>
      </w:r>
    </w:p>
    <w:p w:rsidR="005D0350" w:rsidRDefault="005D0350"/>
    <w:p w:rsidR="005D0350" w:rsidRDefault="00CF550A">
      <w:pPr>
        <w:spacing w:line="480" w:lineRule="auto"/>
        <w:jc w:val="both"/>
      </w:pPr>
      <w:r>
        <w:t xml:space="preserve">The superiority of multimodal programs over single-modality approaches is among the most robust findings and carries direct implications for programming design. Older adults in residential care present with </w:t>
      </w:r>
      <w:proofErr w:type="spellStart"/>
      <w:r>
        <w:t>multifactorial</w:t>
      </w:r>
      <w:proofErr w:type="spellEnd"/>
      <w:r>
        <w:t xml:space="preserve"> impairment profiles in which reduced muscular strength, compromised postural stability, diminished sensory integration, and altered gait </w:t>
      </w:r>
      <w:r>
        <w:lastRenderedPageBreak/>
        <w:t>mechanics co-exist and interact. Interventions addressing only one component limit the functional translation of gains to real-world mobility tasks. Multimodal programs that concurrently challenge strength, balance, and functional movement patterns more closely approximate the demands of daily living and produce corresponding improvements across outcome domains.</w:t>
      </w:r>
    </w:p>
    <w:p w:rsidR="005D0350" w:rsidRDefault="005D0350"/>
    <w:p w:rsidR="005D0350" w:rsidRDefault="00CF550A">
      <w:pPr>
        <w:spacing w:line="480" w:lineRule="auto"/>
        <w:jc w:val="both"/>
      </w:pPr>
      <w:r>
        <w:t xml:space="preserve">The role of therapist supervision warrants particular emphasis. Therapist-directed programs demonstrated consistently superior adherence and outcome magnitudes compared to aide-supervised or protocol-only formats. This reflects not only differences in technical program design but also the therapist's capacity for ongoing clinical reasoning — real-time adjustment of exercise intensity, recognition of emerging musculoskeletal or cardiovascular concerns, and individualization of progressions that unsupervised formats cannot replicate. In the RCFE context, where residents' functional status may fluctuate due to </w:t>
      </w:r>
      <w:proofErr w:type="spellStart"/>
      <w:r>
        <w:t>intercurrent</w:t>
      </w:r>
      <w:proofErr w:type="spellEnd"/>
      <w:r>
        <w:t xml:space="preserve"> illness or medication changes, this clinical adaptability is especially valuable.</w:t>
      </w:r>
    </w:p>
    <w:p w:rsidR="005D0350" w:rsidRDefault="005D0350"/>
    <w:p w:rsidR="005D0350" w:rsidRDefault="00CF550A">
      <w:pPr>
        <w:spacing w:line="480" w:lineRule="auto"/>
        <w:jc w:val="both"/>
      </w:pPr>
      <w:r>
        <w:t>The psychological benefits observed across 68% of relevant studies are clinically significant. Depression affects an estimated 25–44% of residential care residents in North American settings, yet it frequently goes unrecognized in non-medical facilities (Blazer, 2003). The finding that group-format programs produced greater psychological benefits than individual formats is consistent with evidence on the therapeutic role of social engagement for late-life depression, reinforcing the value of structuring at least a component of the exercise program as a group activity.</w:t>
      </w:r>
    </w:p>
    <w:p w:rsidR="005D0350" w:rsidRDefault="005D0350"/>
    <w:p w:rsidR="005D0350" w:rsidRDefault="00CF550A">
      <w:pPr>
        <w:spacing w:line="480" w:lineRule="auto"/>
        <w:jc w:val="both"/>
      </w:pPr>
      <w:r>
        <w:t>Building on these</w:t>
      </w:r>
      <w:r w:rsidR="00C44183">
        <w:t xml:space="preserve"> findings, we propose the </w:t>
      </w:r>
      <w:r>
        <w:t xml:space="preserve">RCFE Exercise Rehabilitation Framework, a four-phase model for physical therapist-guided program delivery in residential care (Table 3). Phase 1 (Intake and Assessment) involves an initial physical therapy evaluation within the first two weeks of residency or following any significant functional change, using the TUG, </w:t>
      </w:r>
      <w:r>
        <w:lastRenderedPageBreak/>
        <w:t xml:space="preserve">BBS, FTSS, </w:t>
      </w:r>
      <w:proofErr w:type="spellStart"/>
      <w:r>
        <w:t>Barthel</w:t>
      </w:r>
      <w:proofErr w:type="spellEnd"/>
      <w:r>
        <w:t xml:space="preserve"> Index, GDS-15, and Morse Fall Scale. Phase 2 (Individualized Programming) entails a tailored exercise prescription addressing each resident's impairment profile, integrated into the facility care plan. Phase 3 (Progressive Group Exercise) establishes twice-weekly, 45-minute group sessions combining seated resistance exercise, standing balance challenges, and functional mobility tasks, with progression every four weeks. Phase 4 (Outcome-Based Reassessment) involves formal re-evaluation at 12 weeks using the same battery, with program modification based on whether minimal clinically important difference (MCID) thresholds have been achieved.</w:t>
      </w:r>
    </w:p>
    <w:p w:rsidR="005D0350" w:rsidRDefault="005D0350"/>
    <w:p w:rsidR="005D0350" w:rsidRDefault="00CF550A">
      <w:pPr>
        <w:spacing w:line="480" w:lineRule="auto"/>
        <w:jc w:val="both"/>
      </w:pPr>
      <w:r>
        <w:t xml:space="preserve">This framework is compatible with RCFE physical plant realities under Title 22. Programs can be conducted in common dining or activity rooms using resistance bands, ankle weights, and chairs — equipment accessible to most facilities without capital investment. Therapist involvement is concentrated at high-value decision points while trained direct care </w:t>
      </w:r>
      <w:proofErr w:type="gramStart"/>
      <w:r>
        <w:t>staff co-lead</w:t>
      </w:r>
      <w:proofErr w:type="gramEnd"/>
      <w:r>
        <w:t xml:space="preserve"> group sessions under established protocols, a staffing model consistent with the non-medical regulatory environment.</w:t>
      </w:r>
    </w:p>
    <w:p w:rsidR="005D0350" w:rsidRDefault="005D0350"/>
    <w:p w:rsidR="005D0350" w:rsidRDefault="00CF550A">
      <w:pPr>
        <w:spacing w:line="480" w:lineRule="auto"/>
        <w:jc w:val="both"/>
      </w:pPr>
      <w:r>
        <w:t xml:space="preserve">Several limitations merit acknowledgment. The heterogeneity of included studies precluded formal meta-analysis for most outcome domains. Few studies were conducted in California-regulated RCFEs specifically; most drew from comparable settings in the United Kingdom, Australia, and Northern Europe, where regulatory frameworks differ in some respects. Additionally, most studies enrolled populations with limited cognitive impairment, constraining </w:t>
      </w:r>
      <w:proofErr w:type="spellStart"/>
      <w:r>
        <w:t>generalizability</w:t>
      </w:r>
      <w:proofErr w:type="spellEnd"/>
      <w:r>
        <w:t xml:space="preserve"> to residents with moderate-to-severe dementia. Future research should prioritize implementation trials in RCFE settings, with attention to the fidelity and scalability of therapist-guided frameworks under real-world operational constraints.</w:t>
      </w:r>
    </w:p>
    <w:p w:rsidR="005D0350" w:rsidRDefault="005D0350"/>
    <w:p w:rsidR="005D0350" w:rsidRDefault="00CF550A">
      <w:pPr>
        <w:spacing w:line="480" w:lineRule="auto"/>
        <w:jc w:val="both"/>
      </w:pPr>
      <w:r>
        <w:t xml:space="preserve">In conclusion, structured, multimodal exercise rehabilitation under physical therapist supervision produces clinically meaningful functional and psychological benefits in </w:t>
      </w:r>
      <w:r>
        <w:lastRenderedPageBreak/>
        <w:t>residential care populations. The four-phase framework proposed in this review provides a practical, evidence-grounded structure for RCFE implementation with the potential to reduce fall rates, preserve ADL independence, and improve quality of life for one of the most vulnerable segments of the older adult population.</w:t>
      </w:r>
    </w:p>
    <w:p w:rsidR="005D0350" w:rsidRDefault="005D0350"/>
    <w:p w:rsidR="005D0350" w:rsidRDefault="00CF550A">
      <w:pPr>
        <w:spacing w:before="240" w:after="120" w:line="480" w:lineRule="auto"/>
      </w:pPr>
      <w:r>
        <w:rPr>
          <w:b/>
          <w:bCs/>
        </w:rPr>
        <w:t>CONFLICT OF INTEREST</w:t>
      </w:r>
    </w:p>
    <w:p w:rsidR="005D0350" w:rsidRDefault="00CF550A">
      <w:pPr>
        <w:spacing w:line="480" w:lineRule="auto"/>
        <w:jc w:val="both"/>
      </w:pPr>
      <w:r>
        <w:t>The author declares no financial or personal conflicts of interest that could have influenced the conduct or reporting of this review.</w:t>
      </w:r>
    </w:p>
    <w:p w:rsidR="005D0350" w:rsidRDefault="005D0350"/>
    <w:p w:rsidR="005D0350" w:rsidRDefault="00CF550A">
      <w:pPr>
        <w:spacing w:before="240" w:after="120" w:line="480" w:lineRule="auto"/>
      </w:pPr>
      <w:r>
        <w:rPr>
          <w:b/>
          <w:bCs/>
        </w:rPr>
        <w:t>ACKNOWLEDGMENTS</w:t>
      </w:r>
    </w:p>
    <w:p w:rsidR="005D0350" w:rsidRDefault="00CF550A">
      <w:pPr>
        <w:spacing w:line="480" w:lineRule="auto"/>
        <w:jc w:val="both"/>
      </w:pPr>
      <w:r>
        <w:t>Not applicable.</w:t>
      </w:r>
    </w:p>
    <w:p w:rsidR="005D0350" w:rsidRDefault="005D0350"/>
    <w:p w:rsidR="005D0350" w:rsidRDefault="00CF550A">
      <w:pPr>
        <w:spacing w:before="240" w:after="120" w:line="480" w:lineRule="auto"/>
      </w:pPr>
      <w:r>
        <w:rPr>
          <w:b/>
          <w:bCs/>
        </w:rPr>
        <w:t>REFERENCES</w:t>
      </w:r>
    </w:p>
    <w:p w:rsidR="005D0350" w:rsidRDefault="00CF550A">
      <w:pPr>
        <w:spacing w:after="60" w:line="480" w:lineRule="auto"/>
        <w:ind w:left="720" w:hanging="720"/>
      </w:pPr>
      <w:r>
        <w:t xml:space="preserve">1. Administration on Aging. </w:t>
      </w:r>
      <w:proofErr w:type="gramStart"/>
      <w:r>
        <w:t>2023 Profile of Older Americans.</w:t>
      </w:r>
      <w:proofErr w:type="gramEnd"/>
      <w:r>
        <w:t xml:space="preserve"> </w:t>
      </w:r>
      <w:proofErr w:type="gramStart"/>
      <w:r>
        <w:t>U.S. Department of Health and Human Services; 2023.</w:t>
      </w:r>
      <w:proofErr w:type="gramEnd"/>
    </w:p>
    <w:p w:rsidR="005D0350" w:rsidRDefault="00CF550A">
      <w:pPr>
        <w:spacing w:after="60" w:line="480" w:lineRule="auto"/>
        <w:ind w:left="720" w:hanging="720"/>
      </w:pPr>
      <w:r>
        <w:t xml:space="preserve">2. Blazer DG. Depression in late life: review and commentary. J </w:t>
      </w:r>
      <w:proofErr w:type="spellStart"/>
      <w:r>
        <w:t>Gerontol</w:t>
      </w:r>
      <w:proofErr w:type="spellEnd"/>
      <w:r>
        <w:t xml:space="preserve"> A </w:t>
      </w:r>
      <w:proofErr w:type="spellStart"/>
      <w:r>
        <w:t>Biol</w:t>
      </w:r>
      <w:proofErr w:type="spellEnd"/>
      <w:r>
        <w:t xml:space="preserve"> </w:t>
      </w:r>
      <w:proofErr w:type="spellStart"/>
      <w:r>
        <w:t>Sci</w:t>
      </w:r>
      <w:proofErr w:type="spellEnd"/>
      <w:r>
        <w:t xml:space="preserve"> Med </w:t>
      </w:r>
      <w:proofErr w:type="spellStart"/>
      <w:r>
        <w:t>Sci</w:t>
      </w:r>
      <w:proofErr w:type="spellEnd"/>
      <w:r>
        <w:t xml:space="preserve"> 2003</w:t>
      </w:r>
      <w:proofErr w:type="gramStart"/>
      <w:r>
        <w:t>;58:249</w:t>
      </w:r>
      <w:proofErr w:type="gramEnd"/>
      <w:r>
        <w:t>-265.</w:t>
      </w:r>
    </w:p>
    <w:p w:rsidR="005D0350" w:rsidRDefault="00CF550A">
      <w:pPr>
        <w:spacing w:after="60" w:line="480" w:lineRule="auto"/>
        <w:ind w:left="720" w:hanging="720"/>
      </w:pPr>
      <w:r>
        <w:t xml:space="preserve">3. Centers for Disease Control and Prevention. Falls Prevention Facts. </w:t>
      </w:r>
      <w:proofErr w:type="gramStart"/>
      <w:r>
        <w:t>National Center for Injury Prevention and Control; 2023.</w:t>
      </w:r>
      <w:proofErr w:type="gramEnd"/>
      <w:r>
        <w:t xml:space="preserve"> Available from: https://www.cdc.gov/falls</w:t>
      </w:r>
    </w:p>
    <w:p w:rsidR="005D0350" w:rsidRDefault="00CF550A">
      <w:pPr>
        <w:spacing w:after="60" w:line="480" w:lineRule="auto"/>
        <w:ind w:left="720" w:hanging="720"/>
      </w:pPr>
      <w:r>
        <w:t xml:space="preserve">4. Clegg A, Young J, </w:t>
      </w:r>
      <w:proofErr w:type="spellStart"/>
      <w:r>
        <w:t>Iliffe</w:t>
      </w:r>
      <w:proofErr w:type="spellEnd"/>
      <w:r>
        <w:t xml:space="preserve"> S, </w:t>
      </w:r>
      <w:proofErr w:type="spellStart"/>
      <w:r>
        <w:t>Rikkert</w:t>
      </w:r>
      <w:proofErr w:type="spellEnd"/>
      <w:r>
        <w:t xml:space="preserve"> MO, Rockwood K. Frailty in elderly people. Lancet 2013</w:t>
      </w:r>
      <w:proofErr w:type="gramStart"/>
      <w:r>
        <w:t>;381:752</w:t>
      </w:r>
      <w:proofErr w:type="gramEnd"/>
      <w:r>
        <w:t>-762.</w:t>
      </w:r>
    </w:p>
    <w:p w:rsidR="005D0350" w:rsidRDefault="00CF550A">
      <w:pPr>
        <w:spacing w:after="60" w:line="480" w:lineRule="auto"/>
        <w:ind w:left="720" w:hanging="720"/>
      </w:pPr>
      <w:r>
        <w:t xml:space="preserve">5. Daly RM, Cameron ID, </w:t>
      </w:r>
      <w:proofErr w:type="spellStart"/>
      <w:r>
        <w:t>Arendts</w:t>
      </w:r>
      <w:proofErr w:type="spellEnd"/>
      <w:r>
        <w:t xml:space="preserve"> G, </w:t>
      </w:r>
      <w:proofErr w:type="spellStart"/>
      <w:r>
        <w:t>Hardcastle</w:t>
      </w:r>
      <w:proofErr w:type="spellEnd"/>
      <w:r>
        <w:t xml:space="preserve"> SJ, Kerr DA, Tan SY, et al. Effectiveness of a structured exercise </w:t>
      </w:r>
      <w:proofErr w:type="spellStart"/>
      <w:r>
        <w:t>programme</w:t>
      </w:r>
      <w:proofErr w:type="spellEnd"/>
      <w:r>
        <w:t xml:space="preserve"> on reducing falls and improving balance in older </w:t>
      </w:r>
      <w:r>
        <w:lastRenderedPageBreak/>
        <w:t xml:space="preserve">adults in residential aged care: a cluster </w:t>
      </w:r>
      <w:proofErr w:type="spellStart"/>
      <w:r>
        <w:t>randomised</w:t>
      </w:r>
      <w:proofErr w:type="spellEnd"/>
      <w:r>
        <w:t xml:space="preserve"> controlled trial. BMC </w:t>
      </w:r>
      <w:proofErr w:type="spellStart"/>
      <w:r>
        <w:t>Geriatr</w:t>
      </w:r>
      <w:proofErr w:type="spellEnd"/>
      <w:r>
        <w:t xml:space="preserve"> 2021</w:t>
      </w:r>
      <w:proofErr w:type="gramStart"/>
      <w:r>
        <w:t>;21:142</w:t>
      </w:r>
      <w:proofErr w:type="gramEnd"/>
      <w:r>
        <w:t>.</w:t>
      </w:r>
    </w:p>
    <w:p w:rsidR="005D0350" w:rsidRDefault="00CF550A">
      <w:pPr>
        <w:spacing w:after="60" w:line="480" w:lineRule="auto"/>
        <w:ind w:left="720" w:hanging="720"/>
      </w:pPr>
      <w:r>
        <w:t xml:space="preserve">6. </w:t>
      </w:r>
      <w:proofErr w:type="spellStart"/>
      <w:r>
        <w:t>Farrance</w:t>
      </w:r>
      <w:proofErr w:type="spellEnd"/>
      <w:r>
        <w:t xml:space="preserve"> C, </w:t>
      </w:r>
      <w:proofErr w:type="spellStart"/>
      <w:r>
        <w:t>Tsofliou</w:t>
      </w:r>
      <w:proofErr w:type="spellEnd"/>
      <w:r>
        <w:t xml:space="preserve"> F, Clark C. Adherence to community based group exercise interventions for older people: a mixed-methods systematic review. </w:t>
      </w:r>
      <w:proofErr w:type="spellStart"/>
      <w:r>
        <w:t>Prev</w:t>
      </w:r>
      <w:proofErr w:type="spellEnd"/>
      <w:r>
        <w:t xml:space="preserve"> Med 2016</w:t>
      </w:r>
      <w:proofErr w:type="gramStart"/>
      <w:r>
        <w:t>;87:155</w:t>
      </w:r>
      <w:proofErr w:type="gramEnd"/>
      <w:r>
        <w:t>-166.</w:t>
      </w:r>
    </w:p>
    <w:p w:rsidR="005D0350" w:rsidRDefault="00CF550A">
      <w:pPr>
        <w:spacing w:after="60" w:line="480" w:lineRule="auto"/>
        <w:ind w:left="720" w:hanging="720"/>
      </w:pPr>
      <w:r>
        <w:t xml:space="preserve">7. Forster A, </w:t>
      </w:r>
      <w:proofErr w:type="spellStart"/>
      <w:r>
        <w:t>Lambley</w:t>
      </w:r>
      <w:proofErr w:type="spellEnd"/>
      <w:r>
        <w:t xml:space="preserve"> R, Hardy J, Young J, Smith J, Green J, et al. Rehabilitation for older people in long-term care. Cochrane Database </w:t>
      </w:r>
      <w:proofErr w:type="spellStart"/>
      <w:r>
        <w:t>Syst</w:t>
      </w:r>
      <w:proofErr w:type="spellEnd"/>
      <w:r>
        <w:t xml:space="preserve"> Rev </w:t>
      </w:r>
      <w:proofErr w:type="gramStart"/>
      <w:r>
        <w:t>2009;</w:t>
      </w:r>
      <w:proofErr w:type="gramEnd"/>
      <w:r>
        <w:t>(1):CD004294.</w:t>
      </w:r>
    </w:p>
    <w:p w:rsidR="005D0350" w:rsidRDefault="00CF550A">
      <w:pPr>
        <w:spacing w:after="60" w:line="480" w:lineRule="auto"/>
        <w:ind w:left="720" w:hanging="720"/>
      </w:pPr>
      <w:r>
        <w:t xml:space="preserve">8. Fried LP, </w:t>
      </w:r>
      <w:proofErr w:type="spellStart"/>
      <w:r>
        <w:t>Tangen</w:t>
      </w:r>
      <w:proofErr w:type="spellEnd"/>
      <w:r>
        <w:t xml:space="preserve"> CM, </w:t>
      </w:r>
      <w:proofErr w:type="spellStart"/>
      <w:r>
        <w:t>Walston</w:t>
      </w:r>
      <w:proofErr w:type="spellEnd"/>
      <w:r>
        <w:t xml:space="preserve"> J, Newman AB, Hirsch C, </w:t>
      </w:r>
      <w:proofErr w:type="spellStart"/>
      <w:r>
        <w:t>Gottdiener</w:t>
      </w:r>
      <w:proofErr w:type="spellEnd"/>
      <w:r>
        <w:t xml:space="preserve"> J, et al. Frailty in older adults: evidence for a phenotype. J </w:t>
      </w:r>
      <w:proofErr w:type="spellStart"/>
      <w:r>
        <w:t>Gerontol</w:t>
      </w:r>
      <w:proofErr w:type="spellEnd"/>
      <w:r>
        <w:t xml:space="preserve"> A </w:t>
      </w:r>
      <w:proofErr w:type="spellStart"/>
      <w:r>
        <w:t>Biol</w:t>
      </w:r>
      <w:proofErr w:type="spellEnd"/>
      <w:r>
        <w:t xml:space="preserve"> </w:t>
      </w:r>
      <w:proofErr w:type="spellStart"/>
      <w:r>
        <w:t>Sci</w:t>
      </w:r>
      <w:proofErr w:type="spellEnd"/>
      <w:r>
        <w:t xml:space="preserve"> Med </w:t>
      </w:r>
      <w:proofErr w:type="spellStart"/>
      <w:r>
        <w:t>Sci</w:t>
      </w:r>
      <w:proofErr w:type="spellEnd"/>
      <w:r>
        <w:t xml:space="preserve"> 2001</w:t>
      </w:r>
      <w:proofErr w:type="gramStart"/>
      <w:r>
        <w:t>;56:M146</w:t>
      </w:r>
      <w:proofErr w:type="gramEnd"/>
      <w:r>
        <w:t>-156.</w:t>
      </w:r>
    </w:p>
    <w:p w:rsidR="005D0350" w:rsidRDefault="00CF550A">
      <w:pPr>
        <w:spacing w:after="60" w:line="480" w:lineRule="auto"/>
        <w:ind w:left="720" w:hanging="720"/>
      </w:pPr>
      <w:r>
        <w:t xml:space="preserve">9. </w:t>
      </w:r>
      <w:proofErr w:type="spellStart"/>
      <w:r>
        <w:t>Giné-Garriga</w:t>
      </w:r>
      <w:proofErr w:type="spellEnd"/>
      <w:r>
        <w:t xml:space="preserve"> M, </w:t>
      </w:r>
      <w:proofErr w:type="spellStart"/>
      <w:r>
        <w:t>Roqué-Fíguls</w:t>
      </w:r>
      <w:proofErr w:type="spellEnd"/>
      <w:r>
        <w:t xml:space="preserve"> M, </w:t>
      </w:r>
      <w:proofErr w:type="spellStart"/>
      <w:r>
        <w:t>Coll-Planas</w:t>
      </w:r>
      <w:proofErr w:type="spellEnd"/>
      <w:r>
        <w:t xml:space="preserve"> L, </w:t>
      </w:r>
      <w:proofErr w:type="spellStart"/>
      <w:r>
        <w:t>Sitjà-Rabert</w:t>
      </w:r>
      <w:proofErr w:type="spellEnd"/>
      <w:r>
        <w:t xml:space="preserve"> M, </w:t>
      </w:r>
      <w:proofErr w:type="spellStart"/>
      <w:r>
        <w:t>Salvà</w:t>
      </w:r>
      <w:proofErr w:type="spellEnd"/>
      <w:r>
        <w:t xml:space="preserve"> A. Physical exercise interventions for improving performance-based measures of physical function in community-dwelling, frail older adults: a systematic review and meta-analysis. Arch Phys Med </w:t>
      </w:r>
      <w:proofErr w:type="spellStart"/>
      <w:r>
        <w:t>Rehabil</w:t>
      </w:r>
      <w:proofErr w:type="spellEnd"/>
      <w:r>
        <w:t xml:space="preserve"> 2014</w:t>
      </w:r>
      <w:proofErr w:type="gramStart"/>
      <w:r>
        <w:t>;95:753</w:t>
      </w:r>
      <w:proofErr w:type="gramEnd"/>
      <w:r>
        <w:t>-769.</w:t>
      </w:r>
    </w:p>
    <w:p w:rsidR="005D0350" w:rsidRDefault="00CF550A">
      <w:pPr>
        <w:spacing w:after="60" w:line="480" w:lineRule="auto"/>
        <w:ind w:left="720" w:hanging="720"/>
      </w:pPr>
      <w:r>
        <w:t xml:space="preserve">10. Hewitt J, </w:t>
      </w:r>
      <w:proofErr w:type="spellStart"/>
      <w:r>
        <w:t>Refshauge</w:t>
      </w:r>
      <w:proofErr w:type="spellEnd"/>
      <w:r>
        <w:t xml:space="preserve"> KM, </w:t>
      </w:r>
      <w:proofErr w:type="spellStart"/>
      <w:r>
        <w:t>Goodall</w:t>
      </w:r>
      <w:proofErr w:type="spellEnd"/>
      <w:r>
        <w:t xml:space="preserve"> S, </w:t>
      </w:r>
      <w:proofErr w:type="spellStart"/>
      <w:r>
        <w:t>Henwood</w:t>
      </w:r>
      <w:proofErr w:type="spellEnd"/>
      <w:r>
        <w:t xml:space="preserve"> T, Clemson L. Does progressive resistance and balance exercise reduce falls in residential aged care? Randomized controlled trial protocol for the SUNBEAM program. </w:t>
      </w:r>
      <w:proofErr w:type="spellStart"/>
      <w:r>
        <w:t>Clin</w:t>
      </w:r>
      <w:proofErr w:type="spellEnd"/>
      <w:r>
        <w:t xml:space="preserve"> </w:t>
      </w:r>
      <w:proofErr w:type="spellStart"/>
      <w:r>
        <w:t>Interv</w:t>
      </w:r>
      <w:proofErr w:type="spellEnd"/>
      <w:r>
        <w:t xml:space="preserve"> Aging 2014</w:t>
      </w:r>
      <w:proofErr w:type="gramStart"/>
      <w:r>
        <w:t>;9:369</w:t>
      </w:r>
      <w:proofErr w:type="gramEnd"/>
      <w:r>
        <w:t>-376.</w:t>
      </w:r>
    </w:p>
    <w:p w:rsidR="005D0350" w:rsidRDefault="00CF550A">
      <w:pPr>
        <w:spacing w:after="60" w:line="480" w:lineRule="auto"/>
        <w:ind w:left="720" w:hanging="720"/>
      </w:pPr>
      <w:r>
        <w:t xml:space="preserve">11. </w:t>
      </w:r>
      <w:proofErr w:type="spellStart"/>
      <w:r>
        <w:t>Izquierdo</w:t>
      </w:r>
      <w:proofErr w:type="spellEnd"/>
      <w:r>
        <w:t xml:space="preserve"> M, </w:t>
      </w:r>
      <w:proofErr w:type="spellStart"/>
      <w:r>
        <w:t>Cadore</w:t>
      </w:r>
      <w:proofErr w:type="spellEnd"/>
      <w:r>
        <w:t xml:space="preserve"> EL. Muscle power training in the institutionalized frail: a new approach to counteracting functional declines and very late-life disability. </w:t>
      </w:r>
      <w:proofErr w:type="spellStart"/>
      <w:r>
        <w:t>Curr</w:t>
      </w:r>
      <w:proofErr w:type="spellEnd"/>
      <w:r>
        <w:t xml:space="preserve"> Med </w:t>
      </w:r>
      <w:proofErr w:type="spellStart"/>
      <w:r>
        <w:t>Chem</w:t>
      </w:r>
      <w:proofErr w:type="spellEnd"/>
      <w:r>
        <w:t xml:space="preserve"> 2014</w:t>
      </w:r>
      <w:proofErr w:type="gramStart"/>
      <w:r>
        <w:t>;21:3389</w:t>
      </w:r>
      <w:proofErr w:type="gramEnd"/>
      <w:r>
        <w:t>-3399.</w:t>
      </w:r>
    </w:p>
    <w:p w:rsidR="005D0350" w:rsidRDefault="00CF550A">
      <w:pPr>
        <w:spacing w:after="60" w:line="480" w:lineRule="auto"/>
        <w:ind w:left="720" w:hanging="720"/>
      </w:pPr>
      <w:r>
        <w:t xml:space="preserve">12. </w:t>
      </w:r>
      <w:proofErr w:type="spellStart"/>
      <w:r>
        <w:t>Landi</w:t>
      </w:r>
      <w:proofErr w:type="spellEnd"/>
      <w:r>
        <w:t xml:space="preserve"> F, Russo A, </w:t>
      </w:r>
      <w:proofErr w:type="spellStart"/>
      <w:r>
        <w:t>Cesari</w:t>
      </w:r>
      <w:proofErr w:type="spellEnd"/>
      <w:r>
        <w:t xml:space="preserve"> M, </w:t>
      </w:r>
      <w:proofErr w:type="spellStart"/>
      <w:r>
        <w:t>Barillaro</w:t>
      </w:r>
      <w:proofErr w:type="spellEnd"/>
      <w:r>
        <w:t xml:space="preserve"> C, </w:t>
      </w:r>
      <w:proofErr w:type="spellStart"/>
      <w:r>
        <w:t>Onder</w:t>
      </w:r>
      <w:proofErr w:type="spellEnd"/>
      <w:r>
        <w:t xml:space="preserve"> G, </w:t>
      </w:r>
      <w:proofErr w:type="spellStart"/>
      <w:r>
        <w:t>Zamboni</w:t>
      </w:r>
      <w:proofErr w:type="spellEnd"/>
      <w:r>
        <w:t xml:space="preserve"> V, et al. Walking one hour or more per day prevented mortality among older persons: results from </w:t>
      </w:r>
      <w:proofErr w:type="spellStart"/>
      <w:r>
        <w:t>ilSIRENTE</w:t>
      </w:r>
      <w:proofErr w:type="spellEnd"/>
      <w:r>
        <w:t xml:space="preserve"> study. </w:t>
      </w:r>
      <w:proofErr w:type="spellStart"/>
      <w:r>
        <w:t>Prev</w:t>
      </w:r>
      <w:proofErr w:type="spellEnd"/>
      <w:r>
        <w:t xml:space="preserve"> Med 2008</w:t>
      </w:r>
      <w:proofErr w:type="gramStart"/>
      <w:r>
        <w:t>;47:422</w:t>
      </w:r>
      <w:proofErr w:type="gramEnd"/>
      <w:r>
        <w:t>-426.</w:t>
      </w:r>
    </w:p>
    <w:p w:rsidR="005D0350" w:rsidRDefault="00CF550A">
      <w:pPr>
        <w:spacing w:after="60" w:line="480" w:lineRule="auto"/>
        <w:ind w:left="720" w:hanging="720"/>
      </w:pPr>
      <w:r>
        <w:t xml:space="preserve">13. Liu CJ, Latham NK. </w:t>
      </w:r>
      <w:proofErr w:type="gramStart"/>
      <w:r>
        <w:t>Progressive resistance strength training for improving physical function in older adults.</w:t>
      </w:r>
      <w:proofErr w:type="gramEnd"/>
      <w:r>
        <w:t xml:space="preserve"> Cochrane Database </w:t>
      </w:r>
      <w:proofErr w:type="spellStart"/>
      <w:r>
        <w:t>Syst</w:t>
      </w:r>
      <w:proofErr w:type="spellEnd"/>
      <w:r>
        <w:t xml:space="preserve"> Rev </w:t>
      </w:r>
      <w:proofErr w:type="gramStart"/>
      <w:r>
        <w:t>2009;</w:t>
      </w:r>
      <w:proofErr w:type="gramEnd"/>
      <w:r>
        <w:t>(3):CD002759.</w:t>
      </w:r>
    </w:p>
    <w:p w:rsidR="005D0350" w:rsidRDefault="00CF550A">
      <w:pPr>
        <w:spacing w:after="60" w:line="480" w:lineRule="auto"/>
        <w:ind w:left="720" w:hanging="720"/>
      </w:pPr>
      <w:r>
        <w:lastRenderedPageBreak/>
        <w:t xml:space="preserve">14. Maher CG, Sherrington C, Herbert RD, Moseley AM, Elkins M. Reliability of the </w:t>
      </w:r>
      <w:proofErr w:type="spellStart"/>
      <w:r>
        <w:t>PEDro</w:t>
      </w:r>
      <w:proofErr w:type="spellEnd"/>
      <w:r>
        <w:t xml:space="preserve"> scale for rating quality of randomized controlled trials. Phys </w:t>
      </w:r>
      <w:proofErr w:type="spellStart"/>
      <w:r>
        <w:t>Ther</w:t>
      </w:r>
      <w:proofErr w:type="spellEnd"/>
      <w:r>
        <w:t xml:space="preserve"> 2003</w:t>
      </w:r>
      <w:proofErr w:type="gramStart"/>
      <w:r>
        <w:t>;83:713</w:t>
      </w:r>
      <w:proofErr w:type="gramEnd"/>
      <w:r>
        <w:t>-721.</w:t>
      </w:r>
    </w:p>
    <w:p w:rsidR="005D0350" w:rsidRDefault="00CF550A">
      <w:pPr>
        <w:spacing w:after="60" w:line="480" w:lineRule="auto"/>
        <w:ind w:left="720" w:hanging="720"/>
      </w:pPr>
      <w:r>
        <w:t xml:space="preserve">15. </w:t>
      </w:r>
      <w:proofErr w:type="spellStart"/>
      <w:r>
        <w:t>Mazya</w:t>
      </w:r>
      <w:proofErr w:type="spellEnd"/>
      <w:r>
        <w:t xml:space="preserve"> AL, Garvin P, </w:t>
      </w:r>
      <w:proofErr w:type="spellStart"/>
      <w:r>
        <w:t>Ekdahl</w:t>
      </w:r>
      <w:proofErr w:type="spellEnd"/>
      <w:r>
        <w:t xml:space="preserve"> AW. Outpatient comprehensive geriatric assessment: effects on frailty and mortality in old people with </w:t>
      </w:r>
      <w:proofErr w:type="spellStart"/>
      <w:r>
        <w:t>multimorbidity</w:t>
      </w:r>
      <w:proofErr w:type="spellEnd"/>
      <w:r>
        <w:t xml:space="preserve"> and high health care utilization. Aging </w:t>
      </w:r>
      <w:proofErr w:type="spellStart"/>
      <w:r>
        <w:t>Clin</w:t>
      </w:r>
      <w:proofErr w:type="spellEnd"/>
      <w:r>
        <w:t xml:space="preserve"> Exp Res 2019</w:t>
      </w:r>
      <w:proofErr w:type="gramStart"/>
      <w:r>
        <w:t>;31:519</w:t>
      </w:r>
      <w:proofErr w:type="gramEnd"/>
      <w:r>
        <w:t>-525.</w:t>
      </w:r>
    </w:p>
    <w:p w:rsidR="005D0350" w:rsidRDefault="00CF550A">
      <w:pPr>
        <w:spacing w:after="60" w:line="480" w:lineRule="auto"/>
        <w:ind w:left="720" w:hanging="720"/>
      </w:pPr>
      <w:r>
        <w:t xml:space="preserve">16. </w:t>
      </w:r>
      <w:proofErr w:type="spellStart"/>
      <w:r>
        <w:t>Moher</w:t>
      </w:r>
      <w:proofErr w:type="spellEnd"/>
      <w:r>
        <w:t xml:space="preserve"> D, </w:t>
      </w:r>
      <w:proofErr w:type="spellStart"/>
      <w:r>
        <w:t>Liberati</w:t>
      </w:r>
      <w:proofErr w:type="spellEnd"/>
      <w:r>
        <w:t xml:space="preserve"> A, </w:t>
      </w:r>
      <w:proofErr w:type="spellStart"/>
      <w:r>
        <w:t>Tetzlaff</w:t>
      </w:r>
      <w:proofErr w:type="spellEnd"/>
      <w:r>
        <w:t xml:space="preserve"> J, Altman DG; PRISMA Group. </w:t>
      </w:r>
      <w:proofErr w:type="gramStart"/>
      <w:r>
        <w:t>Preferred reporting items for systematic reviews and meta-analyses: the PRISMA statement.</w:t>
      </w:r>
      <w:proofErr w:type="gramEnd"/>
      <w:r>
        <w:t xml:space="preserve"> </w:t>
      </w:r>
      <w:proofErr w:type="spellStart"/>
      <w:r>
        <w:t>PLoS</w:t>
      </w:r>
      <w:proofErr w:type="spellEnd"/>
      <w:r>
        <w:t xml:space="preserve"> Med 2009</w:t>
      </w:r>
      <w:proofErr w:type="gramStart"/>
      <w:r>
        <w:t>;6:e1000097</w:t>
      </w:r>
      <w:proofErr w:type="gramEnd"/>
      <w:r>
        <w:t>.</w:t>
      </w:r>
    </w:p>
    <w:p w:rsidR="005D0350" w:rsidRDefault="00CF550A">
      <w:pPr>
        <w:spacing w:after="60" w:line="480" w:lineRule="auto"/>
        <w:ind w:left="720" w:hanging="720"/>
      </w:pPr>
      <w:r>
        <w:t xml:space="preserve">17. Morley JE, </w:t>
      </w:r>
      <w:proofErr w:type="spellStart"/>
      <w:r>
        <w:t>Vellas</w:t>
      </w:r>
      <w:proofErr w:type="spellEnd"/>
      <w:r>
        <w:t xml:space="preserve"> B, van Kan GA, Anker SD, Bauer JM, </w:t>
      </w:r>
      <w:proofErr w:type="spellStart"/>
      <w:r>
        <w:t>Bernabei</w:t>
      </w:r>
      <w:proofErr w:type="spellEnd"/>
      <w:r>
        <w:t xml:space="preserve"> R, et al. Frailty consensus: a call to action. J Am Med Dir Assoc 2013</w:t>
      </w:r>
      <w:proofErr w:type="gramStart"/>
      <w:r>
        <w:t>;14:392</w:t>
      </w:r>
      <w:proofErr w:type="gramEnd"/>
      <w:r>
        <w:t>-397.</w:t>
      </w:r>
    </w:p>
    <w:p w:rsidR="005D0350" w:rsidRDefault="00CF550A">
      <w:pPr>
        <w:spacing w:after="60" w:line="480" w:lineRule="auto"/>
        <w:ind w:left="720" w:hanging="720"/>
      </w:pPr>
      <w:proofErr w:type="gramStart"/>
      <w:r>
        <w:t xml:space="preserve">18. </w:t>
      </w:r>
      <w:proofErr w:type="spellStart"/>
      <w:r>
        <w:t>Nitz</w:t>
      </w:r>
      <w:proofErr w:type="spellEnd"/>
      <w:r>
        <w:t xml:space="preserve"> JC, Choy NL.</w:t>
      </w:r>
      <w:proofErr w:type="gramEnd"/>
      <w:r>
        <w:t xml:space="preserve"> The efficacy of a specific balance-strategy training </w:t>
      </w:r>
      <w:proofErr w:type="spellStart"/>
      <w:r>
        <w:t>programme</w:t>
      </w:r>
      <w:proofErr w:type="spellEnd"/>
      <w:r>
        <w:t xml:space="preserve"> for preventing falls among older people: a pilot </w:t>
      </w:r>
      <w:proofErr w:type="spellStart"/>
      <w:r>
        <w:t>randomised</w:t>
      </w:r>
      <w:proofErr w:type="spellEnd"/>
      <w:r>
        <w:t xml:space="preserve"> controlled trial. Age Ageing 2004</w:t>
      </w:r>
      <w:proofErr w:type="gramStart"/>
      <w:r>
        <w:t>;33:52</w:t>
      </w:r>
      <w:proofErr w:type="gramEnd"/>
      <w:r>
        <w:t>-58.</w:t>
      </w:r>
    </w:p>
    <w:p w:rsidR="005D0350" w:rsidRDefault="00CF550A">
      <w:pPr>
        <w:spacing w:after="60" w:line="480" w:lineRule="auto"/>
        <w:ind w:left="720" w:hanging="720"/>
      </w:pPr>
      <w:r>
        <w:t xml:space="preserve">19. Rolland Y, </w:t>
      </w:r>
      <w:proofErr w:type="spellStart"/>
      <w:r>
        <w:t>Pillard</w:t>
      </w:r>
      <w:proofErr w:type="spellEnd"/>
      <w:r>
        <w:t xml:space="preserve"> F, </w:t>
      </w:r>
      <w:proofErr w:type="spellStart"/>
      <w:r>
        <w:t>Klapouszczak</w:t>
      </w:r>
      <w:proofErr w:type="spellEnd"/>
      <w:r>
        <w:t xml:space="preserve"> A, </w:t>
      </w:r>
      <w:proofErr w:type="spellStart"/>
      <w:r>
        <w:t>Reynish</w:t>
      </w:r>
      <w:proofErr w:type="spellEnd"/>
      <w:r>
        <w:t xml:space="preserve"> E, Thomas D, </w:t>
      </w:r>
      <w:proofErr w:type="spellStart"/>
      <w:r>
        <w:t>Andrieu</w:t>
      </w:r>
      <w:proofErr w:type="spellEnd"/>
      <w:r>
        <w:t xml:space="preserve"> S, et al. Exercise program for nursing home residents with Alzheimer's disease: a 1-year randomized, controlled trial. J Am </w:t>
      </w:r>
      <w:proofErr w:type="spellStart"/>
      <w:r>
        <w:t>Geriatr</w:t>
      </w:r>
      <w:proofErr w:type="spellEnd"/>
      <w:r>
        <w:t xml:space="preserve"> Soc 2007</w:t>
      </w:r>
      <w:proofErr w:type="gramStart"/>
      <w:r>
        <w:t>;55:158</w:t>
      </w:r>
      <w:proofErr w:type="gramEnd"/>
      <w:r>
        <w:t>-165.</w:t>
      </w:r>
    </w:p>
    <w:p w:rsidR="005D0350" w:rsidRDefault="00CF550A">
      <w:pPr>
        <w:spacing w:after="60" w:line="480" w:lineRule="auto"/>
        <w:ind w:left="720" w:hanging="720"/>
      </w:pPr>
      <w:r>
        <w:t xml:space="preserve">20. Sherrington C, </w:t>
      </w:r>
      <w:proofErr w:type="spellStart"/>
      <w:r>
        <w:t>Fairhall</w:t>
      </w:r>
      <w:proofErr w:type="spellEnd"/>
      <w:r>
        <w:t xml:space="preserve"> NJ, </w:t>
      </w:r>
      <w:proofErr w:type="spellStart"/>
      <w:r>
        <w:t>Wallbank</w:t>
      </w:r>
      <w:proofErr w:type="spellEnd"/>
      <w:r>
        <w:t xml:space="preserve"> GK, Tiedemann A, </w:t>
      </w:r>
      <w:proofErr w:type="spellStart"/>
      <w:r>
        <w:t>Michaleff</w:t>
      </w:r>
      <w:proofErr w:type="spellEnd"/>
      <w:r>
        <w:t xml:space="preserve"> ZA, Howard K, et al. Exercise for preventing falls in older people living in the community. Cochrane Database </w:t>
      </w:r>
      <w:proofErr w:type="spellStart"/>
      <w:r>
        <w:t>Syst</w:t>
      </w:r>
      <w:proofErr w:type="spellEnd"/>
      <w:r>
        <w:t xml:space="preserve"> Rev 2019</w:t>
      </w:r>
      <w:proofErr w:type="gramStart"/>
      <w:r>
        <w:t>;1:CD012424</w:t>
      </w:r>
      <w:proofErr w:type="gramEnd"/>
      <w:r>
        <w:t>.</w:t>
      </w:r>
    </w:p>
    <w:p w:rsidR="005D0350" w:rsidRDefault="00CF550A">
      <w:pPr>
        <w:spacing w:after="60" w:line="480" w:lineRule="auto"/>
        <w:ind w:left="720" w:hanging="720"/>
      </w:pPr>
      <w:r>
        <w:t xml:space="preserve">21. Shin YI, Yang SM. Systematic review and meta-analysis of the effects of exercise on depression in older adults. J </w:t>
      </w:r>
      <w:proofErr w:type="spellStart"/>
      <w:r>
        <w:t>Exerc</w:t>
      </w:r>
      <w:proofErr w:type="spellEnd"/>
      <w:r>
        <w:t xml:space="preserve"> </w:t>
      </w:r>
      <w:proofErr w:type="spellStart"/>
      <w:r>
        <w:t>Rehabil</w:t>
      </w:r>
      <w:proofErr w:type="spellEnd"/>
      <w:r>
        <w:t xml:space="preserve"> 2020</w:t>
      </w:r>
      <w:proofErr w:type="gramStart"/>
      <w:r>
        <w:t>;16:230</w:t>
      </w:r>
      <w:proofErr w:type="gramEnd"/>
      <w:r>
        <w:t>-238.</w:t>
      </w:r>
    </w:p>
    <w:p w:rsidR="005D0350" w:rsidRDefault="00CF550A">
      <w:pPr>
        <w:spacing w:after="60" w:line="480" w:lineRule="auto"/>
        <w:ind w:left="720" w:hanging="720"/>
      </w:pPr>
      <w:r>
        <w:t xml:space="preserve">22. Sims-Gould J, Hicks A, </w:t>
      </w:r>
      <w:proofErr w:type="spellStart"/>
      <w:r>
        <w:t>Bhatta</w:t>
      </w:r>
      <w:proofErr w:type="spellEnd"/>
      <w:r>
        <w:t xml:space="preserve"> M, Scott V, Tong C, </w:t>
      </w:r>
      <w:proofErr w:type="spellStart"/>
      <w:r>
        <w:t>Franke</w:t>
      </w:r>
      <w:proofErr w:type="spellEnd"/>
      <w:r>
        <w:t xml:space="preserve"> T, et al. Process evaluation of a fall prevention exercise program in long-term care: exploring implementation fidelity. BMC </w:t>
      </w:r>
      <w:proofErr w:type="spellStart"/>
      <w:r>
        <w:t>Geriatr</w:t>
      </w:r>
      <w:proofErr w:type="spellEnd"/>
      <w:r>
        <w:t xml:space="preserve"> 2019</w:t>
      </w:r>
      <w:proofErr w:type="gramStart"/>
      <w:r>
        <w:t>;19:185</w:t>
      </w:r>
      <w:proofErr w:type="gramEnd"/>
      <w:r>
        <w:t>.</w:t>
      </w:r>
    </w:p>
    <w:p w:rsidR="005D0350" w:rsidRDefault="00CF550A">
      <w:pPr>
        <w:spacing w:after="60" w:line="480" w:lineRule="auto"/>
        <w:ind w:left="720" w:hanging="720"/>
      </w:pPr>
      <w:r>
        <w:lastRenderedPageBreak/>
        <w:t xml:space="preserve">23. </w:t>
      </w:r>
      <w:proofErr w:type="spellStart"/>
      <w:r>
        <w:t>Sjösten</w:t>
      </w:r>
      <w:proofErr w:type="spellEnd"/>
      <w:r>
        <w:t xml:space="preserve"> N, </w:t>
      </w:r>
      <w:proofErr w:type="spellStart"/>
      <w:r>
        <w:t>Kivelä</w:t>
      </w:r>
      <w:proofErr w:type="spellEnd"/>
      <w:r>
        <w:t xml:space="preserve"> SL. The effects of physical exercise on depressive symptoms among the aged: a systematic review. </w:t>
      </w:r>
      <w:proofErr w:type="spellStart"/>
      <w:r>
        <w:t>Int</w:t>
      </w:r>
      <w:proofErr w:type="spellEnd"/>
      <w:r>
        <w:t xml:space="preserve"> J </w:t>
      </w:r>
      <w:proofErr w:type="spellStart"/>
      <w:r>
        <w:t>Geriatr</w:t>
      </w:r>
      <w:proofErr w:type="spellEnd"/>
      <w:r>
        <w:t xml:space="preserve"> Psychiatry 2006</w:t>
      </w:r>
      <w:proofErr w:type="gramStart"/>
      <w:r>
        <w:t>;21:410</w:t>
      </w:r>
      <w:proofErr w:type="gramEnd"/>
      <w:r>
        <w:t>-418.</w:t>
      </w:r>
    </w:p>
    <w:p w:rsidR="005D0350" w:rsidRDefault="00CF550A">
      <w:pPr>
        <w:spacing w:after="60" w:line="480" w:lineRule="auto"/>
        <w:ind w:left="720" w:hanging="720"/>
      </w:pPr>
      <w:r>
        <w:t xml:space="preserve">24. </w:t>
      </w:r>
      <w:proofErr w:type="spellStart"/>
      <w:r>
        <w:t>Studenski</w:t>
      </w:r>
      <w:proofErr w:type="spellEnd"/>
      <w:r>
        <w:t xml:space="preserve"> S, </w:t>
      </w:r>
      <w:proofErr w:type="spellStart"/>
      <w:r>
        <w:t>Perera</w:t>
      </w:r>
      <w:proofErr w:type="spellEnd"/>
      <w:r>
        <w:t xml:space="preserve"> S, Patel K, </w:t>
      </w:r>
      <w:proofErr w:type="spellStart"/>
      <w:r>
        <w:t>Rosano</w:t>
      </w:r>
      <w:proofErr w:type="spellEnd"/>
      <w:r>
        <w:t xml:space="preserve"> C, Faulkner K, </w:t>
      </w:r>
      <w:proofErr w:type="spellStart"/>
      <w:r>
        <w:t>Inzitari</w:t>
      </w:r>
      <w:proofErr w:type="spellEnd"/>
      <w:r>
        <w:t xml:space="preserve"> M, et al. Gait speed and survival in older adults. JAMA 2011</w:t>
      </w:r>
      <w:proofErr w:type="gramStart"/>
      <w:r>
        <w:t>;305:50</w:t>
      </w:r>
      <w:proofErr w:type="gramEnd"/>
      <w:r>
        <w:t>-58.</w:t>
      </w:r>
    </w:p>
    <w:p w:rsidR="005D0350" w:rsidRDefault="00CF550A">
      <w:pPr>
        <w:spacing w:after="60" w:line="480" w:lineRule="auto"/>
        <w:ind w:left="720" w:hanging="720"/>
      </w:pPr>
      <w:r>
        <w:t xml:space="preserve">25. Taylor D. Physical activity is medicine for older adults. </w:t>
      </w:r>
      <w:proofErr w:type="spellStart"/>
      <w:r>
        <w:t>Postgrad</w:t>
      </w:r>
      <w:proofErr w:type="spellEnd"/>
      <w:r>
        <w:t xml:space="preserve"> Med J 2014</w:t>
      </w:r>
      <w:proofErr w:type="gramStart"/>
      <w:r>
        <w:t>;90:26</w:t>
      </w:r>
      <w:proofErr w:type="gramEnd"/>
      <w:r>
        <w:t>-32.</w:t>
      </w:r>
    </w:p>
    <w:p w:rsidR="005D0350" w:rsidRDefault="00CF550A">
      <w:pPr>
        <w:spacing w:after="60" w:line="480" w:lineRule="auto"/>
        <w:ind w:left="720" w:hanging="720"/>
      </w:pPr>
      <w:r>
        <w:t xml:space="preserve">26. </w:t>
      </w:r>
      <w:proofErr w:type="spellStart"/>
      <w:r>
        <w:t>Thiamwong</w:t>
      </w:r>
      <w:proofErr w:type="spellEnd"/>
      <w:r>
        <w:t xml:space="preserve"> L, </w:t>
      </w:r>
      <w:proofErr w:type="spellStart"/>
      <w:r>
        <w:t>Suwanno</w:t>
      </w:r>
      <w:proofErr w:type="spellEnd"/>
      <w:r>
        <w:t xml:space="preserve"> J. Effects of simple balance training on balance performance and fear of falling in rural older adults. J </w:t>
      </w:r>
      <w:proofErr w:type="spellStart"/>
      <w:r>
        <w:t>Exerc</w:t>
      </w:r>
      <w:proofErr w:type="spellEnd"/>
      <w:r>
        <w:t xml:space="preserve"> </w:t>
      </w:r>
      <w:proofErr w:type="spellStart"/>
      <w:r>
        <w:t>Rehabil</w:t>
      </w:r>
      <w:proofErr w:type="spellEnd"/>
      <w:r>
        <w:t xml:space="preserve"> 2014</w:t>
      </w:r>
      <w:proofErr w:type="gramStart"/>
      <w:r>
        <w:t>;10:140</w:t>
      </w:r>
      <w:proofErr w:type="gramEnd"/>
      <w:r>
        <w:t>-145.</w:t>
      </w:r>
    </w:p>
    <w:p w:rsidR="005D0350" w:rsidRDefault="00CF550A">
      <w:pPr>
        <w:spacing w:after="60" w:line="480" w:lineRule="auto"/>
        <w:ind w:left="720" w:hanging="720"/>
      </w:pPr>
      <w:r>
        <w:t xml:space="preserve">27. Thomas S, Mackintosh S, </w:t>
      </w:r>
      <w:proofErr w:type="spellStart"/>
      <w:r>
        <w:t>Halbert</w:t>
      </w:r>
      <w:proofErr w:type="spellEnd"/>
      <w:r>
        <w:t xml:space="preserve"> J. Does the '</w:t>
      </w:r>
      <w:proofErr w:type="spellStart"/>
      <w:r>
        <w:t>Otago</w:t>
      </w:r>
      <w:proofErr w:type="spellEnd"/>
      <w:r>
        <w:t xml:space="preserve"> Exercise </w:t>
      </w:r>
      <w:proofErr w:type="spellStart"/>
      <w:r>
        <w:t>Programme</w:t>
      </w:r>
      <w:proofErr w:type="spellEnd"/>
      <w:r>
        <w:t>' reduce mortality and falls in older adults</w:t>
      </w:r>
      <w:proofErr w:type="gramStart"/>
      <w:r>
        <w:t>?:</w:t>
      </w:r>
      <w:proofErr w:type="gramEnd"/>
      <w:r>
        <w:t xml:space="preserve"> a systematic review and meta-analysis. Age Ageing 2010</w:t>
      </w:r>
      <w:proofErr w:type="gramStart"/>
      <w:r>
        <w:t>;39:681</w:t>
      </w:r>
      <w:proofErr w:type="gramEnd"/>
      <w:r>
        <w:t>-687.</w:t>
      </w:r>
    </w:p>
    <w:p w:rsidR="005D0350" w:rsidRDefault="00CF550A">
      <w:pPr>
        <w:spacing w:after="60" w:line="480" w:lineRule="auto"/>
        <w:ind w:left="720" w:hanging="720"/>
      </w:pPr>
      <w:r>
        <w:t xml:space="preserve">28. </w:t>
      </w:r>
      <w:proofErr w:type="spellStart"/>
      <w:r>
        <w:t>Tinetti</w:t>
      </w:r>
      <w:proofErr w:type="spellEnd"/>
      <w:r>
        <w:t xml:space="preserve"> ME, </w:t>
      </w:r>
      <w:proofErr w:type="spellStart"/>
      <w:r>
        <w:t>Speechley</w:t>
      </w:r>
      <w:proofErr w:type="spellEnd"/>
      <w:r>
        <w:t xml:space="preserve"> M, </w:t>
      </w:r>
      <w:proofErr w:type="spellStart"/>
      <w:r>
        <w:t>Ginter</w:t>
      </w:r>
      <w:proofErr w:type="spellEnd"/>
      <w:r>
        <w:t xml:space="preserve"> SF. Risk factors for falls among elderly persons living in the community. N </w:t>
      </w:r>
      <w:proofErr w:type="spellStart"/>
      <w:r>
        <w:t>Engl</w:t>
      </w:r>
      <w:proofErr w:type="spellEnd"/>
      <w:r>
        <w:t xml:space="preserve"> J Med 1988</w:t>
      </w:r>
      <w:proofErr w:type="gramStart"/>
      <w:r>
        <w:t>;319:1701</w:t>
      </w:r>
      <w:proofErr w:type="gramEnd"/>
      <w:r>
        <w:t>-1707.</w:t>
      </w:r>
    </w:p>
    <w:p w:rsidR="005D0350" w:rsidRDefault="00CF550A">
      <w:pPr>
        <w:spacing w:after="60" w:line="480" w:lineRule="auto"/>
        <w:ind w:left="720" w:hanging="720"/>
      </w:pPr>
      <w:r>
        <w:t xml:space="preserve">29. </w:t>
      </w:r>
      <w:proofErr w:type="gramStart"/>
      <w:r>
        <w:t>van</w:t>
      </w:r>
      <w:proofErr w:type="gramEnd"/>
      <w:r>
        <w:t xml:space="preserve"> het </w:t>
      </w:r>
      <w:proofErr w:type="spellStart"/>
      <w:r>
        <w:t>Reve</w:t>
      </w:r>
      <w:proofErr w:type="spellEnd"/>
      <w:r>
        <w:t xml:space="preserve"> E, de Bruin ED. Strength-balance supplemented with computerized cognitive training to improve dual task gait and divided attention in older adults. BMC </w:t>
      </w:r>
      <w:proofErr w:type="spellStart"/>
      <w:r>
        <w:t>Geriatr</w:t>
      </w:r>
      <w:proofErr w:type="spellEnd"/>
      <w:r>
        <w:t xml:space="preserve"> 2014</w:t>
      </w:r>
      <w:proofErr w:type="gramStart"/>
      <w:r>
        <w:t>;14:134</w:t>
      </w:r>
      <w:proofErr w:type="gramEnd"/>
      <w:r>
        <w:t>.</w:t>
      </w:r>
    </w:p>
    <w:p w:rsidR="005D0350" w:rsidRDefault="00CF550A">
      <w:pPr>
        <w:spacing w:after="60" w:line="480" w:lineRule="auto"/>
        <w:ind w:left="720" w:hanging="720"/>
      </w:pPr>
      <w:r>
        <w:t xml:space="preserve">30. </w:t>
      </w:r>
      <w:proofErr w:type="spellStart"/>
      <w:r>
        <w:t>Weening-Dijksterhuis</w:t>
      </w:r>
      <w:proofErr w:type="spellEnd"/>
      <w:r>
        <w:t xml:space="preserve"> E, de </w:t>
      </w:r>
      <w:proofErr w:type="spellStart"/>
      <w:r>
        <w:t>Greef</w:t>
      </w:r>
      <w:proofErr w:type="spellEnd"/>
      <w:r>
        <w:t xml:space="preserve"> MH, </w:t>
      </w:r>
      <w:proofErr w:type="spellStart"/>
      <w:r>
        <w:t>Scherder</w:t>
      </w:r>
      <w:proofErr w:type="spellEnd"/>
      <w:r>
        <w:t xml:space="preserve"> EJ, </w:t>
      </w:r>
      <w:proofErr w:type="spellStart"/>
      <w:r>
        <w:t>Slaets</w:t>
      </w:r>
      <w:proofErr w:type="spellEnd"/>
      <w:r>
        <w:t xml:space="preserve"> JP, van </w:t>
      </w:r>
      <w:proofErr w:type="spellStart"/>
      <w:r>
        <w:t>der</w:t>
      </w:r>
      <w:proofErr w:type="spellEnd"/>
      <w:r>
        <w:t xml:space="preserve"> </w:t>
      </w:r>
      <w:proofErr w:type="spellStart"/>
      <w:r>
        <w:t>Schans</w:t>
      </w:r>
      <w:proofErr w:type="spellEnd"/>
      <w:r>
        <w:t xml:space="preserve"> CP. Frail institutionalized older persons: a comprehensive review on physical exercise, physical fitness, activities of daily living, and quality-of-life. Am J Phys Med </w:t>
      </w:r>
      <w:proofErr w:type="spellStart"/>
      <w:r>
        <w:t>Rehabil</w:t>
      </w:r>
      <w:proofErr w:type="spellEnd"/>
      <w:r>
        <w:t xml:space="preserve"> 2011</w:t>
      </w:r>
      <w:proofErr w:type="gramStart"/>
      <w:r>
        <w:t>;90:156</w:t>
      </w:r>
      <w:proofErr w:type="gramEnd"/>
      <w:r>
        <w:t>-168.</w:t>
      </w:r>
    </w:p>
    <w:p w:rsidR="005D0350" w:rsidRDefault="00CF550A">
      <w:pPr>
        <w:spacing w:after="60" w:line="480" w:lineRule="auto"/>
        <w:ind w:left="720" w:hanging="720"/>
      </w:pPr>
      <w:r>
        <w:t xml:space="preserve">31. Wells G, Shea B, O'Connell D, Peterson J, Welch V, </w:t>
      </w:r>
      <w:proofErr w:type="spellStart"/>
      <w:r>
        <w:t>Losos</w:t>
      </w:r>
      <w:proofErr w:type="spellEnd"/>
      <w:r>
        <w:t xml:space="preserve"> M, et al. The Newcastle-Ottawa Scale (NOS) for assessing the quality of </w:t>
      </w:r>
      <w:proofErr w:type="spellStart"/>
      <w:r>
        <w:t>nonrandomised</w:t>
      </w:r>
      <w:proofErr w:type="spellEnd"/>
      <w:r>
        <w:t xml:space="preserve"> studies in meta-analyses. Ottawa: Ottawa Hospital Research Institute; 2000.</w:t>
      </w:r>
    </w:p>
    <w:p w:rsidR="005D0350" w:rsidRDefault="00CF550A">
      <w:pPr>
        <w:spacing w:after="60" w:line="480" w:lineRule="auto"/>
        <w:ind w:left="720" w:hanging="720"/>
      </w:pPr>
      <w:r>
        <w:t xml:space="preserve">32. World Health Organization. </w:t>
      </w:r>
      <w:proofErr w:type="gramStart"/>
      <w:r>
        <w:t>World Report on Ageing and Health.</w:t>
      </w:r>
      <w:proofErr w:type="gramEnd"/>
      <w:r>
        <w:t xml:space="preserve"> Geneva: WHO; 2015.</w:t>
      </w:r>
    </w:p>
    <w:p w:rsidR="005D0350" w:rsidRDefault="00CF550A">
      <w:pPr>
        <w:spacing w:after="60" w:line="480" w:lineRule="auto"/>
        <w:ind w:left="720" w:hanging="720"/>
      </w:pPr>
      <w:r>
        <w:lastRenderedPageBreak/>
        <w:t>33. Yamada M, Arai H. Long-term care prevention program in Japan. Lancet 2015</w:t>
      </w:r>
      <w:proofErr w:type="gramStart"/>
      <w:r>
        <w:t>;386:e1253</w:t>
      </w:r>
      <w:proofErr w:type="gramEnd"/>
      <w:r>
        <w:t>.</w:t>
      </w:r>
    </w:p>
    <w:p w:rsidR="005D0350" w:rsidRDefault="00CF550A">
      <w:pPr>
        <w:spacing w:after="60" w:line="480" w:lineRule="auto"/>
        <w:ind w:left="720" w:hanging="720"/>
      </w:pPr>
      <w:r>
        <w:t xml:space="preserve">34. Yoshida S. A Global Report on Falls Prevention: Epidemiology of </w:t>
      </w:r>
      <w:proofErr w:type="gramStart"/>
      <w:r>
        <w:t>Falls</w:t>
      </w:r>
      <w:proofErr w:type="gramEnd"/>
      <w:r>
        <w:t>. Geneva: World Health Organization; 2007.</w:t>
      </w:r>
    </w:p>
    <w:p w:rsidR="005D0350" w:rsidRDefault="005D0350">
      <w:pPr>
        <w:pageBreakBefore/>
      </w:pPr>
    </w:p>
    <w:p w:rsidR="005D0350" w:rsidRDefault="00CF550A">
      <w:pPr>
        <w:spacing w:before="120" w:after="80"/>
      </w:pPr>
      <w:proofErr w:type="gramStart"/>
      <w:r>
        <w:rPr>
          <w:b/>
          <w:bCs/>
          <w:sz w:val="22"/>
          <w:szCs w:val="22"/>
        </w:rPr>
        <w:t>Table 1.</w:t>
      </w:r>
      <w:proofErr w:type="gramEnd"/>
      <w:r>
        <w:rPr>
          <w:sz w:val="22"/>
          <w:szCs w:val="22"/>
        </w:rPr>
        <w:t xml:space="preserve"> Characteristics of representative included studies (n=10 of 31). ALF, assisted living facility; BBS, Berg Balance Scale; FTSS, Five-Times-Sit-to-Stand; GDS, Geriatric Depression Scale; LTC, long-term care; RACF, residential aged care facility; RCF, residential care facility; RCT, randomized controlled trial; RCFE, residential care facility for the elderly; SR, systematic review; TUG, Timed Up and Go.</w:t>
      </w:r>
    </w:p>
    <w:p w:rsidR="005D0350" w:rsidRDefault="005D0350"/>
    <w:tbl>
      <w:tblPr>
        <w:tblW w:w="907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470"/>
        <w:gridCol w:w="1256"/>
        <w:gridCol w:w="735"/>
        <w:gridCol w:w="1418"/>
        <w:gridCol w:w="1069"/>
        <w:gridCol w:w="1315"/>
        <w:gridCol w:w="1809"/>
      </w:tblGrid>
      <w:tr w:rsidR="005D0350">
        <w:trPr>
          <w:tblHeader/>
        </w:trPr>
        <w:tc>
          <w:tcPr>
            <w:tcW w:w="14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b/>
                <w:bCs/>
                <w:sz w:val="20"/>
                <w:szCs w:val="20"/>
              </w:rPr>
              <w:t>Author (Year)</w:t>
            </w:r>
          </w:p>
        </w:tc>
        <w:tc>
          <w:tcPr>
            <w:tcW w:w="11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b/>
                <w:bCs/>
                <w:sz w:val="20"/>
                <w:szCs w:val="20"/>
              </w:rPr>
              <w:t>Setting / Country</w:t>
            </w:r>
          </w:p>
        </w:tc>
        <w:tc>
          <w:tcPr>
            <w:tcW w:w="7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b/>
                <w:bCs/>
                <w:sz w:val="20"/>
                <w:szCs w:val="20"/>
              </w:rPr>
              <w:t>n</w:t>
            </w:r>
          </w:p>
        </w:tc>
        <w:tc>
          <w:tcPr>
            <w:tcW w:w="135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b/>
                <w:bCs/>
                <w:sz w:val="20"/>
                <w:szCs w:val="20"/>
              </w:rPr>
              <w:t>Intervention Type</w:t>
            </w:r>
          </w:p>
        </w:tc>
        <w:tc>
          <w:tcPr>
            <w:tcW w:w="10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b/>
                <w:bCs/>
                <w:sz w:val="20"/>
                <w:szCs w:val="20"/>
              </w:rPr>
              <w:t>Duration / Freq.</w:t>
            </w:r>
          </w:p>
        </w:tc>
        <w:tc>
          <w:tcPr>
            <w:tcW w:w="8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b/>
                <w:bCs/>
                <w:sz w:val="20"/>
                <w:szCs w:val="20"/>
              </w:rPr>
              <w:t>Supervision</w:t>
            </w:r>
          </w:p>
        </w:tc>
        <w:tc>
          <w:tcPr>
            <w:tcW w:w="1722"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b/>
                <w:bCs/>
                <w:sz w:val="20"/>
                <w:szCs w:val="20"/>
              </w:rPr>
              <w:t>Primary Outcome(s)</w:t>
            </w:r>
          </w:p>
        </w:tc>
      </w:tr>
      <w:tr w:rsidR="005D0350">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Sherrington et al. (2019)</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RCFE, Australia</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512</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Multimodal (balance + strength)</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24 wks / 3×/wk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PT-led</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Falls, balance (BBS)</w:t>
            </w:r>
          </w:p>
        </w:tc>
      </w:tr>
      <w:tr w:rsidR="005D0350">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Rolland et al. (2007)</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ALF, France</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134</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Multimodal (walking + resistance)</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52 wks / 2×/wk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PT-supervised</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Mobility, TUG, ADL</w:t>
            </w:r>
          </w:p>
        </w:tc>
      </w:tr>
      <w:tr w:rsidR="005D0350">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Daly et al. (2021)</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RCF, Australia</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198</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Resistance + balance</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12 wks / 2×/wk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PT-led</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Falls, strength (FTSS)</w:t>
            </w:r>
          </w:p>
        </w:tc>
      </w:tr>
      <w:tr w:rsidR="005D0350">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Hewitt et al. (2014)</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RACF, Australia</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180</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Progressive resistance + balance</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6 months / 3×/wk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Exercise instructor</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Falls, BBS, TUG</w:t>
            </w:r>
          </w:p>
        </w:tc>
      </w:tr>
      <w:tr w:rsidR="005D0350">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Thomas et al. (2010)</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Care home, UK</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276</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roofErr w:type="spellStart"/>
            <w:r>
              <w:rPr>
                <w:sz w:val="20"/>
                <w:szCs w:val="20"/>
              </w:rPr>
              <w:t>Otago</w:t>
            </w:r>
            <w:proofErr w:type="spellEnd"/>
            <w:r>
              <w:rPr>
                <w:sz w:val="20"/>
                <w:szCs w:val="20"/>
              </w:rPr>
              <w:t xml:space="preserve"> Exercise Program</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24 wks / 3×/wk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Trained nurse</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Fall rate, mortality</w:t>
            </w:r>
          </w:p>
        </w:tc>
      </w:tr>
      <w:tr w:rsidR="005D0350">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roofErr w:type="spellStart"/>
            <w:r>
              <w:rPr>
                <w:sz w:val="20"/>
                <w:szCs w:val="20"/>
              </w:rPr>
              <w:t>Nitz</w:t>
            </w:r>
            <w:proofErr w:type="spellEnd"/>
            <w:r>
              <w:rPr>
                <w:sz w:val="20"/>
                <w:szCs w:val="20"/>
              </w:rPr>
              <w:t xml:space="preserve"> &amp; Choy (2004)</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RCF, Australia</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55</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Balance-strategy training</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10 wks / 1×/wk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PT-led</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Balance (BBS), falls</w:t>
            </w:r>
          </w:p>
        </w:tc>
      </w:tr>
      <w:tr w:rsidR="005D0350">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 xml:space="preserve">van het </w:t>
            </w:r>
            <w:proofErr w:type="spellStart"/>
            <w:r>
              <w:rPr>
                <w:sz w:val="20"/>
                <w:szCs w:val="20"/>
              </w:rPr>
              <w:t>Reve</w:t>
            </w:r>
            <w:proofErr w:type="spellEnd"/>
            <w:r>
              <w:rPr>
                <w:sz w:val="20"/>
                <w:szCs w:val="20"/>
              </w:rPr>
              <w:t xml:space="preserve"> &amp; de Bruin (2014)</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ALF, Switzerland</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30</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Strength-balance + cognitive</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8 wks / 3×/wk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Exercise instructor</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Dual-task gait</w:t>
            </w:r>
          </w:p>
        </w:tc>
      </w:tr>
      <w:tr w:rsidR="005D0350">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Sims-Gould et al. (2019)</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LTC, Canada</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89</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Multimodal group exercise</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16 wks / 2×/wk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Rehab aide</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ADL, fidelity</w:t>
            </w:r>
          </w:p>
        </w:tc>
      </w:tr>
      <w:tr w:rsidR="005D0350">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roofErr w:type="spellStart"/>
            <w:r>
              <w:rPr>
                <w:sz w:val="20"/>
                <w:szCs w:val="20"/>
              </w:rPr>
              <w:t>Giné-Garriga</w:t>
            </w:r>
            <w:proofErr w:type="spellEnd"/>
            <w:r>
              <w:rPr>
                <w:sz w:val="20"/>
                <w:szCs w:val="20"/>
              </w:rPr>
              <w:t xml:space="preserve"> et al. (2014)</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Care home, Spain</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112</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Frailty-targeted multimodal</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16 wks / 3×/wk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PT-supervised</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SPPB, TUG, gait speed</w:t>
            </w:r>
          </w:p>
        </w:tc>
      </w:tr>
      <w:tr w:rsidR="005D0350">
        <w:tc>
          <w:tcPr>
            <w:tcW w:w="14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roofErr w:type="spellStart"/>
            <w:r>
              <w:rPr>
                <w:sz w:val="20"/>
                <w:szCs w:val="20"/>
              </w:rPr>
              <w:t>Sjösten</w:t>
            </w:r>
            <w:proofErr w:type="spellEnd"/>
            <w:r>
              <w:rPr>
                <w:sz w:val="20"/>
                <w:szCs w:val="20"/>
              </w:rPr>
              <w:t xml:space="preserve"> &amp; </w:t>
            </w:r>
            <w:proofErr w:type="spellStart"/>
            <w:r>
              <w:rPr>
                <w:sz w:val="20"/>
                <w:szCs w:val="20"/>
              </w:rPr>
              <w:t>Kivelä</w:t>
            </w:r>
            <w:proofErr w:type="spellEnd"/>
            <w:r>
              <w:rPr>
                <w:sz w:val="20"/>
                <w:szCs w:val="20"/>
              </w:rPr>
              <w:t xml:space="preserve"> (2006)</w:t>
            </w:r>
          </w:p>
        </w:tc>
        <w:tc>
          <w:tcPr>
            <w:tcW w:w="11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sz w:val="20"/>
                <w:szCs w:val="20"/>
              </w:rPr>
              <w:t>Residential care, Finland</w:t>
            </w:r>
          </w:p>
        </w:tc>
        <w:tc>
          <w:tcPr>
            <w:tcW w:w="7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sz w:val="20"/>
                <w:szCs w:val="20"/>
              </w:rPr>
              <w:t>67</w:t>
            </w:r>
          </w:p>
        </w:tc>
        <w:tc>
          <w:tcPr>
            <w:tcW w:w="135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sz w:val="20"/>
                <w:szCs w:val="20"/>
              </w:rPr>
              <w:t>Group aerobic + stretching</w:t>
            </w:r>
          </w:p>
        </w:tc>
        <w:tc>
          <w:tcPr>
            <w:tcW w:w="10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sz w:val="20"/>
                <w:szCs w:val="20"/>
              </w:rPr>
              <w:t>12 wks / 2×/wk</w:t>
            </w:r>
          </w:p>
        </w:tc>
        <w:tc>
          <w:tcPr>
            <w:tcW w:w="8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sz w:val="20"/>
                <w:szCs w:val="20"/>
              </w:rPr>
              <w:t>PT-supervised</w:t>
            </w:r>
          </w:p>
        </w:tc>
        <w:tc>
          <w:tcPr>
            <w:tcW w:w="1722"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sz w:val="20"/>
                <w:szCs w:val="20"/>
              </w:rPr>
              <w:t>GDS, quality of life</w:t>
            </w:r>
          </w:p>
        </w:tc>
      </w:tr>
    </w:tbl>
    <w:p w:rsidR="005D0350" w:rsidRDefault="005D0350">
      <w:pPr>
        <w:pageBreakBefore/>
      </w:pPr>
    </w:p>
    <w:p w:rsidR="005D0350" w:rsidRDefault="00CF550A">
      <w:pPr>
        <w:spacing w:before="120" w:after="80"/>
      </w:pPr>
      <w:proofErr w:type="gramStart"/>
      <w:r>
        <w:rPr>
          <w:b/>
          <w:bCs/>
          <w:sz w:val="22"/>
          <w:szCs w:val="22"/>
        </w:rPr>
        <w:t>Table 2.</w:t>
      </w:r>
      <w:proofErr w:type="gramEnd"/>
      <w:r>
        <w:rPr>
          <w:sz w:val="22"/>
          <w:szCs w:val="22"/>
        </w:rPr>
        <w:t xml:space="preserve"> Summary of outcomes by intervention type across included studies. </w:t>
      </w:r>
      <w:proofErr w:type="gramStart"/>
      <w:r>
        <w:rPr>
          <w:sz w:val="22"/>
          <w:szCs w:val="22"/>
        </w:rPr>
        <w:t>BBS, Berg Balance Scale; GDS, Geriatric Depression Scale; TUG, Timed Up and Go test.</w:t>
      </w:r>
      <w:proofErr w:type="gramEnd"/>
      <w:r>
        <w:rPr>
          <w:sz w:val="22"/>
          <w:szCs w:val="22"/>
        </w:rPr>
        <w:t xml:space="preserve"> Values represent observed ranges across included studies.</w:t>
      </w:r>
    </w:p>
    <w:p w:rsidR="005D0350" w:rsidRDefault="005D0350"/>
    <w:tbl>
      <w:tblPr>
        <w:tblW w:w="907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828"/>
        <w:gridCol w:w="914"/>
        <w:gridCol w:w="1429"/>
        <w:gridCol w:w="1117"/>
        <w:gridCol w:w="1219"/>
        <w:gridCol w:w="1429"/>
        <w:gridCol w:w="1136"/>
      </w:tblGrid>
      <w:tr w:rsidR="005D0350">
        <w:trPr>
          <w:tblHeader/>
        </w:trPr>
        <w:tc>
          <w:tcPr>
            <w:tcW w:w="18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b/>
                <w:bCs/>
                <w:sz w:val="20"/>
                <w:szCs w:val="20"/>
              </w:rPr>
              <w:t>Intervention Type</w:t>
            </w:r>
          </w:p>
        </w:tc>
        <w:tc>
          <w:tcPr>
            <w:tcW w:w="9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b/>
                <w:bCs/>
                <w:sz w:val="20"/>
                <w:szCs w:val="20"/>
              </w:rPr>
              <w:t>Studies (n)</w:t>
            </w:r>
          </w:p>
        </w:tc>
        <w:tc>
          <w:tcPr>
            <w:tcW w:w="12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b/>
                <w:bCs/>
                <w:sz w:val="20"/>
                <w:szCs w:val="20"/>
              </w:rPr>
              <w:t>TUG Improvement (sec)</w:t>
            </w:r>
          </w:p>
        </w:tc>
        <w:tc>
          <w:tcPr>
            <w:tcW w:w="11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b/>
                <w:bCs/>
                <w:sz w:val="20"/>
                <w:szCs w:val="20"/>
              </w:rPr>
              <w:t>BBS Gain (pts)</w:t>
            </w:r>
          </w:p>
        </w:tc>
        <w:tc>
          <w:tcPr>
            <w:tcW w:w="12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b/>
                <w:bCs/>
                <w:sz w:val="20"/>
                <w:szCs w:val="20"/>
              </w:rPr>
              <w:t>Fall Rate Reduction</w:t>
            </w:r>
          </w:p>
        </w:tc>
        <w:tc>
          <w:tcPr>
            <w:tcW w:w="10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b/>
                <w:bCs/>
                <w:sz w:val="20"/>
                <w:szCs w:val="20"/>
              </w:rPr>
              <w:t>ADL Improvement</w:t>
            </w:r>
          </w:p>
        </w:tc>
        <w:tc>
          <w:tcPr>
            <w:tcW w:w="872"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b/>
                <w:bCs/>
                <w:sz w:val="20"/>
                <w:szCs w:val="20"/>
              </w:rPr>
              <w:t>GDS Reduction</w:t>
            </w:r>
          </w:p>
        </w:tc>
      </w:tr>
      <w:tr w:rsidR="005D0350">
        <w:tc>
          <w:tcPr>
            <w:tcW w:w="1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Multimodal</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14</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1.8–3.4</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4.2–6.7</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34%</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Significant</w:t>
            </w:r>
          </w:p>
        </w:tc>
        <w:tc>
          <w:tcPr>
            <w:tcW w:w="87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2.9 pts</w:t>
            </w:r>
          </w:p>
        </w:tc>
      </w:tr>
      <w:tr w:rsidR="005D0350">
        <w:tc>
          <w:tcPr>
            <w:tcW w:w="1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Resistance-focused</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7</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1.0–2.1</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2.1–4.8</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22%</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Moderate</w:t>
            </w:r>
          </w:p>
        </w:tc>
        <w:tc>
          <w:tcPr>
            <w:tcW w:w="87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1.2 pts</w:t>
            </w:r>
          </w:p>
        </w:tc>
      </w:tr>
      <w:tr w:rsidR="005D0350">
        <w:tc>
          <w:tcPr>
            <w:tcW w:w="1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Balance-specific</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5</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1.2–2.6</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3.0–5.5</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29%</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Limited</w:t>
            </w:r>
          </w:p>
        </w:tc>
        <w:tc>
          <w:tcPr>
            <w:tcW w:w="87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1.6 pts</w:t>
            </w:r>
          </w:p>
        </w:tc>
      </w:tr>
      <w:tr w:rsidR="005D0350">
        <w:tc>
          <w:tcPr>
            <w:tcW w:w="1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Aerobic</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3</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0.8–1.5</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1.8–3.1</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16%</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Minimal</w:t>
            </w:r>
          </w:p>
        </w:tc>
        <w:tc>
          <w:tcPr>
            <w:tcW w:w="87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1.4 pts</w:t>
            </w:r>
          </w:p>
        </w:tc>
      </w:tr>
      <w:tr w:rsidR="005D0350">
        <w:tc>
          <w:tcPr>
            <w:tcW w:w="18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sz w:val="20"/>
                <w:szCs w:val="20"/>
              </w:rPr>
              <w:t>Mind-body</w:t>
            </w:r>
          </w:p>
        </w:tc>
        <w:tc>
          <w:tcPr>
            <w:tcW w:w="9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sz w:val="20"/>
                <w:szCs w:val="20"/>
              </w:rPr>
              <w:t>2</w:t>
            </w:r>
          </w:p>
        </w:tc>
        <w:tc>
          <w:tcPr>
            <w:tcW w:w="12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sz w:val="20"/>
                <w:szCs w:val="20"/>
              </w:rPr>
              <w:t>1.1–1.9</w:t>
            </w:r>
          </w:p>
        </w:tc>
        <w:tc>
          <w:tcPr>
            <w:tcW w:w="11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sz w:val="20"/>
                <w:szCs w:val="20"/>
              </w:rPr>
              <w:t>2.4–4.0</w:t>
            </w:r>
          </w:p>
        </w:tc>
        <w:tc>
          <w:tcPr>
            <w:tcW w:w="12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sz w:val="20"/>
                <w:szCs w:val="20"/>
              </w:rPr>
              <w:t>21%</w:t>
            </w:r>
          </w:p>
        </w:tc>
        <w:tc>
          <w:tcPr>
            <w:tcW w:w="10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sz w:val="20"/>
                <w:szCs w:val="20"/>
              </w:rPr>
              <w:t>Moderate</w:t>
            </w:r>
          </w:p>
        </w:tc>
        <w:tc>
          <w:tcPr>
            <w:tcW w:w="872"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sz w:val="20"/>
                <w:szCs w:val="20"/>
              </w:rPr>
              <w:t>2.1 pts</w:t>
            </w:r>
          </w:p>
        </w:tc>
      </w:tr>
    </w:tbl>
    <w:p w:rsidR="005D0350" w:rsidRDefault="005D0350">
      <w:pPr>
        <w:pageBreakBefore/>
      </w:pPr>
    </w:p>
    <w:p w:rsidR="005D0350" w:rsidRDefault="00CF550A">
      <w:pPr>
        <w:spacing w:before="120" w:after="80"/>
      </w:pPr>
      <w:proofErr w:type="gramStart"/>
      <w:r>
        <w:rPr>
          <w:b/>
          <w:bCs/>
          <w:sz w:val="22"/>
          <w:szCs w:val="22"/>
        </w:rPr>
        <w:t>Table 3.</w:t>
      </w:r>
      <w:proofErr w:type="gramEnd"/>
      <w:r w:rsidR="00C44183">
        <w:rPr>
          <w:sz w:val="22"/>
          <w:szCs w:val="22"/>
        </w:rPr>
        <w:t xml:space="preserve"> The </w:t>
      </w:r>
      <w:r>
        <w:rPr>
          <w:sz w:val="22"/>
          <w:szCs w:val="22"/>
        </w:rPr>
        <w:t>RCFE Exercise Rehabilitation Framework: a four-phase model for physical therapist-guided program delivery in residential care. BBS, Berg Balance Scale; FTSS, Five-Times-Sit-to-Stand; GDS, Geriatric Depression Scale; MCID, minimal clinically important difference; RPE, rating of perceived exertion; SMART, specific, measurable, achievable, relevant, time-bound; TUG, Timed Up and Go.</w:t>
      </w:r>
    </w:p>
    <w:p w:rsidR="005D0350" w:rsidRDefault="005D0350"/>
    <w:tbl>
      <w:tblPr>
        <w:tblW w:w="907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795"/>
        <w:gridCol w:w="1396"/>
        <w:gridCol w:w="2048"/>
        <w:gridCol w:w="2199"/>
        <w:gridCol w:w="1263"/>
        <w:gridCol w:w="1371"/>
      </w:tblGrid>
      <w:tr w:rsidR="005D0350">
        <w:trPr>
          <w:tblHeader/>
        </w:trPr>
        <w:tc>
          <w:tcPr>
            <w:tcW w:w="8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b/>
                <w:bCs/>
                <w:sz w:val="20"/>
                <w:szCs w:val="20"/>
              </w:rPr>
              <w:t>Phase</w:t>
            </w:r>
          </w:p>
        </w:tc>
        <w:tc>
          <w:tcPr>
            <w:tcW w:w="13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b/>
                <w:bCs/>
                <w:sz w:val="20"/>
                <w:szCs w:val="20"/>
              </w:rPr>
              <w:t>Name</w:t>
            </w:r>
          </w:p>
        </w:tc>
        <w:tc>
          <w:tcPr>
            <w:tcW w:w="21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b/>
                <w:bCs/>
                <w:sz w:val="20"/>
                <w:szCs w:val="20"/>
              </w:rPr>
              <w:t>Key Activities</w:t>
            </w:r>
          </w:p>
        </w:tc>
        <w:tc>
          <w:tcPr>
            <w:tcW w:w="2272"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b/>
                <w:bCs/>
                <w:sz w:val="20"/>
                <w:szCs w:val="20"/>
              </w:rPr>
              <w:t>Assessment Tools / Criteria</w:t>
            </w:r>
          </w:p>
        </w:tc>
        <w:tc>
          <w:tcPr>
            <w:tcW w:w="12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b/>
                <w:bCs/>
                <w:sz w:val="20"/>
                <w:szCs w:val="20"/>
              </w:rPr>
              <w:t>Responsible Party</w:t>
            </w:r>
          </w:p>
        </w:tc>
        <w:tc>
          <w:tcPr>
            <w:tcW w:w="14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b/>
                <w:bCs/>
                <w:sz w:val="20"/>
                <w:szCs w:val="20"/>
              </w:rPr>
              <w:t>Timing</w:t>
            </w:r>
          </w:p>
        </w:tc>
      </w:tr>
      <w:tr w:rsidR="005D0350">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1</w:t>
            </w:r>
          </w:p>
        </w:tc>
        <w:tc>
          <w:tcPr>
            <w:tcW w:w="13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Intake &amp; Assessment</w:t>
            </w:r>
          </w:p>
        </w:tc>
        <w:tc>
          <w:tcPr>
            <w:tcW w:w="2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PT evaluation; fall risk stratification; ADL baseline; depression screening</w:t>
            </w:r>
          </w:p>
        </w:tc>
        <w:tc>
          <w:tcPr>
            <w:tcW w:w="227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 xml:space="preserve">TUG, BBS, FTSS, </w:t>
            </w:r>
            <w:proofErr w:type="spellStart"/>
            <w:r>
              <w:rPr>
                <w:sz w:val="20"/>
                <w:szCs w:val="20"/>
              </w:rPr>
              <w:t>Barthel</w:t>
            </w:r>
            <w:proofErr w:type="spellEnd"/>
            <w:r>
              <w:rPr>
                <w:sz w:val="20"/>
                <w:szCs w:val="20"/>
              </w:rPr>
              <w:t xml:space="preserve"> Index, GDS-15; Morse Fall Scale</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Physical Therapist</w:t>
            </w:r>
          </w:p>
        </w:tc>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Within 14 days of admission or significant functional change</w:t>
            </w:r>
          </w:p>
        </w:tc>
      </w:tr>
      <w:tr w:rsidR="005D0350">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2</w:t>
            </w:r>
          </w:p>
        </w:tc>
        <w:tc>
          <w:tcPr>
            <w:tcW w:w="13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Individualized Programming</w:t>
            </w:r>
          </w:p>
        </w:tc>
        <w:tc>
          <w:tcPr>
            <w:tcW w:w="2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Tailored exercise prescription; functional goal-setting; contraindication review; care staff education</w:t>
            </w:r>
          </w:p>
        </w:tc>
        <w:tc>
          <w:tcPr>
            <w:tcW w:w="227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Impairment profile from Phase 1; SMART goal documentation; care plan integration</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Physical Therapist</w:t>
            </w:r>
          </w:p>
        </w:tc>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Days 15–21</w:t>
            </w:r>
          </w:p>
        </w:tc>
      </w:tr>
      <w:tr w:rsidR="005D0350">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3</w:t>
            </w:r>
          </w:p>
        </w:tc>
        <w:tc>
          <w:tcPr>
            <w:tcW w:w="13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Progressive Group Exercise</w:t>
            </w:r>
          </w:p>
        </w:tc>
        <w:tc>
          <w:tcPr>
            <w:tcW w:w="2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2×/wk, 45-min group sessions: seated resistance, standing balance, functional mobility; 4-week progression cycles</w:t>
            </w:r>
          </w:p>
        </w:tc>
        <w:tc>
          <w:tcPr>
            <w:tcW w:w="227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Session attendance; RPE 11–13 (Borg Scale); adverse event log</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PT + Trained Care Staff</w:t>
            </w:r>
          </w:p>
        </w:tc>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Weeks 3–12 (ongoing)</w:t>
            </w:r>
          </w:p>
        </w:tc>
      </w:tr>
      <w:tr w:rsidR="005D0350">
        <w:tc>
          <w:tcPr>
            <w:tcW w:w="8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sz w:val="20"/>
                <w:szCs w:val="20"/>
              </w:rPr>
              <w:t>4</w:t>
            </w:r>
          </w:p>
        </w:tc>
        <w:tc>
          <w:tcPr>
            <w:tcW w:w="13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sz w:val="20"/>
                <w:szCs w:val="20"/>
              </w:rPr>
              <w:t>Outcome-Based Reassessment</w:t>
            </w:r>
          </w:p>
        </w:tc>
        <w:tc>
          <w:tcPr>
            <w:tcW w:w="21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sz w:val="20"/>
                <w:szCs w:val="20"/>
              </w:rPr>
              <w:t>Formal re-evaluation; compare to baseline; program modification or discharge</w:t>
            </w:r>
          </w:p>
        </w:tc>
        <w:tc>
          <w:tcPr>
            <w:tcW w:w="2272"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sz w:val="20"/>
                <w:szCs w:val="20"/>
              </w:rPr>
              <w:t xml:space="preserve">Repeat Phase 1 battery; MCID thresholds: BBS ≥4 pts, TUG ≥0.8 sec, </w:t>
            </w:r>
            <w:proofErr w:type="spellStart"/>
            <w:r>
              <w:rPr>
                <w:sz w:val="20"/>
                <w:szCs w:val="20"/>
              </w:rPr>
              <w:t>Barthel</w:t>
            </w:r>
            <w:proofErr w:type="spellEnd"/>
            <w:r>
              <w:rPr>
                <w:sz w:val="20"/>
                <w:szCs w:val="20"/>
              </w:rPr>
              <w:t xml:space="preserve"> ≥2 pts</w:t>
            </w:r>
          </w:p>
        </w:tc>
        <w:tc>
          <w:tcPr>
            <w:tcW w:w="12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sz w:val="20"/>
                <w:szCs w:val="20"/>
              </w:rPr>
              <w:t>Physical Therapist</w:t>
            </w:r>
          </w:p>
        </w:tc>
        <w:tc>
          <w:tcPr>
            <w:tcW w:w="14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sz w:val="20"/>
                <w:szCs w:val="20"/>
              </w:rPr>
              <w:t>Week 12; then every 12 weeks</w:t>
            </w:r>
          </w:p>
        </w:tc>
      </w:tr>
    </w:tbl>
    <w:p w:rsidR="005D0350" w:rsidRDefault="005D0350">
      <w:pPr>
        <w:pageBreakBefore/>
      </w:pPr>
    </w:p>
    <w:p w:rsidR="005D0350" w:rsidRDefault="00CF550A">
      <w:pPr>
        <w:spacing w:before="120" w:after="80"/>
      </w:pPr>
      <w:proofErr w:type="gramStart"/>
      <w:r>
        <w:rPr>
          <w:b/>
          <w:bCs/>
          <w:sz w:val="22"/>
          <w:szCs w:val="22"/>
        </w:rPr>
        <w:t>Table 4.</w:t>
      </w:r>
      <w:proofErr w:type="gramEnd"/>
      <w:r>
        <w:rPr>
          <w:sz w:val="22"/>
          <w:szCs w:val="22"/>
        </w:rPr>
        <w:t xml:space="preserve"> Methodological quality assessment of representative included studies. </w:t>
      </w:r>
      <w:proofErr w:type="spellStart"/>
      <w:r>
        <w:rPr>
          <w:sz w:val="22"/>
          <w:szCs w:val="22"/>
        </w:rPr>
        <w:t>PEDro</w:t>
      </w:r>
      <w:proofErr w:type="spellEnd"/>
      <w:r>
        <w:rPr>
          <w:sz w:val="22"/>
          <w:szCs w:val="22"/>
        </w:rPr>
        <w:t xml:space="preserve"> scale (0–10) used for RCTs and systematic reviews; Newcastle-Ottawa Scale used for cohort studies. </w:t>
      </w:r>
      <w:proofErr w:type="gramStart"/>
      <w:r>
        <w:rPr>
          <w:sz w:val="22"/>
          <w:szCs w:val="22"/>
        </w:rPr>
        <w:t>ITT, intention-to-treat analysis; N/A, not applicable; RCT, randomized controlled trial; SR, systematic review; SR/MA, systematic review and meta-analysis.</w:t>
      </w:r>
      <w:proofErr w:type="gramEnd"/>
    </w:p>
    <w:p w:rsidR="005D0350" w:rsidRDefault="005D0350"/>
    <w:tbl>
      <w:tblPr>
        <w:tblW w:w="907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554"/>
        <w:gridCol w:w="876"/>
        <w:gridCol w:w="1552"/>
        <w:gridCol w:w="1362"/>
        <w:gridCol w:w="974"/>
        <w:gridCol w:w="963"/>
        <w:gridCol w:w="784"/>
        <w:gridCol w:w="1007"/>
      </w:tblGrid>
      <w:tr w:rsidR="005D0350">
        <w:trPr>
          <w:tblHeader/>
        </w:trPr>
        <w:tc>
          <w:tcPr>
            <w:tcW w:w="22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r>
              <w:rPr>
                <w:b/>
                <w:bCs/>
                <w:sz w:val="20"/>
                <w:szCs w:val="20"/>
              </w:rPr>
              <w:t>Study</w:t>
            </w:r>
          </w:p>
        </w:tc>
        <w:tc>
          <w:tcPr>
            <w:tcW w:w="9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b/>
                <w:bCs/>
                <w:sz w:val="20"/>
                <w:szCs w:val="20"/>
              </w:rPr>
              <w:t>Design</w:t>
            </w:r>
          </w:p>
        </w:tc>
        <w:tc>
          <w:tcPr>
            <w:tcW w:w="9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b/>
                <w:bCs/>
                <w:sz w:val="20"/>
                <w:szCs w:val="20"/>
              </w:rPr>
              <w:t>Randomization</w:t>
            </w:r>
          </w:p>
        </w:tc>
        <w:tc>
          <w:tcPr>
            <w:tcW w:w="95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b/>
                <w:bCs/>
                <w:sz w:val="20"/>
                <w:szCs w:val="20"/>
              </w:rPr>
              <w:t>Allocation Concealment</w:t>
            </w:r>
          </w:p>
        </w:tc>
        <w:tc>
          <w:tcPr>
            <w:tcW w:w="8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b/>
                <w:bCs/>
                <w:sz w:val="20"/>
                <w:szCs w:val="20"/>
              </w:rPr>
              <w:t>Blinding</w:t>
            </w:r>
          </w:p>
        </w:tc>
        <w:tc>
          <w:tcPr>
            <w:tcW w:w="8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b/>
                <w:bCs/>
                <w:sz w:val="20"/>
                <w:szCs w:val="20"/>
              </w:rPr>
              <w:t>ITT Analysis</w:t>
            </w:r>
          </w:p>
        </w:tc>
        <w:tc>
          <w:tcPr>
            <w:tcW w:w="9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b/>
                <w:bCs/>
                <w:sz w:val="20"/>
                <w:szCs w:val="20"/>
              </w:rPr>
              <w:t>Score</w:t>
            </w:r>
          </w:p>
        </w:tc>
        <w:tc>
          <w:tcPr>
            <w:tcW w:w="622"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b/>
                <w:bCs/>
                <w:sz w:val="20"/>
                <w:szCs w:val="20"/>
              </w:rPr>
              <w:t>Quality</w:t>
            </w:r>
          </w:p>
        </w:tc>
      </w:tr>
      <w:tr w:rsidR="005D0350">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Sherrington et al. (2019)</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RCT</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Yes</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Yes</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Assessor</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Yes</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8/10</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High</w:t>
            </w:r>
          </w:p>
        </w:tc>
      </w:tr>
      <w:tr w:rsidR="005D0350">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Rolland et al. (2007)</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RCT</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Yes</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Unclear</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Assessor</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Yes</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7/10</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High</w:t>
            </w:r>
          </w:p>
        </w:tc>
      </w:tr>
      <w:tr w:rsidR="005D0350">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Daly et al. (2021)</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Cluster RCT</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Yes</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Yes</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Assessor</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Yes</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8/10</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High</w:t>
            </w:r>
          </w:p>
        </w:tc>
      </w:tr>
      <w:tr w:rsidR="005D0350">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Hewitt et al. (2014)</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RCT</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Yes</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Yes</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No</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Yes</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7/10</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High</w:t>
            </w:r>
          </w:p>
        </w:tc>
      </w:tr>
      <w:tr w:rsidR="005D0350">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Thomas et al. (2010)</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SR/MA</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N/A</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N/A</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N/A</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N/A</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9/10</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High</w:t>
            </w:r>
          </w:p>
        </w:tc>
      </w:tr>
      <w:tr w:rsidR="005D0350">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roofErr w:type="spellStart"/>
            <w:r>
              <w:rPr>
                <w:sz w:val="20"/>
                <w:szCs w:val="20"/>
              </w:rPr>
              <w:t>Nitz</w:t>
            </w:r>
            <w:proofErr w:type="spellEnd"/>
            <w:r>
              <w:rPr>
                <w:sz w:val="20"/>
                <w:szCs w:val="20"/>
              </w:rPr>
              <w:t xml:space="preserve"> &amp; Choy (2004)</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RCT</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Yes</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Unclear</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No</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No</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5/10</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Moderate</w:t>
            </w:r>
          </w:p>
        </w:tc>
      </w:tr>
      <w:tr w:rsidR="005D0350">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 xml:space="preserve">van het </w:t>
            </w:r>
            <w:proofErr w:type="spellStart"/>
            <w:r>
              <w:rPr>
                <w:sz w:val="20"/>
                <w:szCs w:val="20"/>
              </w:rPr>
              <w:t>Reve</w:t>
            </w:r>
            <w:proofErr w:type="spellEnd"/>
            <w:r>
              <w:rPr>
                <w:sz w:val="20"/>
                <w:szCs w:val="20"/>
              </w:rPr>
              <w:t xml:space="preserve"> &amp; de Bruin (2014)</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RCT</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Yes</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Yes</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Assessor</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Yes</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7/10</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High</w:t>
            </w:r>
          </w:p>
        </w:tc>
      </w:tr>
      <w:tr w:rsidR="005D0350">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r>
              <w:rPr>
                <w:sz w:val="20"/>
                <w:szCs w:val="20"/>
              </w:rPr>
              <w:t>Sims-Gould et al. (2019)</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Cohort</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No</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N/A</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No</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No</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7 a)</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High</w:t>
            </w:r>
          </w:p>
        </w:tc>
      </w:tr>
      <w:tr w:rsidR="005D0350">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roofErr w:type="spellStart"/>
            <w:r>
              <w:rPr>
                <w:sz w:val="20"/>
                <w:szCs w:val="20"/>
              </w:rPr>
              <w:t>Giné-Garriga</w:t>
            </w:r>
            <w:proofErr w:type="spellEnd"/>
            <w:r>
              <w:rPr>
                <w:sz w:val="20"/>
                <w:szCs w:val="20"/>
              </w:rPr>
              <w:t xml:space="preserve"> et al. (2014)</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SR/MA</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N/A</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N/A</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N/A</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N/A</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9/10</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rsidR="005D0350" w:rsidRDefault="00CF550A">
            <w:pPr>
              <w:jc w:val="center"/>
            </w:pPr>
            <w:r>
              <w:rPr>
                <w:sz w:val="20"/>
                <w:szCs w:val="20"/>
              </w:rPr>
              <w:t>High</w:t>
            </w:r>
          </w:p>
        </w:tc>
      </w:tr>
      <w:tr w:rsidR="005D0350">
        <w:tc>
          <w:tcPr>
            <w:tcW w:w="22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roofErr w:type="spellStart"/>
            <w:r>
              <w:rPr>
                <w:sz w:val="20"/>
                <w:szCs w:val="20"/>
              </w:rPr>
              <w:t>Sjösten</w:t>
            </w:r>
            <w:proofErr w:type="spellEnd"/>
            <w:r>
              <w:rPr>
                <w:sz w:val="20"/>
                <w:szCs w:val="20"/>
              </w:rPr>
              <w:t xml:space="preserve"> &amp; </w:t>
            </w:r>
            <w:proofErr w:type="spellStart"/>
            <w:r>
              <w:rPr>
                <w:sz w:val="20"/>
                <w:szCs w:val="20"/>
              </w:rPr>
              <w:t>Kivelä</w:t>
            </w:r>
            <w:proofErr w:type="spellEnd"/>
            <w:r>
              <w:rPr>
                <w:sz w:val="20"/>
                <w:szCs w:val="20"/>
              </w:rPr>
              <w:t xml:space="preserve"> (2006)</w:t>
            </w:r>
          </w:p>
        </w:tc>
        <w:tc>
          <w:tcPr>
            <w:tcW w:w="9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sz w:val="20"/>
                <w:szCs w:val="20"/>
              </w:rPr>
              <w:t>SR</w:t>
            </w:r>
          </w:p>
        </w:tc>
        <w:tc>
          <w:tcPr>
            <w:tcW w:w="9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sz w:val="20"/>
                <w:szCs w:val="20"/>
              </w:rPr>
              <w:t>N/A</w:t>
            </w:r>
          </w:p>
        </w:tc>
        <w:tc>
          <w:tcPr>
            <w:tcW w:w="95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sz w:val="20"/>
                <w:szCs w:val="20"/>
              </w:rPr>
              <w:t>N/A</w:t>
            </w:r>
          </w:p>
        </w:tc>
        <w:tc>
          <w:tcPr>
            <w:tcW w:w="8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sz w:val="20"/>
                <w:szCs w:val="20"/>
              </w:rPr>
              <w:t>N/A</w:t>
            </w:r>
          </w:p>
        </w:tc>
        <w:tc>
          <w:tcPr>
            <w:tcW w:w="8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sz w:val="20"/>
                <w:szCs w:val="20"/>
              </w:rPr>
              <w:t>N/A</w:t>
            </w:r>
          </w:p>
        </w:tc>
        <w:tc>
          <w:tcPr>
            <w:tcW w:w="9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sz w:val="20"/>
                <w:szCs w:val="20"/>
              </w:rPr>
              <w:t>8/10</w:t>
            </w:r>
          </w:p>
        </w:tc>
        <w:tc>
          <w:tcPr>
            <w:tcW w:w="622"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rsidR="005D0350" w:rsidRDefault="00CF550A">
            <w:pPr>
              <w:jc w:val="center"/>
            </w:pPr>
            <w:r>
              <w:rPr>
                <w:sz w:val="20"/>
                <w:szCs w:val="20"/>
              </w:rPr>
              <w:t>High</w:t>
            </w:r>
          </w:p>
        </w:tc>
      </w:tr>
    </w:tbl>
    <w:p w:rsidR="005D0350" w:rsidRDefault="005D0350"/>
    <w:p w:rsidR="005D0350" w:rsidRDefault="00CF550A">
      <w:pPr>
        <w:jc w:val="both"/>
      </w:pPr>
      <w:r>
        <w:t>a) Newcastle-Ottawa Scale score (maximum 9); high quality defined as ≥7.</w:t>
      </w:r>
    </w:p>
    <w:p w:rsidR="005D0350" w:rsidRDefault="005D0350">
      <w:pPr>
        <w:pageBreakBefore/>
      </w:pPr>
    </w:p>
    <w:p w:rsidR="005D0350" w:rsidRDefault="00CF550A" w:rsidP="008F74CB">
      <w:pPr>
        <w:spacing w:before="240" w:after="120" w:line="480" w:lineRule="auto"/>
      </w:pPr>
      <w:r>
        <w:rPr>
          <w:b/>
          <w:bCs/>
        </w:rPr>
        <w:t>FIGURES</w:t>
      </w:r>
    </w:p>
    <w:p w:rsidR="005D0350" w:rsidRDefault="00CF550A">
      <w:pPr>
        <w:spacing w:line="480" w:lineRule="auto"/>
        <w:jc w:val="both"/>
      </w:pPr>
      <w:r>
        <w:t xml:space="preserve">Fig. </w:t>
      </w:r>
      <w:r w:rsidR="008F74CB">
        <w:t>1</w:t>
      </w:r>
    </w:p>
    <w:p w:rsidR="005D0350" w:rsidRDefault="008F74CB">
      <w:r>
        <w:rPr>
          <w:noProof/>
        </w:rPr>
        <w:drawing>
          <wp:inline distT="0" distB="0" distL="0" distR="0">
            <wp:extent cx="5697938" cy="3697356"/>
            <wp:effectExtent l="19050" t="0" r="0" b="0"/>
            <wp:docPr id="1" name="Picture 1" descr="C:\Users\hpcza\Desktop\JER Paper 2\Fig1_PRISMA_Sin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cza\Desktop\JER Paper 2\Fig1_PRISMA_Singh.png"/>
                    <pic:cNvPicPr>
                      <a:picLocks noChangeAspect="1" noChangeArrowheads="1"/>
                    </pic:cNvPicPr>
                  </pic:nvPicPr>
                  <pic:blipFill>
                    <a:blip r:embed="rId7" cstate="print"/>
                    <a:srcRect/>
                    <a:stretch>
                      <a:fillRect/>
                    </a:stretch>
                  </pic:blipFill>
                  <pic:spPr bwMode="auto">
                    <a:xfrm>
                      <a:off x="0" y="0"/>
                      <a:ext cx="5704190" cy="3701413"/>
                    </a:xfrm>
                    <a:prstGeom prst="rect">
                      <a:avLst/>
                    </a:prstGeom>
                    <a:noFill/>
                    <a:ln w="9525">
                      <a:noFill/>
                      <a:miter lim="800000"/>
                      <a:headEnd/>
                      <a:tailEnd/>
                    </a:ln>
                  </pic:spPr>
                </pic:pic>
              </a:graphicData>
            </a:graphic>
          </wp:inline>
        </w:drawing>
      </w:r>
    </w:p>
    <w:p w:rsidR="005D0350" w:rsidRDefault="005D0350">
      <w:pPr>
        <w:pageBreakBefore/>
      </w:pPr>
    </w:p>
    <w:p w:rsidR="005D0350" w:rsidRDefault="00CF550A">
      <w:pPr>
        <w:spacing w:before="240" w:after="120" w:line="480" w:lineRule="auto"/>
      </w:pPr>
      <w:r>
        <w:rPr>
          <w:b/>
          <w:bCs/>
        </w:rPr>
        <w:t>LEGENDS</w:t>
      </w:r>
    </w:p>
    <w:p w:rsidR="005D0350" w:rsidRDefault="00CF550A">
      <w:pPr>
        <w:spacing w:before="120" w:after="80"/>
      </w:pPr>
      <w:proofErr w:type="gramStart"/>
      <w:r>
        <w:rPr>
          <w:b/>
          <w:bCs/>
          <w:sz w:val="22"/>
          <w:szCs w:val="22"/>
        </w:rPr>
        <w:t>Fig. 1.</w:t>
      </w:r>
      <w:proofErr w:type="gramEnd"/>
      <w:r>
        <w:rPr>
          <w:i/>
          <w:iCs/>
          <w:sz w:val="22"/>
          <w:szCs w:val="22"/>
        </w:rPr>
        <w:t xml:space="preserve"> </w:t>
      </w:r>
      <w:proofErr w:type="gramStart"/>
      <w:r>
        <w:rPr>
          <w:i/>
          <w:iCs/>
          <w:sz w:val="22"/>
          <w:szCs w:val="22"/>
        </w:rPr>
        <w:t>PRISMA flow diagram illustrating the systematic literature search and study selection process.</w:t>
      </w:r>
      <w:proofErr w:type="gramEnd"/>
      <w:r>
        <w:rPr>
          <w:i/>
          <w:iCs/>
          <w:sz w:val="22"/>
          <w:szCs w:val="22"/>
        </w:rPr>
        <w:t xml:space="preserve"> A search of </w:t>
      </w:r>
      <w:proofErr w:type="spellStart"/>
      <w:r>
        <w:rPr>
          <w:i/>
          <w:iCs/>
          <w:sz w:val="22"/>
          <w:szCs w:val="22"/>
        </w:rPr>
        <w:t>PubMed</w:t>
      </w:r>
      <w:proofErr w:type="spellEnd"/>
      <w:r>
        <w:rPr>
          <w:i/>
          <w:iCs/>
          <w:sz w:val="22"/>
          <w:szCs w:val="22"/>
        </w:rPr>
        <w:t>, CINAHL, and Scopus (January 2010–December 2024) yielded 1,847 records. After removal of duplicates (n=312) and title/abstract screening (n=1,421 excluded), 114 full-text articles were assessed for eligibility. Eighty-three were excluded (wrong setting, n=41; no exercise component, n=19; outcome not reported, n=14; non-English, n=9). Thirty-one studies met all inclusion criteria and were included in the qualitative synthesis (n=4,287 participants).</w:t>
      </w:r>
    </w:p>
    <w:sectPr w:rsidR="005D0350" w:rsidSect="005D0350">
      <w:headerReference w:type="default" r:id="rId8"/>
      <w:pgSz w:w="11906" w:h="16838"/>
      <w:pgMar w:top="1417" w:right="1417" w:bottom="1417"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BEE" w:rsidRDefault="00045BEE" w:rsidP="005D0350">
      <w:r>
        <w:separator/>
      </w:r>
    </w:p>
  </w:endnote>
  <w:endnote w:type="continuationSeparator" w:id="0">
    <w:p w:rsidR="00045BEE" w:rsidRDefault="00045BEE" w:rsidP="005D0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BEE" w:rsidRDefault="00045BEE" w:rsidP="005D0350">
      <w:r>
        <w:separator/>
      </w:r>
    </w:p>
  </w:footnote>
  <w:footnote w:type="continuationSeparator" w:id="0">
    <w:p w:rsidR="00045BEE" w:rsidRDefault="00045BEE" w:rsidP="005D03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350" w:rsidRDefault="00CF550A">
    <w:pPr>
      <w:jc w:val="right"/>
    </w:pPr>
    <w:r>
      <w:rPr>
        <w:sz w:val="20"/>
        <w:szCs w:val="20"/>
      </w:rPr>
      <w:t xml:space="preserve">Exercise Rehabilitation in RCFE </w:t>
    </w:r>
    <w:proofErr w:type="gramStart"/>
    <w:r>
      <w:rPr>
        <w:sz w:val="20"/>
        <w:szCs w:val="20"/>
      </w:rPr>
      <w:t>Settings  |</w:t>
    </w:r>
    <w:proofErr w:type="gramEnd"/>
    <w:r>
      <w:rPr>
        <w:sz w:val="20"/>
        <w:szCs w:val="20"/>
      </w:rPr>
      <w:t xml:space="preserve">  </w:t>
    </w:r>
    <w:r w:rsidR="002904C2">
      <w:rPr>
        <w:sz w:val="20"/>
        <w:szCs w:val="20"/>
      </w:rPr>
      <w:fldChar w:fldCharType="begin"/>
    </w:r>
    <w:r>
      <w:rPr>
        <w:sz w:val="20"/>
        <w:szCs w:val="20"/>
      </w:rPr>
      <w:instrText>PAGE</w:instrText>
    </w:r>
    <w:r w:rsidR="002904C2">
      <w:rPr>
        <w:sz w:val="20"/>
        <w:szCs w:val="20"/>
      </w:rPr>
      <w:fldChar w:fldCharType="separate"/>
    </w:r>
    <w:r w:rsidR="00C44183">
      <w:rPr>
        <w:noProof/>
        <w:sz w:val="20"/>
        <w:szCs w:val="20"/>
      </w:rPr>
      <w:t>19</w:t>
    </w:r>
    <w:r w:rsidR="002904C2">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65AC3"/>
    <w:multiLevelType w:val="hybridMultilevel"/>
    <w:tmpl w:val="D7E8943C"/>
    <w:lvl w:ilvl="0" w:tplc="4B50D21C">
      <w:start w:val="1"/>
      <w:numFmt w:val="bullet"/>
      <w:lvlText w:val="●"/>
      <w:lvlJc w:val="left"/>
      <w:pPr>
        <w:ind w:left="720" w:hanging="360"/>
      </w:pPr>
    </w:lvl>
    <w:lvl w:ilvl="1" w:tplc="FF2CE8B6">
      <w:start w:val="1"/>
      <w:numFmt w:val="bullet"/>
      <w:lvlText w:val="○"/>
      <w:lvlJc w:val="left"/>
      <w:pPr>
        <w:ind w:left="1440" w:hanging="360"/>
      </w:pPr>
    </w:lvl>
    <w:lvl w:ilvl="2" w:tplc="46A0CD52">
      <w:start w:val="1"/>
      <w:numFmt w:val="bullet"/>
      <w:lvlText w:val="■"/>
      <w:lvlJc w:val="left"/>
      <w:pPr>
        <w:ind w:left="2160" w:hanging="360"/>
      </w:pPr>
    </w:lvl>
    <w:lvl w:ilvl="3" w:tplc="7E5C2A10">
      <w:start w:val="1"/>
      <w:numFmt w:val="bullet"/>
      <w:lvlText w:val="●"/>
      <w:lvlJc w:val="left"/>
      <w:pPr>
        <w:ind w:left="2880" w:hanging="360"/>
      </w:pPr>
    </w:lvl>
    <w:lvl w:ilvl="4" w:tplc="302A2570">
      <w:start w:val="1"/>
      <w:numFmt w:val="bullet"/>
      <w:lvlText w:val="○"/>
      <w:lvlJc w:val="left"/>
      <w:pPr>
        <w:ind w:left="3600" w:hanging="360"/>
      </w:pPr>
    </w:lvl>
    <w:lvl w:ilvl="5" w:tplc="990833BA">
      <w:start w:val="1"/>
      <w:numFmt w:val="bullet"/>
      <w:lvlText w:val="■"/>
      <w:lvlJc w:val="left"/>
      <w:pPr>
        <w:ind w:left="4320" w:hanging="360"/>
      </w:pPr>
    </w:lvl>
    <w:lvl w:ilvl="6" w:tplc="E96432F6">
      <w:start w:val="1"/>
      <w:numFmt w:val="bullet"/>
      <w:lvlText w:val="●"/>
      <w:lvlJc w:val="left"/>
      <w:pPr>
        <w:ind w:left="5040" w:hanging="360"/>
      </w:pPr>
    </w:lvl>
    <w:lvl w:ilvl="7" w:tplc="960E0F1A">
      <w:start w:val="1"/>
      <w:numFmt w:val="bullet"/>
      <w:lvlText w:val="●"/>
      <w:lvlJc w:val="left"/>
      <w:pPr>
        <w:ind w:left="5760" w:hanging="360"/>
      </w:pPr>
    </w:lvl>
    <w:lvl w:ilvl="8" w:tplc="BA34089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5D0350"/>
    <w:rsid w:val="00045BEE"/>
    <w:rsid w:val="001176BF"/>
    <w:rsid w:val="002904C2"/>
    <w:rsid w:val="005B010D"/>
    <w:rsid w:val="005D0350"/>
    <w:rsid w:val="008F74CB"/>
    <w:rsid w:val="009C5F34"/>
    <w:rsid w:val="00C003D8"/>
    <w:rsid w:val="00C44183"/>
    <w:rsid w:val="00CF550A"/>
    <w:rsid w:val="00E92C92"/>
    <w:rsid w:val="00FD4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6BF"/>
  </w:style>
  <w:style w:type="paragraph" w:styleId="Heading1">
    <w:name w:val="heading 1"/>
    <w:qFormat/>
    <w:rsid w:val="005D0350"/>
    <w:pPr>
      <w:outlineLvl w:val="0"/>
    </w:pPr>
    <w:rPr>
      <w:color w:val="2E74B5"/>
      <w:sz w:val="32"/>
      <w:szCs w:val="32"/>
    </w:rPr>
  </w:style>
  <w:style w:type="paragraph" w:styleId="Heading2">
    <w:name w:val="heading 2"/>
    <w:qFormat/>
    <w:rsid w:val="005D0350"/>
    <w:pPr>
      <w:outlineLvl w:val="1"/>
    </w:pPr>
    <w:rPr>
      <w:color w:val="2E74B5"/>
      <w:sz w:val="26"/>
      <w:szCs w:val="26"/>
    </w:rPr>
  </w:style>
  <w:style w:type="paragraph" w:styleId="Heading3">
    <w:name w:val="heading 3"/>
    <w:qFormat/>
    <w:rsid w:val="005D0350"/>
    <w:pPr>
      <w:outlineLvl w:val="2"/>
    </w:pPr>
    <w:rPr>
      <w:color w:val="1F4D78"/>
    </w:rPr>
  </w:style>
  <w:style w:type="paragraph" w:styleId="Heading4">
    <w:name w:val="heading 4"/>
    <w:qFormat/>
    <w:rsid w:val="005D0350"/>
    <w:pPr>
      <w:outlineLvl w:val="3"/>
    </w:pPr>
    <w:rPr>
      <w:i/>
      <w:iCs/>
      <w:color w:val="2E74B5"/>
    </w:rPr>
  </w:style>
  <w:style w:type="paragraph" w:styleId="Heading5">
    <w:name w:val="heading 5"/>
    <w:qFormat/>
    <w:rsid w:val="005D0350"/>
    <w:pPr>
      <w:outlineLvl w:val="4"/>
    </w:pPr>
    <w:rPr>
      <w:color w:val="2E74B5"/>
    </w:rPr>
  </w:style>
  <w:style w:type="paragraph" w:styleId="Heading6">
    <w:name w:val="heading 6"/>
    <w:qFormat/>
    <w:rsid w:val="005D035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D0350"/>
    <w:rPr>
      <w:sz w:val="56"/>
      <w:szCs w:val="56"/>
    </w:rPr>
  </w:style>
  <w:style w:type="paragraph" w:customStyle="1" w:styleId="Strong1">
    <w:name w:val="Strong1"/>
    <w:qFormat/>
    <w:rsid w:val="005D0350"/>
    <w:rPr>
      <w:b/>
      <w:bCs/>
    </w:rPr>
  </w:style>
  <w:style w:type="paragraph" w:styleId="ListParagraph">
    <w:name w:val="List Paragraph"/>
    <w:qFormat/>
    <w:rsid w:val="005D0350"/>
  </w:style>
  <w:style w:type="character" w:styleId="Hyperlink">
    <w:name w:val="Hyperlink"/>
    <w:uiPriority w:val="99"/>
    <w:unhideWhenUsed/>
    <w:rsid w:val="005D0350"/>
    <w:rPr>
      <w:color w:val="0563C1"/>
      <w:u w:val="single"/>
    </w:rPr>
  </w:style>
  <w:style w:type="character" w:styleId="FootnoteReference">
    <w:name w:val="footnote reference"/>
    <w:uiPriority w:val="99"/>
    <w:semiHidden/>
    <w:unhideWhenUsed/>
    <w:rsid w:val="005D0350"/>
    <w:rPr>
      <w:vertAlign w:val="superscript"/>
    </w:rPr>
  </w:style>
  <w:style w:type="paragraph" w:styleId="FootnoteText">
    <w:name w:val="footnote text"/>
    <w:link w:val="FootnoteTextChar"/>
    <w:uiPriority w:val="99"/>
    <w:semiHidden/>
    <w:unhideWhenUsed/>
    <w:rsid w:val="005D0350"/>
    <w:rPr>
      <w:sz w:val="20"/>
      <w:szCs w:val="20"/>
    </w:rPr>
  </w:style>
  <w:style w:type="character" w:customStyle="1" w:styleId="FootnoteTextChar">
    <w:name w:val="Footnote Text Char"/>
    <w:link w:val="FootnoteText"/>
    <w:uiPriority w:val="99"/>
    <w:semiHidden/>
    <w:unhideWhenUsed/>
    <w:rsid w:val="005D0350"/>
    <w:rPr>
      <w:sz w:val="20"/>
      <w:szCs w:val="20"/>
    </w:rPr>
  </w:style>
  <w:style w:type="character" w:styleId="EndnoteReference">
    <w:name w:val="endnote reference"/>
    <w:uiPriority w:val="99"/>
    <w:semiHidden/>
    <w:unhideWhenUsed/>
    <w:rsid w:val="005D0350"/>
    <w:rPr>
      <w:vertAlign w:val="superscript"/>
    </w:rPr>
  </w:style>
  <w:style w:type="paragraph" w:styleId="EndnoteText">
    <w:name w:val="endnote text"/>
    <w:link w:val="EndnoteTextChar"/>
    <w:uiPriority w:val="99"/>
    <w:semiHidden/>
    <w:unhideWhenUsed/>
    <w:rsid w:val="005D0350"/>
    <w:rPr>
      <w:sz w:val="20"/>
      <w:szCs w:val="20"/>
    </w:rPr>
  </w:style>
  <w:style w:type="character" w:customStyle="1" w:styleId="EndnoteTextChar">
    <w:name w:val="Endnote Text Char"/>
    <w:link w:val="EndnoteText"/>
    <w:uiPriority w:val="99"/>
    <w:semiHidden/>
    <w:unhideWhenUsed/>
    <w:rsid w:val="005D0350"/>
    <w:rPr>
      <w:sz w:val="20"/>
      <w:szCs w:val="20"/>
    </w:rPr>
  </w:style>
  <w:style w:type="paragraph" w:styleId="BalloonText">
    <w:name w:val="Balloon Text"/>
    <w:basedOn w:val="Normal"/>
    <w:link w:val="BalloonTextChar"/>
    <w:uiPriority w:val="99"/>
    <w:semiHidden/>
    <w:unhideWhenUsed/>
    <w:rsid w:val="008F74CB"/>
    <w:rPr>
      <w:rFonts w:ascii="Tahoma" w:hAnsi="Tahoma" w:cs="Tahoma"/>
      <w:sz w:val="16"/>
      <w:szCs w:val="16"/>
    </w:rPr>
  </w:style>
  <w:style w:type="character" w:customStyle="1" w:styleId="BalloonTextChar">
    <w:name w:val="Balloon Text Char"/>
    <w:basedOn w:val="DefaultParagraphFont"/>
    <w:link w:val="BalloonText"/>
    <w:uiPriority w:val="99"/>
    <w:semiHidden/>
    <w:rsid w:val="008F74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22</Pages>
  <Words>4475</Words>
  <Characters>25513</Characters>
  <Application>Microsoft Office Word</Application>
  <DocSecurity>0</DocSecurity>
  <Lines>212</Lines>
  <Paragraphs>59</Paragraphs>
  <ScaleCrop>false</ScaleCrop>
  <Company/>
  <LinksUpToDate>false</LinksUpToDate>
  <CharactersWithSpaces>29929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Harpreet Singh</cp:lastModifiedBy>
  <cp:revision>7</cp:revision>
  <cp:lastPrinted>2026-06-07T19:58:00Z</cp:lastPrinted>
  <dcterms:created xsi:type="dcterms:W3CDTF">2026-06-07T19:56:00Z</dcterms:created>
  <dcterms:modified xsi:type="dcterms:W3CDTF">2026-06-14T23:52:00Z</dcterms:modified>
</cp:coreProperties>
</file>