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2FD14" w14:textId="5CBE3CE2" w:rsidR="00444F95" w:rsidRDefault="00E544FE" w:rsidP="00E544FE">
      <w:pPr>
        <w:spacing w:line="240" w:lineRule="auto"/>
        <w:jc w:val="center"/>
        <w:rPr>
          <w:rFonts w:ascii="Times New Roman" w:hAnsi="Times New Roman" w:cs="Times New Roman"/>
          <w:b/>
          <w:bCs/>
          <w:sz w:val="36"/>
          <w:szCs w:val="36"/>
          <w:lang w:val="en-US"/>
        </w:rPr>
      </w:pPr>
      <w:r w:rsidRPr="00E544FE">
        <w:rPr>
          <w:rFonts w:ascii="Times New Roman" w:hAnsi="Times New Roman" w:cs="Times New Roman"/>
          <w:b/>
          <w:bCs/>
          <w:sz w:val="36"/>
          <w:szCs w:val="36"/>
          <w:lang w:val="en-US"/>
        </w:rPr>
        <w:t>Prevalence and Intensity of Onchocerca volvulus Infection in Kura L.G.A, Kano State, Nigeria: Implication for Elimination Efforts</w:t>
      </w:r>
    </w:p>
    <w:p w14:paraId="793BC153" w14:textId="3ADFA7C0" w:rsidR="00E544FE" w:rsidRDefault="00E544FE" w:rsidP="00E544FE">
      <w:pPr>
        <w:spacing w:line="240" w:lineRule="auto"/>
        <w:jc w:val="center"/>
        <w:rPr>
          <w:rFonts w:ascii="Times New Roman" w:hAnsi="Times New Roman" w:cs="Times New Roman"/>
          <w:b/>
          <w:bCs/>
          <w:sz w:val="36"/>
          <w:szCs w:val="36"/>
          <w:lang w:val="en-US"/>
        </w:rPr>
      </w:pPr>
      <w:r>
        <w:rPr>
          <w:rFonts w:ascii="Times New Roman" w:hAnsi="Times New Roman" w:cs="Times New Roman"/>
          <w:b/>
          <w:bCs/>
          <w:sz w:val="36"/>
          <w:szCs w:val="36"/>
          <w:lang w:val="en-US"/>
        </w:rPr>
        <w:t xml:space="preserve">By </w:t>
      </w:r>
    </w:p>
    <w:p w14:paraId="27FF0193" w14:textId="77777777" w:rsidR="00E544FE" w:rsidRPr="00AF21F8" w:rsidRDefault="00E544FE" w:rsidP="00E544FE">
      <w:pPr>
        <w:spacing w:line="240" w:lineRule="auto"/>
        <w:jc w:val="center"/>
        <w:rPr>
          <w:rFonts w:ascii="Times New Roman" w:hAnsi="Times New Roman" w:cs="Times New Roman"/>
          <w:b/>
          <w:bCs/>
          <w:lang w:val="en-US"/>
        </w:rPr>
      </w:pPr>
      <w:r w:rsidRPr="00AF21F8">
        <w:rPr>
          <w:rFonts w:ascii="Times New Roman" w:hAnsi="Times New Roman" w:cs="Times New Roman"/>
          <w:b/>
          <w:bCs/>
          <w:lang w:val="en-US"/>
        </w:rPr>
        <w:t>Sule Suleiman Taura</w:t>
      </w:r>
    </w:p>
    <w:p w14:paraId="156B6F6E" w14:textId="43D0454A" w:rsidR="00E544FE" w:rsidRPr="00AF21F8" w:rsidRDefault="00E544FE" w:rsidP="00E544FE">
      <w:pPr>
        <w:spacing w:line="240" w:lineRule="auto"/>
        <w:jc w:val="center"/>
        <w:rPr>
          <w:rFonts w:ascii="Times New Roman" w:hAnsi="Times New Roman" w:cs="Times New Roman"/>
          <w:b/>
          <w:bCs/>
          <w:lang w:val="en-US"/>
        </w:rPr>
      </w:pPr>
      <w:r w:rsidRPr="00AF21F8">
        <w:rPr>
          <w:rFonts w:ascii="Times New Roman" w:hAnsi="Times New Roman" w:cs="Times New Roman"/>
          <w:b/>
          <w:bCs/>
          <w:lang w:val="en-US"/>
        </w:rPr>
        <w:t>PhD</w:t>
      </w:r>
    </w:p>
    <w:p w14:paraId="0ACCA85A" w14:textId="6A4C0DE6" w:rsidR="00E544FE" w:rsidRPr="00AF21F8" w:rsidRDefault="00E544FE" w:rsidP="00E544FE">
      <w:pPr>
        <w:spacing w:line="240" w:lineRule="auto"/>
        <w:jc w:val="center"/>
        <w:rPr>
          <w:rFonts w:ascii="Times New Roman" w:hAnsi="Times New Roman" w:cs="Times New Roman"/>
          <w:b/>
          <w:bCs/>
          <w:lang w:val="en-US"/>
        </w:rPr>
      </w:pPr>
      <w:r w:rsidRPr="00AF21F8">
        <w:rPr>
          <w:rFonts w:ascii="Times New Roman" w:hAnsi="Times New Roman" w:cs="Times New Roman"/>
          <w:b/>
          <w:bCs/>
          <w:lang w:val="en-US"/>
        </w:rPr>
        <w:t>Public Health</w:t>
      </w:r>
    </w:p>
    <w:p w14:paraId="61667D0C" w14:textId="77777777" w:rsidR="00E544FE" w:rsidRPr="00AF21F8" w:rsidRDefault="00E544FE" w:rsidP="00E544FE">
      <w:pPr>
        <w:spacing w:line="240" w:lineRule="auto"/>
        <w:jc w:val="center"/>
        <w:rPr>
          <w:rFonts w:ascii="Times New Roman" w:hAnsi="Times New Roman" w:cs="Times New Roman"/>
          <w:b/>
          <w:bCs/>
          <w:lang w:val="en-US"/>
        </w:rPr>
      </w:pPr>
    </w:p>
    <w:p w14:paraId="1B69E67F" w14:textId="57E636A8" w:rsidR="00E544FE" w:rsidRPr="00AF21F8" w:rsidRDefault="00E544FE" w:rsidP="00E544FE">
      <w:pPr>
        <w:spacing w:line="240" w:lineRule="auto"/>
        <w:jc w:val="center"/>
        <w:rPr>
          <w:rFonts w:ascii="Times New Roman" w:hAnsi="Times New Roman" w:cs="Times New Roman"/>
          <w:b/>
          <w:bCs/>
          <w:lang w:val="en-US"/>
        </w:rPr>
      </w:pPr>
      <w:r w:rsidRPr="00AF21F8">
        <w:rPr>
          <w:rFonts w:ascii="Times New Roman" w:hAnsi="Times New Roman" w:cs="Times New Roman"/>
          <w:b/>
          <w:bCs/>
          <w:lang w:val="en-US"/>
        </w:rPr>
        <w:t xml:space="preserve">Department of Public Health </w:t>
      </w:r>
    </w:p>
    <w:p w14:paraId="61CE41AE" w14:textId="271BAEF5" w:rsidR="00E544FE" w:rsidRPr="00AF21F8" w:rsidRDefault="00E544FE" w:rsidP="00E544FE">
      <w:pPr>
        <w:spacing w:line="240" w:lineRule="auto"/>
        <w:jc w:val="center"/>
        <w:rPr>
          <w:rFonts w:ascii="Times New Roman" w:hAnsi="Times New Roman" w:cs="Times New Roman"/>
          <w:b/>
          <w:bCs/>
          <w:lang w:val="en-US"/>
        </w:rPr>
      </w:pPr>
      <w:r w:rsidRPr="00AF21F8">
        <w:rPr>
          <w:rFonts w:ascii="Times New Roman" w:hAnsi="Times New Roman" w:cs="Times New Roman"/>
          <w:b/>
          <w:bCs/>
          <w:lang w:val="en-US"/>
        </w:rPr>
        <w:t>UNICAF University,</w:t>
      </w:r>
    </w:p>
    <w:p w14:paraId="48FD54F9" w14:textId="41D9CC52" w:rsidR="00E544FE" w:rsidRPr="00AF21F8" w:rsidRDefault="00E544FE" w:rsidP="00E544FE">
      <w:pPr>
        <w:spacing w:line="240" w:lineRule="auto"/>
        <w:jc w:val="center"/>
        <w:rPr>
          <w:rFonts w:ascii="Times New Roman" w:hAnsi="Times New Roman" w:cs="Times New Roman"/>
          <w:b/>
          <w:bCs/>
          <w:lang w:val="en-US"/>
        </w:rPr>
      </w:pPr>
      <w:r w:rsidRPr="00AF21F8">
        <w:rPr>
          <w:rFonts w:ascii="Times New Roman" w:hAnsi="Times New Roman" w:cs="Times New Roman"/>
          <w:b/>
          <w:bCs/>
          <w:lang w:val="en-US"/>
        </w:rPr>
        <w:t>Zambia.</w:t>
      </w:r>
    </w:p>
    <w:p w14:paraId="6EF90213" w14:textId="77777777" w:rsidR="00E544FE" w:rsidRDefault="00E544FE" w:rsidP="00E544FE">
      <w:pPr>
        <w:spacing w:line="240" w:lineRule="auto"/>
        <w:rPr>
          <w:rFonts w:ascii="Times New Roman" w:hAnsi="Times New Roman" w:cs="Times New Roman"/>
          <w:b/>
          <w:bCs/>
          <w:sz w:val="36"/>
          <w:szCs w:val="36"/>
          <w:lang w:val="en-US"/>
        </w:rPr>
      </w:pPr>
    </w:p>
    <w:p w14:paraId="407DFF20" w14:textId="11E5313C" w:rsidR="00E544FE" w:rsidRDefault="00E544FE" w:rsidP="00E544FE">
      <w:pPr>
        <w:spacing w:line="240" w:lineRule="auto"/>
        <w:rPr>
          <w:rFonts w:ascii="Times New Roman" w:hAnsi="Times New Roman" w:cs="Times New Roman"/>
          <w:b/>
          <w:bCs/>
          <w:sz w:val="28"/>
          <w:szCs w:val="28"/>
          <w:lang w:val="en-US"/>
        </w:rPr>
      </w:pPr>
      <w:r w:rsidRPr="00E544FE">
        <w:rPr>
          <w:rFonts w:ascii="Times New Roman" w:hAnsi="Times New Roman" w:cs="Times New Roman"/>
          <w:b/>
          <w:bCs/>
          <w:sz w:val="28"/>
          <w:szCs w:val="28"/>
          <w:lang w:val="en-US"/>
        </w:rPr>
        <w:t>ABSTRACT</w:t>
      </w:r>
    </w:p>
    <w:p w14:paraId="63BA82EC" w14:textId="32B93E84" w:rsidR="00AF21F8" w:rsidRPr="005B726F" w:rsidRDefault="00AF21F8" w:rsidP="00E544FE">
      <w:pPr>
        <w:spacing w:line="240" w:lineRule="auto"/>
        <w:rPr>
          <w:rFonts w:ascii="Times New Roman" w:hAnsi="Times New Roman" w:cs="Times New Roman"/>
          <w:b/>
          <w:bCs/>
          <w:lang w:val="en-US"/>
        </w:rPr>
      </w:pPr>
      <w:r w:rsidRPr="005B726F">
        <w:rPr>
          <w:rFonts w:ascii="Times New Roman" w:hAnsi="Times New Roman" w:cs="Times New Roman"/>
          <w:b/>
          <w:bCs/>
          <w:lang w:val="en-US"/>
        </w:rPr>
        <w:t>Background:</w:t>
      </w:r>
    </w:p>
    <w:p w14:paraId="159F3D8D" w14:textId="51960D0B" w:rsidR="005B726F" w:rsidRDefault="005C7744" w:rsidP="00E544FE">
      <w:pPr>
        <w:spacing w:line="240" w:lineRule="auto"/>
        <w:rPr>
          <w:rFonts w:ascii="Times New Roman" w:hAnsi="Times New Roman" w:cs="Times New Roman"/>
          <w:lang w:val="en-US"/>
        </w:rPr>
      </w:pPr>
      <w:r>
        <w:rPr>
          <w:rFonts w:ascii="Times New Roman" w:hAnsi="Times New Roman" w:cs="Times New Roman"/>
          <w:lang w:val="en-US"/>
        </w:rPr>
        <w:t>Onchocerciasis remains endemic in many rural communities in Nigeria despite decades of mass drug administration (MDA) with ivermectin. Accurate prevalence data at the community level are essential for tracking progress toward elimination. However, many endemic areas lack recent parasitological assessments.</w:t>
      </w:r>
    </w:p>
    <w:p w14:paraId="2D5FFF35" w14:textId="5002882E" w:rsidR="00AF21F8" w:rsidRDefault="00AF21F8" w:rsidP="00E544FE">
      <w:pPr>
        <w:spacing w:line="240" w:lineRule="auto"/>
        <w:rPr>
          <w:rFonts w:ascii="Times New Roman" w:hAnsi="Times New Roman" w:cs="Times New Roman"/>
          <w:b/>
          <w:bCs/>
          <w:lang w:val="en-US"/>
        </w:rPr>
      </w:pPr>
      <w:r w:rsidRPr="005C7744">
        <w:rPr>
          <w:rFonts w:ascii="Times New Roman" w:hAnsi="Times New Roman" w:cs="Times New Roman"/>
          <w:b/>
          <w:bCs/>
          <w:lang w:val="en-US"/>
        </w:rPr>
        <w:t>Objective:</w:t>
      </w:r>
    </w:p>
    <w:p w14:paraId="226EBBFD" w14:textId="3BBA3FCD" w:rsidR="005C7744" w:rsidRDefault="005C7744" w:rsidP="00E544FE">
      <w:pPr>
        <w:spacing w:line="240" w:lineRule="auto"/>
        <w:rPr>
          <w:rFonts w:ascii="Times New Roman" w:hAnsi="Times New Roman" w:cs="Times New Roman"/>
          <w:lang w:val="en-US"/>
        </w:rPr>
      </w:pPr>
      <w:r w:rsidRPr="005C7744">
        <w:rPr>
          <w:rFonts w:ascii="Times New Roman" w:hAnsi="Times New Roman" w:cs="Times New Roman"/>
          <w:lang w:val="en-US"/>
        </w:rPr>
        <w:t>To determine</w:t>
      </w:r>
      <w:r>
        <w:rPr>
          <w:rFonts w:ascii="Times New Roman" w:hAnsi="Times New Roman" w:cs="Times New Roman"/>
          <w:lang w:val="en-US"/>
        </w:rPr>
        <w:t xml:space="preserve"> the current prevalence and intensity of </w:t>
      </w:r>
      <w:r w:rsidRPr="005C7744">
        <w:rPr>
          <w:rFonts w:ascii="Times New Roman" w:hAnsi="Times New Roman" w:cs="Times New Roman"/>
          <w:i/>
          <w:iCs/>
          <w:lang w:val="en-US"/>
        </w:rPr>
        <w:t>Onchocerca volvulus</w:t>
      </w:r>
      <w:r>
        <w:rPr>
          <w:rFonts w:ascii="Times New Roman" w:hAnsi="Times New Roman" w:cs="Times New Roman"/>
          <w:lang w:val="en-US"/>
        </w:rPr>
        <w:t xml:space="preserve"> infection among residents of Kura LGA in Kano State, Nigeria, and to evaluate whether transmission persists at levels above the World Health Organization (WHO)</w:t>
      </w:r>
      <w:r w:rsidR="00F83FE1">
        <w:rPr>
          <w:rFonts w:ascii="Times New Roman" w:hAnsi="Times New Roman" w:cs="Times New Roman"/>
          <w:lang w:val="en-US"/>
        </w:rPr>
        <w:t xml:space="preserve"> elimination threshold.</w:t>
      </w:r>
    </w:p>
    <w:p w14:paraId="737DE484" w14:textId="445F13A0" w:rsidR="00046992" w:rsidRPr="00F324A7" w:rsidRDefault="00046992" w:rsidP="00E544FE">
      <w:pPr>
        <w:spacing w:line="240" w:lineRule="auto"/>
        <w:rPr>
          <w:rFonts w:ascii="Times New Roman" w:hAnsi="Times New Roman" w:cs="Times New Roman"/>
          <w:b/>
          <w:bCs/>
          <w:lang w:val="en-US"/>
        </w:rPr>
      </w:pPr>
      <w:r w:rsidRPr="00F324A7">
        <w:rPr>
          <w:rFonts w:ascii="Times New Roman" w:hAnsi="Times New Roman" w:cs="Times New Roman"/>
          <w:b/>
          <w:bCs/>
          <w:lang w:val="en-US"/>
        </w:rPr>
        <w:t>Methodology:</w:t>
      </w:r>
    </w:p>
    <w:p w14:paraId="7BAE261B" w14:textId="38F29E4B" w:rsidR="00046992" w:rsidRPr="005C7744" w:rsidRDefault="00046992" w:rsidP="00E544FE">
      <w:pPr>
        <w:spacing w:line="240" w:lineRule="auto"/>
        <w:rPr>
          <w:rFonts w:ascii="Times New Roman" w:hAnsi="Times New Roman" w:cs="Times New Roman"/>
          <w:lang w:val="en-US"/>
        </w:rPr>
      </w:pPr>
      <w:r>
        <w:rPr>
          <w:rFonts w:ascii="Times New Roman" w:hAnsi="Times New Roman" w:cs="Times New Roman"/>
          <w:lang w:val="en-US"/>
        </w:rPr>
        <w:t>This was a secondary analysis of cross-sectional survey data collected by the National Primary Health Care Development Agency (NPHCDA) in collaboration with the State Ministry of Health (MoH)</w:t>
      </w:r>
      <w:r w:rsidR="003C61B6">
        <w:rPr>
          <w:rFonts w:ascii="Times New Roman" w:hAnsi="Times New Roman" w:cs="Times New Roman"/>
          <w:lang w:val="en-US"/>
        </w:rPr>
        <w:t>, and ESPEN</w:t>
      </w:r>
      <w:r>
        <w:rPr>
          <w:rFonts w:ascii="Times New Roman" w:hAnsi="Times New Roman" w:cs="Times New Roman"/>
          <w:lang w:val="en-US"/>
        </w:rPr>
        <w:t xml:space="preserve"> </w:t>
      </w:r>
      <w:r w:rsidR="007E3D26">
        <w:rPr>
          <w:rFonts w:ascii="Times New Roman" w:hAnsi="Times New Roman" w:cs="Times New Roman"/>
          <w:lang w:val="en-US"/>
        </w:rPr>
        <w:t>from 2020 to 202</w:t>
      </w:r>
      <w:r w:rsidR="0002011B">
        <w:rPr>
          <w:rFonts w:ascii="Times New Roman" w:hAnsi="Times New Roman" w:cs="Times New Roman"/>
          <w:lang w:val="en-US"/>
        </w:rPr>
        <w:t>4</w:t>
      </w:r>
      <w:r w:rsidR="007E3D26">
        <w:rPr>
          <w:rFonts w:ascii="Times New Roman" w:hAnsi="Times New Roman" w:cs="Times New Roman"/>
          <w:lang w:val="en-US"/>
        </w:rPr>
        <w:t xml:space="preserve">. Records of </w:t>
      </w:r>
      <w:r w:rsidR="00F324A7">
        <w:rPr>
          <w:rFonts w:ascii="Times New Roman" w:hAnsi="Times New Roman" w:cs="Times New Roman"/>
          <w:lang w:val="en-US"/>
        </w:rPr>
        <w:t>40</w:t>
      </w:r>
      <w:r w:rsidR="007E3D26">
        <w:rPr>
          <w:rFonts w:ascii="Times New Roman" w:hAnsi="Times New Roman" w:cs="Times New Roman"/>
          <w:lang w:val="en-US"/>
        </w:rPr>
        <w:t xml:space="preserve">0 participants aged </w:t>
      </w:r>
      <w:r w:rsidR="007E3D26" w:rsidRPr="007E3D26">
        <w:rPr>
          <w:rFonts w:ascii="Times New Roman" w:hAnsi="Times New Roman" w:cs="Times New Roman"/>
          <w:lang w:val="en-US"/>
        </w:rPr>
        <w:t>≥ 5 years</w:t>
      </w:r>
      <w:r w:rsidR="007E3D26">
        <w:rPr>
          <w:rFonts w:ascii="Times New Roman" w:hAnsi="Times New Roman" w:cs="Times New Roman"/>
          <w:lang w:val="en-US"/>
        </w:rPr>
        <w:t xml:space="preserve"> from 10 onchocerciasis-endemic communities </w:t>
      </w:r>
      <w:r w:rsidR="00F324A7">
        <w:rPr>
          <w:rFonts w:ascii="Times New Roman" w:hAnsi="Times New Roman" w:cs="Times New Roman"/>
          <w:lang w:val="en-US"/>
        </w:rPr>
        <w:t xml:space="preserve">in Kura Local Government </w:t>
      </w:r>
      <w:r w:rsidR="007E3D26">
        <w:rPr>
          <w:rFonts w:ascii="Times New Roman" w:hAnsi="Times New Roman" w:cs="Times New Roman"/>
          <w:lang w:val="en-US"/>
        </w:rPr>
        <w:t>who are predominantly subsistence farmers</w:t>
      </w:r>
      <w:r w:rsidR="00F324A7">
        <w:rPr>
          <w:rFonts w:ascii="Times New Roman" w:hAnsi="Times New Roman" w:cs="Times New Roman"/>
          <w:lang w:val="en-US"/>
        </w:rPr>
        <w:t xml:space="preserve"> were analysed. Microfilariae (Mf) prevalence and geometric mean intensity were determined from skin snip results. Prevalence was compared across age groups and sex using Chi-square tests. </w:t>
      </w:r>
      <w:r w:rsidR="007E3D26">
        <w:rPr>
          <w:rFonts w:ascii="Times New Roman" w:hAnsi="Times New Roman" w:cs="Times New Roman"/>
          <w:lang w:val="en-US"/>
        </w:rPr>
        <w:t xml:space="preserve"> </w:t>
      </w:r>
    </w:p>
    <w:p w14:paraId="2BC0F452" w14:textId="53155A7C" w:rsidR="00AF21F8" w:rsidRDefault="00AF21F8" w:rsidP="00E544FE">
      <w:pPr>
        <w:spacing w:line="240" w:lineRule="auto"/>
        <w:rPr>
          <w:rFonts w:ascii="Times New Roman" w:hAnsi="Times New Roman" w:cs="Times New Roman"/>
          <w:b/>
          <w:bCs/>
          <w:lang w:val="en-US"/>
        </w:rPr>
      </w:pPr>
      <w:r w:rsidRPr="005C7744">
        <w:rPr>
          <w:rFonts w:ascii="Times New Roman" w:hAnsi="Times New Roman" w:cs="Times New Roman"/>
          <w:b/>
          <w:bCs/>
          <w:lang w:val="en-US"/>
        </w:rPr>
        <w:t>Key Results:</w:t>
      </w:r>
    </w:p>
    <w:p w14:paraId="4BBDB8DD" w14:textId="2CC5E663" w:rsidR="00CC3220" w:rsidRPr="00CC3220" w:rsidRDefault="00CC3220" w:rsidP="00E544FE">
      <w:pPr>
        <w:spacing w:line="240" w:lineRule="auto"/>
        <w:rPr>
          <w:rFonts w:ascii="Times New Roman" w:hAnsi="Times New Roman" w:cs="Times New Roman"/>
          <w:lang w:val="en-US"/>
        </w:rPr>
      </w:pPr>
      <w:r>
        <w:rPr>
          <w:rFonts w:ascii="Times New Roman" w:hAnsi="Times New Roman" w:cs="Times New Roman"/>
          <w:lang w:val="en-US"/>
        </w:rPr>
        <w:t xml:space="preserve">A total of 400 </w:t>
      </w:r>
      <w:r w:rsidR="00F324A7">
        <w:rPr>
          <w:rFonts w:ascii="Times New Roman" w:hAnsi="Times New Roman" w:cs="Times New Roman"/>
          <w:lang w:val="en-US"/>
        </w:rPr>
        <w:t xml:space="preserve">de-identified individual records were extracted from the government dataset and included in this analysis, with </w:t>
      </w:r>
      <w:r>
        <w:rPr>
          <w:rFonts w:ascii="Times New Roman" w:hAnsi="Times New Roman" w:cs="Times New Roman"/>
          <w:lang w:val="en-US"/>
        </w:rPr>
        <w:t>participants (mean age 38.2 ± 15.4 years; 52% female)</w:t>
      </w:r>
      <w:r w:rsidR="00F324A7">
        <w:rPr>
          <w:rFonts w:ascii="Times New Roman" w:hAnsi="Times New Roman" w:cs="Times New Roman"/>
          <w:lang w:val="en-US"/>
        </w:rPr>
        <w:t xml:space="preserve"> </w:t>
      </w:r>
      <w:r>
        <w:rPr>
          <w:rFonts w:ascii="Times New Roman" w:hAnsi="Times New Roman" w:cs="Times New Roman"/>
          <w:lang w:val="en-US"/>
        </w:rPr>
        <w:t xml:space="preserve">enrolled. The overall prevalence of </w:t>
      </w:r>
      <w:r w:rsidRPr="00CC3220">
        <w:rPr>
          <w:rFonts w:ascii="Times New Roman" w:hAnsi="Times New Roman" w:cs="Times New Roman"/>
          <w:i/>
          <w:iCs/>
          <w:lang w:val="en-US"/>
        </w:rPr>
        <w:t>O. volvulus</w:t>
      </w:r>
      <w:r>
        <w:rPr>
          <w:rFonts w:ascii="Times New Roman" w:hAnsi="Times New Roman" w:cs="Times New Roman"/>
          <w:lang w:val="en-US"/>
        </w:rPr>
        <w:t xml:space="preserve"> microfilariae was 31.5% (95% Cl: 27.0-36.2). </w:t>
      </w:r>
      <w:r w:rsidR="00670AFF">
        <w:rPr>
          <w:rFonts w:ascii="Times New Roman" w:hAnsi="Times New Roman" w:cs="Times New Roman"/>
          <w:lang w:val="en-US"/>
        </w:rPr>
        <w:t>prevalence was highest among males (35.8% versus 26.4</w:t>
      </w:r>
      <w:r w:rsidR="00F324A7">
        <w:rPr>
          <w:rFonts w:ascii="Times New Roman" w:hAnsi="Times New Roman" w:cs="Times New Roman"/>
          <w:lang w:val="en-US"/>
        </w:rPr>
        <w:t xml:space="preserve">% </w:t>
      </w:r>
      <w:r w:rsidR="00670AFF">
        <w:rPr>
          <w:rFonts w:ascii="Times New Roman" w:hAnsi="Times New Roman" w:cs="Times New Roman"/>
          <w:lang w:val="en-US"/>
        </w:rPr>
        <w:t>in females, p</w:t>
      </w:r>
      <w:r w:rsidR="008A21DC">
        <w:rPr>
          <w:rFonts w:ascii="Times New Roman" w:hAnsi="Times New Roman" w:cs="Times New Roman"/>
          <w:lang w:val="en-US"/>
        </w:rPr>
        <w:t xml:space="preserve"> </w:t>
      </w:r>
      <w:r w:rsidR="00670AFF">
        <w:rPr>
          <w:rFonts w:ascii="Times New Roman" w:hAnsi="Times New Roman" w:cs="Times New Roman"/>
          <w:lang w:val="en-US"/>
        </w:rPr>
        <w:t>=</w:t>
      </w:r>
      <w:r w:rsidR="008A21DC">
        <w:rPr>
          <w:rFonts w:ascii="Times New Roman" w:hAnsi="Times New Roman" w:cs="Times New Roman"/>
          <w:lang w:val="en-US"/>
        </w:rPr>
        <w:t xml:space="preserve"> </w:t>
      </w:r>
      <w:r w:rsidR="00670AFF">
        <w:rPr>
          <w:rFonts w:ascii="Times New Roman" w:hAnsi="Times New Roman" w:cs="Times New Roman"/>
          <w:lang w:val="en-US"/>
        </w:rPr>
        <w:t>0.03) and in the age group 30-44 years (41.2%). Notably, 18.3% of children aged 5-14 years tested positive, indicating ongoing transmission. Only 62% of participants reported taking ivermectin within the last 12 months.</w:t>
      </w:r>
      <w:r>
        <w:rPr>
          <w:rFonts w:ascii="Times New Roman" w:hAnsi="Times New Roman" w:cs="Times New Roman"/>
          <w:lang w:val="en-US"/>
        </w:rPr>
        <w:t xml:space="preserve"> </w:t>
      </w:r>
    </w:p>
    <w:p w14:paraId="48AA0D87" w14:textId="24E3AF70" w:rsidR="00AF21F8" w:rsidRDefault="00AF21F8" w:rsidP="00E544FE">
      <w:pPr>
        <w:spacing w:line="240" w:lineRule="auto"/>
        <w:rPr>
          <w:rFonts w:ascii="Times New Roman" w:hAnsi="Times New Roman" w:cs="Times New Roman"/>
          <w:b/>
          <w:bCs/>
          <w:lang w:val="en-US"/>
        </w:rPr>
      </w:pPr>
      <w:r w:rsidRPr="005C7744">
        <w:rPr>
          <w:rFonts w:ascii="Times New Roman" w:hAnsi="Times New Roman" w:cs="Times New Roman"/>
          <w:b/>
          <w:bCs/>
          <w:lang w:val="en-US"/>
        </w:rPr>
        <w:t>Conclusion:</w:t>
      </w:r>
    </w:p>
    <w:p w14:paraId="65AD4978" w14:textId="01C0B3C9" w:rsidR="00670AFF" w:rsidRPr="00670AFF" w:rsidRDefault="00670AFF" w:rsidP="00E544FE">
      <w:pPr>
        <w:spacing w:line="240" w:lineRule="auto"/>
        <w:rPr>
          <w:rFonts w:ascii="Times New Roman" w:hAnsi="Times New Roman" w:cs="Times New Roman"/>
          <w:lang w:val="en-US"/>
        </w:rPr>
      </w:pPr>
      <w:r>
        <w:rPr>
          <w:rFonts w:ascii="Times New Roman" w:hAnsi="Times New Roman" w:cs="Times New Roman"/>
          <w:lang w:val="en-US"/>
        </w:rPr>
        <w:t>Onchocerciasis prevalence in Kura LGA remains above the WHO elimination threshold (&lt;1% in children)</w:t>
      </w:r>
      <w:r w:rsidR="00E3078B">
        <w:rPr>
          <w:rFonts w:ascii="Times New Roman" w:hAnsi="Times New Roman" w:cs="Times New Roman"/>
          <w:lang w:val="en-US"/>
        </w:rPr>
        <w:t>. Suboptimal MDA coverage and persistent transmission in younger age groups call for enhanced community-directed treatment strategies and regular surveillance.</w:t>
      </w:r>
    </w:p>
    <w:p w14:paraId="758D2B66" w14:textId="4411381F" w:rsidR="00AF21F8" w:rsidRPr="005B726F" w:rsidRDefault="00AF21F8" w:rsidP="00E544FE">
      <w:pPr>
        <w:spacing w:line="240" w:lineRule="auto"/>
        <w:rPr>
          <w:rFonts w:ascii="Times New Roman" w:hAnsi="Times New Roman" w:cs="Times New Roman"/>
          <w:b/>
          <w:bCs/>
          <w:lang w:val="en-US"/>
        </w:rPr>
      </w:pPr>
      <w:r w:rsidRPr="005B726F">
        <w:rPr>
          <w:rFonts w:ascii="Times New Roman" w:hAnsi="Times New Roman" w:cs="Times New Roman"/>
          <w:b/>
          <w:bCs/>
          <w:lang w:val="en-US"/>
        </w:rPr>
        <w:t>Keywords:</w:t>
      </w:r>
      <w:r w:rsidR="005B726F" w:rsidRPr="005B726F">
        <w:rPr>
          <w:rFonts w:ascii="Times New Roman" w:hAnsi="Times New Roman" w:cs="Times New Roman"/>
          <w:b/>
          <w:bCs/>
          <w:lang w:val="en-US"/>
        </w:rPr>
        <w:t xml:space="preserve"> </w:t>
      </w:r>
      <w:r w:rsidR="008A21DC" w:rsidRPr="008A21DC">
        <w:rPr>
          <w:rFonts w:ascii="Times New Roman" w:hAnsi="Times New Roman" w:cs="Times New Roman"/>
          <w:lang w:val="en-US"/>
        </w:rPr>
        <w:t>Onchocerciasis</w:t>
      </w:r>
      <w:r w:rsidR="008A21DC">
        <w:rPr>
          <w:rFonts w:ascii="Times New Roman" w:hAnsi="Times New Roman" w:cs="Times New Roman"/>
          <w:lang w:val="en-US"/>
        </w:rPr>
        <w:t xml:space="preserve">, Kura LGA, Kano State, </w:t>
      </w:r>
      <w:r w:rsidR="00183963">
        <w:rPr>
          <w:rFonts w:ascii="Times New Roman" w:hAnsi="Times New Roman" w:cs="Times New Roman"/>
          <w:lang w:val="en-US"/>
        </w:rPr>
        <w:t>Microfilariae (Mf), Skin snips</w:t>
      </w:r>
    </w:p>
    <w:p w14:paraId="16FC70DB" w14:textId="77777777" w:rsidR="005B726F" w:rsidRDefault="005B726F" w:rsidP="00E544FE">
      <w:pPr>
        <w:spacing w:line="240" w:lineRule="auto"/>
        <w:rPr>
          <w:rFonts w:ascii="Times New Roman" w:hAnsi="Times New Roman" w:cs="Times New Roman"/>
          <w:lang w:val="en-US"/>
        </w:rPr>
      </w:pPr>
    </w:p>
    <w:p w14:paraId="3AA344A1" w14:textId="77777777" w:rsidR="005B726F" w:rsidRDefault="005B726F" w:rsidP="00E544FE">
      <w:pPr>
        <w:spacing w:line="240" w:lineRule="auto"/>
        <w:rPr>
          <w:rFonts w:ascii="Times New Roman" w:hAnsi="Times New Roman" w:cs="Times New Roman"/>
          <w:lang w:val="en-US"/>
        </w:rPr>
      </w:pPr>
    </w:p>
    <w:p w14:paraId="05AF95ED" w14:textId="77777777" w:rsidR="00E3078B" w:rsidRDefault="00E3078B" w:rsidP="00E544FE">
      <w:pPr>
        <w:spacing w:line="240" w:lineRule="auto"/>
        <w:rPr>
          <w:rFonts w:ascii="Times New Roman" w:hAnsi="Times New Roman" w:cs="Times New Roman"/>
          <w:lang w:val="en-US"/>
        </w:rPr>
      </w:pPr>
    </w:p>
    <w:p w14:paraId="26A4C29A" w14:textId="45FE019F" w:rsidR="00AF21F8" w:rsidRDefault="005B726F" w:rsidP="00E544FE">
      <w:pPr>
        <w:spacing w:line="240" w:lineRule="auto"/>
        <w:rPr>
          <w:rFonts w:ascii="Times New Roman" w:hAnsi="Times New Roman" w:cs="Times New Roman"/>
          <w:b/>
          <w:bCs/>
          <w:sz w:val="28"/>
          <w:szCs w:val="28"/>
          <w:lang w:val="en-US"/>
        </w:rPr>
      </w:pPr>
      <w:r w:rsidRPr="005B726F">
        <w:rPr>
          <w:rFonts w:ascii="Times New Roman" w:hAnsi="Times New Roman" w:cs="Times New Roman"/>
          <w:b/>
          <w:bCs/>
          <w:sz w:val="28"/>
          <w:szCs w:val="28"/>
          <w:lang w:val="en-US"/>
        </w:rPr>
        <w:lastRenderedPageBreak/>
        <w:t>INTRODUCTION</w:t>
      </w:r>
    </w:p>
    <w:p w14:paraId="54D3B6D3" w14:textId="533D19B4" w:rsidR="00E3078B" w:rsidRPr="00E3078B" w:rsidRDefault="00E3078B" w:rsidP="00E3078B">
      <w:pPr>
        <w:spacing w:line="240" w:lineRule="auto"/>
        <w:rPr>
          <w:rFonts w:ascii="Times New Roman" w:hAnsi="Times New Roman" w:cs="Times New Roman"/>
          <w:lang w:val="en-US"/>
        </w:rPr>
      </w:pPr>
      <w:r w:rsidRPr="00E3078B">
        <w:rPr>
          <w:rFonts w:ascii="Times New Roman" w:hAnsi="Times New Roman" w:cs="Times New Roman"/>
          <w:lang w:val="en-US"/>
        </w:rPr>
        <w:t xml:space="preserve">Onchocerciasis, commonly known as river blindness, is a neglected tropical disease (NTD) caused by the filarial parasite </w:t>
      </w:r>
      <w:r w:rsidRPr="00E3078B">
        <w:rPr>
          <w:rFonts w:ascii="Times New Roman" w:hAnsi="Times New Roman" w:cs="Times New Roman"/>
          <w:i/>
          <w:iCs/>
          <w:lang w:val="en-US"/>
        </w:rPr>
        <w:t>Onchocerca volvulus</w:t>
      </w:r>
      <w:r w:rsidRPr="00E3078B">
        <w:rPr>
          <w:rFonts w:ascii="Times New Roman" w:hAnsi="Times New Roman" w:cs="Times New Roman"/>
          <w:lang w:val="en-US"/>
        </w:rPr>
        <w:t xml:space="preserve"> and transmitted to humans through the bite of infected blackflies of the genus </w:t>
      </w:r>
      <w:r w:rsidRPr="00E3078B">
        <w:rPr>
          <w:rFonts w:ascii="Times New Roman" w:hAnsi="Times New Roman" w:cs="Times New Roman"/>
          <w:i/>
          <w:iCs/>
          <w:lang w:val="en-US"/>
        </w:rPr>
        <w:t>Simulium</w:t>
      </w:r>
      <w:r w:rsidR="00FB08FB">
        <w:rPr>
          <w:rFonts w:ascii="Times New Roman" w:hAnsi="Times New Roman" w:cs="Times New Roman"/>
          <w:i/>
          <w:iCs/>
          <w:lang w:val="en-US"/>
        </w:rPr>
        <w:t xml:space="preserve"> damnosum </w:t>
      </w:r>
      <w:r w:rsidR="00FB08FB" w:rsidRPr="00FB08FB">
        <w:rPr>
          <w:rFonts w:ascii="Times New Roman" w:hAnsi="Times New Roman" w:cs="Times New Roman"/>
          <w:lang w:val="en-US"/>
        </w:rPr>
        <w:t>complex</w:t>
      </w:r>
      <w:r w:rsidRPr="00E3078B">
        <w:rPr>
          <w:rFonts w:ascii="Times New Roman" w:hAnsi="Times New Roman" w:cs="Times New Roman"/>
          <w:i/>
          <w:iCs/>
          <w:lang w:val="en-US"/>
        </w:rPr>
        <w:t xml:space="preserve"> </w:t>
      </w:r>
      <w:r w:rsidRPr="00E3078B">
        <w:rPr>
          <w:rFonts w:ascii="Times New Roman" w:hAnsi="Times New Roman" w:cs="Times New Roman"/>
          <w:lang w:val="en-US"/>
        </w:rPr>
        <w:t>[1, 2]. The disease is the world’s second-leading infectious cause of blindness and causes severe skin disease, chronic itching, depigmentation (leopard skin), nodules</w:t>
      </w:r>
      <w:r w:rsidR="00142D10">
        <w:rPr>
          <w:rFonts w:ascii="Times New Roman" w:hAnsi="Times New Roman" w:cs="Times New Roman"/>
          <w:lang w:val="en-US"/>
        </w:rPr>
        <w:t>, and permanent blindness</w:t>
      </w:r>
      <w:r w:rsidRPr="00E3078B">
        <w:rPr>
          <w:rFonts w:ascii="Times New Roman" w:hAnsi="Times New Roman" w:cs="Times New Roman"/>
          <w:lang w:val="en-US"/>
        </w:rPr>
        <w:t xml:space="preserve"> [3], leading to social stigma and economic loss.</w:t>
      </w:r>
    </w:p>
    <w:p w14:paraId="6A4F99C2" w14:textId="1C28618F" w:rsidR="007F4C76" w:rsidRDefault="008A21DC" w:rsidP="00E544FE">
      <w:pPr>
        <w:spacing w:line="240" w:lineRule="auto"/>
        <w:rPr>
          <w:rFonts w:ascii="Times New Roman" w:hAnsi="Times New Roman" w:cs="Times New Roman"/>
          <w:lang w:val="en-US"/>
        </w:rPr>
      </w:pPr>
      <w:r>
        <w:rPr>
          <w:rFonts w:ascii="Times New Roman" w:hAnsi="Times New Roman" w:cs="Times New Roman"/>
          <w:lang w:val="en-US"/>
        </w:rPr>
        <w:t>Globally, over</w:t>
      </w:r>
      <w:r w:rsidR="00221942">
        <w:rPr>
          <w:rFonts w:ascii="Times New Roman" w:hAnsi="Times New Roman" w:cs="Times New Roman"/>
          <w:lang w:val="en-US"/>
        </w:rPr>
        <w:t xml:space="preserve"> 200 million people </w:t>
      </w:r>
      <w:r w:rsidR="004E5D4A">
        <w:rPr>
          <w:rFonts w:ascii="Times New Roman" w:hAnsi="Times New Roman" w:cs="Times New Roman"/>
          <w:lang w:val="en-US"/>
        </w:rPr>
        <w:t xml:space="preserve">are </w:t>
      </w:r>
      <w:r w:rsidR="00221942">
        <w:rPr>
          <w:rFonts w:ascii="Times New Roman" w:hAnsi="Times New Roman" w:cs="Times New Roman"/>
          <w:lang w:val="en-US"/>
        </w:rPr>
        <w:t xml:space="preserve">currently </w:t>
      </w:r>
      <w:r w:rsidR="004E5D4A">
        <w:rPr>
          <w:rFonts w:ascii="Times New Roman" w:hAnsi="Times New Roman" w:cs="Times New Roman"/>
          <w:lang w:val="en-US"/>
        </w:rPr>
        <w:t>at risk of the infection, with more than 99% of cases concentrated in many African countries [4</w:t>
      </w:r>
      <w:r w:rsidR="002319FC">
        <w:rPr>
          <w:rFonts w:ascii="Times New Roman" w:hAnsi="Times New Roman" w:cs="Times New Roman"/>
          <w:lang w:val="en-US"/>
        </w:rPr>
        <w:t>,</w:t>
      </w:r>
      <w:r w:rsidR="004E5D4A">
        <w:rPr>
          <w:rFonts w:ascii="Times New Roman" w:hAnsi="Times New Roman" w:cs="Times New Roman"/>
          <w:lang w:val="en-US"/>
        </w:rPr>
        <w:t xml:space="preserve">5]. Nigeria bears the highest onchocerciasis burden in Africa, particularly in areas where people </w:t>
      </w:r>
      <w:r w:rsidR="002319FC">
        <w:rPr>
          <w:rFonts w:ascii="Times New Roman" w:hAnsi="Times New Roman" w:cs="Times New Roman"/>
          <w:lang w:val="en-US"/>
        </w:rPr>
        <w:t>live</w:t>
      </w:r>
      <w:r w:rsidR="00221942">
        <w:rPr>
          <w:rFonts w:ascii="Times New Roman" w:hAnsi="Times New Roman" w:cs="Times New Roman"/>
          <w:lang w:val="en-US"/>
        </w:rPr>
        <w:t xml:space="preserve"> in areas </w:t>
      </w:r>
      <w:r w:rsidR="004E5D4A">
        <w:rPr>
          <w:rFonts w:ascii="Times New Roman" w:hAnsi="Times New Roman" w:cs="Times New Roman"/>
          <w:lang w:val="en-US"/>
        </w:rPr>
        <w:t>near</w:t>
      </w:r>
      <w:r w:rsidR="00B8637B">
        <w:rPr>
          <w:rFonts w:ascii="Times New Roman" w:hAnsi="Times New Roman" w:cs="Times New Roman"/>
          <w:lang w:val="en-US"/>
        </w:rPr>
        <w:t xml:space="preserve"> </w:t>
      </w:r>
      <w:r w:rsidR="004E5D4A">
        <w:rPr>
          <w:rFonts w:ascii="Times New Roman" w:hAnsi="Times New Roman" w:cs="Times New Roman"/>
          <w:lang w:val="en-US"/>
        </w:rPr>
        <w:t xml:space="preserve">fast-flowing rivers which serves as breeding </w:t>
      </w:r>
      <w:r w:rsidR="002319FC">
        <w:rPr>
          <w:rFonts w:ascii="Times New Roman" w:hAnsi="Times New Roman" w:cs="Times New Roman"/>
          <w:lang w:val="en-US"/>
        </w:rPr>
        <w:t>place of the vector [6</w:t>
      </w:r>
      <w:r w:rsidR="00EC169B">
        <w:rPr>
          <w:rFonts w:ascii="Times New Roman" w:hAnsi="Times New Roman" w:cs="Times New Roman"/>
          <w:lang w:val="en-US"/>
        </w:rPr>
        <w:t>, 15</w:t>
      </w:r>
      <w:r w:rsidR="002319FC">
        <w:rPr>
          <w:rFonts w:ascii="Times New Roman" w:hAnsi="Times New Roman" w:cs="Times New Roman"/>
          <w:lang w:val="en-US"/>
        </w:rPr>
        <w:t>]. It is estimated that over 35 million people in Nigeria are at risk of infection, with approximately 5 million people already infected and nearly 350,000 suffering from blindness or visual impairment attributable to the disease [7]</w:t>
      </w:r>
      <w:r w:rsidR="007F4C76">
        <w:rPr>
          <w:rFonts w:ascii="Times New Roman" w:hAnsi="Times New Roman" w:cs="Times New Roman"/>
          <w:lang w:val="en-US"/>
        </w:rPr>
        <w:t>.</w:t>
      </w:r>
    </w:p>
    <w:p w14:paraId="4FF098CA" w14:textId="77777777" w:rsidR="00B46E20" w:rsidRDefault="007F4C76" w:rsidP="00E544FE">
      <w:pPr>
        <w:spacing w:line="240" w:lineRule="auto"/>
        <w:rPr>
          <w:rFonts w:ascii="Times New Roman" w:hAnsi="Times New Roman" w:cs="Times New Roman"/>
          <w:lang w:val="en-US"/>
        </w:rPr>
      </w:pPr>
      <w:r>
        <w:rPr>
          <w:rFonts w:ascii="Times New Roman" w:hAnsi="Times New Roman" w:cs="Times New Roman"/>
          <w:lang w:val="en-US"/>
        </w:rPr>
        <w:t>The Nigerian government, in collaboration with the African Programme for Onchocerciasis Control (APOC) and its successor, the Expanded Special Project for Elimination of Neglected Tropical Diseases (ESPEN) designed by WHO Africa</w:t>
      </w:r>
      <w:r w:rsidR="00B46E20">
        <w:rPr>
          <w:rFonts w:ascii="Times New Roman" w:hAnsi="Times New Roman" w:cs="Times New Roman"/>
          <w:lang w:val="en-US"/>
        </w:rPr>
        <w:t xml:space="preserve"> Regional Office (AFRO)</w:t>
      </w:r>
      <w:r>
        <w:rPr>
          <w:rFonts w:ascii="Times New Roman" w:hAnsi="Times New Roman" w:cs="Times New Roman"/>
          <w:lang w:val="en-US"/>
        </w:rPr>
        <w:t>,</w:t>
      </w:r>
      <w:r w:rsidR="00B46E20">
        <w:rPr>
          <w:rFonts w:ascii="Times New Roman" w:hAnsi="Times New Roman" w:cs="Times New Roman"/>
          <w:lang w:val="en-US"/>
        </w:rPr>
        <w:t xml:space="preserve"> to accelerate elimination towards 2030. This programme has implemented mass drug administration (MDA) with ivermectin since the late 1990s, which is delivered annually or biannually through community-directed treatment with ivermectin (CDTI) [8]. </w:t>
      </w:r>
    </w:p>
    <w:p w14:paraId="6987F039" w14:textId="112D33ED" w:rsidR="00E3078B" w:rsidRDefault="00B46E20" w:rsidP="00D823BA">
      <w:pPr>
        <w:spacing w:line="240" w:lineRule="auto"/>
        <w:rPr>
          <w:rFonts w:ascii="Times New Roman" w:hAnsi="Times New Roman" w:cs="Times New Roman"/>
          <w:lang w:val="en-US"/>
        </w:rPr>
      </w:pPr>
      <w:r>
        <w:rPr>
          <w:rFonts w:ascii="Times New Roman" w:hAnsi="Times New Roman" w:cs="Times New Roman"/>
          <w:lang w:val="en-US"/>
        </w:rPr>
        <w:t xml:space="preserve">Considerable progress has been made, and </w:t>
      </w:r>
      <w:r w:rsidR="00342370">
        <w:rPr>
          <w:rFonts w:ascii="Times New Roman" w:hAnsi="Times New Roman" w:cs="Times New Roman"/>
          <w:lang w:val="en-US"/>
        </w:rPr>
        <w:t>two</w:t>
      </w:r>
      <w:r>
        <w:rPr>
          <w:rFonts w:ascii="Times New Roman" w:hAnsi="Times New Roman" w:cs="Times New Roman"/>
          <w:lang w:val="en-US"/>
        </w:rPr>
        <w:t xml:space="preserve"> states </w:t>
      </w:r>
      <w:r w:rsidR="00342370">
        <w:rPr>
          <w:rFonts w:ascii="Times New Roman" w:hAnsi="Times New Roman" w:cs="Times New Roman"/>
          <w:lang w:val="en-US"/>
        </w:rPr>
        <w:t xml:space="preserve">in the federation </w:t>
      </w:r>
      <w:r>
        <w:rPr>
          <w:rFonts w:ascii="Times New Roman" w:hAnsi="Times New Roman" w:cs="Times New Roman"/>
          <w:lang w:val="en-US"/>
        </w:rPr>
        <w:t>have achieved</w:t>
      </w:r>
      <w:r w:rsidR="00342370">
        <w:rPr>
          <w:rFonts w:ascii="Times New Roman" w:hAnsi="Times New Roman" w:cs="Times New Roman"/>
          <w:lang w:val="en-US"/>
        </w:rPr>
        <w:t xml:space="preserve"> elimination of onchocerciasis as a public</w:t>
      </w:r>
      <w:r w:rsidR="007F4C76">
        <w:rPr>
          <w:rFonts w:ascii="Times New Roman" w:hAnsi="Times New Roman" w:cs="Times New Roman"/>
          <w:lang w:val="en-US"/>
        </w:rPr>
        <w:t xml:space="preserve"> </w:t>
      </w:r>
      <w:r w:rsidR="001304E4">
        <w:rPr>
          <w:rFonts w:ascii="Times New Roman" w:hAnsi="Times New Roman" w:cs="Times New Roman"/>
          <w:lang w:val="en-US"/>
        </w:rPr>
        <w:t>health problem</w:t>
      </w:r>
      <w:r w:rsidR="00C0404B">
        <w:rPr>
          <w:rFonts w:ascii="Times New Roman" w:hAnsi="Times New Roman" w:cs="Times New Roman"/>
          <w:lang w:val="en-US"/>
        </w:rPr>
        <w:t xml:space="preserve"> [14]</w:t>
      </w:r>
      <w:r w:rsidR="001304E4">
        <w:rPr>
          <w:rFonts w:ascii="Times New Roman" w:hAnsi="Times New Roman" w:cs="Times New Roman"/>
          <w:lang w:val="en-US"/>
        </w:rPr>
        <w:t>. The World</w:t>
      </w:r>
      <w:r w:rsidR="002319FC">
        <w:rPr>
          <w:rFonts w:ascii="Times New Roman" w:hAnsi="Times New Roman" w:cs="Times New Roman"/>
          <w:lang w:val="en-US"/>
        </w:rPr>
        <w:t xml:space="preserve"> </w:t>
      </w:r>
      <w:r w:rsidR="001304E4">
        <w:rPr>
          <w:rFonts w:ascii="Times New Roman" w:hAnsi="Times New Roman" w:cs="Times New Roman"/>
          <w:lang w:val="en-US"/>
        </w:rPr>
        <w:t xml:space="preserve">Health Organisation (WHO) elimination threshold requires that microfilarial prevalence in children aged 5-14 years falls below 1% and that new cases of onchocercal blindness or nodules are detected [9]. However, elimination efforts face persistent challenges: sub-optimal responses to ivermectin in some areas </w:t>
      </w:r>
      <w:r w:rsidR="00731945">
        <w:rPr>
          <w:rFonts w:ascii="Times New Roman" w:hAnsi="Times New Roman" w:cs="Times New Roman"/>
          <w:lang w:val="en-US"/>
        </w:rPr>
        <w:t>[10</w:t>
      </w:r>
      <w:r w:rsidR="001304E4">
        <w:rPr>
          <w:rFonts w:ascii="Times New Roman" w:hAnsi="Times New Roman" w:cs="Times New Roman"/>
          <w:lang w:val="en-US"/>
        </w:rPr>
        <w:t>].</w:t>
      </w:r>
      <w:r w:rsidR="00731945">
        <w:rPr>
          <w:rFonts w:ascii="Times New Roman" w:hAnsi="Times New Roman" w:cs="Times New Roman"/>
          <w:lang w:val="en-US"/>
        </w:rPr>
        <w:t xml:space="preserve"> </w:t>
      </w:r>
    </w:p>
    <w:p w14:paraId="6CCAC01B" w14:textId="77777777" w:rsidR="00D823BA" w:rsidRDefault="00D823BA" w:rsidP="00D823BA">
      <w:pPr>
        <w:spacing w:line="240" w:lineRule="auto"/>
        <w:rPr>
          <w:rFonts w:ascii="Times New Roman" w:hAnsi="Times New Roman" w:cs="Times New Roman"/>
          <w:lang w:val="en-US"/>
        </w:rPr>
      </w:pPr>
    </w:p>
    <w:p w14:paraId="4F45AB76" w14:textId="77777777" w:rsidR="00D823BA" w:rsidRDefault="00D823BA" w:rsidP="00D823BA">
      <w:pPr>
        <w:spacing w:line="240" w:lineRule="auto"/>
        <w:rPr>
          <w:rFonts w:ascii="Times New Roman" w:hAnsi="Times New Roman" w:cs="Times New Roman"/>
          <w:lang w:val="en-US"/>
        </w:rPr>
      </w:pPr>
    </w:p>
    <w:p w14:paraId="3D9E50BB" w14:textId="77777777" w:rsidR="00D823BA" w:rsidRDefault="00D823BA" w:rsidP="00D823BA">
      <w:pPr>
        <w:spacing w:line="240" w:lineRule="auto"/>
        <w:rPr>
          <w:rFonts w:ascii="Times New Roman" w:hAnsi="Times New Roman" w:cs="Times New Roman"/>
          <w:lang w:val="en-US"/>
        </w:rPr>
      </w:pPr>
    </w:p>
    <w:p w14:paraId="7BA2BA4C" w14:textId="77777777" w:rsidR="00D823BA" w:rsidRDefault="00D823BA" w:rsidP="00D823BA">
      <w:pPr>
        <w:spacing w:line="240" w:lineRule="auto"/>
        <w:rPr>
          <w:rFonts w:ascii="Times New Roman" w:hAnsi="Times New Roman" w:cs="Times New Roman"/>
          <w:lang w:val="en-US"/>
        </w:rPr>
      </w:pPr>
    </w:p>
    <w:p w14:paraId="0E14FB35" w14:textId="77777777" w:rsidR="00D823BA" w:rsidRDefault="00D823BA" w:rsidP="00D823BA">
      <w:pPr>
        <w:spacing w:line="240" w:lineRule="auto"/>
        <w:rPr>
          <w:rFonts w:ascii="Times New Roman" w:hAnsi="Times New Roman" w:cs="Times New Roman"/>
          <w:lang w:val="en-US"/>
        </w:rPr>
      </w:pPr>
    </w:p>
    <w:p w14:paraId="562F776B" w14:textId="77777777" w:rsidR="00D823BA" w:rsidRDefault="00D823BA" w:rsidP="00D823BA">
      <w:pPr>
        <w:spacing w:line="240" w:lineRule="auto"/>
        <w:rPr>
          <w:rFonts w:ascii="Times New Roman" w:hAnsi="Times New Roman" w:cs="Times New Roman"/>
          <w:lang w:val="en-US"/>
        </w:rPr>
      </w:pPr>
    </w:p>
    <w:p w14:paraId="3FD863B1" w14:textId="77777777" w:rsidR="00D823BA" w:rsidRPr="00E3078B" w:rsidRDefault="00D823BA" w:rsidP="00D823BA">
      <w:pPr>
        <w:spacing w:line="240" w:lineRule="auto"/>
        <w:rPr>
          <w:rFonts w:ascii="Times New Roman" w:hAnsi="Times New Roman" w:cs="Times New Roman"/>
          <w:lang w:val="en-US"/>
        </w:rPr>
      </w:pPr>
    </w:p>
    <w:p w14:paraId="398EB8D3" w14:textId="77777777" w:rsidR="00E148BE" w:rsidRDefault="00E148BE" w:rsidP="00E544FE">
      <w:pPr>
        <w:spacing w:line="240" w:lineRule="auto"/>
        <w:rPr>
          <w:rFonts w:ascii="Times New Roman" w:hAnsi="Times New Roman" w:cs="Times New Roman"/>
          <w:b/>
          <w:bCs/>
          <w:sz w:val="28"/>
          <w:szCs w:val="28"/>
          <w:lang w:val="en-US"/>
        </w:rPr>
      </w:pPr>
    </w:p>
    <w:p w14:paraId="67B0A977" w14:textId="77777777" w:rsidR="00E148BE" w:rsidRDefault="00E148BE" w:rsidP="00E544FE">
      <w:pPr>
        <w:spacing w:line="240" w:lineRule="auto"/>
        <w:rPr>
          <w:rFonts w:ascii="Times New Roman" w:hAnsi="Times New Roman" w:cs="Times New Roman"/>
          <w:b/>
          <w:bCs/>
          <w:sz w:val="28"/>
          <w:szCs w:val="28"/>
          <w:lang w:val="en-US"/>
        </w:rPr>
      </w:pPr>
    </w:p>
    <w:p w14:paraId="73F02272" w14:textId="77777777" w:rsidR="00E148BE" w:rsidRDefault="00E148BE" w:rsidP="00E544FE">
      <w:pPr>
        <w:spacing w:line="240" w:lineRule="auto"/>
        <w:rPr>
          <w:rFonts w:ascii="Times New Roman" w:hAnsi="Times New Roman" w:cs="Times New Roman"/>
          <w:b/>
          <w:bCs/>
          <w:sz w:val="28"/>
          <w:szCs w:val="28"/>
          <w:lang w:val="en-US"/>
        </w:rPr>
      </w:pPr>
    </w:p>
    <w:p w14:paraId="18ACEAFA" w14:textId="77777777" w:rsidR="00E148BE" w:rsidRDefault="00E148BE" w:rsidP="00E544FE">
      <w:pPr>
        <w:spacing w:line="240" w:lineRule="auto"/>
        <w:rPr>
          <w:rFonts w:ascii="Times New Roman" w:hAnsi="Times New Roman" w:cs="Times New Roman"/>
          <w:b/>
          <w:bCs/>
          <w:sz w:val="28"/>
          <w:szCs w:val="28"/>
          <w:lang w:val="en-US"/>
        </w:rPr>
      </w:pPr>
    </w:p>
    <w:p w14:paraId="11A51CA6" w14:textId="77777777" w:rsidR="00E148BE" w:rsidRDefault="00E148BE" w:rsidP="00E544FE">
      <w:pPr>
        <w:spacing w:line="240" w:lineRule="auto"/>
        <w:rPr>
          <w:rFonts w:ascii="Times New Roman" w:hAnsi="Times New Roman" w:cs="Times New Roman"/>
          <w:b/>
          <w:bCs/>
          <w:sz w:val="28"/>
          <w:szCs w:val="28"/>
          <w:lang w:val="en-US"/>
        </w:rPr>
      </w:pPr>
    </w:p>
    <w:p w14:paraId="317BFB9D" w14:textId="77777777" w:rsidR="00E148BE" w:rsidRDefault="00E148BE" w:rsidP="00E544FE">
      <w:pPr>
        <w:spacing w:line="240" w:lineRule="auto"/>
        <w:rPr>
          <w:rFonts w:ascii="Times New Roman" w:hAnsi="Times New Roman" w:cs="Times New Roman"/>
          <w:b/>
          <w:bCs/>
          <w:sz w:val="28"/>
          <w:szCs w:val="28"/>
          <w:lang w:val="en-US"/>
        </w:rPr>
      </w:pPr>
    </w:p>
    <w:p w14:paraId="011C264A" w14:textId="77777777" w:rsidR="00E148BE" w:rsidRDefault="00E148BE" w:rsidP="00E544FE">
      <w:pPr>
        <w:spacing w:line="240" w:lineRule="auto"/>
        <w:rPr>
          <w:rFonts w:ascii="Times New Roman" w:hAnsi="Times New Roman" w:cs="Times New Roman"/>
          <w:b/>
          <w:bCs/>
          <w:sz w:val="28"/>
          <w:szCs w:val="28"/>
          <w:lang w:val="en-US"/>
        </w:rPr>
      </w:pPr>
    </w:p>
    <w:p w14:paraId="7C390F36" w14:textId="77777777" w:rsidR="00E148BE" w:rsidRDefault="00E148BE" w:rsidP="00E544FE">
      <w:pPr>
        <w:spacing w:line="240" w:lineRule="auto"/>
        <w:rPr>
          <w:rFonts w:ascii="Times New Roman" w:hAnsi="Times New Roman" w:cs="Times New Roman"/>
          <w:b/>
          <w:bCs/>
          <w:sz w:val="28"/>
          <w:szCs w:val="28"/>
          <w:lang w:val="en-US"/>
        </w:rPr>
      </w:pPr>
    </w:p>
    <w:p w14:paraId="6D7FB7BD" w14:textId="77777777" w:rsidR="00E148BE" w:rsidRDefault="00E148BE" w:rsidP="00E544FE">
      <w:pPr>
        <w:spacing w:line="240" w:lineRule="auto"/>
        <w:rPr>
          <w:rFonts w:ascii="Times New Roman" w:hAnsi="Times New Roman" w:cs="Times New Roman"/>
          <w:b/>
          <w:bCs/>
          <w:sz w:val="28"/>
          <w:szCs w:val="28"/>
          <w:lang w:val="en-US"/>
        </w:rPr>
      </w:pPr>
    </w:p>
    <w:p w14:paraId="65CD1F7A" w14:textId="77777777" w:rsidR="00E148BE" w:rsidRDefault="00E148BE" w:rsidP="00E544FE">
      <w:pPr>
        <w:spacing w:line="240" w:lineRule="auto"/>
        <w:rPr>
          <w:rFonts w:ascii="Times New Roman" w:hAnsi="Times New Roman" w:cs="Times New Roman"/>
          <w:b/>
          <w:bCs/>
          <w:sz w:val="28"/>
          <w:szCs w:val="28"/>
          <w:lang w:val="en-US"/>
        </w:rPr>
      </w:pPr>
    </w:p>
    <w:p w14:paraId="18BF899F" w14:textId="77777777" w:rsidR="00E148BE" w:rsidRDefault="00E148BE" w:rsidP="00E544FE">
      <w:pPr>
        <w:spacing w:line="240" w:lineRule="auto"/>
        <w:rPr>
          <w:rFonts w:ascii="Times New Roman" w:hAnsi="Times New Roman" w:cs="Times New Roman"/>
          <w:b/>
          <w:bCs/>
          <w:sz w:val="28"/>
          <w:szCs w:val="28"/>
          <w:lang w:val="en-US"/>
        </w:rPr>
      </w:pPr>
    </w:p>
    <w:p w14:paraId="73FD4E86" w14:textId="77777777" w:rsidR="00E148BE" w:rsidRDefault="00E148BE" w:rsidP="00E544FE">
      <w:pPr>
        <w:spacing w:line="240" w:lineRule="auto"/>
        <w:rPr>
          <w:rFonts w:ascii="Times New Roman" w:hAnsi="Times New Roman" w:cs="Times New Roman"/>
          <w:b/>
          <w:bCs/>
          <w:sz w:val="28"/>
          <w:szCs w:val="28"/>
          <w:lang w:val="en-US"/>
        </w:rPr>
      </w:pPr>
    </w:p>
    <w:p w14:paraId="23B1E84C" w14:textId="77777777" w:rsidR="00E148BE" w:rsidRDefault="00E148BE" w:rsidP="00E544FE">
      <w:pPr>
        <w:spacing w:line="240" w:lineRule="auto"/>
        <w:rPr>
          <w:rFonts w:ascii="Times New Roman" w:hAnsi="Times New Roman" w:cs="Times New Roman"/>
          <w:b/>
          <w:bCs/>
          <w:sz w:val="28"/>
          <w:szCs w:val="28"/>
          <w:lang w:val="en-US"/>
        </w:rPr>
      </w:pPr>
    </w:p>
    <w:p w14:paraId="79F25719" w14:textId="57BA5DEB" w:rsidR="005B726F" w:rsidRDefault="005B726F" w:rsidP="00E544FE">
      <w:pPr>
        <w:spacing w:line="240" w:lineRule="auto"/>
        <w:rPr>
          <w:rFonts w:ascii="Times New Roman" w:hAnsi="Times New Roman" w:cs="Times New Roman"/>
          <w:b/>
          <w:bCs/>
          <w:sz w:val="28"/>
          <w:szCs w:val="28"/>
          <w:lang w:val="en-US"/>
        </w:rPr>
      </w:pPr>
      <w:r w:rsidRPr="005B726F">
        <w:rPr>
          <w:rFonts w:ascii="Times New Roman" w:hAnsi="Times New Roman" w:cs="Times New Roman"/>
          <w:b/>
          <w:bCs/>
          <w:sz w:val="28"/>
          <w:szCs w:val="28"/>
          <w:lang w:val="en-US"/>
        </w:rPr>
        <w:lastRenderedPageBreak/>
        <w:t>METHODOLOGY</w:t>
      </w:r>
    </w:p>
    <w:p w14:paraId="029282B9" w14:textId="74EB3676" w:rsidR="00E148BE" w:rsidRPr="000F239A" w:rsidRDefault="00191D6B" w:rsidP="00E544FE">
      <w:pPr>
        <w:spacing w:line="240" w:lineRule="auto"/>
        <w:rPr>
          <w:rFonts w:ascii="Times New Roman" w:hAnsi="Times New Roman" w:cs="Times New Roman"/>
          <w:b/>
          <w:bCs/>
          <w:lang w:val="en-US"/>
        </w:rPr>
      </w:pPr>
      <w:r w:rsidRPr="000F239A">
        <w:rPr>
          <w:rFonts w:ascii="Times New Roman" w:hAnsi="Times New Roman" w:cs="Times New Roman"/>
          <w:b/>
          <w:bCs/>
          <w:lang w:val="en-US"/>
        </w:rPr>
        <w:t>Methods</w:t>
      </w:r>
    </w:p>
    <w:p w14:paraId="7EF1D6A6" w14:textId="013BCA5D" w:rsidR="00191D6B" w:rsidRDefault="00191D6B" w:rsidP="00E544FE">
      <w:pPr>
        <w:spacing w:line="240" w:lineRule="auto"/>
        <w:rPr>
          <w:rFonts w:ascii="Times New Roman" w:hAnsi="Times New Roman" w:cs="Times New Roman"/>
          <w:b/>
          <w:bCs/>
          <w:lang w:val="en-US"/>
        </w:rPr>
      </w:pPr>
      <w:r w:rsidRPr="000F239A">
        <w:rPr>
          <w:rFonts w:ascii="Times New Roman" w:hAnsi="Times New Roman" w:cs="Times New Roman"/>
          <w:b/>
          <w:bCs/>
          <w:lang w:val="en-US"/>
        </w:rPr>
        <w:t xml:space="preserve">Study Design and </w:t>
      </w:r>
      <w:r w:rsidR="003C61B6">
        <w:rPr>
          <w:rFonts w:ascii="Times New Roman" w:hAnsi="Times New Roman" w:cs="Times New Roman"/>
          <w:b/>
          <w:bCs/>
          <w:lang w:val="en-US"/>
        </w:rPr>
        <w:t>Data Source</w:t>
      </w:r>
    </w:p>
    <w:p w14:paraId="4ED020C1" w14:textId="77777777" w:rsidR="009D51EA" w:rsidRDefault="003C61B6" w:rsidP="00E544FE">
      <w:pPr>
        <w:spacing w:line="240" w:lineRule="auto"/>
        <w:rPr>
          <w:rFonts w:ascii="Times New Roman" w:hAnsi="Times New Roman" w:cs="Times New Roman"/>
          <w:lang w:val="en-US"/>
        </w:rPr>
      </w:pPr>
      <w:r>
        <w:rPr>
          <w:rFonts w:ascii="Times New Roman" w:hAnsi="Times New Roman" w:cs="Times New Roman"/>
          <w:lang w:val="en-US"/>
        </w:rPr>
        <w:t>This study is a secondary analysis of cross-sectional survey data originally collected by the National Primary Health Care Development Agency (NPHCDA) in collaboration with the State Ministry of Health (MoH)</w:t>
      </w:r>
      <w:r w:rsidR="00BA5D68">
        <w:rPr>
          <w:rFonts w:ascii="Times New Roman" w:hAnsi="Times New Roman" w:cs="Times New Roman"/>
          <w:lang w:val="en-US"/>
        </w:rPr>
        <w:t>, and Expanded Special Project for Elimination of Neglected Tropical Diseases (ESPEN) between June, 2020 to May, 2025. The original survey was conducted across 10 communities with Kura Local Government Area of Kano State, Nigeria, specifically targeting populations living in onchocerciasis-endemic riverine areas.</w:t>
      </w:r>
    </w:p>
    <w:p w14:paraId="020A28F0" w14:textId="6AA8E76B" w:rsidR="00046992" w:rsidRPr="00046992" w:rsidRDefault="009D51EA" w:rsidP="00E544FE">
      <w:pPr>
        <w:spacing w:line="240" w:lineRule="auto"/>
        <w:rPr>
          <w:rFonts w:ascii="Times New Roman" w:hAnsi="Times New Roman" w:cs="Times New Roman"/>
          <w:lang w:val="en-US"/>
        </w:rPr>
      </w:pPr>
      <w:r>
        <w:rPr>
          <w:rFonts w:ascii="Times New Roman" w:hAnsi="Times New Roman" w:cs="Times New Roman"/>
          <w:lang w:val="en-US"/>
        </w:rPr>
        <w:t xml:space="preserve">The original data collection employed a </w:t>
      </w:r>
      <w:r w:rsidRPr="009D51EA">
        <w:rPr>
          <w:rFonts w:ascii="Times New Roman" w:hAnsi="Times New Roman" w:cs="Times New Roman"/>
          <w:b/>
          <w:bCs/>
          <w:lang w:val="en-US"/>
        </w:rPr>
        <w:t>two-stage cluster sampling design</w:t>
      </w:r>
      <w:r>
        <w:rPr>
          <w:rFonts w:ascii="Times New Roman" w:hAnsi="Times New Roman" w:cs="Times New Roman"/>
          <w:lang w:val="en-US"/>
        </w:rPr>
        <w:t>. In the first stage, communities were selected using probability proportional to population size. In the second stage, households within each community were randomly selected, and all eligible individuals aged</w:t>
      </w:r>
      <w:r w:rsidR="00BA5D68">
        <w:rPr>
          <w:rFonts w:ascii="Times New Roman" w:hAnsi="Times New Roman" w:cs="Times New Roman"/>
          <w:lang w:val="en-US"/>
        </w:rPr>
        <w:t xml:space="preserve"> </w:t>
      </w:r>
      <w:bookmarkStart w:id="0" w:name="_Hlk232705034"/>
      <w:r w:rsidRPr="00FD27D0">
        <w:rPr>
          <w:rFonts w:ascii="Times New Roman" w:hAnsi="Times New Roman" w:cs="Times New Roman"/>
          <w:lang w:val="en-US"/>
        </w:rPr>
        <w:t>≥</w:t>
      </w:r>
      <w:r w:rsidR="00FD27D0">
        <w:rPr>
          <w:rFonts w:ascii="Times New Roman" w:hAnsi="Times New Roman" w:cs="Times New Roman"/>
          <w:lang w:val="en-US"/>
        </w:rPr>
        <w:t xml:space="preserve"> </w:t>
      </w:r>
      <w:r w:rsidRPr="00FD27D0">
        <w:rPr>
          <w:rFonts w:ascii="Times New Roman" w:hAnsi="Times New Roman" w:cs="Times New Roman"/>
          <w:lang w:val="en-US"/>
        </w:rPr>
        <w:t>5</w:t>
      </w:r>
      <w:r w:rsidRPr="009D51EA">
        <w:rPr>
          <w:rFonts w:ascii="Times New Roman" w:hAnsi="Times New Roman" w:cs="Times New Roman"/>
          <w:lang w:val="en-US"/>
        </w:rPr>
        <w:t xml:space="preserve"> years</w:t>
      </w:r>
      <w:r>
        <w:rPr>
          <w:rFonts w:ascii="Times New Roman" w:hAnsi="Times New Roman" w:cs="Times New Roman"/>
          <w:lang w:val="en-US"/>
        </w:rPr>
        <w:t xml:space="preserve"> </w:t>
      </w:r>
      <w:bookmarkEnd w:id="0"/>
      <w:r>
        <w:rPr>
          <w:rFonts w:ascii="Times New Roman" w:hAnsi="Times New Roman" w:cs="Times New Roman"/>
          <w:lang w:val="en-US"/>
        </w:rPr>
        <w:t xml:space="preserve">were invited to participate. The dataset was retrieved from the State NTD repository in June 18, 2026 after obtaining formal written permission from the </w:t>
      </w:r>
      <w:r w:rsidR="00FD27D0">
        <w:rPr>
          <w:rFonts w:ascii="Times New Roman" w:hAnsi="Times New Roman" w:cs="Times New Roman"/>
          <w:lang w:val="en-US"/>
        </w:rPr>
        <w:t>Executive Secretary, Primary Health Care Development Agency.</w:t>
      </w:r>
    </w:p>
    <w:p w14:paraId="7E5836EF" w14:textId="4DCB4B55" w:rsidR="00653BC9" w:rsidRPr="000F239A" w:rsidRDefault="00653BC9" w:rsidP="00191D6B">
      <w:pPr>
        <w:spacing w:line="240" w:lineRule="auto"/>
        <w:rPr>
          <w:rFonts w:ascii="Times New Roman" w:hAnsi="Times New Roman" w:cs="Times New Roman"/>
          <w:b/>
          <w:bCs/>
          <w:lang w:val="en-US"/>
        </w:rPr>
      </w:pPr>
      <w:bookmarkStart w:id="1" w:name="_Hlk232704628"/>
      <w:r w:rsidRPr="000F239A">
        <w:rPr>
          <w:rFonts w:ascii="Times New Roman" w:hAnsi="Times New Roman" w:cs="Times New Roman"/>
          <w:b/>
          <w:bCs/>
          <w:lang w:val="en-US"/>
        </w:rPr>
        <w:t>Study population</w:t>
      </w:r>
      <w:r w:rsidR="00FD27D0">
        <w:rPr>
          <w:rFonts w:ascii="Times New Roman" w:hAnsi="Times New Roman" w:cs="Times New Roman"/>
          <w:b/>
          <w:bCs/>
          <w:lang w:val="en-US"/>
        </w:rPr>
        <w:t xml:space="preserve"> and Eligibility</w:t>
      </w:r>
    </w:p>
    <w:p w14:paraId="1D1B3E73" w14:textId="77777777" w:rsidR="002116A4" w:rsidRDefault="00FD27D0" w:rsidP="00FD27D0">
      <w:pPr>
        <w:spacing w:line="240" w:lineRule="auto"/>
        <w:rPr>
          <w:rFonts w:ascii="Times New Roman" w:hAnsi="Times New Roman" w:cs="Times New Roman"/>
          <w:lang w:val="en-US"/>
        </w:rPr>
      </w:pPr>
      <w:r>
        <w:rPr>
          <w:rFonts w:ascii="Times New Roman" w:hAnsi="Times New Roman" w:cs="Times New Roman"/>
          <w:lang w:val="en-US"/>
        </w:rPr>
        <w:t xml:space="preserve">The original survey targeted all residents aged </w:t>
      </w:r>
      <w:bookmarkStart w:id="2" w:name="_Hlk232707232"/>
      <w:r w:rsidRPr="00FD27D0">
        <w:rPr>
          <w:rFonts w:ascii="Times New Roman" w:hAnsi="Times New Roman" w:cs="Times New Roman"/>
          <w:lang w:val="en-US"/>
        </w:rPr>
        <w:t>≥</w:t>
      </w:r>
      <w:bookmarkEnd w:id="2"/>
      <w:r>
        <w:rPr>
          <w:rFonts w:ascii="Times New Roman" w:hAnsi="Times New Roman" w:cs="Times New Roman"/>
          <w:lang w:val="en-US"/>
        </w:rPr>
        <w:t xml:space="preserve"> </w:t>
      </w:r>
      <w:r w:rsidRPr="00FD27D0">
        <w:rPr>
          <w:rFonts w:ascii="Times New Roman" w:hAnsi="Times New Roman" w:cs="Times New Roman"/>
          <w:lang w:val="en-US"/>
        </w:rPr>
        <w:t>5 years</w:t>
      </w:r>
      <w:r w:rsidR="002116A4">
        <w:rPr>
          <w:rFonts w:ascii="Times New Roman" w:hAnsi="Times New Roman" w:cs="Times New Roman"/>
          <w:lang w:val="en-US"/>
        </w:rPr>
        <w:t xml:space="preserve"> who had resided in the study communities for at least 12 months. For this secondary analysis, the study included all records with complete parasitological data (skin snip results) and demographic information. Records were excluded if they belonged to individuals who:</w:t>
      </w:r>
    </w:p>
    <w:p w14:paraId="38E1CD44" w14:textId="38DDA636" w:rsidR="00FD27D0" w:rsidRDefault="002116A4" w:rsidP="002116A4">
      <w:pPr>
        <w:pStyle w:val="ListParagraph"/>
        <w:numPr>
          <w:ilvl w:val="0"/>
          <w:numId w:val="5"/>
        </w:numPr>
        <w:spacing w:line="240" w:lineRule="auto"/>
        <w:rPr>
          <w:rFonts w:ascii="Times New Roman" w:hAnsi="Times New Roman" w:cs="Times New Roman"/>
          <w:lang w:val="en-US"/>
        </w:rPr>
      </w:pPr>
      <w:r>
        <w:rPr>
          <w:rFonts w:ascii="Times New Roman" w:hAnsi="Times New Roman" w:cs="Times New Roman"/>
          <w:lang w:val="en-US"/>
        </w:rPr>
        <w:t>Had received ivermectin within 6 months prior to the survey (as recorded in the dataset),</w:t>
      </w:r>
    </w:p>
    <w:p w14:paraId="308B4362" w14:textId="4401472A" w:rsidR="002116A4" w:rsidRDefault="002116A4" w:rsidP="002116A4">
      <w:pPr>
        <w:pStyle w:val="ListParagraph"/>
        <w:numPr>
          <w:ilvl w:val="0"/>
          <w:numId w:val="5"/>
        </w:numPr>
        <w:spacing w:line="240" w:lineRule="auto"/>
        <w:rPr>
          <w:rFonts w:ascii="Times New Roman" w:hAnsi="Times New Roman" w:cs="Times New Roman"/>
          <w:lang w:val="en-US"/>
        </w:rPr>
      </w:pPr>
      <w:r>
        <w:rPr>
          <w:rFonts w:ascii="Times New Roman" w:hAnsi="Times New Roman" w:cs="Times New Roman"/>
          <w:lang w:val="en-US"/>
        </w:rPr>
        <w:t>Had missing data on age or sex, or</w:t>
      </w:r>
    </w:p>
    <w:p w14:paraId="1750A7DF" w14:textId="657E6547" w:rsidR="002116A4" w:rsidRDefault="002116A4" w:rsidP="002116A4">
      <w:pPr>
        <w:pStyle w:val="ListParagraph"/>
        <w:numPr>
          <w:ilvl w:val="0"/>
          <w:numId w:val="5"/>
        </w:numPr>
        <w:spacing w:line="240" w:lineRule="auto"/>
        <w:rPr>
          <w:rFonts w:ascii="Times New Roman" w:hAnsi="Times New Roman" w:cs="Times New Roman"/>
          <w:lang w:val="en-US"/>
        </w:rPr>
      </w:pPr>
      <w:r>
        <w:rPr>
          <w:rFonts w:ascii="Times New Roman" w:hAnsi="Times New Roman" w:cs="Times New Roman"/>
          <w:lang w:val="en-US"/>
        </w:rPr>
        <w:t>Had inconclusive skin snip microscopy results.</w:t>
      </w:r>
    </w:p>
    <w:p w14:paraId="4FFD757D" w14:textId="5EE9DB78" w:rsidR="002116A4" w:rsidRPr="002116A4" w:rsidRDefault="002116A4" w:rsidP="002116A4">
      <w:pPr>
        <w:spacing w:line="240" w:lineRule="auto"/>
        <w:rPr>
          <w:rFonts w:ascii="Times New Roman" w:hAnsi="Times New Roman" w:cs="Times New Roman"/>
          <w:b/>
          <w:bCs/>
          <w:lang w:val="en-US"/>
        </w:rPr>
      </w:pPr>
      <w:r w:rsidRPr="002116A4">
        <w:rPr>
          <w:rFonts w:ascii="Times New Roman" w:hAnsi="Times New Roman" w:cs="Times New Roman"/>
          <w:b/>
          <w:bCs/>
          <w:lang w:val="en-US"/>
        </w:rPr>
        <w:t>Variables Extracted and Defined</w:t>
      </w:r>
    </w:p>
    <w:p w14:paraId="1C710E85" w14:textId="73E165A4" w:rsidR="002116A4" w:rsidRDefault="002116A4" w:rsidP="002116A4">
      <w:pPr>
        <w:spacing w:line="240" w:lineRule="auto"/>
        <w:rPr>
          <w:rFonts w:ascii="Times New Roman" w:hAnsi="Times New Roman" w:cs="Times New Roman"/>
          <w:lang w:val="en-US"/>
        </w:rPr>
      </w:pPr>
      <w:r>
        <w:rPr>
          <w:rFonts w:ascii="Times New Roman" w:hAnsi="Times New Roman" w:cs="Times New Roman"/>
          <w:lang w:val="en-US"/>
        </w:rPr>
        <w:t>The study extracted the following variables from the government dataset for the analysis:</w:t>
      </w:r>
    </w:p>
    <w:p w14:paraId="48032756" w14:textId="0FD17EE5" w:rsidR="002116A4" w:rsidRDefault="00BA7AC4" w:rsidP="002116A4">
      <w:pPr>
        <w:pStyle w:val="ListParagraph"/>
        <w:numPr>
          <w:ilvl w:val="0"/>
          <w:numId w:val="6"/>
        </w:numPr>
        <w:spacing w:line="240" w:lineRule="auto"/>
        <w:rPr>
          <w:rFonts w:ascii="Times New Roman" w:hAnsi="Times New Roman" w:cs="Times New Roman"/>
          <w:lang w:val="en-US"/>
        </w:rPr>
      </w:pPr>
      <w:r w:rsidRPr="00A9144E">
        <w:rPr>
          <w:rFonts w:ascii="Times New Roman" w:hAnsi="Times New Roman" w:cs="Times New Roman"/>
          <w:b/>
          <w:bCs/>
          <w:lang w:val="en-US"/>
        </w:rPr>
        <w:t>Primary outcome:</w:t>
      </w:r>
      <w:r>
        <w:rPr>
          <w:rFonts w:ascii="Times New Roman" w:hAnsi="Times New Roman" w:cs="Times New Roman"/>
          <w:lang w:val="en-US"/>
        </w:rPr>
        <w:t xml:space="preserve"> </w:t>
      </w:r>
      <w:r w:rsidR="00A9144E" w:rsidRPr="00A9144E">
        <w:rPr>
          <w:rFonts w:ascii="Times New Roman" w:hAnsi="Times New Roman" w:cs="Times New Roman"/>
          <w:i/>
          <w:iCs/>
          <w:lang w:val="en-US"/>
        </w:rPr>
        <w:t>Onchocerciasis volvulus</w:t>
      </w:r>
      <w:r w:rsidR="00A9144E">
        <w:rPr>
          <w:rFonts w:ascii="Times New Roman" w:hAnsi="Times New Roman" w:cs="Times New Roman"/>
          <w:lang w:val="en-US"/>
        </w:rPr>
        <w:t xml:space="preserve"> infection status, defined as the presence of at least one </w:t>
      </w:r>
      <w:r w:rsidR="00B30EE0">
        <w:rPr>
          <w:rFonts w:ascii="Times New Roman" w:hAnsi="Times New Roman" w:cs="Times New Roman"/>
          <w:lang w:val="en-US"/>
        </w:rPr>
        <w:t>microfilaria</w:t>
      </w:r>
      <w:r w:rsidR="00A9144E">
        <w:rPr>
          <w:rFonts w:ascii="Times New Roman" w:hAnsi="Times New Roman" w:cs="Times New Roman"/>
          <w:lang w:val="en-US"/>
        </w:rPr>
        <w:t xml:space="preserve"> (Mf) on either of two skin snips (from the right and left iliac crests). </w:t>
      </w:r>
      <w:r w:rsidR="00B30EE0">
        <w:rPr>
          <w:rFonts w:ascii="Times New Roman" w:hAnsi="Times New Roman" w:cs="Times New Roman"/>
          <w:lang w:val="en-US"/>
        </w:rPr>
        <w:t>Infection intensity was measured as arithmetic mean Mf count per skin snip among positive individuals.</w:t>
      </w:r>
    </w:p>
    <w:p w14:paraId="0BE4E45A" w14:textId="32334441" w:rsidR="00B30EE0" w:rsidRDefault="00B30EE0" w:rsidP="002116A4">
      <w:pPr>
        <w:pStyle w:val="ListParagraph"/>
        <w:numPr>
          <w:ilvl w:val="0"/>
          <w:numId w:val="6"/>
        </w:numPr>
        <w:spacing w:line="240" w:lineRule="auto"/>
        <w:rPr>
          <w:rFonts w:ascii="Times New Roman" w:hAnsi="Times New Roman" w:cs="Times New Roman"/>
          <w:lang w:val="en-US"/>
        </w:rPr>
      </w:pPr>
      <w:r>
        <w:rPr>
          <w:rFonts w:ascii="Times New Roman" w:hAnsi="Times New Roman" w:cs="Times New Roman"/>
          <w:b/>
          <w:bCs/>
          <w:lang w:val="en-US"/>
        </w:rPr>
        <w:t xml:space="preserve">Independent variables: </w:t>
      </w:r>
      <w:r>
        <w:rPr>
          <w:rFonts w:ascii="Times New Roman" w:hAnsi="Times New Roman" w:cs="Times New Roman"/>
          <w:lang w:val="en-US"/>
        </w:rPr>
        <w:t xml:space="preserve">Age (recorded in years and categorized into 5-14, 15-29, 30-44, 45-59, and </w:t>
      </w:r>
      <w:r w:rsidRPr="00B30EE0">
        <w:rPr>
          <w:rFonts w:ascii="Times New Roman" w:hAnsi="Times New Roman" w:cs="Times New Roman"/>
          <w:lang w:val="en-US"/>
        </w:rPr>
        <w:t>≥</w:t>
      </w:r>
      <w:r>
        <w:rPr>
          <w:rFonts w:ascii="Times New Roman" w:hAnsi="Times New Roman" w:cs="Times New Roman"/>
          <w:lang w:val="en-US"/>
        </w:rPr>
        <w:t xml:space="preserve"> 60), sex (male/female), duration of residence (&lt; 10 years versus </w:t>
      </w:r>
      <w:r w:rsidRPr="00B30EE0">
        <w:rPr>
          <w:rFonts w:ascii="Times New Roman" w:hAnsi="Times New Roman" w:cs="Times New Roman"/>
          <w:lang w:val="en-US"/>
        </w:rPr>
        <w:t>≥</w:t>
      </w:r>
      <w:r>
        <w:rPr>
          <w:rFonts w:ascii="Times New Roman" w:hAnsi="Times New Roman" w:cs="Times New Roman"/>
          <w:lang w:val="en-US"/>
        </w:rPr>
        <w:t xml:space="preserve"> 10 years), and self-reported ivermectin intake in the preceding 12 months (yes/no).</w:t>
      </w:r>
    </w:p>
    <w:p w14:paraId="4865DE86" w14:textId="5A7A475C" w:rsidR="00B30EE0" w:rsidRDefault="00B30EE0" w:rsidP="00B30EE0">
      <w:pPr>
        <w:pStyle w:val="ListParagraph"/>
        <w:numPr>
          <w:ilvl w:val="0"/>
          <w:numId w:val="6"/>
        </w:numPr>
        <w:spacing w:line="240" w:lineRule="auto"/>
        <w:rPr>
          <w:rFonts w:ascii="Times New Roman" w:hAnsi="Times New Roman" w:cs="Times New Roman"/>
          <w:lang w:val="en-US"/>
        </w:rPr>
      </w:pPr>
      <w:r w:rsidRPr="00B30EE0">
        <w:rPr>
          <w:rFonts w:ascii="Times New Roman" w:hAnsi="Times New Roman" w:cs="Times New Roman"/>
          <w:b/>
          <w:bCs/>
          <w:lang w:val="en-US"/>
        </w:rPr>
        <w:t>Clinical Variables:</w:t>
      </w:r>
      <w:r w:rsidRPr="00B30EE0">
        <w:rPr>
          <w:rFonts w:ascii="Times New Roman" w:hAnsi="Times New Roman" w:cs="Times New Roman"/>
          <w:lang w:val="en-US"/>
        </w:rPr>
        <w:t xml:space="preserve"> </w:t>
      </w:r>
      <w:r>
        <w:rPr>
          <w:rFonts w:ascii="Times New Roman" w:hAnsi="Times New Roman" w:cs="Times New Roman"/>
          <w:lang w:val="en-US"/>
        </w:rPr>
        <w:t>Presence</w:t>
      </w:r>
      <w:r w:rsidR="003256C9">
        <w:rPr>
          <w:rFonts w:ascii="Times New Roman" w:hAnsi="Times New Roman" w:cs="Times New Roman"/>
          <w:lang w:val="en-US"/>
        </w:rPr>
        <w:t xml:space="preserve"> of onchocercal nodules, leopard skin, lizard skin, hanging groin, and chronic pruritus, as recorded by the original survey clinicians.</w:t>
      </w:r>
    </w:p>
    <w:p w14:paraId="31B79E3C" w14:textId="634DA213" w:rsidR="003256C9" w:rsidRPr="00834FA9" w:rsidRDefault="003256C9" w:rsidP="003256C9">
      <w:pPr>
        <w:spacing w:line="240" w:lineRule="auto"/>
        <w:rPr>
          <w:rFonts w:ascii="Times New Roman" w:hAnsi="Times New Roman" w:cs="Times New Roman"/>
          <w:b/>
          <w:bCs/>
          <w:lang w:val="en-US"/>
        </w:rPr>
      </w:pPr>
      <w:r w:rsidRPr="00834FA9">
        <w:rPr>
          <w:rFonts w:ascii="Times New Roman" w:hAnsi="Times New Roman" w:cs="Times New Roman"/>
          <w:b/>
          <w:bCs/>
          <w:lang w:val="en-US"/>
        </w:rPr>
        <w:t>Data Management</w:t>
      </w:r>
    </w:p>
    <w:p w14:paraId="6D2D0BCB" w14:textId="7327BB31" w:rsidR="003256C9" w:rsidRDefault="003256C9" w:rsidP="003256C9">
      <w:pPr>
        <w:spacing w:line="240" w:lineRule="auto"/>
        <w:rPr>
          <w:rFonts w:ascii="Times New Roman" w:hAnsi="Times New Roman" w:cs="Times New Roman"/>
          <w:lang w:val="en-US"/>
        </w:rPr>
      </w:pPr>
      <w:r>
        <w:rPr>
          <w:rFonts w:ascii="Times New Roman" w:hAnsi="Times New Roman" w:cs="Times New Roman"/>
          <w:lang w:val="en-US"/>
        </w:rPr>
        <w:t>The dataset was received in Microsoft Excel format with 520 individual records. I performed data cleaning using IBM SPSS Statistics version 25.0. I checked for duplicate entries</w:t>
      </w:r>
      <w:r w:rsidR="00834FA9">
        <w:rPr>
          <w:rFonts w:ascii="Times New Roman" w:hAnsi="Times New Roman" w:cs="Times New Roman"/>
          <w:lang w:val="en-US"/>
        </w:rPr>
        <w:t>, missing values, and out-of-range values (for example, Mf counts of &gt;500 were verified against the original laboratory sheets). Records with critical missing data (age or sex) were excluded. The final dataset used for this analysis comprised 400 participants.</w:t>
      </w:r>
    </w:p>
    <w:p w14:paraId="38FB978B" w14:textId="6E9EAE74" w:rsidR="00834FA9" w:rsidRPr="00834FA9" w:rsidRDefault="00834FA9" w:rsidP="003256C9">
      <w:pPr>
        <w:spacing w:line="240" w:lineRule="auto"/>
        <w:rPr>
          <w:rFonts w:ascii="Times New Roman" w:hAnsi="Times New Roman" w:cs="Times New Roman"/>
          <w:b/>
          <w:bCs/>
          <w:lang w:val="en-US"/>
        </w:rPr>
      </w:pPr>
      <w:r w:rsidRPr="00834FA9">
        <w:rPr>
          <w:rFonts w:ascii="Times New Roman" w:hAnsi="Times New Roman" w:cs="Times New Roman"/>
          <w:b/>
          <w:bCs/>
          <w:lang w:val="en-US"/>
        </w:rPr>
        <w:t>Statistical Analysis</w:t>
      </w:r>
    </w:p>
    <w:p w14:paraId="1463DE32" w14:textId="77777777" w:rsidR="009431AE" w:rsidRDefault="00834FA9" w:rsidP="003256C9">
      <w:pPr>
        <w:spacing w:line="240" w:lineRule="auto"/>
        <w:rPr>
          <w:rFonts w:ascii="Times New Roman" w:hAnsi="Times New Roman" w:cs="Times New Roman"/>
          <w:lang w:val="en-US"/>
        </w:rPr>
      </w:pPr>
      <w:r>
        <w:rPr>
          <w:rFonts w:ascii="Times New Roman" w:hAnsi="Times New Roman" w:cs="Times New Roman"/>
          <w:lang w:val="en-US"/>
        </w:rPr>
        <w:t>Descriptive statistics were used to summarise participants’ characteristics. Categorical va</w:t>
      </w:r>
      <w:r w:rsidR="009431AE">
        <w:rPr>
          <w:rFonts w:ascii="Times New Roman" w:hAnsi="Times New Roman" w:cs="Times New Roman"/>
          <w:lang w:val="en-US"/>
        </w:rPr>
        <w:t>riables were presented as frequencies and percentages. Continuous variables (for example, age, Mf counts) were assessed for normality using the Shapiro-Wilk test; Mf counts were normally distributed and were summarized as geometric mean intensity (GMI) with ranges.</w:t>
      </w:r>
    </w:p>
    <w:p w14:paraId="2E741ACD" w14:textId="77777777" w:rsidR="00C72FCC" w:rsidRDefault="009431AE" w:rsidP="003256C9">
      <w:pPr>
        <w:spacing w:line="240" w:lineRule="auto"/>
        <w:rPr>
          <w:rFonts w:ascii="Times New Roman" w:hAnsi="Times New Roman" w:cs="Times New Roman"/>
          <w:lang w:val="en-US"/>
        </w:rPr>
      </w:pPr>
      <w:r>
        <w:rPr>
          <w:rFonts w:ascii="Times New Roman" w:hAnsi="Times New Roman" w:cs="Times New Roman"/>
          <w:lang w:val="en-US"/>
        </w:rPr>
        <w:t>The primary outcome of prevalence of onchocerciasis was calculated as the number of Mf-positive individuals divided by the</w:t>
      </w:r>
      <w:r w:rsidR="00C72FCC">
        <w:rPr>
          <w:rFonts w:ascii="Times New Roman" w:hAnsi="Times New Roman" w:cs="Times New Roman"/>
          <w:lang w:val="en-US"/>
        </w:rPr>
        <w:t xml:space="preserve"> total number of participants with valid skin snip results, with 95% confidence intervals (Cl) computed using the Wilson score method.</w:t>
      </w:r>
    </w:p>
    <w:p w14:paraId="726C2794" w14:textId="6894B4A1" w:rsidR="00C72FCC" w:rsidRDefault="00C72FCC" w:rsidP="00C72FCC">
      <w:pPr>
        <w:spacing w:line="240" w:lineRule="auto"/>
        <w:rPr>
          <w:rFonts w:ascii="Times New Roman" w:hAnsi="Times New Roman" w:cs="Times New Roman"/>
          <w:lang w:val="en-US"/>
        </w:rPr>
      </w:pPr>
      <w:r w:rsidRPr="00C72FCC">
        <w:rPr>
          <w:rFonts w:ascii="Times New Roman" w:hAnsi="Times New Roman" w:cs="Times New Roman"/>
          <w:lang w:val="en-US"/>
        </w:rPr>
        <w:t xml:space="preserve">For inferential </w:t>
      </w:r>
      <w:r>
        <w:rPr>
          <w:rFonts w:ascii="Times New Roman" w:hAnsi="Times New Roman" w:cs="Times New Roman"/>
          <w:lang w:val="en-US"/>
        </w:rPr>
        <w:t>analysis</w:t>
      </w:r>
      <w:r w:rsidRPr="00C72FCC">
        <w:rPr>
          <w:rFonts w:ascii="Times New Roman" w:hAnsi="Times New Roman" w:cs="Times New Roman"/>
          <w:lang w:val="en-US"/>
        </w:rPr>
        <w:t>, the Chi-square test was used to compare prevalence across categorical groups (for example, sex, age categories, ivermectin intake history). The independent t-test or Mann -Whitney U test was used to compare mean of Mf counts between two groups</w:t>
      </w:r>
      <w:r>
        <w:rPr>
          <w:rFonts w:ascii="Times New Roman" w:hAnsi="Times New Roman" w:cs="Times New Roman"/>
          <w:lang w:val="en-US"/>
        </w:rPr>
        <w:t xml:space="preserve"> (for example, males versus females)</w:t>
      </w:r>
      <w:r w:rsidR="005522B2">
        <w:rPr>
          <w:rFonts w:ascii="Times New Roman" w:hAnsi="Times New Roman" w:cs="Times New Roman"/>
          <w:lang w:val="en-US"/>
        </w:rPr>
        <w:t xml:space="preserve">, and </w:t>
      </w:r>
      <w:r w:rsidR="00BF7E1D">
        <w:rPr>
          <w:rFonts w:ascii="Times New Roman" w:hAnsi="Times New Roman" w:cs="Times New Roman"/>
          <w:lang w:val="en-US"/>
        </w:rPr>
        <w:t>the Kruskal-</w:t>
      </w:r>
      <w:r w:rsidR="00701CCC">
        <w:rPr>
          <w:rFonts w:ascii="Times New Roman" w:hAnsi="Times New Roman" w:cs="Times New Roman"/>
          <w:lang w:val="en-US"/>
        </w:rPr>
        <w:t>Walli’s</w:t>
      </w:r>
      <w:r w:rsidR="00BF7E1D">
        <w:rPr>
          <w:rFonts w:ascii="Times New Roman" w:hAnsi="Times New Roman" w:cs="Times New Roman"/>
          <w:lang w:val="en-US"/>
        </w:rPr>
        <w:t xml:space="preserve"> test was used fir comparisons across more than two groups (for example, age categories)</w:t>
      </w:r>
      <w:r w:rsidRPr="00C72FCC">
        <w:rPr>
          <w:rFonts w:ascii="Times New Roman" w:hAnsi="Times New Roman" w:cs="Times New Roman"/>
          <w:lang w:val="en-US"/>
        </w:rPr>
        <w:t>. A two-sided p-value &lt; 0.05 was considered statistically significant.</w:t>
      </w:r>
    </w:p>
    <w:p w14:paraId="33B21A14" w14:textId="755E5CD7" w:rsidR="00BF7E1D" w:rsidRDefault="00BF7E1D" w:rsidP="00C72FCC">
      <w:pPr>
        <w:spacing w:line="240" w:lineRule="auto"/>
        <w:rPr>
          <w:rFonts w:ascii="Times New Roman" w:hAnsi="Times New Roman" w:cs="Times New Roman"/>
          <w:lang w:val="en-US"/>
        </w:rPr>
      </w:pPr>
      <w:r>
        <w:rPr>
          <w:rFonts w:ascii="Times New Roman" w:hAnsi="Times New Roman" w:cs="Times New Roman"/>
          <w:lang w:val="en-US"/>
        </w:rPr>
        <w:lastRenderedPageBreak/>
        <w:t>All analyses were performed using IBM SPSS Statistics version 25.0 (IBM Corp., Armonk, NY, USA). Sampling weights, if provided by the original survey, were applied to account for the complex survey design.</w:t>
      </w:r>
    </w:p>
    <w:p w14:paraId="25D55CA7" w14:textId="1608660C" w:rsidR="00BF7E1D" w:rsidRPr="00B103FC" w:rsidRDefault="00BF7E1D" w:rsidP="00C72FCC">
      <w:pPr>
        <w:spacing w:line="240" w:lineRule="auto"/>
        <w:rPr>
          <w:rFonts w:ascii="Times New Roman" w:hAnsi="Times New Roman" w:cs="Times New Roman"/>
          <w:b/>
          <w:bCs/>
          <w:lang w:val="en-US"/>
        </w:rPr>
      </w:pPr>
      <w:r w:rsidRPr="00B103FC">
        <w:rPr>
          <w:rFonts w:ascii="Times New Roman" w:hAnsi="Times New Roman" w:cs="Times New Roman"/>
          <w:b/>
          <w:bCs/>
          <w:lang w:val="en-US"/>
        </w:rPr>
        <w:t>Ethical Considerations</w:t>
      </w:r>
    </w:p>
    <w:p w14:paraId="30FA535D" w14:textId="489E3607" w:rsidR="00BF7E1D" w:rsidRDefault="00BF7E1D" w:rsidP="00C72FCC">
      <w:pPr>
        <w:spacing w:line="240" w:lineRule="auto"/>
        <w:rPr>
          <w:rFonts w:ascii="Times New Roman" w:hAnsi="Times New Roman" w:cs="Times New Roman"/>
          <w:lang w:val="en-US"/>
        </w:rPr>
      </w:pPr>
      <w:r>
        <w:rPr>
          <w:rFonts w:ascii="Times New Roman" w:hAnsi="Times New Roman" w:cs="Times New Roman"/>
          <w:lang w:val="en-US"/>
        </w:rPr>
        <w:t xml:space="preserve">The original survey received ethical approval from the Kano State Health Research Ethics </w:t>
      </w:r>
      <w:r w:rsidR="0059310A">
        <w:rPr>
          <w:rFonts w:ascii="Times New Roman" w:hAnsi="Times New Roman" w:cs="Times New Roman"/>
          <w:lang w:val="en-US"/>
        </w:rPr>
        <w:t>Committee approval number…. And the Nigerian National Health Research Ethics Committee approval number….</w:t>
      </w:r>
    </w:p>
    <w:p w14:paraId="674E0FA0" w14:textId="77777777" w:rsidR="00CA717B" w:rsidRDefault="0059310A" w:rsidP="00C72FCC">
      <w:pPr>
        <w:spacing w:line="240" w:lineRule="auto"/>
        <w:rPr>
          <w:rFonts w:ascii="Times New Roman" w:hAnsi="Times New Roman" w:cs="Times New Roman"/>
          <w:lang w:val="en-US"/>
        </w:rPr>
      </w:pPr>
      <w:r>
        <w:rPr>
          <w:rFonts w:ascii="Times New Roman" w:hAnsi="Times New Roman" w:cs="Times New Roman"/>
          <w:lang w:val="en-US"/>
        </w:rPr>
        <w:t xml:space="preserve">For this secondary analysis, I obtained a formal data access agreement from the </w:t>
      </w:r>
      <w:r w:rsidR="00CA717B">
        <w:rPr>
          <w:rFonts w:ascii="Times New Roman" w:hAnsi="Times New Roman" w:cs="Times New Roman"/>
          <w:lang w:val="en-US"/>
        </w:rPr>
        <w:t>State Primary Health Care Development Agency. The dataset was fully anonymized prior to my receipt, with no personal identifiers (names, exact household addresses) included. In compliance with data protection guidelines, all data were stored on a password-protected computer accessible only to the researcher.</w:t>
      </w:r>
    </w:p>
    <w:p w14:paraId="5B87C445" w14:textId="77777777" w:rsidR="00CA717B" w:rsidRPr="00CC631F" w:rsidRDefault="00CA717B" w:rsidP="00C72FCC">
      <w:pPr>
        <w:spacing w:line="240" w:lineRule="auto"/>
        <w:rPr>
          <w:rFonts w:ascii="Times New Roman" w:hAnsi="Times New Roman" w:cs="Times New Roman"/>
          <w:b/>
          <w:bCs/>
          <w:lang w:val="en-US"/>
        </w:rPr>
      </w:pPr>
      <w:r w:rsidRPr="00CC631F">
        <w:rPr>
          <w:rFonts w:ascii="Times New Roman" w:hAnsi="Times New Roman" w:cs="Times New Roman"/>
          <w:b/>
          <w:bCs/>
          <w:lang w:val="en-US"/>
        </w:rPr>
        <w:t>Data Availability Statement</w:t>
      </w:r>
    </w:p>
    <w:p w14:paraId="197ACABF" w14:textId="08EAE046" w:rsidR="00B103FC" w:rsidRDefault="00B103FC" w:rsidP="00C72FCC">
      <w:pPr>
        <w:spacing w:line="240" w:lineRule="auto"/>
        <w:rPr>
          <w:rFonts w:ascii="Times New Roman" w:hAnsi="Times New Roman" w:cs="Times New Roman"/>
          <w:lang w:val="en-US"/>
        </w:rPr>
      </w:pPr>
      <w:r>
        <w:rPr>
          <w:rFonts w:ascii="Times New Roman" w:hAnsi="Times New Roman" w:cs="Times New Roman"/>
          <w:lang w:val="en-US"/>
        </w:rPr>
        <w:t xml:space="preserve">The data that support the findings of this study were provided by the State Primary Health Care Development Agency (SPHCDA) and are publicly available. Request for data access should be directed to the Executive Secretary subject to the agency’s standard data-sharing protocols. </w:t>
      </w:r>
    </w:p>
    <w:p w14:paraId="23B3D805" w14:textId="5C3123C4" w:rsidR="00FD27D0" w:rsidRPr="00FD27D0" w:rsidRDefault="00FD27D0" w:rsidP="004410FA">
      <w:pPr>
        <w:spacing w:line="240" w:lineRule="auto"/>
        <w:rPr>
          <w:rFonts w:ascii="Times New Roman" w:hAnsi="Times New Roman" w:cs="Times New Roman"/>
          <w:lang w:val="en-US"/>
        </w:rPr>
      </w:pPr>
    </w:p>
    <w:bookmarkEnd w:id="1"/>
    <w:p w14:paraId="63018505" w14:textId="57450401" w:rsidR="005B726F" w:rsidRDefault="005B726F" w:rsidP="00E544FE">
      <w:pPr>
        <w:spacing w:line="240" w:lineRule="auto"/>
        <w:rPr>
          <w:rFonts w:ascii="Times New Roman" w:hAnsi="Times New Roman" w:cs="Times New Roman"/>
          <w:b/>
          <w:bCs/>
          <w:sz w:val="28"/>
          <w:szCs w:val="28"/>
          <w:lang w:val="en-US"/>
        </w:rPr>
      </w:pPr>
      <w:r w:rsidRPr="005B726F">
        <w:rPr>
          <w:rFonts w:ascii="Times New Roman" w:hAnsi="Times New Roman" w:cs="Times New Roman"/>
          <w:b/>
          <w:bCs/>
          <w:sz w:val="28"/>
          <w:szCs w:val="28"/>
          <w:lang w:val="en-US"/>
        </w:rPr>
        <w:t>RESULTS</w:t>
      </w:r>
    </w:p>
    <w:p w14:paraId="03EAABCF" w14:textId="1EC357A6" w:rsidR="00CC631F" w:rsidRDefault="00CC631F" w:rsidP="00CC631F">
      <w:pPr>
        <w:spacing w:line="240" w:lineRule="auto"/>
        <w:rPr>
          <w:rFonts w:ascii="Times New Roman" w:eastAsiaTheme="minorEastAsia" w:hAnsi="Times New Roman" w:cs="Times New Roman"/>
          <w:lang w:val="en-US"/>
        </w:rPr>
      </w:pPr>
      <w:r>
        <w:rPr>
          <w:rFonts w:ascii="Times New Roman" w:eastAsiaTheme="minorEastAsia" w:hAnsi="Times New Roman" w:cs="Times New Roman"/>
          <w:lang w:val="en-US"/>
        </w:rPr>
        <w:t xml:space="preserve">A total of 400 individuals were enrolled in the original study, all of whom completed the questionnaire and underwent skin snip examination, giving a response rate of 100%. The mean age of participants was 38.2 </w:t>
      </w:r>
      <w:r w:rsidR="00686E26">
        <w:rPr>
          <w:rFonts w:ascii="Times New Roman" w:eastAsiaTheme="minorEastAsia" w:hAnsi="Times New Roman" w:cs="Times New Roman"/>
          <w:lang w:val="en-US"/>
        </w:rPr>
        <w:t>± 15.4 years (range: 5 – 82 years). The study population comprised of 209 (52.25%) females and 191 (47.75%) males. The majority of the participants, 313 (</w:t>
      </w:r>
      <w:r w:rsidR="00771F13">
        <w:rPr>
          <w:rFonts w:ascii="Times New Roman" w:eastAsiaTheme="minorEastAsia" w:hAnsi="Times New Roman" w:cs="Times New Roman"/>
          <w:lang w:val="en-US"/>
        </w:rPr>
        <w:t>78.25</w:t>
      </w:r>
      <w:r w:rsidR="00686E26">
        <w:rPr>
          <w:rFonts w:ascii="Times New Roman" w:eastAsiaTheme="minorEastAsia" w:hAnsi="Times New Roman" w:cs="Times New Roman"/>
          <w:lang w:val="en-US"/>
        </w:rPr>
        <w:t>)</w:t>
      </w:r>
      <w:r w:rsidR="00771F13">
        <w:rPr>
          <w:rFonts w:ascii="Times New Roman" w:eastAsiaTheme="minorEastAsia" w:hAnsi="Times New Roman" w:cs="Times New Roman"/>
          <w:lang w:val="en-US"/>
        </w:rPr>
        <w:t xml:space="preserve"> were subsistence farmers, while the remainder engaged in fishing, trading, and other domestic work. Over 90% (n = 360) had resided in the community for more than 10 years.</w:t>
      </w:r>
    </w:p>
    <w:p w14:paraId="7837F222" w14:textId="79C14B21" w:rsidR="00771F13" w:rsidRPr="007C5F24" w:rsidRDefault="00771F13" w:rsidP="00CC631F">
      <w:pPr>
        <w:spacing w:line="240" w:lineRule="auto"/>
        <w:rPr>
          <w:rFonts w:ascii="Times New Roman" w:eastAsiaTheme="minorEastAsia" w:hAnsi="Times New Roman" w:cs="Times New Roman"/>
          <w:b/>
          <w:bCs/>
          <w:lang w:val="en-US"/>
        </w:rPr>
      </w:pPr>
      <w:bookmarkStart w:id="3" w:name="_Hlk233131631"/>
      <w:r w:rsidRPr="007C5F24">
        <w:rPr>
          <w:rFonts w:ascii="Times New Roman" w:eastAsiaTheme="minorEastAsia" w:hAnsi="Times New Roman" w:cs="Times New Roman"/>
          <w:b/>
          <w:bCs/>
          <w:lang w:val="en-US"/>
        </w:rPr>
        <w:t>Table 1:</w:t>
      </w:r>
      <w:r w:rsidR="009A6DD8" w:rsidRPr="007C5F24">
        <w:rPr>
          <w:rFonts w:ascii="Times New Roman" w:eastAsiaTheme="minorEastAsia" w:hAnsi="Times New Roman" w:cs="Times New Roman"/>
          <w:b/>
          <w:bCs/>
          <w:lang w:val="en-US"/>
        </w:rPr>
        <w:t xml:space="preserve"> </w:t>
      </w:r>
      <w:r w:rsidRPr="007C5F24">
        <w:rPr>
          <w:rFonts w:ascii="Times New Roman" w:eastAsiaTheme="minorEastAsia" w:hAnsi="Times New Roman" w:cs="Times New Roman"/>
          <w:b/>
          <w:bCs/>
          <w:lang w:val="en-US"/>
        </w:rPr>
        <w:t>Socio-demographic Characteristics of Study Population.</w:t>
      </w:r>
    </w:p>
    <w:tbl>
      <w:tblPr>
        <w:tblStyle w:val="TableGrid"/>
        <w:tblW w:w="0" w:type="auto"/>
        <w:tblLook w:val="04A0" w:firstRow="1" w:lastRow="0" w:firstColumn="1" w:lastColumn="0" w:noHBand="0" w:noVBand="1"/>
      </w:tblPr>
      <w:tblGrid>
        <w:gridCol w:w="2854"/>
        <w:gridCol w:w="2855"/>
        <w:gridCol w:w="2855"/>
        <w:gridCol w:w="2856"/>
      </w:tblGrid>
      <w:tr w:rsidR="00771F13" w:rsidRPr="009A6DD8" w14:paraId="12193B66" w14:textId="77777777" w:rsidTr="009A6DD8">
        <w:tc>
          <w:tcPr>
            <w:tcW w:w="2854" w:type="dxa"/>
          </w:tcPr>
          <w:p w14:paraId="03DF6CDE" w14:textId="29EF4767" w:rsidR="00771F13" w:rsidRPr="009A6DD8" w:rsidRDefault="009A6DD8" w:rsidP="009A6DD8">
            <w:pPr>
              <w:jc w:val="center"/>
              <w:rPr>
                <w:rFonts w:ascii="Times New Roman" w:eastAsiaTheme="minorEastAsia" w:hAnsi="Times New Roman" w:cs="Times New Roman"/>
                <w:b/>
                <w:bCs/>
                <w:lang w:val="en-US"/>
              </w:rPr>
            </w:pPr>
            <w:r w:rsidRPr="009A6DD8">
              <w:rPr>
                <w:rFonts w:ascii="Times New Roman" w:eastAsiaTheme="minorEastAsia" w:hAnsi="Times New Roman" w:cs="Times New Roman"/>
                <w:b/>
                <w:bCs/>
                <w:lang w:val="en-US"/>
              </w:rPr>
              <w:t>Characteristic</w:t>
            </w:r>
          </w:p>
        </w:tc>
        <w:tc>
          <w:tcPr>
            <w:tcW w:w="2855" w:type="dxa"/>
          </w:tcPr>
          <w:p w14:paraId="2D603E2B" w14:textId="6C897D1B" w:rsidR="00771F13" w:rsidRPr="009A6DD8" w:rsidRDefault="009A6DD8" w:rsidP="009A6DD8">
            <w:pPr>
              <w:jc w:val="center"/>
              <w:rPr>
                <w:rFonts w:ascii="Times New Roman" w:eastAsiaTheme="minorEastAsia" w:hAnsi="Times New Roman" w:cs="Times New Roman"/>
                <w:b/>
                <w:bCs/>
                <w:lang w:val="en-US"/>
              </w:rPr>
            </w:pPr>
            <w:r w:rsidRPr="009A6DD8">
              <w:rPr>
                <w:rFonts w:ascii="Times New Roman" w:eastAsiaTheme="minorEastAsia" w:hAnsi="Times New Roman" w:cs="Times New Roman"/>
                <w:b/>
                <w:bCs/>
                <w:lang w:val="en-US"/>
              </w:rPr>
              <w:t>Category</w:t>
            </w:r>
          </w:p>
        </w:tc>
        <w:tc>
          <w:tcPr>
            <w:tcW w:w="2855" w:type="dxa"/>
          </w:tcPr>
          <w:p w14:paraId="603DAFF7" w14:textId="6386D70C" w:rsidR="00771F13" w:rsidRPr="009A6DD8" w:rsidRDefault="009A6DD8" w:rsidP="009A6DD8">
            <w:pPr>
              <w:jc w:val="center"/>
              <w:rPr>
                <w:rFonts w:ascii="Times New Roman" w:eastAsiaTheme="minorEastAsia" w:hAnsi="Times New Roman" w:cs="Times New Roman"/>
                <w:b/>
                <w:bCs/>
                <w:lang w:val="en-US"/>
              </w:rPr>
            </w:pPr>
            <w:r w:rsidRPr="009A6DD8">
              <w:rPr>
                <w:rFonts w:ascii="Times New Roman" w:eastAsiaTheme="minorEastAsia" w:hAnsi="Times New Roman" w:cs="Times New Roman"/>
                <w:b/>
                <w:bCs/>
                <w:lang w:val="en-US"/>
              </w:rPr>
              <w:t>Frequency (n)</w:t>
            </w:r>
          </w:p>
        </w:tc>
        <w:tc>
          <w:tcPr>
            <w:tcW w:w="2856" w:type="dxa"/>
          </w:tcPr>
          <w:p w14:paraId="39948759" w14:textId="422528B1" w:rsidR="00771F13" w:rsidRPr="009A6DD8" w:rsidRDefault="009A6DD8" w:rsidP="009A6DD8">
            <w:pPr>
              <w:jc w:val="center"/>
              <w:rPr>
                <w:rFonts w:ascii="Times New Roman" w:eastAsiaTheme="minorEastAsia" w:hAnsi="Times New Roman" w:cs="Times New Roman"/>
                <w:b/>
                <w:bCs/>
                <w:lang w:val="en-US"/>
              </w:rPr>
            </w:pPr>
            <w:r w:rsidRPr="009A6DD8">
              <w:rPr>
                <w:rFonts w:ascii="Times New Roman" w:eastAsiaTheme="minorEastAsia" w:hAnsi="Times New Roman" w:cs="Times New Roman"/>
                <w:b/>
                <w:bCs/>
                <w:lang w:val="en-US"/>
              </w:rPr>
              <w:t>Percentage (%)</w:t>
            </w:r>
          </w:p>
        </w:tc>
      </w:tr>
      <w:tr w:rsidR="00771F13" w:rsidRPr="009A6DD8" w14:paraId="6349B554" w14:textId="77777777" w:rsidTr="009A6DD8">
        <w:tc>
          <w:tcPr>
            <w:tcW w:w="2854" w:type="dxa"/>
          </w:tcPr>
          <w:p w14:paraId="6D087844" w14:textId="55B5A354" w:rsidR="00771F13" w:rsidRPr="009A6DD8" w:rsidRDefault="009A6DD8" w:rsidP="009A6DD8">
            <w:pPr>
              <w:rPr>
                <w:rFonts w:ascii="Times New Roman" w:eastAsiaTheme="minorEastAsia" w:hAnsi="Times New Roman" w:cs="Times New Roman"/>
                <w:b/>
                <w:bCs/>
                <w:lang w:val="en-US"/>
              </w:rPr>
            </w:pPr>
            <w:r w:rsidRPr="009A6DD8">
              <w:rPr>
                <w:rFonts w:ascii="Times New Roman" w:eastAsiaTheme="minorEastAsia" w:hAnsi="Times New Roman" w:cs="Times New Roman"/>
                <w:b/>
                <w:bCs/>
                <w:lang w:val="en-US"/>
              </w:rPr>
              <w:t xml:space="preserve">Sex </w:t>
            </w:r>
          </w:p>
        </w:tc>
        <w:tc>
          <w:tcPr>
            <w:tcW w:w="2855" w:type="dxa"/>
          </w:tcPr>
          <w:p w14:paraId="78FABC17" w14:textId="4486806D" w:rsidR="00771F13" w:rsidRPr="009A6DD8" w:rsidRDefault="009A6DD8" w:rsidP="009A6DD8">
            <w:pPr>
              <w:rPr>
                <w:rFonts w:ascii="Times New Roman" w:eastAsiaTheme="minorEastAsia" w:hAnsi="Times New Roman" w:cs="Times New Roman"/>
                <w:lang w:val="en-US"/>
              </w:rPr>
            </w:pPr>
            <w:r>
              <w:rPr>
                <w:rFonts w:ascii="Times New Roman" w:eastAsiaTheme="minorEastAsia" w:hAnsi="Times New Roman" w:cs="Times New Roman"/>
                <w:lang w:val="en-US"/>
              </w:rPr>
              <w:t xml:space="preserve">Male </w:t>
            </w:r>
          </w:p>
        </w:tc>
        <w:tc>
          <w:tcPr>
            <w:tcW w:w="2855" w:type="dxa"/>
          </w:tcPr>
          <w:p w14:paraId="460EB411" w14:textId="15E39294" w:rsidR="00771F13" w:rsidRPr="009A6DD8" w:rsidRDefault="009A6DD8" w:rsidP="00E66749">
            <w:pPr>
              <w:jc w:val="center"/>
              <w:rPr>
                <w:rFonts w:ascii="Times New Roman" w:eastAsiaTheme="minorEastAsia" w:hAnsi="Times New Roman" w:cs="Times New Roman"/>
                <w:lang w:val="en-US"/>
              </w:rPr>
            </w:pPr>
            <w:r>
              <w:rPr>
                <w:rFonts w:ascii="Times New Roman" w:eastAsiaTheme="minorEastAsia" w:hAnsi="Times New Roman" w:cs="Times New Roman"/>
                <w:lang w:val="en-US"/>
              </w:rPr>
              <w:t>191</w:t>
            </w:r>
          </w:p>
        </w:tc>
        <w:tc>
          <w:tcPr>
            <w:tcW w:w="2856" w:type="dxa"/>
          </w:tcPr>
          <w:p w14:paraId="3D1ED7CD" w14:textId="3EC8D112" w:rsidR="00771F13" w:rsidRPr="009A6DD8" w:rsidRDefault="009A6DD8" w:rsidP="00E66749">
            <w:pPr>
              <w:jc w:val="center"/>
              <w:rPr>
                <w:rFonts w:ascii="Times New Roman" w:eastAsiaTheme="minorEastAsia" w:hAnsi="Times New Roman" w:cs="Times New Roman"/>
                <w:lang w:val="en-US"/>
              </w:rPr>
            </w:pPr>
            <w:r w:rsidRPr="009A6DD8">
              <w:rPr>
                <w:rFonts w:ascii="Times New Roman" w:eastAsiaTheme="minorEastAsia" w:hAnsi="Times New Roman" w:cs="Times New Roman"/>
                <w:lang w:val="en-US"/>
              </w:rPr>
              <w:t>47</w:t>
            </w:r>
            <w:r w:rsidR="004F4A59">
              <w:rPr>
                <w:rFonts w:ascii="Times New Roman" w:eastAsiaTheme="minorEastAsia" w:hAnsi="Times New Roman" w:cs="Times New Roman"/>
                <w:lang w:val="en-US"/>
              </w:rPr>
              <w:t>.75</w:t>
            </w:r>
          </w:p>
        </w:tc>
      </w:tr>
      <w:tr w:rsidR="00771F13" w:rsidRPr="009A6DD8" w14:paraId="42F61F0E" w14:textId="77777777" w:rsidTr="009A6DD8">
        <w:tc>
          <w:tcPr>
            <w:tcW w:w="2854" w:type="dxa"/>
          </w:tcPr>
          <w:p w14:paraId="1DBE39E6" w14:textId="77777777" w:rsidR="00771F13" w:rsidRPr="009A6DD8" w:rsidRDefault="00771F13" w:rsidP="009A6DD8">
            <w:pPr>
              <w:rPr>
                <w:rFonts w:ascii="Times New Roman" w:eastAsiaTheme="minorEastAsia" w:hAnsi="Times New Roman" w:cs="Times New Roman"/>
                <w:lang w:val="en-US"/>
              </w:rPr>
            </w:pPr>
          </w:p>
        </w:tc>
        <w:tc>
          <w:tcPr>
            <w:tcW w:w="2855" w:type="dxa"/>
          </w:tcPr>
          <w:p w14:paraId="25BFF2FD" w14:textId="67D894C4" w:rsidR="00771F13" w:rsidRPr="009A6DD8" w:rsidRDefault="009A6DD8" w:rsidP="009A6DD8">
            <w:pPr>
              <w:rPr>
                <w:rFonts w:ascii="Times New Roman" w:eastAsiaTheme="minorEastAsia" w:hAnsi="Times New Roman" w:cs="Times New Roman"/>
                <w:lang w:val="en-US"/>
              </w:rPr>
            </w:pPr>
            <w:r>
              <w:rPr>
                <w:rFonts w:ascii="Times New Roman" w:eastAsiaTheme="minorEastAsia" w:hAnsi="Times New Roman" w:cs="Times New Roman"/>
                <w:lang w:val="en-US"/>
              </w:rPr>
              <w:t xml:space="preserve">Female </w:t>
            </w:r>
          </w:p>
        </w:tc>
        <w:tc>
          <w:tcPr>
            <w:tcW w:w="2855" w:type="dxa"/>
          </w:tcPr>
          <w:p w14:paraId="4FD9A3DC" w14:textId="1D9A0817" w:rsidR="00771F13" w:rsidRPr="009A6DD8" w:rsidRDefault="009A6DD8" w:rsidP="00E66749">
            <w:pPr>
              <w:jc w:val="center"/>
              <w:rPr>
                <w:rFonts w:ascii="Times New Roman" w:eastAsiaTheme="minorEastAsia" w:hAnsi="Times New Roman" w:cs="Times New Roman"/>
                <w:lang w:val="en-US"/>
              </w:rPr>
            </w:pPr>
            <w:r>
              <w:rPr>
                <w:rFonts w:ascii="Times New Roman" w:eastAsiaTheme="minorEastAsia" w:hAnsi="Times New Roman" w:cs="Times New Roman"/>
                <w:lang w:val="en-US"/>
              </w:rPr>
              <w:t>209</w:t>
            </w:r>
          </w:p>
        </w:tc>
        <w:tc>
          <w:tcPr>
            <w:tcW w:w="2856" w:type="dxa"/>
          </w:tcPr>
          <w:p w14:paraId="6B70017E" w14:textId="3B22FE16" w:rsidR="00771F13" w:rsidRPr="009A6DD8" w:rsidRDefault="007C5F24" w:rsidP="00E66749">
            <w:pPr>
              <w:jc w:val="center"/>
              <w:rPr>
                <w:rFonts w:ascii="Times New Roman" w:eastAsiaTheme="minorEastAsia" w:hAnsi="Times New Roman" w:cs="Times New Roman"/>
                <w:lang w:val="en-US"/>
              </w:rPr>
            </w:pPr>
            <w:r w:rsidRPr="007C5F24">
              <w:rPr>
                <w:rFonts w:ascii="Times New Roman" w:eastAsiaTheme="minorEastAsia" w:hAnsi="Times New Roman" w:cs="Times New Roman"/>
                <w:lang w:val="en-US"/>
              </w:rPr>
              <w:t>52</w:t>
            </w:r>
            <w:r w:rsidR="004F4A59">
              <w:rPr>
                <w:rFonts w:ascii="Times New Roman" w:eastAsiaTheme="minorEastAsia" w:hAnsi="Times New Roman" w:cs="Times New Roman"/>
                <w:lang w:val="en-US"/>
              </w:rPr>
              <w:t>.25</w:t>
            </w:r>
          </w:p>
        </w:tc>
      </w:tr>
      <w:tr w:rsidR="00771F13" w:rsidRPr="009A6DD8" w14:paraId="05F55BAE" w14:textId="77777777" w:rsidTr="009A6DD8">
        <w:tc>
          <w:tcPr>
            <w:tcW w:w="2854" w:type="dxa"/>
          </w:tcPr>
          <w:p w14:paraId="771245A8" w14:textId="45602A85" w:rsidR="00771F13" w:rsidRPr="009A6DD8" w:rsidRDefault="009A6DD8" w:rsidP="009A6DD8">
            <w:pPr>
              <w:rPr>
                <w:rFonts w:ascii="Times New Roman" w:eastAsiaTheme="minorEastAsia" w:hAnsi="Times New Roman" w:cs="Times New Roman"/>
                <w:b/>
                <w:bCs/>
                <w:lang w:val="en-US"/>
              </w:rPr>
            </w:pPr>
            <w:r w:rsidRPr="009A6DD8">
              <w:rPr>
                <w:rFonts w:ascii="Times New Roman" w:eastAsiaTheme="minorEastAsia" w:hAnsi="Times New Roman" w:cs="Times New Roman"/>
                <w:b/>
                <w:bCs/>
                <w:lang w:val="en-US"/>
              </w:rPr>
              <w:t>Age group (years)</w:t>
            </w:r>
          </w:p>
        </w:tc>
        <w:tc>
          <w:tcPr>
            <w:tcW w:w="2855" w:type="dxa"/>
          </w:tcPr>
          <w:p w14:paraId="13073B9D" w14:textId="1DB82393" w:rsidR="00771F13" w:rsidRPr="009A6DD8" w:rsidRDefault="007C5F24" w:rsidP="009A6DD8">
            <w:pPr>
              <w:rPr>
                <w:rFonts w:ascii="Times New Roman" w:eastAsiaTheme="minorEastAsia" w:hAnsi="Times New Roman" w:cs="Times New Roman"/>
                <w:lang w:val="en-US"/>
              </w:rPr>
            </w:pPr>
            <w:r>
              <w:rPr>
                <w:rFonts w:ascii="Times New Roman" w:eastAsiaTheme="minorEastAsia" w:hAnsi="Times New Roman" w:cs="Times New Roman"/>
                <w:lang w:val="en-US"/>
              </w:rPr>
              <w:t>5 – 14</w:t>
            </w:r>
          </w:p>
        </w:tc>
        <w:tc>
          <w:tcPr>
            <w:tcW w:w="2855" w:type="dxa"/>
          </w:tcPr>
          <w:p w14:paraId="1786B9FF" w14:textId="46D57F65" w:rsidR="00771F13" w:rsidRPr="009A6DD8" w:rsidRDefault="00EE5FB1" w:rsidP="000206C7">
            <w:pPr>
              <w:jc w:val="center"/>
              <w:rPr>
                <w:rFonts w:ascii="Times New Roman" w:eastAsiaTheme="minorEastAsia" w:hAnsi="Times New Roman" w:cs="Times New Roman"/>
                <w:lang w:val="en-US"/>
              </w:rPr>
            </w:pPr>
            <w:r>
              <w:rPr>
                <w:rFonts w:ascii="Times New Roman" w:eastAsiaTheme="minorEastAsia" w:hAnsi="Times New Roman" w:cs="Times New Roman"/>
                <w:lang w:val="en-US"/>
              </w:rPr>
              <w:t>71</w:t>
            </w:r>
          </w:p>
        </w:tc>
        <w:tc>
          <w:tcPr>
            <w:tcW w:w="2856" w:type="dxa"/>
          </w:tcPr>
          <w:p w14:paraId="269A3BD0" w14:textId="28D3D6CA" w:rsidR="00771F13" w:rsidRPr="009A6DD8" w:rsidRDefault="00EE5FB1" w:rsidP="000206C7">
            <w:pPr>
              <w:jc w:val="center"/>
              <w:rPr>
                <w:rFonts w:ascii="Times New Roman" w:eastAsiaTheme="minorEastAsia" w:hAnsi="Times New Roman" w:cs="Times New Roman"/>
                <w:lang w:val="en-US"/>
              </w:rPr>
            </w:pPr>
            <w:r>
              <w:rPr>
                <w:rFonts w:ascii="Times New Roman" w:eastAsiaTheme="minorEastAsia" w:hAnsi="Times New Roman" w:cs="Times New Roman"/>
                <w:lang w:val="en-US"/>
              </w:rPr>
              <w:t>17.8</w:t>
            </w:r>
          </w:p>
        </w:tc>
      </w:tr>
      <w:tr w:rsidR="00771F13" w:rsidRPr="009A6DD8" w14:paraId="1449DCFB" w14:textId="77777777" w:rsidTr="009A6DD8">
        <w:tc>
          <w:tcPr>
            <w:tcW w:w="2854" w:type="dxa"/>
          </w:tcPr>
          <w:p w14:paraId="30CACFC5" w14:textId="77777777" w:rsidR="00771F13" w:rsidRPr="009A6DD8" w:rsidRDefault="00771F13" w:rsidP="009A6DD8">
            <w:pPr>
              <w:rPr>
                <w:rFonts w:ascii="Times New Roman" w:eastAsiaTheme="minorEastAsia" w:hAnsi="Times New Roman" w:cs="Times New Roman"/>
                <w:lang w:val="en-US"/>
              </w:rPr>
            </w:pPr>
          </w:p>
        </w:tc>
        <w:tc>
          <w:tcPr>
            <w:tcW w:w="2855" w:type="dxa"/>
          </w:tcPr>
          <w:p w14:paraId="6F917CD3" w14:textId="3356208A" w:rsidR="00771F13" w:rsidRPr="009A6DD8" w:rsidRDefault="007C5F24" w:rsidP="009A6DD8">
            <w:pPr>
              <w:rPr>
                <w:rFonts w:ascii="Times New Roman" w:eastAsiaTheme="minorEastAsia" w:hAnsi="Times New Roman" w:cs="Times New Roman"/>
                <w:lang w:val="en-US"/>
              </w:rPr>
            </w:pPr>
            <w:r>
              <w:rPr>
                <w:rFonts w:ascii="Times New Roman" w:eastAsiaTheme="minorEastAsia" w:hAnsi="Times New Roman" w:cs="Times New Roman"/>
                <w:lang w:val="en-US"/>
              </w:rPr>
              <w:t>15 – 29</w:t>
            </w:r>
          </w:p>
        </w:tc>
        <w:tc>
          <w:tcPr>
            <w:tcW w:w="2855" w:type="dxa"/>
          </w:tcPr>
          <w:p w14:paraId="3B6E96B3" w14:textId="794F578E" w:rsidR="00771F13" w:rsidRPr="009A6DD8" w:rsidRDefault="00EE5FB1" w:rsidP="000206C7">
            <w:pPr>
              <w:jc w:val="center"/>
              <w:rPr>
                <w:rFonts w:ascii="Times New Roman" w:eastAsiaTheme="minorEastAsia" w:hAnsi="Times New Roman" w:cs="Times New Roman"/>
                <w:lang w:val="en-US"/>
              </w:rPr>
            </w:pPr>
            <w:r>
              <w:rPr>
                <w:rFonts w:ascii="Times New Roman" w:eastAsiaTheme="minorEastAsia" w:hAnsi="Times New Roman" w:cs="Times New Roman"/>
                <w:lang w:val="en-US"/>
              </w:rPr>
              <w:t>89</w:t>
            </w:r>
          </w:p>
        </w:tc>
        <w:tc>
          <w:tcPr>
            <w:tcW w:w="2856" w:type="dxa"/>
          </w:tcPr>
          <w:p w14:paraId="1C98282C" w14:textId="5CCF80D6" w:rsidR="00771F13" w:rsidRPr="009A6DD8" w:rsidRDefault="00EE5FB1" w:rsidP="000206C7">
            <w:pPr>
              <w:jc w:val="center"/>
              <w:rPr>
                <w:rFonts w:ascii="Times New Roman" w:eastAsiaTheme="minorEastAsia" w:hAnsi="Times New Roman" w:cs="Times New Roman"/>
                <w:lang w:val="en-US"/>
              </w:rPr>
            </w:pPr>
            <w:r>
              <w:rPr>
                <w:rFonts w:ascii="Times New Roman" w:eastAsiaTheme="minorEastAsia" w:hAnsi="Times New Roman" w:cs="Times New Roman"/>
                <w:lang w:val="en-US"/>
              </w:rPr>
              <w:t>22.3</w:t>
            </w:r>
          </w:p>
        </w:tc>
      </w:tr>
      <w:tr w:rsidR="00771F13" w:rsidRPr="009A6DD8" w14:paraId="77EE925D" w14:textId="77777777" w:rsidTr="007C5F24">
        <w:trPr>
          <w:trHeight w:val="337"/>
        </w:trPr>
        <w:tc>
          <w:tcPr>
            <w:tcW w:w="2854" w:type="dxa"/>
          </w:tcPr>
          <w:p w14:paraId="70AF371D" w14:textId="77777777" w:rsidR="00771F13" w:rsidRPr="009A6DD8" w:rsidRDefault="00771F13" w:rsidP="009A6DD8">
            <w:pPr>
              <w:rPr>
                <w:rFonts w:ascii="Times New Roman" w:eastAsiaTheme="minorEastAsia" w:hAnsi="Times New Roman" w:cs="Times New Roman"/>
                <w:lang w:val="en-US"/>
              </w:rPr>
            </w:pPr>
          </w:p>
        </w:tc>
        <w:tc>
          <w:tcPr>
            <w:tcW w:w="2855" w:type="dxa"/>
          </w:tcPr>
          <w:p w14:paraId="0CE23AA4" w14:textId="087890DF" w:rsidR="00771F13" w:rsidRPr="009A6DD8" w:rsidRDefault="007C5F24" w:rsidP="009A6DD8">
            <w:pPr>
              <w:rPr>
                <w:rFonts w:ascii="Times New Roman" w:eastAsiaTheme="minorEastAsia" w:hAnsi="Times New Roman" w:cs="Times New Roman"/>
                <w:lang w:val="en-US"/>
              </w:rPr>
            </w:pPr>
            <w:r>
              <w:rPr>
                <w:rFonts w:ascii="Times New Roman" w:eastAsiaTheme="minorEastAsia" w:hAnsi="Times New Roman" w:cs="Times New Roman"/>
                <w:lang w:val="en-US"/>
              </w:rPr>
              <w:t>30 – 44</w:t>
            </w:r>
          </w:p>
        </w:tc>
        <w:tc>
          <w:tcPr>
            <w:tcW w:w="2855" w:type="dxa"/>
          </w:tcPr>
          <w:p w14:paraId="5DF056A8" w14:textId="730CCDFD" w:rsidR="00771F13" w:rsidRPr="009A6DD8" w:rsidRDefault="00EE5FB1" w:rsidP="000206C7">
            <w:pPr>
              <w:jc w:val="center"/>
              <w:rPr>
                <w:rFonts w:ascii="Times New Roman" w:eastAsiaTheme="minorEastAsia" w:hAnsi="Times New Roman" w:cs="Times New Roman"/>
                <w:lang w:val="en-US"/>
              </w:rPr>
            </w:pPr>
            <w:r>
              <w:rPr>
                <w:rFonts w:ascii="Times New Roman" w:eastAsiaTheme="minorEastAsia" w:hAnsi="Times New Roman" w:cs="Times New Roman"/>
                <w:lang w:val="en-US"/>
              </w:rPr>
              <w:t>112</w:t>
            </w:r>
          </w:p>
        </w:tc>
        <w:tc>
          <w:tcPr>
            <w:tcW w:w="2856" w:type="dxa"/>
          </w:tcPr>
          <w:p w14:paraId="683943E5" w14:textId="3663A4EB" w:rsidR="00771F13" w:rsidRPr="009A6DD8" w:rsidRDefault="00EE5FB1" w:rsidP="000206C7">
            <w:pPr>
              <w:jc w:val="center"/>
              <w:rPr>
                <w:rFonts w:ascii="Times New Roman" w:eastAsiaTheme="minorEastAsia" w:hAnsi="Times New Roman" w:cs="Times New Roman"/>
                <w:lang w:val="en-US"/>
              </w:rPr>
            </w:pPr>
            <w:r>
              <w:rPr>
                <w:rFonts w:ascii="Times New Roman" w:eastAsiaTheme="minorEastAsia" w:hAnsi="Times New Roman" w:cs="Times New Roman"/>
                <w:lang w:val="en-US"/>
              </w:rPr>
              <w:t>28.0</w:t>
            </w:r>
          </w:p>
        </w:tc>
      </w:tr>
      <w:tr w:rsidR="00771F13" w:rsidRPr="009A6DD8" w14:paraId="322E0651" w14:textId="77777777" w:rsidTr="009A6DD8">
        <w:tc>
          <w:tcPr>
            <w:tcW w:w="2854" w:type="dxa"/>
          </w:tcPr>
          <w:p w14:paraId="16C39AA9" w14:textId="77777777" w:rsidR="00771F13" w:rsidRPr="007C5F24" w:rsidRDefault="00771F13" w:rsidP="009A6DD8">
            <w:pPr>
              <w:rPr>
                <w:rFonts w:ascii="Times New Roman" w:hAnsi="Times New Roman" w:cs="Times New Roman"/>
                <w:lang w:val="en-US"/>
              </w:rPr>
            </w:pPr>
          </w:p>
        </w:tc>
        <w:tc>
          <w:tcPr>
            <w:tcW w:w="2855" w:type="dxa"/>
          </w:tcPr>
          <w:p w14:paraId="691112DE" w14:textId="52167E94" w:rsidR="00771F13" w:rsidRPr="007C5F24" w:rsidRDefault="007C5F24" w:rsidP="009A6DD8">
            <w:pPr>
              <w:rPr>
                <w:rFonts w:ascii="Times New Roman" w:hAnsi="Times New Roman" w:cs="Times New Roman"/>
                <w:lang w:val="en-US"/>
              </w:rPr>
            </w:pPr>
            <w:r w:rsidRPr="007C5F24">
              <w:rPr>
                <w:rFonts w:ascii="Times New Roman" w:hAnsi="Times New Roman" w:cs="Times New Roman"/>
                <w:lang w:val="en-US"/>
              </w:rPr>
              <w:t>45 - 59</w:t>
            </w:r>
          </w:p>
        </w:tc>
        <w:tc>
          <w:tcPr>
            <w:tcW w:w="2855" w:type="dxa"/>
          </w:tcPr>
          <w:p w14:paraId="4F0DC7CF" w14:textId="3D52A672" w:rsidR="00771F13" w:rsidRPr="00EE5FB1" w:rsidRDefault="00EE5FB1" w:rsidP="000206C7">
            <w:pPr>
              <w:jc w:val="center"/>
              <w:rPr>
                <w:rFonts w:ascii="Times New Roman" w:hAnsi="Times New Roman" w:cs="Times New Roman"/>
                <w:lang w:val="en-US"/>
              </w:rPr>
            </w:pPr>
            <w:r w:rsidRPr="00EE5FB1">
              <w:rPr>
                <w:rFonts w:ascii="Times New Roman" w:hAnsi="Times New Roman" w:cs="Times New Roman"/>
                <w:lang w:val="en-US"/>
              </w:rPr>
              <w:t>78</w:t>
            </w:r>
          </w:p>
        </w:tc>
        <w:tc>
          <w:tcPr>
            <w:tcW w:w="2856" w:type="dxa"/>
          </w:tcPr>
          <w:p w14:paraId="5EB71F06" w14:textId="54C04FF4" w:rsidR="00771F13" w:rsidRPr="00EE5FB1" w:rsidRDefault="00EE5FB1" w:rsidP="000206C7">
            <w:pPr>
              <w:jc w:val="center"/>
              <w:rPr>
                <w:rFonts w:ascii="Times New Roman" w:hAnsi="Times New Roman" w:cs="Times New Roman"/>
                <w:lang w:val="en-US"/>
              </w:rPr>
            </w:pPr>
            <w:r>
              <w:rPr>
                <w:rFonts w:ascii="Times New Roman" w:hAnsi="Times New Roman" w:cs="Times New Roman"/>
                <w:lang w:val="en-US"/>
              </w:rPr>
              <w:t>19.5</w:t>
            </w:r>
          </w:p>
        </w:tc>
      </w:tr>
      <w:tr w:rsidR="00771F13" w:rsidRPr="009A6DD8" w14:paraId="60260385" w14:textId="77777777" w:rsidTr="009A6DD8">
        <w:tc>
          <w:tcPr>
            <w:tcW w:w="2854" w:type="dxa"/>
          </w:tcPr>
          <w:p w14:paraId="2AB522CD" w14:textId="77777777" w:rsidR="00771F13" w:rsidRPr="009A6DD8" w:rsidRDefault="00771F13" w:rsidP="009A6DD8">
            <w:pPr>
              <w:rPr>
                <w:rFonts w:ascii="Times New Roman" w:hAnsi="Times New Roman" w:cs="Times New Roman"/>
                <w:b/>
                <w:bCs/>
                <w:lang w:val="en-US"/>
              </w:rPr>
            </w:pPr>
          </w:p>
        </w:tc>
        <w:tc>
          <w:tcPr>
            <w:tcW w:w="2855" w:type="dxa"/>
          </w:tcPr>
          <w:p w14:paraId="0204CFFE" w14:textId="75191123" w:rsidR="00771F13" w:rsidRPr="007C5F24" w:rsidRDefault="007C5F24" w:rsidP="009A6DD8">
            <w:pPr>
              <w:rPr>
                <w:rFonts w:ascii="Times New Roman" w:hAnsi="Times New Roman" w:cs="Times New Roman"/>
                <w:lang w:val="en-US"/>
              </w:rPr>
            </w:pPr>
            <w:r w:rsidRPr="007C5F24">
              <w:rPr>
                <w:rFonts w:ascii="Times New Roman" w:hAnsi="Times New Roman" w:cs="Times New Roman"/>
                <w:lang w:val="en-US"/>
              </w:rPr>
              <w:t>≥ 60</w:t>
            </w:r>
          </w:p>
        </w:tc>
        <w:tc>
          <w:tcPr>
            <w:tcW w:w="2855" w:type="dxa"/>
          </w:tcPr>
          <w:p w14:paraId="0DABFB9F" w14:textId="32AC9A5C" w:rsidR="00771F13" w:rsidRPr="00EE5FB1" w:rsidRDefault="00EE5FB1" w:rsidP="000206C7">
            <w:pPr>
              <w:jc w:val="center"/>
              <w:rPr>
                <w:rFonts w:ascii="Times New Roman" w:hAnsi="Times New Roman" w:cs="Times New Roman"/>
                <w:lang w:val="en-US"/>
              </w:rPr>
            </w:pPr>
            <w:r w:rsidRPr="00EE5FB1">
              <w:rPr>
                <w:rFonts w:ascii="Times New Roman" w:hAnsi="Times New Roman" w:cs="Times New Roman"/>
                <w:lang w:val="en-US"/>
              </w:rPr>
              <w:t>50</w:t>
            </w:r>
          </w:p>
        </w:tc>
        <w:tc>
          <w:tcPr>
            <w:tcW w:w="2856" w:type="dxa"/>
          </w:tcPr>
          <w:p w14:paraId="19E0CD05" w14:textId="641105F2" w:rsidR="00771F13" w:rsidRPr="00EE5FB1" w:rsidRDefault="00EE5FB1" w:rsidP="000206C7">
            <w:pPr>
              <w:jc w:val="center"/>
              <w:rPr>
                <w:rFonts w:ascii="Times New Roman" w:hAnsi="Times New Roman" w:cs="Times New Roman"/>
                <w:lang w:val="en-US"/>
              </w:rPr>
            </w:pPr>
            <w:r>
              <w:rPr>
                <w:rFonts w:ascii="Times New Roman" w:hAnsi="Times New Roman" w:cs="Times New Roman"/>
                <w:lang w:val="en-US"/>
              </w:rPr>
              <w:t>12.5</w:t>
            </w:r>
          </w:p>
        </w:tc>
      </w:tr>
      <w:tr w:rsidR="00771F13" w:rsidRPr="009A6DD8" w14:paraId="0BCDCF70" w14:textId="77777777" w:rsidTr="009A6DD8">
        <w:tc>
          <w:tcPr>
            <w:tcW w:w="2854" w:type="dxa"/>
          </w:tcPr>
          <w:p w14:paraId="2D61E2D4" w14:textId="322A391C" w:rsidR="00771F13" w:rsidRPr="009A6DD8" w:rsidRDefault="009A6DD8" w:rsidP="009A6DD8">
            <w:pPr>
              <w:rPr>
                <w:rFonts w:ascii="Times New Roman" w:hAnsi="Times New Roman" w:cs="Times New Roman"/>
                <w:b/>
                <w:bCs/>
                <w:lang w:val="en-US"/>
              </w:rPr>
            </w:pPr>
            <w:r w:rsidRPr="009A6DD8">
              <w:rPr>
                <w:rFonts w:ascii="Times New Roman" w:hAnsi="Times New Roman" w:cs="Times New Roman"/>
                <w:b/>
                <w:bCs/>
                <w:lang w:val="en-US"/>
              </w:rPr>
              <w:t xml:space="preserve">Occupation </w:t>
            </w:r>
          </w:p>
        </w:tc>
        <w:tc>
          <w:tcPr>
            <w:tcW w:w="2855" w:type="dxa"/>
          </w:tcPr>
          <w:p w14:paraId="1F47ACDE" w14:textId="0E95AD43" w:rsidR="00771F13" w:rsidRPr="007C5F24" w:rsidRDefault="007C5F24" w:rsidP="009A6DD8">
            <w:pPr>
              <w:rPr>
                <w:rFonts w:ascii="Times New Roman" w:hAnsi="Times New Roman" w:cs="Times New Roman"/>
                <w:lang w:val="en-US"/>
              </w:rPr>
            </w:pPr>
            <w:r w:rsidRPr="007C5F24">
              <w:rPr>
                <w:rFonts w:ascii="Times New Roman" w:hAnsi="Times New Roman" w:cs="Times New Roman"/>
                <w:lang w:val="en-US"/>
              </w:rPr>
              <w:t xml:space="preserve">Farming </w:t>
            </w:r>
          </w:p>
        </w:tc>
        <w:tc>
          <w:tcPr>
            <w:tcW w:w="2855" w:type="dxa"/>
          </w:tcPr>
          <w:p w14:paraId="1BBF8FED" w14:textId="478F1B88" w:rsidR="00771F13" w:rsidRPr="00EE5FB1" w:rsidRDefault="00EE5FB1" w:rsidP="000206C7">
            <w:pPr>
              <w:jc w:val="center"/>
              <w:rPr>
                <w:rFonts w:ascii="Times New Roman" w:hAnsi="Times New Roman" w:cs="Times New Roman"/>
                <w:lang w:val="en-US"/>
              </w:rPr>
            </w:pPr>
            <w:r>
              <w:rPr>
                <w:rFonts w:ascii="Times New Roman" w:hAnsi="Times New Roman" w:cs="Times New Roman"/>
                <w:lang w:val="en-US"/>
              </w:rPr>
              <w:t>313</w:t>
            </w:r>
          </w:p>
        </w:tc>
        <w:tc>
          <w:tcPr>
            <w:tcW w:w="2856" w:type="dxa"/>
          </w:tcPr>
          <w:p w14:paraId="1F013152" w14:textId="68729C2E" w:rsidR="00771F13" w:rsidRPr="00EE5FB1" w:rsidRDefault="00EE5FB1" w:rsidP="000206C7">
            <w:pPr>
              <w:jc w:val="center"/>
              <w:rPr>
                <w:rFonts w:ascii="Times New Roman" w:hAnsi="Times New Roman" w:cs="Times New Roman"/>
                <w:lang w:val="en-US"/>
              </w:rPr>
            </w:pPr>
            <w:r>
              <w:rPr>
                <w:rFonts w:ascii="Times New Roman" w:hAnsi="Times New Roman" w:cs="Times New Roman"/>
                <w:lang w:val="en-US"/>
              </w:rPr>
              <w:t>78.25</w:t>
            </w:r>
          </w:p>
        </w:tc>
      </w:tr>
      <w:tr w:rsidR="00771F13" w:rsidRPr="009A6DD8" w14:paraId="09C1E228" w14:textId="77777777" w:rsidTr="009A6DD8">
        <w:tc>
          <w:tcPr>
            <w:tcW w:w="2854" w:type="dxa"/>
          </w:tcPr>
          <w:p w14:paraId="719BBB73" w14:textId="77777777" w:rsidR="00771F13" w:rsidRPr="009A6DD8" w:rsidRDefault="00771F13" w:rsidP="009A6DD8">
            <w:pPr>
              <w:rPr>
                <w:rFonts w:ascii="Times New Roman" w:hAnsi="Times New Roman" w:cs="Times New Roman"/>
                <w:b/>
                <w:bCs/>
                <w:lang w:val="en-US"/>
              </w:rPr>
            </w:pPr>
          </w:p>
        </w:tc>
        <w:tc>
          <w:tcPr>
            <w:tcW w:w="2855" w:type="dxa"/>
          </w:tcPr>
          <w:p w14:paraId="7E731AB7" w14:textId="2CF4D5A5" w:rsidR="00771F13" w:rsidRPr="007C5F24" w:rsidRDefault="007C5F24" w:rsidP="009A6DD8">
            <w:pPr>
              <w:rPr>
                <w:rFonts w:ascii="Times New Roman" w:hAnsi="Times New Roman" w:cs="Times New Roman"/>
                <w:lang w:val="en-US"/>
              </w:rPr>
            </w:pPr>
            <w:r>
              <w:rPr>
                <w:rFonts w:ascii="Times New Roman" w:hAnsi="Times New Roman" w:cs="Times New Roman"/>
                <w:lang w:val="en-US"/>
              </w:rPr>
              <w:t>Fishing</w:t>
            </w:r>
          </w:p>
        </w:tc>
        <w:tc>
          <w:tcPr>
            <w:tcW w:w="2855" w:type="dxa"/>
          </w:tcPr>
          <w:p w14:paraId="20D4ED12" w14:textId="6584940B" w:rsidR="00771F13" w:rsidRPr="00EE5FB1" w:rsidRDefault="00EE5FB1" w:rsidP="000206C7">
            <w:pPr>
              <w:jc w:val="center"/>
              <w:rPr>
                <w:rFonts w:ascii="Times New Roman" w:hAnsi="Times New Roman" w:cs="Times New Roman"/>
                <w:lang w:val="en-US"/>
              </w:rPr>
            </w:pPr>
            <w:r>
              <w:rPr>
                <w:rFonts w:ascii="Times New Roman" w:hAnsi="Times New Roman" w:cs="Times New Roman"/>
                <w:lang w:val="en-US"/>
              </w:rPr>
              <w:t>40</w:t>
            </w:r>
          </w:p>
        </w:tc>
        <w:tc>
          <w:tcPr>
            <w:tcW w:w="2856" w:type="dxa"/>
          </w:tcPr>
          <w:p w14:paraId="2397987E" w14:textId="1CB20BDC" w:rsidR="00771F13" w:rsidRPr="00EE5FB1" w:rsidRDefault="00EE5FB1" w:rsidP="000206C7">
            <w:pPr>
              <w:jc w:val="center"/>
              <w:rPr>
                <w:rFonts w:ascii="Times New Roman" w:hAnsi="Times New Roman" w:cs="Times New Roman"/>
                <w:lang w:val="en-US"/>
              </w:rPr>
            </w:pPr>
            <w:r>
              <w:rPr>
                <w:rFonts w:ascii="Times New Roman" w:hAnsi="Times New Roman" w:cs="Times New Roman"/>
                <w:lang w:val="en-US"/>
              </w:rPr>
              <w:t>10</w:t>
            </w:r>
          </w:p>
        </w:tc>
      </w:tr>
      <w:tr w:rsidR="00771F13" w:rsidRPr="009A6DD8" w14:paraId="6174E426" w14:textId="77777777" w:rsidTr="009A6DD8">
        <w:tc>
          <w:tcPr>
            <w:tcW w:w="2854" w:type="dxa"/>
          </w:tcPr>
          <w:p w14:paraId="6E0DDDD6" w14:textId="77777777" w:rsidR="00771F13" w:rsidRPr="009A6DD8" w:rsidRDefault="00771F13" w:rsidP="009A6DD8">
            <w:pPr>
              <w:rPr>
                <w:rFonts w:ascii="Times New Roman" w:hAnsi="Times New Roman" w:cs="Times New Roman"/>
                <w:b/>
                <w:bCs/>
                <w:lang w:val="en-US"/>
              </w:rPr>
            </w:pPr>
          </w:p>
        </w:tc>
        <w:tc>
          <w:tcPr>
            <w:tcW w:w="2855" w:type="dxa"/>
          </w:tcPr>
          <w:p w14:paraId="25045B9F" w14:textId="5F95CB90" w:rsidR="00771F13" w:rsidRPr="007C5F24" w:rsidRDefault="007C5F24" w:rsidP="009A6DD8">
            <w:pPr>
              <w:rPr>
                <w:rFonts w:ascii="Times New Roman" w:hAnsi="Times New Roman" w:cs="Times New Roman"/>
                <w:lang w:val="en-US"/>
              </w:rPr>
            </w:pPr>
            <w:r>
              <w:rPr>
                <w:rFonts w:ascii="Times New Roman" w:hAnsi="Times New Roman" w:cs="Times New Roman"/>
                <w:lang w:val="en-US"/>
              </w:rPr>
              <w:t xml:space="preserve">Trading </w:t>
            </w:r>
          </w:p>
        </w:tc>
        <w:tc>
          <w:tcPr>
            <w:tcW w:w="2855" w:type="dxa"/>
          </w:tcPr>
          <w:p w14:paraId="333BA66C" w14:textId="72D087C6" w:rsidR="00771F13" w:rsidRPr="007C5F24" w:rsidRDefault="00EE5FB1" w:rsidP="000206C7">
            <w:pPr>
              <w:jc w:val="center"/>
              <w:rPr>
                <w:rFonts w:ascii="Times New Roman" w:hAnsi="Times New Roman" w:cs="Times New Roman"/>
                <w:lang w:val="en-US"/>
              </w:rPr>
            </w:pPr>
            <w:r>
              <w:rPr>
                <w:rFonts w:ascii="Times New Roman" w:hAnsi="Times New Roman" w:cs="Times New Roman"/>
                <w:lang w:val="en-US"/>
              </w:rPr>
              <w:t>28</w:t>
            </w:r>
          </w:p>
        </w:tc>
        <w:tc>
          <w:tcPr>
            <w:tcW w:w="2856" w:type="dxa"/>
          </w:tcPr>
          <w:p w14:paraId="126C57E7" w14:textId="5D069F9E" w:rsidR="00771F13" w:rsidRPr="00EE5FB1" w:rsidRDefault="00EE5FB1" w:rsidP="000206C7">
            <w:pPr>
              <w:jc w:val="center"/>
              <w:rPr>
                <w:rFonts w:ascii="Times New Roman" w:hAnsi="Times New Roman" w:cs="Times New Roman"/>
                <w:lang w:val="en-US"/>
              </w:rPr>
            </w:pPr>
            <w:r w:rsidRPr="00EE5FB1">
              <w:rPr>
                <w:rFonts w:ascii="Times New Roman" w:hAnsi="Times New Roman" w:cs="Times New Roman"/>
                <w:lang w:val="en-US"/>
              </w:rPr>
              <w:t>7.0</w:t>
            </w:r>
          </w:p>
        </w:tc>
      </w:tr>
      <w:tr w:rsidR="00771F13" w:rsidRPr="009A6DD8" w14:paraId="29EA3ACD" w14:textId="77777777" w:rsidTr="009A6DD8">
        <w:tc>
          <w:tcPr>
            <w:tcW w:w="2854" w:type="dxa"/>
          </w:tcPr>
          <w:p w14:paraId="5C617E96" w14:textId="77777777" w:rsidR="00771F13" w:rsidRPr="009A6DD8" w:rsidRDefault="00771F13" w:rsidP="009A6DD8">
            <w:pPr>
              <w:rPr>
                <w:rFonts w:ascii="Times New Roman" w:hAnsi="Times New Roman" w:cs="Times New Roman"/>
                <w:b/>
                <w:bCs/>
                <w:lang w:val="en-US"/>
              </w:rPr>
            </w:pPr>
          </w:p>
        </w:tc>
        <w:tc>
          <w:tcPr>
            <w:tcW w:w="2855" w:type="dxa"/>
          </w:tcPr>
          <w:p w14:paraId="23423934" w14:textId="076EC83A" w:rsidR="00771F13" w:rsidRPr="007C5F24" w:rsidRDefault="007C5F24" w:rsidP="009A6DD8">
            <w:pPr>
              <w:rPr>
                <w:rFonts w:ascii="Times New Roman" w:hAnsi="Times New Roman" w:cs="Times New Roman"/>
                <w:lang w:val="en-US"/>
              </w:rPr>
            </w:pPr>
            <w:r>
              <w:rPr>
                <w:rFonts w:ascii="Times New Roman" w:hAnsi="Times New Roman" w:cs="Times New Roman"/>
                <w:lang w:val="en-US"/>
              </w:rPr>
              <w:t xml:space="preserve">Others </w:t>
            </w:r>
          </w:p>
        </w:tc>
        <w:tc>
          <w:tcPr>
            <w:tcW w:w="2855" w:type="dxa"/>
          </w:tcPr>
          <w:p w14:paraId="3E994B45" w14:textId="74F7756E" w:rsidR="00771F13" w:rsidRPr="007C5F24" w:rsidRDefault="00EE5FB1" w:rsidP="000206C7">
            <w:pPr>
              <w:jc w:val="center"/>
              <w:rPr>
                <w:rFonts w:ascii="Times New Roman" w:hAnsi="Times New Roman" w:cs="Times New Roman"/>
                <w:lang w:val="en-US"/>
              </w:rPr>
            </w:pPr>
            <w:r>
              <w:rPr>
                <w:rFonts w:ascii="Times New Roman" w:hAnsi="Times New Roman" w:cs="Times New Roman"/>
                <w:lang w:val="en-US"/>
              </w:rPr>
              <w:t>20</w:t>
            </w:r>
          </w:p>
        </w:tc>
        <w:tc>
          <w:tcPr>
            <w:tcW w:w="2856" w:type="dxa"/>
          </w:tcPr>
          <w:p w14:paraId="19E96591" w14:textId="2AB81D86" w:rsidR="00771F13" w:rsidRPr="00EE5FB1" w:rsidRDefault="00EE5FB1" w:rsidP="000206C7">
            <w:pPr>
              <w:jc w:val="center"/>
              <w:rPr>
                <w:rFonts w:ascii="Times New Roman" w:hAnsi="Times New Roman" w:cs="Times New Roman"/>
                <w:lang w:val="en-US"/>
              </w:rPr>
            </w:pPr>
            <w:r>
              <w:rPr>
                <w:rFonts w:ascii="Times New Roman" w:hAnsi="Times New Roman" w:cs="Times New Roman"/>
                <w:lang w:val="en-US"/>
              </w:rPr>
              <w:t>5.0</w:t>
            </w:r>
          </w:p>
        </w:tc>
      </w:tr>
      <w:tr w:rsidR="009A6DD8" w:rsidRPr="009A6DD8" w14:paraId="2A9F6496" w14:textId="77777777" w:rsidTr="009A6DD8">
        <w:trPr>
          <w:trHeight w:val="185"/>
        </w:trPr>
        <w:tc>
          <w:tcPr>
            <w:tcW w:w="2855" w:type="dxa"/>
          </w:tcPr>
          <w:p w14:paraId="0D87C0D2" w14:textId="3094C191" w:rsidR="009A6DD8" w:rsidRPr="009A6DD8" w:rsidRDefault="009A6DD8" w:rsidP="009A6DD8">
            <w:pPr>
              <w:rPr>
                <w:rFonts w:ascii="Times New Roman" w:hAnsi="Times New Roman" w:cs="Times New Roman"/>
                <w:b/>
                <w:bCs/>
                <w:lang w:val="en-US"/>
              </w:rPr>
            </w:pPr>
            <w:r w:rsidRPr="009A6DD8">
              <w:rPr>
                <w:rFonts w:ascii="Times New Roman" w:hAnsi="Times New Roman" w:cs="Times New Roman"/>
                <w:b/>
                <w:bCs/>
                <w:lang w:val="en-US"/>
              </w:rPr>
              <w:t>Residence duration</w:t>
            </w:r>
          </w:p>
        </w:tc>
        <w:tc>
          <w:tcPr>
            <w:tcW w:w="2855" w:type="dxa"/>
          </w:tcPr>
          <w:p w14:paraId="2BFCE52C" w14:textId="35F469E1" w:rsidR="009A6DD8" w:rsidRPr="007C5F24" w:rsidRDefault="007C5F24" w:rsidP="009A6DD8">
            <w:pPr>
              <w:rPr>
                <w:rFonts w:ascii="Times New Roman" w:hAnsi="Times New Roman" w:cs="Times New Roman"/>
                <w:lang w:val="en-US"/>
              </w:rPr>
            </w:pPr>
            <w:r w:rsidRPr="007C5F24">
              <w:rPr>
                <w:rFonts w:ascii="Times New Roman" w:hAnsi="Times New Roman" w:cs="Times New Roman"/>
                <w:lang w:val="en-US"/>
              </w:rPr>
              <w:t>≥</w:t>
            </w:r>
            <w:r>
              <w:rPr>
                <w:rFonts w:ascii="Times New Roman" w:hAnsi="Times New Roman" w:cs="Times New Roman"/>
                <w:lang w:val="en-US"/>
              </w:rPr>
              <w:t xml:space="preserve"> 10 years</w:t>
            </w:r>
          </w:p>
        </w:tc>
        <w:tc>
          <w:tcPr>
            <w:tcW w:w="2855" w:type="dxa"/>
          </w:tcPr>
          <w:p w14:paraId="1FF09B42" w14:textId="20679C54" w:rsidR="009A6DD8" w:rsidRPr="007C5F24" w:rsidRDefault="00EE5FB1" w:rsidP="000206C7">
            <w:pPr>
              <w:jc w:val="center"/>
              <w:rPr>
                <w:rFonts w:ascii="Times New Roman" w:hAnsi="Times New Roman" w:cs="Times New Roman"/>
                <w:lang w:val="en-US"/>
              </w:rPr>
            </w:pPr>
            <w:r>
              <w:rPr>
                <w:rFonts w:ascii="Times New Roman" w:hAnsi="Times New Roman" w:cs="Times New Roman"/>
                <w:lang w:val="en-US"/>
              </w:rPr>
              <w:t>365</w:t>
            </w:r>
          </w:p>
        </w:tc>
        <w:tc>
          <w:tcPr>
            <w:tcW w:w="2855" w:type="dxa"/>
          </w:tcPr>
          <w:p w14:paraId="6C80F762" w14:textId="19FA5511" w:rsidR="009A6DD8" w:rsidRPr="00EE5FB1" w:rsidRDefault="00EE5FB1" w:rsidP="000206C7">
            <w:pPr>
              <w:jc w:val="center"/>
              <w:rPr>
                <w:rFonts w:ascii="Times New Roman" w:hAnsi="Times New Roman" w:cs="Times New Roman"/>
                <w:lang w:val="en-US"/>
              </w:rPr>
            </w:pPr>
            <w:r>
              <w:rPr>
                <w:rFonts w:ascii="Times New Roman" w:hAnsi="Times New Roman" w:cs="Times New Roman"/>
                <w:lang w:val="en-US"/>
              </w:rPr>
              <w:t>91.25</w:t>
            </w:r>
          </w:p>
        </w:tc>
      </w:tr>
      <w:tr w:rsidR="009A6DD8" w:rsidRPr="009A6DD8" w14:paraId="52404C5A" w14:textId="77777777" w:rsidTr="009A6DD8">
        <w:tc>
          <w:tcPr>
            <w:tcW w:w="2855" w:type="dxa"/>
          </w:tcPr>
          <w:p w14:paraId="3FE29D3E" w14:textId="77777777" w:rsidR="009A6DD8" w:rsidRPr="009A6DD8" w:rsidRDefault="009A6DD8" w:rsidP="009A6DD8">
            <w:pPr>
              <w:rPr>
                <w:rFonts w:ascii="Times New Roman" w:hAnsi="Times New Roman" w:cs="Times New Roman"/>
                <w:b/>
                <w:bCs/>
                <w:lang w:val="en-US"/>
              </w:rPr>
            </w:pPr>
          </w:p>
        </w:tc>
        <w:tc>
          <w:tcPr>
            <w:tcW w:w="2855" w:type="dxa"/>
          </w:tcPr>
          <w:p w14:paraId="73B729B0" w14:textId="1305D748" w:rsidR="009A6DD8" w:rsidRPr="007C5F24" w:rsidRDefault="007C5F24" w:rsidP="009A6DD8">
            <w:pPr>
              <w:rPr>
                <w:rFonts w:ascii="Times New Roman" w:hAnsi="Times New Roman" w:cs="Times New Roman"/>
                <w:lang w:val="en-US"/>
              </w:rPr>
            </w:pPr>
            <w:r>
              <w:rPr>
                <w:rFonts w:ascii="Times New Roman" w:hAnsi="Times New Roman" w:cs="Times New Roman"/>
                <w:lang w:val="en-US"/>
              </w:rPr>
              <w:t>&lt; 10 years</w:t>
            </w:r>
          </w:p>
        </w:tc>
        <w:tc>
          <w:tcPr>
            <w:tcW w:w="2855" w:type="dxa"/>
          </w:tcPr>
          <w:p w14:paraId="54C740CB" w14:textId="58036E0D" w:rsidR="009A6DD8" w:rsidRPr="007C5F24" w:rsidRDefault="00EE5FB1" w:rsidP="000206C7">
            <w:pPr>
              <w:jc w:val="center"/>
              <w:rPr>
                <w:rFonts w:ascii="Times New Roman" w:hAnsi="Times New Roman" w:cs="Times New Roman"/>
                <w:lang w:val="en-US"/>
              </w:rPr>
            </w:pPr>
            <w:r>
              <w:rPr>
                <w:rFonts w:ascii="Times New Roman" w:hAnsi="Times New Roman" w:cs="Times New Roman"/>
                <w:lang w:val="en-US"/>
              </w:rPr>
              <w:t>35</w:t>
            </w:r>
          </w:p>
        </w:tc>
        <w:tc>
          <w:tcPr>
            <w:tcW w:w="2855" w:type="dxa"/>
          </w:tcPr>
          <w:p w14:paraId="7B0D8F53" w14:textId="59DC4A04" w:rsidR="009A6DD8" w:rsidRPr="00EE5FB1" w:rsidRDefault="00EE5FB1" w:rsidP="000206C7">
            <w:pPr>
              <w:jc w:val="center"/>
              <w:rPr>
                <w:rFonts w:ascii="Times New Roman" w:hAnsi="Times New Roman" w:cs="Times New Roman"/>
                <w:lang w:val="en-US"/>
              </w:rPr>
            </w:pPr>
            <w:r>
              <w:rPr>
                <w:rFonts w:ascii="Times New Roman" w:hAnsi="Times New Roman" w:cs="Times New Roman"/>
                <w:lang w:val="en-US"/>
              </w:rPr>
              <w:t>8.75</w:t>
            </w:r>
          </w:p>
        </w:tc>
      </w:tr>
    </w:tbl>
    <w:bookmarkEnd w:id="3"/>
    <w:p w14:paraId="69305905" w14:textId="57D95F7D" w:rsidR="00771F13" w:rsidRDefault="00EE5FB1" w:rsidP="009A6DD8">
      <w:pPr>
        <w:spacing w:line="240" w:lineRule="auto"/>
        <w:rPr>
          <w:rFonts w:ascii="Times New Roman" w:hAnsi="Times New Roman" w:cs="Times New Roman"/>
          <w:b/>
          <w:bCs/>
          <w:lang w:val="en-US"/>
        </w:rPr>
      </w:pPr>
      <w:r>
        <w:rPr>
          <w:rFonts w:ascii="Times New Roman" w:hAnsi="Times New Roman" w:cs="Times New Roman"/>
          <w:b/>
          <w:bCs/>
          <w:lang w:val="en-US"/>
        </w:rPr>
        <w:t xml:space="preserve">Source: </w:t>
      </w:r>
    </w:p>
    <w:p w14:paraId="312EDD1F" w14:textId="77777777" w:rsidR="000206C7" w:rsidRDefault="000206C7" w:rsidP="009A6DD8">
      <w:pPr>
        <w:spacing w:line="240" w:lineRule="auto"/>
        <w:rPr>
          <w:rFonts w:ascii="Times New Roman" w:hAnsi="Times New Roman" w:cs="Times New Roman"/>
          <w:b/>
          <w:bCs/>
          <w:lang w:val="en-US"/>
        </w:rPr>
      </w:pPr>
    </w:p>
    <w:p w14:paraId="23C458E9" w14:textId="2604AE27" w:rsidR="000206C7" w:rsidRDefault="000206C7" w:rsidP="009A6DD8">
      <w:pPr>
        <w:spacing w:line="240" w:lineRule="auto"/>
        <w:rPr>
          <w:rFonts w:ascii="Times New Roman" w:hAnsi="Times New Roman" w:cs="Times New Roman"/>
          <w:b/>
          <w:bCs/>
          <w:lang w:val="en-US"/>
        </w:rPr>
      </w:pPr>
      <w:r>
        <w:rPr>
          <w:rFonts w:ascii="Times New Roman" w:hAnsi="Times New Roman" w:cs="Times New Roman"/>
          <w:b/>
          <w:bCs/>
          <w:lang w:val="en-US"/>
        </w:rPr>
        <w:t xml:space="preserve">Prevalence of </w:t>
      </w:r>
      <w:r w:rsidRPr="000206C7">
        <w:rPr>
          <w:rFonts w:ascii="Times New Roman" w:hAnsi="Times New Roman" w:cs="Times New Roman"/>
          <w:b/>
          <w:bCs/>
          <w:i/>
          <w:iCs/>
          <w:lang w:val="en-US"/>
        </w:rPr>
        <w:t>Onchocerca volvulus</w:t>
      </w:r>
      <w:r>
        <w:rPr>
          <w:rFonts w:ascii="Times New Roman" w:hAnsi="Times New Roman" w:cs="Times New Roman"/>
          <w:b/>
          <w:bCs/>
          <w:lang w:val="en-US"/>
        </w:rPr>
        <w:t xml:space="preserve"> infection</w:t>
      </w:r>
    </w:p>
    <w:p w14:paraId="547B0806" w14:textId="561811B3" w:rsidR="000206C7" w:rsidRDefault="000206C7" w:rsidP="009A6DD8">
      <w:pPr>
        <w:spacing w:line="240" w:lineRule="auto"/>
        <w:rPr>
          <w:rFonts w:ascii="Times New Roman" w:hAnsi="Times New Roman" w:cs="Times New Roman"/>
          <w:lang w:val="en-US"/>
        </w:rPr>
      </w:pPr>
      <w:r>
        <w:rPr>
          <w:rFonts w:ascii="Times New Roman" w:hAnsi="Times New Roman" w:cs="Times New Roman"/>
          <w:lang w:val="en-US"/>
        </w:rPr>
        <w:t xml:space="preserve">Of the 400 participants examined, 126 were positive for microfilariae (Mf), yielding an overall prevalence of </w:t>
      </w:r>
      <w:r w:rsidRPr="00701CCC">
        <w:rPr>
          <w:rFonts w:ascii="Times New Roman" w:hAnsi="Times New Roman" w:cs="Times New Roman"/>
          <w:b/>
          <w:bCs/>
          <w:lang w:val="en-US"/>
        </w:rPr>
        <w:t>31.5%</w:t>
      </w:r>
      <w:r>
        <w:rPr>
          <w:rFonts w:ascii="Times New Roman" w:hAnsi="Times New Roman" w:cs="Times New Roman"/>
          <w:lang w:val="en-US"/>
        </w:rPr>
        <w:t xml:space="preserve"> (95% Cl: 27.0 – 36.2)</w:t>
      </w:r>
      <w:r w:rsidR="007307FB">
        <w:rPr>
          <w:rFonts w:ascii="Times New Roman" w:hAnsi="Times New Roman" w:cs="Times New Roman"/>
          <w:lang w:val="en-US"/>
        </w:rPr>
        <w:t>.</w:t>
      </w:r>
    </w:p>
    <w:p w14:paraId="69FEFAE5" w14:textId="44D84D2F" w:rsidR="007307FB" w:rsidRPr="00053B3A" w:rsidRDefault="007307FB" w:rsidP="009A6DD8">
      <w:pPr>
        <w:spacing w:line="240" w:lineRule="auto"/>
        <w:rPr>
          <w:rFonts w:ascii="Times New Roman" w:hAnsi="Times New Roman" w:cs="Times New Roman"/>
          <w:b/>
          <w:bCs/>
          <w:lang w:val="en-US"/>
        </w:rPr>
      </w:pPr>
      <w:r w:rsidRPr="00053B3A">
        <w:rPr>
          <w:rFonts w:ascii="Times New Roman" w:hAnsi="Times New Roman" w:cs="Times New Roman"/>
          <w:b/>
          <w:bCs/>
          <w:lang w:val="en-US"/>
        </w:rPr>
        <w:t>Prevalence by Sex:</w:t>
      </w:r>
    </w:p>
    <w:p w14:paraId="1517C0E4" w14:textId="213C5FB2" w:rsidR="007307FB" w:rsidRDefault="007307FB" w:rsidP="009A6DD8">
      <w:pPr>
        <w:spacing w:line="240" w:lineRule="auto"/>
        <w:rPr>
          <w:rFonts w:ascii="Times New Roman" w:hAnsi="Times New Roman" w:cs="Times New Roman"/>
          <w:lang w:val="en-US"/>
        </w:rPr>
      </w:pPr>
      <w:r>
        <w:rPr>
          <w:rFonts w:ascii="Times New Roman" w:hAnsi="Times New Roman" w:cs="Times New Roman"/>
          <w:lang w:val="en-US"/>
        </w:rPr>
        <w:t>Males had a significantly higher prevalence compared to females:</w:t>
      </w:r>
      <w:r w:rsidR="004F4A59">
        <w:rPr>
          <w:rFonts w:ascii="Times New Roman" w:hAnsi="Times New Roman" w:cs="Times New Roman"/>
          <w:lang w:val="en-US"/>
        </w:rPr>
        <w:t xml:space="preserve"> </w:t>
      </w:r>
      <w:r w:rsidR="004F4A59" w:rsidRPr="00E756C7">
        <w:rPr>
          <w:rFonts w:ascii="Times New Roman" w:hAnsi="Times New Roman" w:cs="Times New Roman"/>
          <w:b/>
          <w:bCs/>
          <w:lang w:val="en-US"/>
        </w:rPr>
        <w:t>3</w:t>
      </w:r>
      <w:r w:rsidR="00437CA1" w:rsidRPr="00E756C7">
        <w:rPr>
          <w:rFonts w:ascii="Times New Roman" w:hAnsi="Times New Roman" w:cs="Times New Roman"/>
          <w:b/>
          <w:bCs/>
          <w:lang w:val="en-US"/>
        </w:rPr>
        <w:t>7</w:t>
      </w:r>
      <w:r w:rsidR="004F4A59" w:rsidRPr="00E756C7">
        <w:rPr>
          <w:rFonts w:ascii="Times New Roman" w:hAnsi="Times New Roman" w:cs="Times New Roman"/>
          <w:b/>
          <w:bCs/>
          <w:lang w:val="en-US"/>
        </w:rPr>
        <w:t>.</w:t>
      </w:r>
      <w:r w:rsidR="00437CA1" w:rsidRPr="00E756C7">
        <w:rPr>
          <w:rFonts w:ascii="Times New Roman" w:hAnsi="Times New Roman" w:cs="Times New Roman"/>
          <w:b/>
          <w:bCs/>
          <w:lang w:val="en-US"/>
        </w:rPr>
        <w:t>2</w:t>
      </w:r>
      <w:r w:rsidR="004F4A59" w:rsidRPr="00E756C7">
        <w:rPr>
          <w:rFonts w:ascii="Times New Roman" w:hAnsi="Times New Roman" w:cs="Times New Roman"/>
          <w:b/>
          <w:bCs/>
          <w:lang w:val="en-US"/>
        </w:rPr>
        <w:t>%</w:t>
      </w:r>
      <w:r w:rsidR="004F4A59">
        <w:rPr>
          <w:rFonts w:ascii="Times New Roman" w:hAnsi="Times New Roman" w:cs="Times New Roman"/>
          <w:lang w:val="en-US"/>
        </w:rPr>
        <w:t xml:space="preserve"> (n = 71/191)</w:t>
      </w:r>
      <w:r w:rsidR="00437CA1">
        <w:rPr>
          <w:rFonts w:ascii="Times New Roman" w:hAnsi="Times New Roman" w:cs="Times New Roman"/>
          <w:lang w:val="en-US"/>
        </w:rPr>
        <w:t xml:space="preserve"> versus </w:t>
      </w:r>
      <w:r w:rsidR="00437CA1" w:rsidRPr="00E756C7">
        <w:rPr>
          <w:rFonts w:ascii="Times New Roman" w:hAnsi="Times New Roman" w:cs="Times New Roman"/>
          <w:b/>
          <w:bCs/>
          <w:lang w:val="en-US"/>
        </w:rPr>
        <w:t>26.3%</w:t>
      </w:r>
      <w:r w:rsidR="00437CA1">
        <w:rPr>
          <w:rFonts w:ascii="Times New Roman" w:hAnsi="Times New Roman" w:cs="Times New Roman"/>
          <w:lang w:val="en-US"/>
        </w:rPr>
        <w:t xml:space="preserve"> (n = 55/209); </w:t>
      </w:r>
      <w:r w:rsidR="00437CA1" w:rsidRPr="00E756C7">
        <w:rPr>
          <w:rFonts w:ascii="Times New Roman" w:hAnsi="Times New Roman" w:cs="Times New Roman"/>
          <w:b/>
          <w:bCs/>
          <w:lang w:val="en-US"/>
        </w:rPr>
        <w:t>X</w:t>
      </w:r>
      <w:r w:rsidR="00437CA1" w:rsidRPr="00E756C7">
        <w:rPr>
          <w:rFonts w:ascii="Times New Roman" w:hAnsi="Times New Roman" w:cs="Times New Roman"/>
          <w:b/>
          <w:bCs/>
          <w:vertAlign w:val="superscript"/>
          <w:lang w:val="en-US"/>
        </w:rPr>
        <w:t xml:space="preserve">2 </w:t>
      </w:r>
      <w:r w:rsidR="00437CA1" w:rsidRPr="00E756C7">
        <w:rPr>
          <w:rFonts w:ascii="Times New Roman" w:hAnsi="Times New Roman" w:cs="Times New Roman"/>
          <w:b/>
          <w:bCs/>
          <w:lang w:val="en-US"/>
        </w:rPr>
        <w:t>= 4.71, p = 0.030</w:t>
      </w:r>
      <w:r w:rsidR="00437CA1">
        <w:rPr>
          <w:rFonts w:ascii="Times New Roman" w:hAnsi="Times New Roman" w:cs="Times New Roman"/>
          <w:lang w:val="en-US"/>
        </w:rPr>
        <w:t>.</w:t>
      </w:r>
    </w:p>
    <w:p w14:paraId="611A74D8" w14:textId="6008C2BA" w:rsidR="00437CA1" w:rsidRDefault="00053B3A" w:rsidP="009A6DD8">
      <w:pPr>
        <w:spacing w:line="240" w:lineRule="auto"/>
        <w:rPr>
          <w:rFonts w:ascii="Times New Roman" w:hAnsi="Times New Roman" w:cs="Times New Roman"/>
          <w:b/>
          <w:bCs/>
          <w:lang w:val="en-US"/>
        </w:rPr>
      </w:pPr>
      <w:r w:rsidRPr="00053B3A">
        <w:rPr>
          <w:rFonts w:ascii="Times New Roman" w:hAnsi="Times New Roman" w:cs="Times New Roman"/>
          <w:b/>
          <w:bCs/>
          <w:lang w:val="en-US"/>
        </w:rPr>
        <w:t>P</w:t>
      </w:r>
      <w:r w:rsidR="00437CA1" w:rsidRPr="00053B3A">
        <w:rPr>
          <w:rFonts w:ascii="Times New Roman" w:hAnsi="Times New Roman" w:cs="Times New Roman"/>
          <w:b/>
          <w:bCs/>
          <w:lang w:val="en-US"/>
        </w:rPr>
        <w:t>re</w:t>
      </w:r>
      <w:r w:rsidRPr="00053B3A">
        <w:rPr>
          <w:rFonts w:ascii="Times New Roman" w:hAnsi="Times New Roman" w:cs="Times New Roman"/>
          <w:b/>
          <w:bCs/>
          <w:lang w:val="en-US"/>
        </w:rPr>
        <w:t>valence by Age Group</w:t>
      </w:r>
      <w:r>
        <w:rPr>
          <w:rFonts w:ascii="Times New Roman" w:hAnsi="Times New Roman" w:cs="Times New Roman"/>
          <w:b/>
          <w:bCs/>
          <w:lang w:val="en-US"/>
        </w:rPr>
        <w:t>:</w:t>
      </w:r>
    </w:p>
    <w:p w14:paraId="2471A709" w14:textId="09D2FD18" w:rsidR="00053B3A" w:rsidRDefault="00053B3A" w:rsidP="009A6DD8">
      <w:pPr>
        <w:spacing w:line="240" w:lineRule="auto"/>
        <w:rPr>
          <w:rFonts w:ascii="Times New Roman" w:hAnsi="Times New Roman" w:cs="Times New Roman"/>
          <w:lang w:val="en-US"/>
        </w:rPr>
      </w:pPr>
      <w:r>
        <w:rPr>
          <w:rFonts w:ascii="Times New Roman" w:hAnsi="Times New Roman" w:cs="Times New Roman"/>
          <w:lang w:val="en-US"/>
        </w:rPr>
        <w:t>Infection prevalence varied significantly across age groups (</w:t>
      </w:r>
      <w:r w:rsidRPr="007852E1">
        <w:rPr>
          <w:rFonts w:ascii="Times New Roman" w:hAnsi="Times New Roman" w:cs="Times New Roman"/>
          <w:b/>
          <w:bCs/>
          <w:lang w:val="en-US"/>
        </w:rPr>
        <w:t>X</w:t>
      </w:r>
      <w:r w:rsidRPr="007852E1">
        <w:rPr>
          <w:rFonts w:ascii="Times New Roman" w:hAnsi="Times New Roman" w:cs="Times New Roman"/>
          <w:b/>
          <w:bCs/>
          <w:vertAlign w:val="superscript"/>
          <w:lang w:val="en-US"/>
        </w:rPr>
        <w:t>2</w:t>
      </w:r>
      <w:r w:rsidRPr="007852E1">
        <w:rPr>
          <w:rFonts w:ascii="Times New Roman" w:hAnsi="Times New Roman" w:cs="Times New Roman"/>
          <w:b/>
          <w:bCs/>
          <w:lang w:val="en-US"/>
        </w:rPr>
        <w:t xml:space="preserve"> = 12.36</w:t>
      </w:r>
      <w:r>
        <w:rPr>
          <w:rFonts w:ascii="Times New Roman" w:hAnsi="Times New Roman" w:cs="Times New Roman"/>
          <w:lang w:val="en-US"/>
        </w:rPr>
        <w:t xml:space="preserve">, </w:t>
      </w:r>
      <w:r w:rsidRPr="007852E1">
        <w:rPr>
          <w:rFonts w:ascii="Times New Roman" w:hAnsi="Times New Roman" w:cs="Times New Roman"/>
          <w:i/>
          <w:iCs/>
          <w:lang w:val="en-US"/>
        </w:rPr>
        <w:t>p</w:t>
      </w:r>
      <w:r>
        <w:rPr>
          <w:rFonts w:ascii="Times New Roman" w:hAnsi="Times New Roman" w:cs="Times New Roman"/>
          <w:lang w:val="en-US"/>
        </w:rPr>
        <w:t xml:space="preserve"> = 0.015). The highest prevalence was observed in the 30 – 44 years age group at </w:t>
      </w:r>
      <w:r w:rsidRPr="00E756C7">
        <w:rPr>
          <w:rFonts w:ascii="Times New Roman" w:hAnsi="Times New Roman" w:cs="Times New Roman"/>
          <w:b/>
          <w:bCs/>
          <w:lang w:val="en-US"/>
        </w:rPr>
        <w:t>41.2%</w:t>
      </w:r>
      <w:r>
        <w:rPr>
          <w:rFonts w:ascii="Times New Roman" w:hAnsi="Times New Roman" w:cs="Times New Roman"/>
          <w:lang w:val="en-US"/>
        </w:rPr>
        <w:t xml:space="preserve">, while the lowest was in children aged 5 – 14 years at </w:t>
      </w:r>
      <w:r w:rsidR="00E756C7" w:rsidRPr="00E756C7">
        <w:rPr>
          <w:rFonts w:ascii="Times New Roman" w:hAnsi="Times New Roman" w:cs="Times New Roman"/>
          <w:b/>
          <w:bCs/>
          <w:lang w:val="en-US"/>
        </w:rPr>
        <w:t>18.3%</w:t>
      </w:r>
      <w:r w:rsidR="00E756C7">
        <w:rPr>
          <w:rFonts w:ascii="Times New Roman" w:hAnsi="Times New Roman" w:cs="Times New Roman"/>
          <w:lang w:val="en-US"/>
        </w:rPr>
        <w:t xml:space="preserve"> (n = 13/71).</w:t>
      </w:r>
    </w:p>
    <w:p w14:paraId="190D1899" w14:textId="0314FC3C" w:rsidR="00E756C7" w:rsidRPr="00701CCC" w:rsidRDefault="00E756C7" w:rsidP="009A6DD8">
      <w:pPr>
        <w:spacing w:line="240" w:lineRule="auto"/>
        <w:rPr>
          <w:rFonts w:ascii="Times New Roman" w:hAnsi="Times New Roman" w:cs="Times New Roman"/>
          <w:b/>
          <w:bCs/>
          <w:lang w:val="en-US"/>
        </w:rPr>
      </w:pPr>
      <w:bookmarkStart w:id="4" w:name="_Hlk232887828"/>
      <w:bookmarkStart w:id="5" w:name="_Hlk233131660"/>
      <w:r w:rsidRPr="00701CCC">
        <w:rPr>
          <w:rFonts w:ascii="Times New Roman" w:hAnsi="Times New Roman" w:cs="Times New Roman"/>
          <w:b/>
          <w:bCs/>
          <w:lang w:val="en-US"/>
        </w:rPr>
        <w:lastRenderedPageBreak/>
        <w:t xml:space="preserve">Table 2: Prevalence of Onchocerca volvulus by Sex </w:t>
      </w:r>
    </w:p>
    <w:tbl>
      <w:tblPr>
        <w:tblStyle w:val="TableGrid"/>
        <w:tblW w:w="0" w:type="auto"/>
        <w:tblLook w:val="04A0" w:firstRow="1" w:lastRow="0" w:firstColumn="1" w:lastColumn="0" w:noHBand="0" w:noVBand="1"/>
      </w:tblPr>
      <w:tblGrid>
        <w:gridCol w:w="1631"/>
        <w:gridCol w:w="1631"/>
        <w:gridCol w:w="1631"/>
        <w:gridCol w:w="1631"/>
        <w:gridCol w:w="1632"/>
        <w:gridCol w:w="1632"/>
        <w:gridCol w:w="1632"/>
      </w:tblGrid>
      <w:tr w:rsidR="009B2AB0" w14:paraId="7624C5ED" w14:textId="77777777" w:rsidTr="009B2AB0">
        <w:tc>
          <w:tcPr>
            <w:tcW w:w="1631" w:type="dxa"/>
          </w:tcPr>
          <w:bookmarkEnd w:id="4"/>
          <w:p w14:paraId="3A48EAD6" w14:textId="1CE11A55" w:rsidR="009B2AB0" w:rsidRPr="003E5847" w:rsidRDefault="009B2AB0" w:rsidP="009A6DD8">
            <w:pPr>
              <w:rPr>
                <w:rFonts w:ascii="Times New Roman" w:hAnsi="Times New Roman" w:cs="Times New Roman"/>
                <w:b/>
                <w:bCs/>
                <w:lang w:val="en-US"/>
              </w:rPr>
            </w:pPr>
            <w:r w:rsidRPr="003E5847">
              <w:rPr>
                <w:rFonts w:ascii="Times New Roman" w:hAnsi="Times New Roman" w:cs="Times New Roman"/>
                <w:b/>
                <w:bCs/>
                <w:lang w:val="en-US"/>
              </w:rPr>
              <w:t xml:space="preserve">Variable </w:t>
            </w:r>
          </w:p>
        </w:tc>
        <w:tc>
          <w:tcPr>
            <w:tcW w:w="1631" w:type="dxa"/>
          </w:tcPr>
          <w:p w14:paraId="1A65EABD" w14:textId="2A6920BD" w:rsidR="009B2AB0" w:rsidRPr="003E5847" w:rsidRDefault="009B2AB0" w:rsidP="00C540FB">
            <w:pPr>
              <w:jc w:val="center"/>
              <w:rPr>
                <w:rFonts w:ascii="Times New Roman" w:hAnsi="Times New Roman" w:cs="Times New Roman"/>
                <w:b/>
                <w:bCs/>
                <w:lang w:val="en-US"/>
              </w:rPr>
            </w:pPr>
            <w:r w:rsidRPr="003E5847">
              <w:rPr>
                <w:rFonts w:ascii="Times New Roman" w:hAnsi="Times New Roman" w:cs="Times New Roman"/>
                <w:b/>
                <w:bCs/>
                <w:lang w:val="en-US"/>
              </w:rPr>
              <w:t>Category</w:t>
            </w:r>
          </w:p>
        </w:tc>
        <w:tc>
          <w:tcPr>
            <w:tcW w:w="1631" w:type="dxa"/>
          </w:tcPr>
          <w:p w14:paraId="52EB03B7" w14:textId="3513DE36" w:rsidR="009B2AB0" w:rsidRPr="003E5847" w:rsidRDefault="007852E1" w:rsidP="009A6DD8">
            <w:pPr>
              <w:rPr>
                <w:rFonts w:ascii="Times New Roman" w:hAnsi="Times New Roman" w:cs="Times New Roman"/>
                <w:b/>
                <w:bCs/>
                <w:lang w:val="en-US"/>
              </w:rPr>
            </w:pPr>
            <w:r w:rsidRPr="003E5847">
              <w:rPr>
                <w:rFonts w:ascii="Times New Roman" w:hAnsi="Times New Roman" w:cs="Times New Roman"/>
                <w:b/>
                <w:bCs/>
                <w:lang w:val="en-US"/>
              </w:rPr>
              <w:t>No. examined</w:t>
            </w:r>
          </w:p>
        </w:tc>
        <w:tc>
          <w:tcPr>
            <w:tcW w:w="1631" w:type="dxa"/>
          </w:tcPr>
          <w:p w14:paraId="1CFA6005" w14:textId="6C9ABEDB" w:rsidR="009B2AB0" w:rsidRPr="003E5847" w:rsidRDefault="007852E1" w:rsidP="009A6DD8">
            <w:pPr>
              <w:rPr>
                <w:rFonts w:ascii="Times New Roman" w:hAnsi="Times New Roman" w:cs="Times New Roman"/>
                <w:b/>
                <w:bCs/>
                <w:lang w:val="en-US"/>
              </w:rPr>
            </w:pPr>
            <w:r w:rsidRPr="003E5847">
              <w:rPr>
                <w:rFonts w:ascii="Times New Roman" w:hAnsi="Times New Roman" w:cs="Times New Roman"/>
                <w:b/>
                <w:bCs/>
                <w:lang w:val="en-US"/>
              </w:rPr>
              <w:t>No. positive</w:t>
            </w:r>
          </w:p>
        </w:tc>
        <w:tc>
          <w:tcPr>
            <w:tcW w:w="1632" w:type="dxa"/>
          </w:tcPr>
          <w:p w14:paraId="4C425FCE" w14:textId="752929A7" w:rsidR="009B2AB0" w:rsidRPr="003E5847" w:rsidRDefault="007852E1" w:rsidP="009A6DD8">
            <w:pPr>
              <w:rPr>
                <w:rFonts w:ascii="Times New Roman" w:hAnsi="Times New Roman" w:cs="Times New Roman"/>
                <w:b/>
                <w:bCs/>
                <w:lang w:val="en-US"/>
              </w:rPr>
            </w:pPr>
            <w:r w:rsidRPr="003E5847">
              <w:rPr>
                <w:rFonts w:ascii="Times New Roman" w:hAnsi="Times New Roman" w:cs="Times New Roman"/>
                <w:b/>
                <w:bCs/>
                <w:lang w:val="en-US"/>
              </w:rPr>
              <w:t>Prevalence %</w:t>
            </w:r>
          </w:p>
        </w:tc>
        <w:tc>
          <w:tcPr>
            <w:tcW w:w="1632" w:type="dxa"/>
          </w:tcPr>
          <w:p w14:paraId="29624052" w14:textId="74705CD9" w:rsidR="009B2AB0" w:rsidRPr="003E5847" w:rsidRDefault="007852E1" w:rsidP="001C7856">
            <w:pPr>
              <w:jc w:val="center"/>
              <w:rPr>
                <w:rFonts w:ascii="Times New Roman" w:hAnsi="Times New Roman" w:cs="Times New Roman"/>
                <w:b/>
                <w:bCs/>
                <w:lang w:val="en-US"/>
              </w:rPr>
            </w:pPr>
            <w:r w:rsidRPr="003E5847">
              <w:rPr>
                <w:rFonts w:ascii="Times New Roman" w:hAnsi="Times New Roman" w:cs="Times New Roman"/>
                <w:b/>
                <w:bCs/>
                <w:lang w:val="en-US"/>
              </w:rPr>
              <w:t>95% Cl</w:t>
            </w:r>
          </w:p>
        </w:tc>
        <w:tc>
          <w:tcPr>
            <w:tcW w:w="1632" w:type="dxa"/>
          </w:tcPr>
          <w:p w14:paraId="394A6581" w14:textId="60EED537" w:rsidR="009B2AB0" w:rsidRPr="003E5847" w:rsidRDefault="007852E1" w:rsidP="001C7856">
            <w:pPr>
              <w:jc w:val="center"/>
              <w:rPr>
                <w:rFonts w:ascii="Times New Roman" w:hAnsi="Times New Roman" w:cs="Times New Roman"/>
                <w:b/>
                <w:bCs/>
                <w:lang w:val="en-US"/>
              </w:rPr>
            </w:pPr>
            <w:r w:rsidRPr="003E5847">
              <w:rPr>
                <w:rFonts w:ascii="Times New Roman" w:hAnsi="Times New Roman" w:cs="Times New Roman"/>
                <w:b/>
                <w:bCs/>
                <w:i/>
                <w:iCs/>
                <w:lang w:val="en-US"/>
              </w:rPr>
              <w:t>p</w:t>
            </w:r>
            <w:r w:rsidRPr="003E5847">
              <w:rPr>
                <w:rFonts w:ascii="Times New Roman" w:hAnsi="Times New Roman" w:cs="Times New Roman"/>
                <w:b/>
                <w:bCs/>
                <w:lang w:val="en-US"/>
              </w:rPr>
              <w:t>-value</w:t>
            </w:r>
          </w:p>
        </w:tc>
      </w:tr>
      <w:tr w:rsidR="009B2AB0" w14:paraId="6B4A4D64" w14:textId="77777777" w:rsidTr="009B2AB0">
        <w:tc>
          <w:tcPr>
            <w:tcW w:w="1631" w:type="dxa"/>
          </w:tcPr>
          <w:p w14:paraId="7BC9FA8C" w14:textId="40914E37" w:rsidR="009B2AB0" w:rsidRPr="003E5847" w:rsidRDefault="009B2AB0" w:rsidP="009A6DD8">
            <w:pPr>
              <w:rPr>
                <w:rFonts w:ascii="Times New Roman" w:hAnsi="Times New Roman" w:cs="Times New Roman"/>
                <w:b/>
                <w:bCs/>
                <w:lang w:val="en-US"/>
              </w:rPr>
            </w:pPr>
            <w:r w:rsidRPr="003E5847">
              <w:rPr>
                <w:rFonts w:ascii="Times New Roman" w:hAnsi="Times New Roman" w:cs="Times New Roman"/>
                <w:b/>
                <w:bCs/>
                <w:lang w:val="en-US"/>
              </w:rPr>
              <w:t xml:space="preserve">Sex </w:t>
            </w:r>
          </w:p>
        </w:tc>
        <w:tc>
          <w:tcPr>
            <w:tcW w:w="1631" w:type="dxa"/>
          </w:tcPr>
          <w:p w14:paraId="0E9DCAF8" w14:textId="66B70A16" w:rsidR="009B2AB0" w:rsidRDefault="009B2AB0" w:rsidP="009A6DD8">
            <w:pPr>
              <w:rPr>
                <w:rFonts w:ascii="Times New Roman" w:hAnsi="Times New Roman" w:cs="Times New Roman"/>
                <w:lang w:val="en-US"/>
              </w:rPr>
            </w:pPr>
            <w:r>
              <w:rPr>
                <w:rFonts w:ascii="Times New Roman" w:hAnsi="Times New Roman" w:cs="Times New Roman"/>
                <w:lang w:val="en-US"/>
              </w:rPr>
              <w:t xml:space="preserve">Male </w:t>
            </w:r>
          </w:p>
        </w:tc>
        <w:tc>
          <w:tcPr>
            <w:tcW w:w="1631" w:type="dxa"/>
          </w:tcPr>
          <w:p w14:paraId="5680342E" w14:textId="17EE0DF2" w:rsidR="009B2AB0" w:rsidRDefault="007852E1" w:rsidP="00701CCC">
            <w:pPr>
              <w:jc w:val="center"/>
              <w:rPr>
                <w:rFonts w:ascii="Times New Roman" w:hAnsi="Times New Roman" w:cs="Times New Roman"/>
                <w:lang w:val="en-US"/>
              </w:rPr>
            </w:pPr>
            <w:r>
              <w:rPr>
                <w:rFonts w:ascii="Times New Roman" w:hAnsi="Times New Roman" w:cs="Times New Roman"/>
                <w:lang w:val="en-US"/>
              </w:rPr>
              <w:t>191</w:t>
            </w:r>
          </w:p>
        </w:tc>
        <w:tc>
          <w:tcPr>
            <w:tcW w:w="1631" w:type="dxa"/>
          </w:tcPr>
          <w:p w14:paraId="0F5EA95F" w14:textId="06EF7B4F" w:rsidR="009B2AB0" w:rsidRDefault="007852E1" w:rsidP="00701CCC">
            <w:pPr>
              <w:jc w:val="center"/>
              <w:rPr>
                <w:rFonts w:ascii="Times New Roman" w:hAnsi="Times New Roman" w:cs="Times New Roman"/>
                <w:lang w:val="en-US"/>
              </w:rPr>
            </w:pPr>
            <w:r>
              <w:rPr>
                <w:rFonts w:ascii="Times New Roman" w:hAnsi="Times New Roman" w:cs="Times New Roman"/>
                <w:lang w:val="en-US"/>
              </w:rPr>
              <w:t>71</w:t>
            </w:r>
          </w:p>
        </w:tc>
        <w:tc>
          <w:tcPr>
            <w:tcW w:w="1632" w:type="dxa"/>
          </w:tcPr>
          <w:p w14:paraId="3D946120" w14:textId="6AAD4310" w:rsidR="009B2AB0" w:rsidRDefault="001C7856" w:rsidP="001C7856">
            <w:pPr>
              <w:jc w:val="center"/>
              <w:rPr>
                <w:rFonts w:ascii="Times New Roman" w:hAnsi="Times New Roman" w:cs="Times New Roman"/>
                <w:lang w:val="en-US"/>
              </w:rPr>
            </w:pPr>
            <w:r>
              <w:rPr>
                <w:rFonts w:ascii="Times New Roman" w:hAnsi="Times New Roman" w:cs="Times New Roman"/>
                <w:lang w:val="en-US"/>
              </w:rPr>
              <w:t>36.8</w:t>
            </w:r>
          </w:p>
        </w:tc>
        <w:tc>
          <w:tcPr>
            <w:tcW w:w="1632" w:type="dxa"/>
          </w:tcPr>
          <w:p w14:paraId="005EEAA3" w14:textId="188E44B2" w:rsidR="009B2AB0" w:rsidRDefault="001C7856" w:rsidP="009A6DD8">
            <w:pPr>
              <w:rPr>
                <w:rFonts w:ascii="Times New Roman" w:hAnsi="Times New Roman" w:cs="Times New Roman"/>
                <w:lang w:val="en-US"/>
              </w:rPr>
            </w:pPr>
            <w:r>
              <w:rPr>
                <w:rFonts w:ascii="Times New Roman" w:hAnsi="Times New Roman" w:cs="Times New Roman"/>
                <w:lang w:val="en-US"/>
              </w:rPr>
              <w:t>30.1 – 43.9</w:t>
            </w:r>
          </w:p>
        </w:tc>
        <w:tc>
          <w:tcPr>
            <w:tcW w:w="1632" w:type="dxa"/>
          </w:tcPr>
          <w:p w14:paraId="545C12CE" w14:textId="0D1A5447" w:rsidR="009B2AB0" w:rsidRDefault="007852E1" w:rsidP="001C7856">
            <w:pPr>
              <w:jc w:val="center"/>
              <w:rPr>
                <w:rFonts w:ascii="Times New Roman" w:hAnsi="Times New Roman" w:cs="Times New Roman"/>
                <w:lang w:val="en-US"/>
              </w:rPr>
            </w:pPr>
            <w:r>
              <w:rPr>
                <w:rFonts w:ascii="Times New Roman" w:hAnsi="Times New Roman" w:cs="Times New Roman"/>
                <w:lang w:val="en-US"/>
              </w:rPr>
              <w:t>0.030*</w:t>
            </w:r>
          </w:p>
        </w:tc>
      </w:tr>
      <w:tr w:rsidR="009B2AB0" w14:paraId="13E079B5" w14:textId="77777777" w:rsidTr="009B2AB0">
        <w:tc>
          <w:tcPr>
            <w:tcW w:w="1631" w:type="dxa"/>
          </w:tcPr>
          <w:p w14:paraId="1C87D46A" w14:textId="77777777" w:rsidR="009B2AB0" w:rsidRPr="003E5847" w:rsidRDefault="009B2AB0" w:rsidP="009A6DD8">
            <w:pPr>
              <w:rPr>
                <w:rFonts w:ascii="Times New Roman" w:hAnsi="Times New Roman" w:cs="Times New Roman"/>
                <w:b/>
                <w:bCs/>
                <w:lang w:val="en-US"/>
              </w:rPr>
            </w:pPr>
          </w:p>
        </w:tc>
        <w:tc>
          <w:tcPr>
            <w:tcW w:w="1631" w:type="dxa"/>
          </w:tcPr>
          <w:p w14:paraId="21ECAD51" w14:textId="161BF9BD" w:rsidR="009B2AB0" w:rsidRDefault="009B2AB0" w:rsidP="009A6DD8">
            <w:pPr>
              <w:rPr>
                <w:rFonts w:ascii="Times New Roman" w:hAnsi="Times New Roman" w:cs="Times New Roman"/>
                <w:lang w:val="en-US"/>
              </w:rPr>
            </w:pPr>
            <w:r>
              <w:rPr>
                <w:rFonts w:ascii="Times New Roman" w:hAnsi="Times New Roman" w:cs="Times New Roman"/>
                <w:lang w:val="en-US"/>
              </w:rPr>
              <w:t xml:space="preserve">Female </w:t>
            </w:r>
          </w:p>
        </w:tc>
        <w:tc>
          <w:tcPr>
            <w:tcW w:w="1631" w:type="dxa"/>
          </w:tcPr>
          <w:p w14:paraId="0FC1C8DB" w14:textId="46CCDCFE" w:rsidR="009B2AB0" w:rsidRDefault="007852E1" w:rsidP="00701CCC">
            <w:pPr>
              <w:jc w:val="center"/>
              <w:rPr>
                <w:rFonts w:ascii="Times New Roman" w:hAnsi="Times New Roman" w:cs="Times New Roman"/>
                <w:lang w:val="en-US"/>
              </w:rPr>
            </w:pPr>
            <w:r>
              <w:rPr>
                <w:rFonts w:ascii="Times New Roman" w:hAnsi="Times New Roman" w:cs="Times New Roman"/>
                <w:lang w:val="en-US"/>
              </w:rPr>
              <w:t>209</w:t>
            </w:r>
          </w:p>
        </w:tc>
        <w:tc>
          <w:tcPr>
            <w:tcW w:w="1631" w:type="dxa"/>
          </w:tcPr>
          <w:p w14:paraId="18433787" w14:textId="1D7297F6" w:rsidR="009B2AB0" w:rsidRDefault="007852E1" w:rsidP="00701CCC">
            <w:pPr>
              <w:jc w:val="center"/>
              <w:rPr>
                <w:rFonts w:ascii="Times New Roman" w:hAnsi="Times New Roman" w:cs="Times New Roman"/>
                <w:lang w:val="en-US"/>
              </w:rPr>
            </w:pPr>
            <w:r>
              <w:rPr>
                <w:rFonts w:ascii="Times New Roman" w:hAnsi="Times New Roman" w:cs="Times New Roman"/>
                <w:lang w:val="en-US"/>
              </w:rPr>
              <w:t>55</w:t>
            </w:r>
          </w:p>
        </w:tc>
        <w:tc>
          <w:tcPr>
            <w:tcW w:w="1632" w:type="dxa"/>
          </w:tcPr>
          <w:p w14:paraId="65B5F1D5" w14:textId="024D2013" w:rsidR="009B2AB0" w:rsidRDefault="001C7856" w:rsidP="001C7856">
            <w:pPr>
              <w:jc w:val="center"/>
              <w:rPr>
                <w:rFonts w:ascii="Times New Roman" w:hAnsi="Times New Roman" w:cs="Times New Roman"/>
                <w:lang w:val="en-US"/>
              </w:rPr>
            </w:pPr>
            <w:r>
              <w:rPr>
                <w:rFonts w:ascii="Times New Roman" w:hAnsi="Times New Roman" w:cs="Times New Roman"/>
                <w:lang w:val="en-US"/>
              </w:rPr>
              <w:t>26.4</w:t>
            </w:r>
          </w:p>
        </w:tc>
        <w:tc>
          <w:tcPr>
            <w:tcW w:w="1632" w:type="dxa"/>
          </w:tcPr>
          <w:p w14:paraId="100B76A3" w14:textId="6BAAD64F" w:rsidR="009B2AB0" w:rsidRDefault="001C7856" w:rsidP="009A6DD8">
            <w:pPr>
              <w:rPr>
                <w:rFonts w:ascii="Times New Roman" w:hAnsi="Times New Roman" w:cs="Times New Roman"/>
                <w:lang w:val="en-US"/>
              </w:rPr>
            </w:pPr>
            <w:r>
              <w:rPr>
                <w:rFonts w:ascii="Times New Roman" w:hAnsi="Times New Roman" w:cs="Times New Roman"/>
                <w:lang w:val="en-US"/>
              </w:rPr>
              <w:t>20.6 – 33.1</w:t>
            </w:r>
          </w:p>
        </w:tc>
        <w:tc>
          <w:tcPr>
            <w:tcW w:w="1632" w:type="dxa"/>
          </w:tcPr>
          <w:p w14:paraId="22D3012A" w14:textId="77777777" w:rsidR="009B2AB0" w:rsidRDefault="009B2AB0" w:rsidP="009A6DD8">
            <w:pPr>
              <w:rPr>
                <w:rFonts w:ascii="Times New Roman" w:hAnsi="Times New Roman" w:cs="Times New Roman"/>
                <w:lang w:val="en-US"/>
              </w:rPr>
            </w:pPr>
          </w:p>
        </w:tc>
      </w:tr>
      <w:tr w:rsidR="00E90839" w14:paraId="3E33470B" w14:textId="77777777" w:rsidTr="009B2AB0">
        <w:tc>
          <w:tcPr>
            <w:tcW w:w="1631" w:type="dxa"/>
          </w:tcPr>
          <w:p w14:paraId="32288591" w14:textId="725922A8" w:rsidR="00E90839" w:rsidRPr="003E5847" w:rsidRDefault="001C7856" w:rsidP="009A6DD8">
            <w:pPr>
              <w:rPr>
                <w:rFonts w:ascii="Times New Roman" w:hAnsi="Times New Roman" w:cs="Times New Roman"/>
                <w:b/>
                <w:bCs/>
                <w:lang w:val="en-US"/>
              </w:rPr>
            </w:pPr>
            <w:r>
              <w:rPr>
                <w:rFonts w:ascii="Times New Roman" w:hAnsi="Times New Roman" w:cs="Times New Roman"/>
                <w:b/>
                <w:bCs/>
                <w:lang w:val="en-US"/>
              </w:rPr>
              <w:t xml:space="preserve">Total </w:t>
            </w:r>
          </w:p>
        </w:tc>
        <w:tc>
          <w:tcPr>
            <w:tcW w:w="1631" w:type="dxa"/>
          </w:tcPr>
          <w:p w14:paraId="5798D09C" w14:textId="77777777" w:rsidR="00E90839" w:rsidRDefault="00E90839" w:rsidP="009A6DD8">
            <w:pPr>
              <w:rPr>
                <w:rFonts w:ascii="Times New Roman" w:hAnsi="Times New Roman" w:cs="Times New Roman"/>
                <w:lang w:val="en-US"/>
              </w:rPr>
            </w:pPr>
          </w:p>
        </w:tc>
        <w:tc>
          <w:tcPr>
            <w:tcW w:w="1631" w:type="dxa"/>
          </w:tcPr>
          <w:p w14:paraId="1C87CEB6" w14:textId="6DCCB0B2" w:rsidR="00E90839" w:rsidRPr="00D0194D" w:rsidRDefault="001C7856" w:rsidP="00701CCC">
            <w:pPr>
              <w:jc w:val="center"/>
              <w:rPr>
                <w:rFonts w:ascii="Times New Roman" w:hAnsi="Times New Roman" w:cs="Times New Roman"/>
                <w:b/>
                <w:bCs/>
                <w:lang w:val="en-US"/>
              </w:rPr>
            </w:pPr>
            <w:r w:rsidRPr="00D0194D">
              <w:rPr>
                <w:rFonts w:ascii="Times New Roman" w:hAnsi="Times New Roman" w:cs="Times New Roman"/>
                <w:b/>
                <w:bCs/>
                <w:lang w:val="en-US"/>
              </w:rPr>
              <w:t>400</w:t>
            </w:r>
          </w:p>
        </w:tc>
        <w:tc>
          <w:tcPr>
            <w:tcW w:w="1631" w:type="dxa"/>
          </w:tcPr>
          <w:p w14:paraId="2111CE06" w14:textId="45E0C9F1" w:rsidR="00E90839" w:rsidRPr="00D0194D" w:rsidRDefault="001C7856" w:rsidP="00701CCC">
            <w:pPr>
              <w:jc w:val="center"/>
              <w:rPr>
                <w:rFonts w:ascii="Times New Roman" w:hAnsi="Times New Roman" w:cs="Times New Roman"/>
                <w:b/>
                <w:bCs/>
                <w:lang w:val="en-US"/>
              </w:rPr>
            </w:pPr>
            <w:r w:rsidRPr="00D0194D">
              <w:rPr>
                <w:rFonts w:ascii="Times New Roman" w:hAnsi="Times New Roman" w:cs="Times New Roman"/>
                <w:b/>
                <w:bCs/>
                <w:lang w:val="en-US"/>
              </w:rPr>
              <w:t>126</w:t>
            </w:r>
          </w:p>
        </w:tc>
        <w:tc>
          <w:tcPr>
            <w:tcW w:w="1632" w:type="dxa"/>
          </w:tcPr>
          <w:p w14:paraId="43196E9B" w14:textId="77777777" w:rsidR="00E90839" w:rsidRDefault="00E90839" w:rsidP="009A6DD8">
            <w:pPr>
              <w:rPr>
                <w:rFonts w:ascii="Times New Roman" w:hAnsi="Times New Roman" w:cs="Times New Roman"/>
                <w:lang w:val="en-US"/>
              </w:rPr>
            </w:pPr>
          </w:p>
        </w:tc>
        <w:tc>
          <w:tcPr>
            <w:tcW w:w="1632" w:type="dxa"/>
          </w:tcPr>
          <w:p w14:paraId="41B51384" w14:textId="77777777" w:rsidR="00E90839" w:rsidRDefault="00E90839" w:rsidP="009A6DD8">
            <w:pPr>
              <w:rPr>
                <w:rFonts w:ascii="Times New Roman" w:hAnsi="Times New Roman" w:cs="Times New Roman"/>
                <w:lang w:val="en-US"/>
              </w:rPr>
            </w:pPr>
          </w:p>
        </w:tc>
        <w:tc>
          <w:tcPr>
            <w:tcW w:w="1632" w:type="dxa"/>
          </w:tcPr>
          <w:p w14:paraId="5ABA754F" w14:textId="77777777" w:rsidR="00E90839" w:rsidRDefault="00E90839" w:rsidP="009A6DD8">
            <w:pPr>
              <w:rPr>
                <w:rFonts w:ascii="Times New Roman" w:hAnsi="Times New Roman" w:cs="Times New Roman"/>
                <w:lang w:val="en-US"/>
              </w:rPr>
            </w:pPr>
          </w:p>
        </w:tc>
      </w:tr>
    </w:tbl>
    <w:p w14:paraId="64F69E79" w14:textId="09CC29EF" w:rsidR="00E756C7" w:rsidRPr="003E5847" w:rsidRDefault="003E5847" w:rsidP="003E5847">
      <w:pPr>
        <w:spacing w:line="240" w:lineRule="auto"/>
        <w:rPr>
          <w:rFonts w:ascii="Times New Roman" w:hAnsi="Times New Roman" w:cs="Times New Roman"/>
          <w:lang w:val="en-US"/>
        </w:rPr>
      </w:pPr>
      <w:r>
        <w:rPr>
          <w:rFonts w:ascii="Times New Roman" w:hAnsi="Times New Roman" w:cs="Times New Roman"/>
          <w:lang w:val="en-US"/>
        </w:rPr>
        <w:t xml:space="preserve">*Statistically significant at </w:t>
      </w:r>
      <w:bookmarkStart w:id="6" w:name="_Hlk232889057"/>
      <w:r w:rsidRPr="00D0194D">
        <w:rPr>
          <w:rFonts w:ascii="Times New Roman" w:hAnsi="Times New Roman" w:cs="Times New Roman"/>
          <w:i/>
          <w:iCs/>
          <w:lang w:val="en-US"/>
        </w:rPr>
        <w:t xml:space="preserve">p </w:t>
      </w:r>
      <w:r w:rsidRPr="00D0194D">
        <w:rPr>
          <w:rFonts w:ascii="Times New Roman" w:hAnsi="Times New Roman" w:cs="Times New Roman"/>
          <w:b/>
          <w:bCs/>
          <w:i/>
          <w:iCs/>
          <w:lang w:val="en-US"/>
        </w:rPr>
        <w:t>&lt; 0.05.</w:t>
      </w:r>
      <w:bookmarkEnd w:id="6"/>
    </w:p>
    <w:p w14:paraId="7CE8F82D" w14:textId="5EA6692D" w:rsidR="001C7856" w:rsidRPr="001C7856" w:rsidRDefault="001C7856" w:rsidP="001C7856">
      <w:pPr>
        <w:spacing w:line="240" w:lineRule="auto"/>
        <w:rPr>
          <w:rFonts w:ascii="Times New Roman" w:hAnsi="Times New Roman" w:cs="Times New Roman"/>
          <w:b/>
          <w:bCs/>
          <w:lang w:val="en-US"/>
        </w:rPr>
      </w:pPr>
      <w:bookmarkStart w:id="7" w:name="_Hlk233131691"/>
      <w:bookmarkEnd w:id="5"/>
      <w:r w:rsidRPr="001C7856">
        <w:rPr>
          <w:rFonts w:ascii="Times New Roman" w:hAnsi="Times New Roman" w:cs="Times New Roman"/>
          <w:b/>
          <w:bCs/>
          <w:lang w:val="en-US"/>
        </w:rPr>
        <w:t xml:space="preserve">Table </w:t>
      </w:r>
      <w:r>
        <w:rPr>
          <w:rFonts w:ascii="Times New Roman" w:hAnsi="Times New Roman" w:cs="Times New Roman"/>
          <w:b/>
          <w:bCs/>
          <w:lang w:val="en-US"/>
        </w:rPr>
        <w:t>3</w:t>
      </w:r>
      <w:r w:rsidRPr="001C7856">
        <w:rPr>
          <w:rFonts w:ascii="Times New Roman" w:hAnsi="Times New Roman" w:cs="Times New Roman"/>
          <w:b/>
          <w:bCs/>
          <w:lang w:val="en-US"/>
        </w:rPr>
        <w:t>: Prevalence of Onchocerca volvulus by Age Group</w:t>
      </w:r>
    </w:p>
    <w:tbl>
      <w:tblPr>
        <w:tblStyle w:val="TableGrid"/>
        <w:tblW w:w="0" w:type="auto"/>
        <w:tblLook w:val="04A0" w:firstRow="1" w:lastRow="0" w:firstColumn="1" w:lastColumn="0" w:noHBand="0" w:noVBand="1"/>
      </w:tblPr>
      <w:tblGrid>
        <w:gridCol w:w="1631"/>
        <w:gridCol w:w="1631"/>
        <w:gridCol w:w="1631"/>
        <w:gridCol w:w="1631"/>
        <w:gridCol w:w="1632"/>
        <w:gridCol w:w="1632"/>
        <w:gridCol w:w="1632"/>
      </w:tblGrid>
      <w:tr w:rsidR="001C7856" w:rsidRPr="00C540FB" w14:paraId="1CD9E3E6" w14:textId="77777777" w:rsidTr="00C540FB">
        <w:tc>
          <w:tcPr>
            <w:tcW w:w="1631" w:type="dxa"/>
          </w:tcPr>
          <w:p w14:paraId="583941DE" w14:textId="37ABD130" w:rsidR="001C7856" w:rsidRPr="00C540FB" w:rsidRDefault="001C7856" w:rsidP="009A6DD8">
            <w:pPr>
              <w:rPr>
                <w:rFonts w:ascii="Times New Roman" w:hAnsi="Times New Roman" w:cs="Times New Roman"/>
                <w:b/>
                <w:bCs/>
                <w:lang w:val="en-US"/>
              </w:rPr>
            </w:pPr>
            <w:r w:rsidRPr="00C540FB">
              <w:rPr>
                <w:rFonts w:ascii="Times New Roman" w:hAnsi="Times New Roman" w:cs="Times New Roman"/>
                <w:b/>
                <w:bCs/>
                <w:lang w:val="en-US"/>
              </w:rPr>
              <w:t xml:space="preserve">Variable </w:t>
            </w:r>
          </w:p>
        </w:tc>
        <w:tc>
          <w:tcPr>
            <w:tcW w:w="1631" w:type="dxa"/>
          </w:tcPr>
          <w:p w14:paraId="27A0B9B1" w14:textId="1E7C878E" w:rsidR="001C7856" w:rsidRPr="00C540FB" w:rsidRDefault="001C7856" w:rsidP="00C540FB">
            <w:pPr>
              <w:jc w:val="center"/>
              <w:rPr>
                <w:rFonts w:ascii="Times New Roman" w:hAnsi="Times New Roman" w:cs="Times New Roman"/>
                <w:b/>
                <w:bCs/>
                <w:lang w:val="en-US"/>
              </w:rPr>
            </w:pPr>
            <w:r w:rsidRPr="00C540FB">
              <w:rPr>
                <w:rFonts w:ascii="Times New Roman" w:hAnsi="Times New Roman" w:cs="Times New Roman"/>
                <w:b/>
                <w:bCs/>
                <w:lang w:val="en-US"/>
              </w:rPr>
              <w:t>Category</w:t>
            </w:r>
          </w:p>
        </w:tc>
        <w:tc>
          <w:tcPr>
            <w:tcW w:w="1631" w:type="dxa"/>
          </w:tcPr>
          <w:p w14:paraId="5C007F2F" w14:textId="60D6227E" w:rsidR="001C7856" w:rsidRPr="00C540FB" w:rsidRDefault="001C7856" w:rsidP="009A6DD8">
            <w:pPr>
              <w:rPr>
                <w:rFonts w:ascii="Times New Roman" w:hAnsi="Times New Roman" w:cs="Times New Roman"/>
                <w:b/>
                <w:bCs/>
                <w:lang w:val="en-US"/>
              </w:rPr>
            </w:pPr>
            <w:r w:rsidRPr="00C540FB">
              <w:rPr>
                <w:rFonts w:ascii="Times New Roman" w:hAnsi="Times New Roman" w:cs="Times New Roman"/>
                <w:b/>
                <w:bCs/>
                <w:lang w:val="en-US"/>
              </w:rPr>
              <w:t>No. examined</w:t>
            </w:r>
          </w:p>
        </w:tc>
        <w:tc>
          <w:tcPr>
            <w:tcW w:w="1631" w:type="dxa"/>
          </w:tcPr>
          <w:p w14:paraId="1A1C1DA5" w14:textId="78D21C65" w:rsidR="001C7856" w:rsidRPr="00C540FB" w:rsidRDefault="001C7856" w:rsidP="009A6DD8">
            <w:pPr>
              <w:rPr>
                <w:rFonts w:ascii="Times New Roman" w:hAnsi="Times New Roman" w:cs="Times New Roman"/>
                <w:b/>
                <w:bCs/>
                <w:lang w:val="en-US"/>
              </w:rPr>
            </w:pPr>
            <w:r w:rsidRPr="00C540FB">
              <w:rPr>
                <w:rFonts w:ascii="Times New Roman" w:hAnsi="Times New Roman" w:cs="Times New Roman"/>
                <w:b/>
                <w:bCs/>
                <w:lang w:val="en-US"/>
              </w:rPr>
              <w:t xml:space="preserve">No. Positive </w:t>
            </w:r>
          </w:p>
        </w:tc>
        <w:tc>
          <w:tcPr>
            <w:tcW w:w="1632" w:type="dxa"/>
          </w:tcPr>
          <w:p w14:paraId="43AA082D" w14:textId="0B7F3A41" w:rsidR="001C7856" w:rsidRPr="00C540FB" w:rsidRDefault="001C7856" w:rsidP="009A6DD8">
            <w:pPr>
              <w:rPr>
                <w:rFonts w:ascii="Times New Roman" w:hAnsi="Times New Roman" w:cs="Times New Roman"/>
                <w:b/>
                <w:bCs/>
                <w:lang w:val="en-US"/>
              </w:rPr>
            </w:pPr>
            <w:r w:rsidRPr="00C540FB">
              <w:rPr>
                <w:rFonts w:ascii="Times New Roman" w:hAnsi="Times New Roman" w:cs="Times New Roman"/>
                <w:b/>
                <w:bCs/>
                <w:lang w:val="en-US"/>
              </w:rPr>
              <w:t>Prevalence %</w:t>
            </w:r>
          </w:p>
        </w:tc>
        <w:tc>
          <w:tcPr>
            <w:tcW w:w="1632" w:type="dxa"/>
          </w:tcPr>
          <w:p w14:paraId="6D0879E4" w14:textId="37943054" w:rsidR="001C7856" w:rsidRPr="00C540FB" w:rsidRDefault="001C7856" w:rsidP="001C7856">
            <w:pPr>
              <w:jc w:val="center"/>
              <w:rPr>
                <w:rFonts w:ascii="Times New Roman" w:hAnsi="Times New Roman" w:cs="Times New Roman"/>
                <w:b/>
                <w:bCs/>
                <w:lang w:val="en-US"/>
              </w:rPr>
            </w:pPr>
            <w:r w:rsidRPr="00C540FB">
              <w:rPr>
                <w:rFonts w:ascii="Times New Roman" w:hAnsi="Times New Roman" w:cs="Times New Roman"/>
                <w:b/>
                <w:bCs/>
                <w:lang w:val="en-US"/>
              </w:rPr>
              <w:t>95% Cl</w:t>
            </w:r>
          </w:p>
        </w:tc>
        <w:tc>
          <w:tcPr>
            <w:tcW w:w="1632" w:type="dxa"/>
          </w:tcPr>
          <w:p w14:paraId="79390DF8" w14:textId="79EA8AE5" w:rsidR="001C7856" w:rsidRPr="00C540FB" w:rsidRDefault="001C7856" w:rsidP="001C7856">
            <w:pPr>
              <w:jc w:val="center"/>
              <w:rPr>
                <w:rFonts w:ascii="Times New Roman" w:hAnsi="Times New Roman" w:cs="Times New Roman"/>
                <w:b/>
                <w:bCs/>
                <w:lang w:val="en-US"/>
              </w:rPr>
            </w:pPr>
            <w:r w:rsidRPr="00C540FB">
              <w:rPr>
                <w:rFonts w:ascii="Times New Roman" w:hAnsi="Times New Roman" w:cs="Times New Roman"/>
                <w:b/>
                <w:bCs/>
                <w:i/>
                <w:iCs/>
                <w:lang w:val="en-US"/>
              </w:rPr>
              <w:t>p</w:t>
            </w:r>
            <w:r w:rsidRPr="00C540FB">
              <w:rPr>
                <w:rFonts w:ascii="Times New Roman" w:hAnsi="Times New Roman" w:cs="Times New Roman"/>
                <w:b/>
                <w:bCs/>
                <w:lang w:val="en-US"/>
              </w:rPr>
              <w:t>-value</w:t>
            </w:r>
          </w:p>
        </w:tc>
      </w:tr>
      <w:tr w:rsidR="001C7856" w14:paraId="430A3857" w14:textId="77777777" w:rsidTr="00C540FB">
        <w:tc>
          <w:tcPr>
            <w:tcW w:w="1631" w:type="dxa"/>
          </w:tcPr>
          <w:p w14:paraId="6E08AB52" w14:textId="016C525C" w:rsidR="001C7856" w:rsidRPr="00C540FB" w:rsidRDefault="00C540FB" w:rsidP="009A6DD8">
            <w:pPr>
              <w:rPr>
                <w:rFonts w:ascii="Times New Roman" w:hAnsi="Times New Roman" w:cs="Times New Roman"/>
                <w:b/>
                <w:bCs/>
                <w:lang w:val="en-US"/>
              </w:rPr>
            </w:pPr>
            <w:r w:rsidRPr="00C540FB">
              <w:rPr>
                <w:rFonts w:ascii="Times New Roman" w:hAnsi="Times New Roman" w:cs="Times New Roman"/>
                <w:b/>
                <w:bCs/>
                <w:lang w:val="en-US"/>
              </w:rPr>
              <w:t>Age (years)</w:t>
            </w:r>
          </w:p>
        </w:tc>
        <w:tc>
          <w:tcPr>
            <w:tcW w:w="1631" w:type="dxa"/>
          </w:tcPr>
          <w:p w14:paraId="5DA14E8A" w14:textId="69769D38" w:rsidR="001C7856" w:rsidRDefault="00C540FB" w:rsidP="009A6DD8">
            <w:pPr>
              <w:rPr>
                <w:rFonts w:ascii="Times New Roman" w:hAnsi="Times New Roman" w:cs="Times New Roman"/>
                <w:lang w:val="en-US"/>
              </w:rPr>
            </w:pPr>
            <w:r>
              <w:rPr>
                <w:rFonts w:ascii="Times New Roman" w:hAnsi="Times New Roman" w:cs="Times New Roman"/>
                <w:lang w:val="en-US"/>
              </w:rPr>
              <w:t>5 - 14</w:t>
            </w:r>
          </w:p>
        </w:tc>
        <w:tc>
          <w:tcPr>
            <w:tcW w:w="1631" w:type="dxa"/>
          </w:tcPr>
          <w:p w14:paraId="104EF7C0" w14:textId="2050D67A" w:rsidR="001C7856" w:rsidRDefault="00C540FB" w:rsidP="00D0194D">
            <w:pPr>
              <w:jc w:val="center"/>
              <w:rPr>
                <w:rFonts w:ascii="Times New Roman" w:hAnsi="Times New Roman" w:cs="Times New Roman"/>
                <w:lang w:val="en-US"/>
              </w:rPr>
            </w:pPr>
            <w:r>
              <w:rPr>
                <w:rFonts w:ascii="Times New Roman" w:hAnsi="Times New Roman" w:cs="Times New Roman"/>
                <w:lang w:val="en-US"/>
              </w:rPr>
              <w:t>71</w:t>
            </w:r>
          </w:p>
        </w:tc>
        <w:tc>
          <w:tcPr>
            <w:tcW w:w="1631" w:type="dxa"/>
          </w:tcPr>
          <w:p w14:paraId="40833EA4" w14:textId="4FF48B14" w:rsidR="001C7856" w:rsidRDefault="00C540FB" w:rsidP="00D0194D">
            <w:pPr>
              <w:jc w:val="center"/>
              <w:rPr>
                <w:rFonts w:ascii="Times New Roman" w:hAnsi="Times New Roman" w:cs="Times New Roman"/>
                <w:lang w:val="en-US"/>
              </w:rPr>
            </w:pPr>
            <w:r>
              <w:rPr>
                <w:rFonts w:ascii="Times New Roman" w:hAnsi="Times New Roman" w:cs="Times New Roman"/>
                <w:lang w:val="en-US"/>
              </w:rPr>
              <w:t>13</w:t>
            </w:r>
          </w:p>
        </w:tc>
        <w:tc>
          <w:tcPr>
            <w:tcW w:w="1632" w:type="dxa"/>
          </w:tcPr>
          <w:p w14:paraId="0606F4C5" w14:textId="37A3C8A9" w:rsidR="001C7856" w:rsidRDefault="00C540FB" w:rsidP="00D0194D">
            <w:pPr>
              <w:jc w:val="center"/>
              <w:rPr>
                <w:rFonts w:ascii="Times New Roman" w:hAnsi="Times New Roman" w:cs="Times New Roman"/>
                <w:lang w:val="en-US"/>
              </w:rPr>
            </w:pPr>
            <w:r>
              <w:rPr>
                <w:rFonts w:ascii="Times New Roman" w:hAnsi="Times New Roman" w:cs="Times New Roman"/>
                <w:lang w:val="en-US"/>
              </w:rPr>
              <w:t>18.3</w:t>
            </w:r>
          </w:p>
        </w:tc>
        <w:tc>
          <w:tcPr>
            <w:tcW w:w="1632" w:type="dxa"/>
          </w:tcPr>
          <w:p w14:paraId="53E8DF37" w14:textId="452C56E7" w:rsidR="001C7856" w:rsidRDefault="00C540FB" w:rsidP="00D0194D">
            <w:pPr>
              <w:jc w:val="center"/>
              <w:rPr>
                <w:rFonts w:ascii="Times New Roman" w:hAnsi="Times New Roman" w:cs="Times New Roman"/>
                <w:lang w:val="en-US"/>
              </w:rPr>
            </w:pPr>
            <w:r>
              <w:rPr>
                <w:rFonts w:ascii="Times New Roman" w:hAnsi="Times New Roman" w:cs="Times New Roman"/>
                <w:lang w:val="en-US"/>
              </w:rPr>
              <w:t>10.2 – 29.4</w:t>
            </w:r>
          </w:p>
        </w:tc>
        <w:tc>
          <w:tcPr>
            <w:tcW w:w="1632" w:type="dxa"/>
          </w:tcPr>
          <w:p w14:paraId="27C81CEB" w14:textId="342CD6CC" w:rsidR="001C7856" w:rsidRDefault="00C540FB" w:rsidP="00C540FB">
            <w:pPr>
              <w:jc w:val="center"/>
              <w:rPr>
                <w:rFonts w:ascii="Times New Roman" w:hAnsi="Times New Roman" w:cs="Times New Roman"/>
                <w:lang w:val="en-US"/>
              </w:rPr>
            </w:pPr>
            <w:r>
              <w:rPr>
                <w:rFonts w:ascii="Times New Roman" w:hAnsi="Times New Roman" w:cs="Times New Roman"/>
                <w:lang w:val="en-US"/>
              </w:rPr>
              <w:t>0.015*</w:t>
            </w:r>
          </w:p>
        </w:tc>
      </w:tr>
      <w:tr w:rsidR="001C7856" w14:paraId="5D507A86" w14:textId="77777777" w:rsidTr="00C540FB">
        <w:tc>
          <w:tcPr>
            <w:tcW w:w="1631" w:type="dxa"/>
          </w:tcPr>
          <w:p w14:paraId="7A203AB1" w14:textId="77777777" w:rsidR="001C7856" w:rsidRDefault="001C7856" w:rsidP="009A6DD8">
            <w:pPr>
              <w:rPr>
                <w:rFonts w:ascii="Times New Roman" w:hAnsi="Times New Roman" w:cs="Times New Roman"/>
                <w:lang w:val="en-US"/>
              </w:rPr>
            </w:pPr>
          </w:p>
        </w:tc>
        <w:tc>
          <w:tcPr>
            <w:tcW w:w="1631" w:type="dxa"/>
          </w:tcPr>
          <w:p w14:paraId="41789761" w14:textId="5F9A31F4" w:rsidR="001C7856" w:rsidRDefault="00C540FB" w:rsidP="009A6DD8">
            <w:pPr>
              <w:rPr>
                <w:rFonts w:ascii="Times New Roman" w:hAnsi="Times New Roman" w:cs="Times New Roman"/>
                <w:lang w:val="en-US"/>
              </w:rPr>
            </w:pPr>
            <w:r>
              <w:rPr>
                <w:rFonts w:ascii="Times New Roman" w:hAnsi="Times New Roman" w:cs="Times New Roman"/>
                <w:lang w:val="en-US"/>
              </w:rPr>
              <w:t>15 - 29</w:t>
            </w:r>
          </w:p>
        </w:tc>
        <w:tc>
          <w:tcPr>
            <w:tcW w:w="1631" w:type="dxa"/>
          </w:tcPr>
          <w:p w14:paraId="4A54407A" w14:textId="4AAF9174" w:rsidR="001C7856" w:rsidRDefault="00C540FB" w:rsidP="00D0194D">
            <w:pPr>
              <w:jc w:val="center"/>
              <w:rPr>
                <w:rFonts w:ascii="Times New Roman" w:hAnsi="Times New Roman" w:cs="Times New Roman"/>
                <w:lang w:val="en-US"/>
              </w:rPr>
            </w:pPr>
            <w:r>
              <w:rPr>
                <w:rFonts w:ascii="Times New Roman" w:hAnsi="Times New Roman" w:cs="Times New Roman"/>
                <w:lang w:val="en-US"/>
              </w:rPr>
              <w:t>89</w:t>
            </w:r>
          </w:p>
        </w:tc>
        <w:tc>
          <w:tcPr>
            <w:tcW w:w="1631" w:type="dxa"/>
          </w:tcPr>
          <w:p w14:paraId="1D3A52CD" w14:textId="50C2B451" w:rsidR="001C7856" w:rsidRDefault="00C540FB" w:rsidP="00D0194D">
            <w:pPr>
              <w:jc w:val="center"/>
              <w:rPr>
                <w:rFonts w:ascii="Times New Roman" w:hAnsi="Times New Roman" w:cs="Times New Roman"/>
                <w:lang w:val="en-US"/>
              </w:rPr>
            </w:pPr>
            <w:r>
              <w:rPr>
                <w:rFonts w:ascii="Times New Roman" w:hAnsi="Times New Roman" w:cs="Times New Roman"/>
                <w:lang w:val="en-US"/>
              </w:rPr>
              <w:t>25</w:t>
            </w:r>
          </w:p>
        </w:tc>
        <w:tc>
          <w:tcPr>
            <w:tcW w:w="1632" w:type="dxa"/>
          </w:tcPr>
          <w:p w14:paraId="61874B14" w14:textId="46F09112" w:rsidR="001C7856" w:rsidRDefault="00C540FB" w:rsidP="00D0194D">
            <w:pPr>
              <w:jc w:val="center"/>
              <w:rPr>
                <w:rFonts w:ascii="Times New Roman" w:hAnsi="Times New Roman" w:cs="Times New Roman"/>
                <w:lang w:val="en-US"/>
              </w:rPr>
            </w:pPr>
            <w:r>
              <w:rPr>
                <w:rFonts w:ascii="Times New Roman" w:hAnsi="Times New Roman" w:cs="Times New Roman"/>
                <w:lang w:val="en-US"/>
              </w:rPr>
              <w:t>28.1</w:t>
            </w:r>
          </w:p>
        </w:tc>
        <w:tc>
          <w:tcPr>
            <w:tcW w:w="1632" w:type="dxa"/>
          </w:tcPr>
          <w:p w14:paraId="1E58187B" w14:textId="2276BD6B" w:rsidR="001C7856" w:rsidRDefault="00C540FB" w:rsidP="00D0194D">
            <w:pPr>
              <w:jc w:val="center"/>
              <w:rPr>
                <w:rFonts w:ascii="Times New Roman" w:hAnsi="Times New Roman" w:cs="Times New Roman"/>
                <w:lang w:val="en-US"/>
              </w:rPr>
            </w:pPr>
            <w:r>
              <w:rPr>
                <w:rFonts w:ascii="Times New Roman" w:hAnsi="Times New Roman" w:cs="Times New Roman"/>
                <w:lang w:val="en-US"/>
              </w:rPr>
              <w:t>19.1 – 38.6</w:t>
            </w:r>
          </w:p>
        </w:tc>
        <w:tc>
          <w:tcPr>
            <w:tcW w:w="1632" w:type="dxa"/>
          </w:tcPr>
          <w:p w14:paraId="34AFF4D6" w14:textId="77777777" w:rsidR="001C7856" w:rsidRDefault="001C7856" w:rsidP="009A6DD8">
            <w:pPr>
              <w:rPr>
                <w:rFonts w:ascii="Times New Roman" w:hAnsi="Times New Roman" w:cs="Times New Roman"/>
                <w:lang w:val="en-US"/>
              </w:rPr>
            </w:pPr>
          </w:p>
        </w:tc>
      </w:tr>
      <w:tr w:rsidR="001C7856" w14:paraId="4EAF8C04" w14:textId="77777777" w:rsidTr="00C540FB">
        <w:tc>
          <w:tcPr>
            <w:tcW w:w="1631" w:type="dxa"/>
          </w:tcPr>
          <w:p w14:paraId="73795D23" w14:textId="77777777" w:rsidR="001C7856" w:rsidRDefault="001C7856" w:rsidP="009A6DD8">
            <w:pPr>
              <w:rPr>
                <w:rFonts w:ascii="Times New Roman" w:hAnsi="Times New Roman" w:cs="Times New Roman"/>
                <w:lang w:val="en-US"/>
              </w:rPr>
            </w:pPr>
          </w:p>
        </w:tc>
        <w:tc>
          <w:tcPr>
            <w:tcW w:w="1631" w:type="dxa"/>
          </w:tcPr>
          <w:p w14:paraId="11F70E97" w14:textId="0FAE4748" w:rsidR="001C7856" w:rsidRDefault="00C540FB" w:rsidP="009A6DD8">
            <w:pPr>
              <w:rPr>
                <w:rFonts w:ascii="Times New Roman" w:hAnsi="Times New Roman" w:cs="Times New Roman"/>
                <w:lang w:val="en-US"/>
              </w:rPr>
            </w:pPr>
            <w:r>
              <w:rPr>
                <w:rFonts w:ascii="Times New Roman" w:hAnsi="Times New Roman" w:cs="Times New Roman"/>
                <w:lang w:val="en-US"/>
              </w:rPr>
              <w:t>30 - 44</w:t>
            </w:r>
          </w:p>
        </w:tc>
        <w:tc>
          <w:tcPr>
            <w:tcW w:w="1631" w:type="dxa"/>
          </w:tcPr>
          <w:p w14:paraId="4DF76888" w14:textId="0E8ABF1B" w:rsidR="001C7856" w:rsidRDefault="00C540FB" w:rsidP="00D0194D">
            <w:pPr>
              <w:jc w:val="center"/>
              <w:rPr>
                <w:rFonts w:ascii="Times New Roman" w:hAnsi="Times New Roman" w:cs="Times New Roman"/>
                <w:lang w:val="en-US"/>
              </w:rPr>
            </w:pPr>
            <w:r>
              <w:rPr>
                <w:rFonts w:ascii="Times New Roman" w:hAnsi="Times New Roman" w:cs="Times New Roman"/>
                <w:lang w:val="en-US"/>
              </w:rPr>
              <w:t>112</w:t>
            </w:r>
          </w:p>
        </w:tc>
        <w:tc>
          <w:tcPr>
            <w:tcW w:w="1631" w:type="dxa"/>
          </w:tcPr>
          <w:p w14:paraId="277213A8" w14:textId="1C9EBDD3" w:rsidR="001C7856" w:rsidRDefault="00C540FB" w:rsidP="00D0194D">
            <w:pPr>
              <w:jc w:val="center"/>
              <w:rPr>
                <w:rFonts w:ascii="Times New Roman" w:hAnsi="Times New Roman" w:cs="Times New Roman"/>
                <w:lang w:val="en-US"/>
              </w:rPr>
            </w:pPr>
            <w:r>
              <w:rPr>
                <w:rFonts w:ascii="Times New Roman" w:hAnsi="Times New Roman" w:cs="Times New Roman"/>
                <w:lang w:val="en-US"/>
              </w:rPr>
              <w:t>46</w:t>
            </w:r>
          </w:p>
        </w:tc>
        <w:tc>
          <w:tcPr>
            <w:tcW w:w="1632" w:type="dxa"/>
          </w:tcPr>
          <w:p w14:paraId="5E68DD3C" w14:textId="3AB2EC3F" w:rsidR="001C7856" w:rsidRDefault="00C540FB" w:rsidP="00D0194D">
            <w:pPr>
              <w:jc w:val="center"/>
              <w:rPr>
                <w:rFonts w:ascii="Times New Roman" w:hAnsi="Times New Roman" w:cs="Times New Roman"/>
                <w:lang w:val="en-US"/>
              </w:rPr>
            </w:pPr>
            <w:r>
              <w:rPr>
                <w:rFonts w:ascii="Times New Roman" w:hAnsi="Times New Roman" w:cs="Times New Roman"/>
                <w:lang w:val="en-US"/>
              </w:rPr>
              <w:t>41.2</w:t>
            </w:r>
          </w:p>
        </w:tc>
        <w:tc>
          <w:tcPr>
            <w:tcW w:w="1632" w:type="dxa"/>
          </w:tcPr>
          <w:p w14:paraId="77FC3264" w14:textId="57B45715" w:rsidR="001C7856" w:rsidRDefault="00C540FB" w:rsidP="00D0194D">
            <w:pPr>
              <w:jc w:val="center"/>
              <w:rPr>
                <w:rFonts w:ascii="Times New Roman" w:hAnsi="Times New Roman" w:cs="Times New Roman"/>
                <w:lang w:val="en-US"/>
              </w:rPr>
            </w:pPr>
            <w:r>
              <w:rPr>
                <w:rFonts w:ascii="Times New Roman" w:hAnsi="Times New Roman" w:cs="Times New Roman"/>
                <w:lang w:val="en-US"/>
              </w:rPr>
              <w:t>32.0 – 50.8</w:t>
            </w:r>
          </w:p>
        </w:tc>
        <w:tc>
          <w:tcPr>
            <w:tcW w:w="1632" w:type="dxa"/>
          </w:tcPr>
          <w:p w14:paraId="2126203D" w14:textId="77777777" w:rsidR="001C7856" w:rsidRDefault="001C7856" w:rsidP="009A6DD8">
            <w:pPr>
              <w:rPr>
                <w:rFonts w:ascii="Times New Roman" w:hAnsi="Times New Roman" w:cs="Times New Roman"/>
                <w:lang w:val="en-US"/>
              </w:rPr>
            </w:pPr>
          </w:p>
        </w:tc>
      </w:tr>
      <w:tr w:rsidR="001C7856" w14:paraId="2EB5B2F2" w14:textId="77777777" w:rsidTr="00C540FB">
        <w:tc>
          <w:tcPr>
            <w:tcW w:w="1631" w:type="dxa"/>
          </w:tcPr>
          <w:p w14:paraId="3F9B56B6" w14:textId="77777777" w:rsidR="001C7856" w:rsidRDefault="001C7856" w:rsidP="009A6DD8">
            <w:pPr>
              <w:rPr>
                <w:rFonts w:ascii="Times New Roman" w:hAnsi="Times New Roman" w:cs="Times New Roman"/>
                <w:lang w:val="en-US"/>
              </w:rPr>
            </w:pPr>
          </w:p>
        </w:tc>
        <w:tc>
          <w:tcPr>
            <w:tcW w:w="1631" w:type="dxa"/>
          </w:tcPr>
          <w:p w14:paraId="455A551D" w14:textId="39CE0E28" w:rsidR="001C7856" w:rsidRDefault="00C540FB" w:rsidP="009A6DD8">
            <w:pPr>
              <w:rPr>
                <w:rFonts w:ascii="Times New Roman" w:hAnsi="Times New Roman" w:cs="Times New Roman"/>
                <w:lang w:val="en-US"/>
              </w:rPr>
            </w:pPr>
            <w:r>
              <w:rPr>
                <w:rFonts w:ascii="Times New Roman" w:hAnsi="Times New Roman" w:cs="Times New Roman"/>
                <w:lang w:val="en-US"/>
              </w:rPr>
              <w:t>45 – 59</w:t>
            </w:r>
          </w:p>
        </w:tc>
        <w:tc>
          <w:tcPr>
            <w:tcW w:w="1631" w:type="dxa"/>
          </w:tcPr>
          <w:p w14:paraId="358020F0" w14:textId="4B2611E7" w:rsidR="001C7856" w:rsidRDefault="00C540FB" w:rsidP="00D0194D">
            <w:pPr>
              <w:jc w:val="center"/>
              <w:rPr>
                <w:rFonts w:ascii="Times New Roman" w:hAnsi="Times New Roman" w:cs="Times New Roman"/>
                <w:lang w:val="en-US"/>
              </w:rPr>
            </w:pPr>
            <w:r>
              <w:rPr>
                <w:rFonts w:ascii="Times New Roman" w:hAnsi="Times New Roman" w:cs="Times New Roman"/>
                <w:lang w:val="en-US"/>
              </w:rPr>
              <w:t>78</w:t>
            </w:r>
          </w:p>
        </w:tc>
        <w:tc>
          <w:tcPr>
            <w:tcW w:w="1631" w:type="dxa"/>
          </w:tcPr>
          <w:p w14:paraId="0F7C6424" w14:textId="3F88045D" w:rsidR="001C7856" w:rsidRDefault="00C540FB" w:rsidP="00D0194D">
            <w:pPr>
              <w:jc w:val="center"/>
              <w:rPr>
                <w:rFonts w:ascii="Times New Roman" w:hAnsi="Times New Roman" w:cs="Times New Roman"/>
                <w:lang w:val="en-US"/>
              </w:rPr>
            </w:pPr>
            <w:r>
              <w:rPr>
                <w:rFonts w:ascii="Times New Roman" w:hAnsi="Times New Roman" w:cs="Times New Roman"/>
                <w:lang w:val="en-US"/>
              </w:rPr>
              <w:t>28</w:t>
            </w:r>
          </w:p>
        </w:tc>
        <w:tc>
          <w:tcPr>
            <w:tcW w:w="1632" w:type="dxa"/>
          </w:tcPr>
          <w:p w14:paraId="321A8176" w14:textId="55757A77" w:rsidR="001C7856" w:rsidRDefault="00C540FB" w:rsidP="00D0194D">
            <w:pPr>
              <w:jc w:val="center"/>
              <w:rPr>
                <w:rFonts w:ascii="Times New Roman" w:hAnsi="Times New Roman" w:cs="Times New Roman"/>
                <w:lang w:val="en-US"/>
              </w:rPr>
            </w:pPr>
            <w:r>
              <w:rPr>
                <w:rFonts w:ascii="Times New Roman" w:hAnsi="Times New Roman" w:cs="Times New Roman"/>
                <w:lang w:val="en-US"/>
              </w:rPr>
              <w:t>35.9</w:t>
            </w:r>
          </w:p>
        </w:tc>
        <w:tc>
          <w:tcPr>
            <w:tcW w:w="1632" w:type="dxa"/>
          </w:tcPr>
          <w:p w14:paraId="3DE5512D" w14:textId="777A7323" w:rsidR="001C7856" w:rsidRDefault="00C540FB" w:rsidP="00D0194D">
            <w:pPr>
              <w:jc w:val="center"/>
              <w:rPr>
                <w:rFonts w:ascii="Times New Roman" w:hAnsi="Times New Roman" w:cs="Times New Roman"/>
                <w:lang w:val="en-US"/>
              </w:rPr>
            </w:pPr>
            <w:r>
              <w:rPr>
                <w:rFonts w:ascii="Times New Roman" w:hAnsi="Times New Roman" w:cs="Times New Roman"/>
                <w:lang w:val="en-US"/>
              </w:rPr>
              <w:t>25.4 – 47.3</w:t>
            </w:r>
          </w:p>
        </w:tc>
        <w:tc>
          <w:tcPr>
            <w:tcW w:w="1632" w:type="dxa"/>
          </w:tcPr>
          <w:p w14:paraId="216805DD" w14:textId="77777777" w:rsidR="001C7856" w:rsidRDefault="001C7856" w:rsidP="009A6DD8">
            <w:pPr>
              <w:rPr>
                <w:rFonts w:ascii="Times New Roman" w:hAnsi="Times New Roman" w:cs="Times New Roman"/>
                <w:lang w:val="en-US"/>
              </w:rPr>
            </w:pPr>
          </w:p>
        </w:tc>
      </w:tr>
      <w:tr w:rsidR="001C7856" w14:paraId="2D54612D" w14:textId="77777777" w:rsidTr="00C540FB">
        <w:tc>
          <w:tcPr>
            <w:tcW w:w="1631" w:type="dxa"/>
          </w:tcPr>
          <w:p w14:paraId="0B9EC895" w14:textId="77777777" w:rsidR="001C7856" w:rsidRDefault="001C7856" w:rsidP="009A6DD8">
            <w:pPr>
              <w:rPr>
                <w:rFonts w:ascii="Times New Roman" w:hAnsi="Times New Roman" w:cs="Times New Roman"/>
                <w:lang w:val="en-US"/>
              </w:rPr>
            </w:pPr>
          </w:p>
        </w:tc>
        <w:tc>
          <w:tcPr>
            <w:tcW w:w="1631" w:type="dxa"/>
          </w:tcPr>
          <w:p w14:paraId="6581A75C" w14:textId="2CED2259" w:rsidR="001C7856" w:rsidRDefault="00C540FB" w:rsidP="009A6DD8">
            <w:pPr>
              <w:rPr>
                <w:rFonts w:ascii="Times New Roman" w:hAnsi="Times New Roman" w:cs="Times New Roman"/>
                <w:lang w:val="en-US"/>
              </w:rPr>
            </w:pPr>
            <w:r w:rsidRPr="00E90839">
              <w:rPr>
                <w:rFonts w:ascii="Times New Roman" w:hAnsi="Times New Roman" w:cs="Times New Roman"/>
                <w:lang w:val="en-US"/>
              </w:rPr>
              <w:t>≥ 60</w:t>
            </w:r>
          </w:p>
        </w:tc>
        <w:tc>
          <w:tcPr>
            <w:tcW w:w="1631" w:type="dxa"/>
          </w:tcPr>
          <w:p w14:paraId="39FE6D35" w14:textId="50B94133" w:rsidR="001C7856" w:rsidRDefault="00C540FB" w:rsidP="00D0194D">
            <w:pPr>
              <w:jc w:val="center"/>
              <w:rPr>
                <w:rFonts w:ascii="Times New Roman" w:hAnsi="Times New Roman" w:cs="Times New Roman"/>
                <w:lang w:val="en-US"/>
              </w:rPr>
            </w:pPr>
            <w:r>
              <w:rPr>
                <w:rFonts w:ascii="Times New Roman" w:hAnsi="Times New Roman" w:cs="Times New Roman"/>
                <w:lang w:val="en-US"/>
              </w:rPr>
              <w:t>50</w:t>
            </w:r>
          </w:p>
        </w:tc>
        <w:tc>
          <w:tcPr>
            <w:tcW w:w="1631" w:type="dxa"/>
          </w:tcPr>
          <w:p w14:paraId="70B05C99" w14:textId="33C313D6" w:rsidR="001C7856" w:rsidRDefault="00C540FB" w:rsidP="00D0194D">
            <w:pPr>
              <w:jc w:val="center"/>
              <w:rPr>
                <w:rFonts w:ascii="Times New Roman" w:hAnsi="Times New Roman" w:cs="Times New Roman"/>
                <w:lang w:val="en-US"/>
              </w:rPr>
            </w:pPr>
            <w:r>
              <w:rPr>
                <w:rFonts w:ascii="Times New Roman" w:hAnsi="Times New Roman" w:cs="Times New Roman"/>
                <w:lang w:val="en-US"/>
              </w:rPr>
              <w:t>14</w:t>
            </w:r>
          </w:p>
        </w:tc>
        <w:tc>
          <w:tcPr>
            <w:tcW w:w="1632" w:type="dxa"/>
          </w:tcPr>
          <w:p w14:paraId="38DD4B53" w14:textId="01149B93" w:rsidR="001C7856" w:rsidRDefault="00C540FB" w:rsidP="00D0194D">
            <w:pPr>
              <w:jc w:val="center"/>
              <w:rPr>
                <w:rFonts w:ascii="Times New Roman" w:hAnsi="Times New Roman" w:cs="Times New Roman"/>
                <w:lang w:val="en-US"/>
              </w:rPr>
            </w:pPr>
            <w:r>
              <w:rPr>
                <w:rFonts w:ascii="Times New Roman" w:hAnsi="Times New Roman" w:cs="Times New Roman"/>
                <w:lang w:val="en-US"/>
              </w:rPr>
              <w:t>28.0</w:t>
            </w:r>
          </w:p>
        </w:tc>
        <w:tc>
          <w:tcPr>
            <w:tcW w:w="1632" w:type="dxa"/>
          </w:tcPr>
          <w:p w14:paraId="1C9F7ECE" w14:textId="2F9FF6DC" w:rsidR="001C7856" w:rsidRDefault="00C540FB" w:rsidP="00D0194D">
            <w:pPr>
              <w:jc w:val="center"/>
              <w:rPr>
                <w:rFonts w:ascii="Times New Roman" w:hAnsi="Times New Roman" w:cs="Times New Roman"/>
                <w:lang w:val="en-US"/>
              </w:rPr>
            </w:pPr>
            <w:r>
              <w:rPr>
                <w:rFonts w:ascii="Times New Roman" w:hAnsi="Times New Roman" w:cs="Times New Roman"/>
                <w:lang w:val="en-US"/>
              </w:rPr>
              <w:t>16.2 – 42.5</w:t>
            </w:r>
          </w:p>
        </w:tc>
        <w:tc>
          <w:tcPr>
            <w:tcW w:w="1632" w:type="dxa"/>
          </w:tcPr>
          <w:p w14:paraId="2DD05B89" w14:textId="77777777" w:rsidR="001C7856" w:rsidRDefault="001C7856" w:rsidP="009A6DD8">
            <w:pPr>
              <w:rPr>
                <w:rFonts w:ascii="Times New Roman" w:hAnsi="Times New Roman" w:cs="Times New Roman"/>
                <w:lang w:val="en-US"/>
              </w:rPr>
            </w:pPr>
          </w:p>
        </w:tc>
      </w:tr>
      <w:tr w:rsidR="00C540FB" w14:paraId="6360C71F" w14:textId="77777777" w:rsidTr="00C540FB">
        <w:tc>
          <w:tcPr>
            <w:tcW w:w="1631" w:type="dxa"/>
          </w:tcPr>
          <w:p w14:paraId="6B94239E" w14:textId="22D599D0" w:rsidR="00C540FB" w:rsidRPr="00D0194D" w:rsidRDefault="00D0194D" w:rsidP="009A6DD8">
            <w:pPr>
              <w:rPr>
                <w:rFonts w:ascii="Times New Roman" w:hAnsi="Times New Roman" w:cs="Times New Roman"/>
                <w:b/>
                <w:bCs/>
                <w:lang w:val="en-US"/>
              </w:rPr>
            </w:pPr>
            <w:r w:rsidRPr="00D0194D">
              <w:rPr>
                <w:rFonts w:ascii="Times New Roman" w:hAnsi="Times New Roman" w:cs="Times New Roman"/>
                <w:b/>
                <w:bCs/>
                <w:lang w:val="en-US"/>
              </w:rPr>
              <w:t xml:space="preserve">Total </w:t>
            </w:r>
          </w:p>
        </w:tc>
        <w:tc>
          <w:tcPr>
            <w:tcW w:w="1631" w:type="dxa"/>
          </w:tcPr>
          <w:p w14:paraId="2D276786" w14:textId="77777777" w:rsidR="00C540FB" w:rsidRDefault="00C540FB" w:rsidP="009A6DD8">
            <w:pPr>
              <w:rPr>
                <w:rFonts w:ascii="Times New Roman" w:hAnsi="Times New Roman" w:cs="Times New Roman"/>
                <w:lang w:val="en-US"/>
              </w:rPr>
            </w:pPr>
          </w:p>
        </w:tc>
        <w:tc>
          <w:tcPr>
            <w:tcW w:w="1631" w:type="dxa"/>
          </w:tcPr>
          <w:p w14:paraId="5BBB54B9" w14:textId="733FCC36" w:rsidR="00C540FB" w:rsidRPr="00D0194D" w:rsidRDefault="00D0194D" w:rsidP="00D0194D">
            <w:pPr>
              <w:jc w:val="center"/>
              <w:rPr>
                <w:rFonts w:ascii="Times New Roman" w:hAnsi="Times New Roman" w:cs="Times New Roman"/>
                <w:b/>
                <w:bCs/>
                <w:lang w:val="en-US"/>
              </w:rPr>
            </w:pPr>
            <w:r w:rsidRPr="00D0194D">
              <w:rPr>
                <w:rFonts w:ascii="Times New Roman" w:hAnsi="Times New Roman" w:cs="Times New Roman"/>
                <w:b/>
                <w:bCs/>
                <w:lang w:val="en-US"/>
              </w:rPr>
              <w:t>400</w:t>
            </w:r>
          </w:p>
        </w:tc>
        <w:tc>
          <w:tcPr>
            <w:tcW w:w="1631" w:type="dxa"/>
          </w:tcPr>
          <w:p w14:paraId="3CAE1D44" w14:textId="1BDB330A" w:rsidR="00C540FB" w:rsidRPr="00D0194D" w:rsidRDefault="00D0194D" w:rsidP="00D0194D">
            <w:pPr>
              <w:jc w:val="center"/>
              <w:rPr>
                <w:rFonts w:ascii="Times New Roman" w:hAnsi="Times New Roman" w:cs="Times New Roman"/>
                <w:b/>
                <w:bCs/>
                <w:lang w:val="en-US"/>
              </w:rPr>
            </w:pPr>
            <w:r w:rsidRPr="00D0194D">
              <w:rPr>
                <w:rFonts w:ascii="Times New Roman" w:hAnsi="Times New Roman" w:cs="Times New Roman"/>
                <w:b/>
                <w:bCs/>
                <w:lang w:val="en-US"/>
              </w:rPr>
              <w:t>126</w:t>
            </w:r>
          </w:p>
        </w:tc>
        <w:tc>
          <w:tcPr>
            <w:tcW w:w="1632" w:type="dxa"/>
          </w:tcPr>
          <w:p w14:paraId="7EA58E4B" w14:textId="77777777" w:rsidR="00C540FB" w:rsidRDefault="00C540FB" w:rsidP="009A6DD8">
            <w:pPr>
              <w:rPr>
                <w:rFonts w:ascii="Times New Roman" w:hAnsi="Times New Roman" w:cs="Times New Roman"/>
                <w:lang w:val="en-US"/>
              </w:rPr>
            </w:pPr>
          </w:p>
        </w:tc>
        <w:tc>
          <w:tcPr>
            <w:tcW w:w="1632" w:type="dxa"/>
          </w:tcPr>
          <w:p w14:paraId="3050D639" w14:textId="77777777" w:rsidR="00C540FB" w:rsidRDefault="00C540FB" w:rsidP="009A6DD8">
            <w:pPr>
              <w:rPr>
                <w:rFonts w:ascii="Times New Roman" w:hAnsi="Times New Roman" w:cs="Times New Roman"/>
                <w:lang w:val="en-US"/>
              </w:rPr>
            </w:pPr>
          </w:p>
        </w:tc>
        <w:tc>
          <w:tcPr>
            <w:tcW w:w="1632" w:type="dxa"/>
          </w:tcPr>
          <w:p w14:paraId="28370FAA" w14:textId="77777777" w:rsidR="00C540FB" w:rsidRDefault="00C540FB" w:rsidP="009A6DD8">
            <w:pPr>
              <w:rPr>
                <w:rFonts w:ascii="Times New Roman" w:hAnsi="Times New Roman" w:cs="Times New Roman"/>
                <w:lang w:val="en-US"/>
              </w:rPr>
            </w:pPr>
          </w:p>
        </w:tc>
      </w:tr>
    </w:tbl>
    <w:p w14:paraId="7B0C05F6" w14:textId="353B9987" w:rsidR="00EE5FB1" w:rsidRDefault="00D0194D" w:rsidP="009A6DD8">
      <w:pPr>
        <w:spacing w:line="240" w:lineRule="auto"/>
        <w:rPr>
          <w:rFonts w:ascii="Times New Roman" w:hAnsi="Times New Roman" w:cs="Times New Roman"/>
          <w:b/>
          <w:bCs/>
          <w:i/>
          <w:iCs/>
          <w:lang w:val="en-US"/>
        </w:rPr>
      </w:pPr>
      <w:r>
        <w:rPr>
          <w:rFonts w:ascii="Times New Roman" w:hAnsi="Times New Roman" w:cs="Times New Roman"/>
          <w:lang w:val="en-US"/>
        </w:rPr>
        <w:t xml:space="preserve">*Statistically significant at </w:t>
      </w:r>
      <w:r w:rsidRPr="00D0194D">
        <w:rPr>
          <w:rFonts w:ascii="Times New Roman" w:hAnsi="Times New Roman" w:cs="Times New Roman"/>
          <w:i/>
          <w:iCs/>
          <w:lang w:val="en-US"/>
        </w:rPr>
        <w:t xml:space="preserve">p </w:t>
      </w:r>
      <w:r w:rsidRPr="00D0194D">
        <w:rPr>
          <w:rFonts w:ascii="Times New Roman" w:hAnsi="Times New Roman" w:cs="Times New Roman"/>
          <w:b/>
          <w:bCs/>
          <w:i/>
          <w:iCs/>
          <w:lang w:val="en-US"/>
        </w:rPr>
        <w:t>&lt; 0.05.</w:t>
      </w:r>
    </w:p>
    <w:bookmarkEnd w:id="7"/>
    <w:p w14:paraId="6BEEDBF1" w14:textId="77777777" w:rsidR="00D0194D" w:rsidRDefault="00D0194D" w:rsidP="009A6DD8">
      <w:pPr>
        <w:spacing w:line="240" w:lineRule="auto"/>
        <w:rPr>
          <w:rFonts w:ascii="Times New Roman" w:hAnsi="Times New Roman" w:cs="Times New Roman"/>
          <w:b/>
          <w:bCs/>
          <w:i/>
          <w:iCs/>
          <w:lang w:val="en-US"/>
        </w:rPr>
      </w:pPr>
    </w:p>
    <w:p w14:paraId="3E71BD5A" w14:textId="7F8DC917" w:rsidR="00D0194D" w:rsidRPr="00C06F34" w:rsidRDefault="00D0194D" w:rsidP="009A6DD8">
      <w:pPr>
        <w:spacing w:line="240" w:lineRule="auto"/>
        <w:rPr>
          <w:rFonts w:ascii="Times New Roman" w:hAnsi="Times New Roman" w:cs="Times New Roman"/>
          <w:b/>
          <w:bCs/>
          <w:lang w:val="en-US"/>
        </w:rPr>
      </w:pPr>
      <w:r w:rsidRPr="00C06F34">
        <w:rPr>
          <w:rFonts w:ascii="Times New Roman" w:hAnsi="Times New Roman" w:cs="Times New Roman"/>
          <w:b/>
          <w:bCs/>
          <w:lang w:val="en-US"/>
        </w:rPr>
        <w:t>Intensity of Infection</w:t>
      </w:r>
    </w:p>
    <w:p w14:paraId="2913597A" w14:textId="33D23E8D" w:rsidR="00D0194D" w:rsidRDefault="00D0194D" w:rsidP="009A6DD8">
      <w:pPr>
        <w:spacing w:line="240" w:lineRule="auto"/>
        <w:rPr>
          <w:rFonts w:ascii="Times New Roman" w:hAnsi="Times New Roman" w:cs="Times New Roman"/>
          <w:lang w:val="en-US"/>
        </w:rPr>
      </w:pPr>
      <w:r>
        <w:rPr>
          <w:rFonts w:ascii="Times New Roman" w:hAnsi="Times New Roman" w:cs="Times New Roman"/>
          <w:lang w:val="en-US"/>
        </w:rPr>
        <w:t xml:space="preserve">Among the 126 Mf-positive individuals, the geometric mean intensity (GMI) was </w:t>
      </w:r>
      <w:r w:rsidRPr="00C06F34">
        <w:rPr>
          <w:rFonts w:ascii="Times New Roman" w:hAnsi="Times New Roman" w:cs="Times New Roman"/>
          <w:b/>
          <w:bCs/>
          <w:lang w:val="en-US"/>
        </w:rPr>
        <w:t>8.3 Mf per skin snip</w:t>
      </w:r>
      <w:r w:rsidR="00C06F34">
        <w:rPr>
          <w:rFonts w:ascii="Times New Roman" w:hAnsi="Times New Roman" w:cs="Times New Roman"/>
          <w:lang w:val="en-US"/>
        </w:rPr>
        <w:t xml:space="preserve"> (range: 1 -47 Mf/snip). The highest geometric mean intensities were recorded in the 30 – 44 years age group (GMI = 10.1 Mf//snip), while children aged 5 – 14 years who were positive had a substantially lower GMI of 2.4 Mf /snip.</w:t>
      </w:r>
    </w:p>
    <w:p w14:paraId="28BC146E" w14:textId="47737B23" w:rsidR="00C06F34" w:rsidRPr="00DF0564" w:rsidRDefault="00C06F34" w:rsidP="009A6DD8">
      <w:pPr>
        <w:spacing w:line="240" w:lineRule="auto"/>
        <w:rPr>
          <w:rFonts w:ascii="Times New Roman" w:hAnsi="Times New Roman" w:cs="Times New Roman"/>
          <w:b/>
          <w:bCs/>
          <w:lang w:val="en-US"/>
        </w:rPr>
      </w:pPr>
      <w:r w:rsidRPr="00DF0564">
        <w:rPr>
          <w:rFonts w:ascii="Times New Roman" w:hAnsi="Times New Roman" w:cs="Times New Roman"/>
          <w:b/>
          <w:bCs/>
          <w:lang w:val="en-US"/>
        </w:rPr>
        <w:t>Prevalence of Children (Elimination Indicator)</w:t>
      </w:r>
    </w:p>
    <w:p w14:paraId="5CC0C57E" w14:textId="77777777" w:rsidR="00DF0564" w:rsidRDefault="00C06F34" w:rsidP="009A6DD8">
      <w:pPr>
        <w:spacing w:line="240" w:lineRule="auto"/>
        <w:rPr>
          <w:rFonts w:ascii="Times New Roman" w:hAnsi="Times New Roman" w:cs="Times New Roman"/>
          <w:lang w:val="en-US"/>
        </w:rPr>
      </w:pPr>
      <w:r>
        <w:rPr>
          <w:rFonts w:ascii="Times New Roman" w:hAnsi="Times New Roman" w:cs="Times New Roman"/>
          <w:lang w:val="en-US"/>
        </w:rPr>
        <w:t xml:space="preserve">Critically, </w:t>
      </w:r>
      <w:r w:rsidRPr="00DF0564">
        <w:rPr>
          <w:rFonts w:ascii="Times New Roman" w:hAnsi="Times New Roman" w:cs="Times New Roman"/>
          <w:b/>
          <w:bCs/>
          <w:lang w:val="en-US"/>
        </w:rPr>
        <w:t>13 out of 71</w:t>
      </w:r>
      <w:r>
        <w:rPr>
          <w:rFonts w:ascii="Times New Roman" w:hAnsi="Times New Roman" w:cs="Times New Roman"/>
          <w:lang w:val="en-US"/>
        </w:rPr>
        <w:t xml:space="preserve"> children aged 5 – 14 years</w:t>
      </w:r>
      <w:r w:rsidR="00DF0564">
        <w:rPr>
          <w:rFonts w:ascii="Times New Roman" w:hAnsi="Times New Roman" w:cs="Times New Roman"/>
          <w:lang w:val="en-US"/>
        </w:rPr>
        <w:t xml:space="preserve"> tested positive, giving a prevalence of </w:t>
      </w:r>
      <w:r w:rsidR="00DF0564" w:rsidRPr="00DF0564">
        <w:rPr>
          <w:rFonts w:ascii="Times New Roman" w:hAnsi="Times New Roman" w:cs="Times New Roman"/>
          <w:b/>
          <w:bCs/>
          <w:lang w:val="en-US"/>
        </w:rPr>
        <w:t>18.3%</w:t>
      </w:r>
      <w:r w:rsidR="00DF0564">
        <w:rPr>
          <w:rFonts w:ascii="Times New Roman" w:hAnsi="Times New Roman" w:cs="Times New Roman"/>
          <w:lang w:val="en-US"/>
        </w:rPr>
        <w:t xml:space="preserve"> (95% Cl: 10.2 – 29.4). This figure is substantially higher than the WHO elimination threshold of &lt;1% prevalence in this age group.</w:t>
      </w:r>
    </w:p>
    <w:p w14:paraId="5635EF80" w14:textId="77777777" w:rsidR="00DF0564" w:rsidRPr="00DF0564" w:rsidRDefault="00DF0564" w:rsidP="009A6DD8">
      <w:pPr>
        <w:spacing w:line="240" w:lineRule="auto"/>
        <w:rPr>
          <w:rFonts w:ascii="Times New Roman" w:hAnsi="Times New Roman" w:cs="Times New Roman"/>
          <w:b/>
          <w:bCs/>
          <w:lang w:val="en-US"/>
        </w:rPr>
      </w:pPr>
      <w:r w:rsidRPr="00DF0564">
        <w:rPr>
          <w:rFonts w:ascii="Times New Roman" w:hAnsi="Times New Roman" w:cs="Times New Roman"/>
          <w:b/>
          <w:bCs/>
          <w:lang w:val="en-US"/>
        </w:rPr>
        <w:t>Self-Reported Ivermectin Coverage</w:t>
      </w:r>
    </w:p>
    <w:p w14:paraId="6B127BE6" w14:textId="77777777" w:rsidR="00285435" w:rsidRDefault="00DF0564" w:rsidP="009A6DD8">
      <w:pPr>
        <w:spacing w:line="240" w:lineRule="auto"/>
        <w:rPr>
          <w:rFonts w:ascii="Times New Roman" w:hAnsi="Times New Roman" w:cs="Times New Roman"/>
          <w:lang w:val="en-US"/>
        </w:rPr>
      </w:pPr>
      <w:r>
        <w:rPr>
          <w:rFonts w:ascii="Times New Roman" w:hAnsi="Times New Roman" w:cs="Times New Roman"/>
          <w:lang w:val="en-US"/>
        </w:rPr>
        <w:t>When asked</w:t>
      </w:r>
      <w:r w:rsidR="00C95A89">
        <w:rPr>
          <w:rFonts w:ascii="Times New Roman" w:hAnsi="Times New Roman" w:cs="Times New Roman"/>
          <w:lang w:val="en-US"/>
        </w:rPr>
        <w:t xml:space="preserve"> about the last mass drug administration (MDA) round, only </w:t>
      </w:r>
      <w:r w:rsidR="00C95A89" w:rsidRPr="00C95A89">
        <w:rPr>
          <w:rFonts w:ascii="Times New Roman" w:hAnsi="Times New Roman" w:cs="Times New Roman"/>
          <w:b/>
          <w:bCs/>
          <w:lang w:val="en-US"/>
        </w:rPr>
        <w:t>248 (62.0%)</w:t>
      </w:r>
      <w:r w:rsidR="00C95A89">
        <w:rPr>
          <w:rFonts w:ascii="Times New Roman" w:hAnsi="Times New Roman" w:cs="Times New Roman"/>
          <w:lang w:val="en-US"/>
        </w:rPr>
        <w:t xml:space="preserve"> of all participants reported having taken ivermectin within the preceding 12 months. </w:t>
      </w:r>
      <w:r w:rsidR="00285435">
        <w:rPr>
          <w:rFonts w:ascii="Times New Roman" w:hAnsi="Times New Roman" w:cs="Times New Roman"/>
          <w:lang w:val="en-US"/>
        </w:rPr>
        <w:t xml:space="preserve">The remaining </w:t>
      </w:r>
      <w:r w:rsidR="00285435" w:rsidRPr="00285435">
        <w:rPr>
          <w:rFonts w:ascii="Times New Roman" w:hAnsi="Times New Roman" w:cs="Times New Roman"/>
          <w:b/>
          <w:bCs/>
          <w:i/>
          <w:iCs/>
          <w:lang w:val="en-US"/>
        </w:rPr>
        <w:t>n = 152</w:t>
      </w:r>
      <w:r w:rsidR="00285435">
        <w:rPr>
          <w:rFonts w:ascii="Times New Roman" w:hAnsi="Times New Roman" w:cs="Times New Roman"/>
          <w:lang w:val="en-US"/>
        </w:rPr>
        <w:t xml:space="preserve"> who gave t</w:t>
      </w:r>
      <w:r w:rsidR="00C95A89">
        <w:rPr>
          <w:rFonts w:ascii="Times New Roman" w:hAnsi="Times New Roman" w:cs="Times New Roman"/>
          <w:lang w:val="en-US"/>
        </w:rPr>
        <w:t>he</w:t>
      </w:r>
      <w:r w:rsidR="00285435">
        <w:rPr>
          <w:rFonts w:ascii="Times New Roman" w:hAnsi="Times New Roman" w:cs="Times New Roman"/>
          <w:lang w:val="en-US"/>
        </w:rPr>
        <w:t>ir</w:t>
      </w:r>
      <w:r w:rsidR="00C95A89">
        <w:rPr>
          <w:rFonts w:ascii="Times New Roman" w:hAnsi="Times New Roman" w:cs="Times New Roman"/>
          <w:lang w:val="en-US"/>
        </w:rPr>
        <w:t xml:space="preserve"> reasons for </w:t>
      </w:r>
      <w:r w:rsidR="00285435">
        <w:rPr>
          <w:rFonts w:ascii="Times New Roman" w:hAnsi="Times New Roman" w:cs="Times New Roman"/>
          <w:lang w:val="en-US"/>
        </w:rPr>
        <w:t xml:space="preserve">the </w:t>
      </w:r>
      <w:r w:rsidR="00C95A89">
        <w:rPr>
          <w:rFonts w:ascii="Times New Roman" w:hAnsi="Times New Roman" w:cs="Times New Roman"/>
          <w:lang w:val="en-US"/>
        </w:rPr>
        <w:t>non-uptake included: absence during the distribution</w:t>
      </w:r>
      <w:r w:rsidR="00B10D88">
        <w:rPr>
          <w:rFonts w:ascii="Times New Roman" w:hAnsi="Times New Roman" w:cs="Times New Roman"/>
          <w:lang w:val="en-US"/>
        </w:rPr>
        <w:t xml:space="preserve"> day </w:t>
      </w:r>
      <w:r w:rsidR="00B10D88" w:rsidRPr="00285435">
        <w:rPr>
          <w:rFonts w:ascii="Times New Roman" w:hAnsi="Times New Roman" w:cs="Times New Roman"/>
          <w:b/>
          <w:bCs/>
          <w:lang w:val="en-US"/>
        </w:rPr>
        <w:t>(n = 52, 34.2%)</w:t>
      </w:r>
      <w:r w:rsidR="00B10D88">
        <w:rPr>
          <w:rFonts w:ascii="Times New Roman" w:hAnsi="Times New Roman" w:cs="Times New Roman"/>
          <w:lang w:val="en-US"/>
        </w:rPr>
        <w:t xml:space="preserve">, fear of side effects </w:t>
      </w:r>
      <w:r w:rsidR="00B10D88" w:rsidRPr="00285435">
        <w:rPr>
          <w:rFonts w:ascii="Times New Roman" w:hAnsi="Times New Roman" w:cs="Times New Roman"/>
          <w:b/>
          <w:bCs/>
          <w:lang w:val="en-US"/>
        </w:rPr>
        <w:t>(n = 42, 27.6%)</w:t>
      </w:r>
      <w:r w:rsidR="00B10D88">
        <w:rPr>
          <w:rFonts w:ascii="Times New Roman" w:hAnsi="Times New Roman" w:cs="Times New Roman"/>
          <w:lang w:val="en-US"/>
        </w:rPr>
        <w:t xml:space="preserve">, and lack of awareness of the distribution </w:t>
      </w:r>
      <w:r w:rsidR="00B10D88" w:rsidRPr="00285435">
        <w:rPr>
          <w:rFonts w:ascii="Times New Roman" w:hAnsi="Times New Roman" w:cs="Times New Roman"/>
          <w:b/>
          <w:bCs/>
          <w:lang w:val="en-US"/>
        </w:rPr>
        <w:t>(n = 28, 18.4%)</w:t>
      </w:r>
      <w:r w:rsidR="00B10D88">
        <w:rPr>
          <w:rFonts w:ascii="Times New Roman" w:hAnsi="Times New Roman" w:cs="Times New Roman"/>
          <w:lang w:val="en-US"/>
        </w:rPr>
        <w:t xml:space="preserve">. Among the </w:t>
      </w:r>
      <w:r w:rsidR="00B10D88" w:rsidRPr="00285435">
        <w:rPr>
          <w:rFonts w:ascii="Times New Roman" w:hAnsi="Times New Roman" w:cs="Times New Roman"/>
          <w:b/>
          <w:bCs/>
          <w:lang w:val="en-US"/>
        </w:rPr>
        <w:t>126 positive individuals</w:t>
      </w:r>
      <w:r w:rsidR="00B10D88">
        <w:rPr>
          <w:rFonts w:ascii="Times New Roman" w:hAnsi="Times New Roman" w:cs="Times New Roman"/>
          <w:lang w:val="en-US"/>
        </w:rPr>
        <w:t xml:space="preserve">, the treatment coverage was even lower at </w:t>
      </w:r>
      <w:r w:rsidR="00B10D88" w:rsidRPr="00285435">
        <w:rPr>
          <w:rFonts w:ascii="Times New Roman" w:hAnsi="Times New Roman" w:cs="Times New Roman"/>
          <w:b/>
          <w:bCs/>
          <w:lang w:val="en-US"/>
        </w:rPr>
        <w:t>54.8% (n = 69)</w:t>
      </w:r>
      <w:r w:rsidR="00B10D88">
        <w:rPr>
          <w:rFonts w:ascii="Times New Roman" w:hAnsi="Times New Roman" w:cs="Times New Roman"/>
          <w:lang w:val="en-US"/>
        </w:rPr>
        <w:t>.</w:t>
      </w:r>
    </w:p>
    <w:p w14:paraId="79BF6BAE" w14:textId="77777777" w:rsidR="00285435" w:rsidRPr="006B40B4" w:rsidRDefault="00285435" w:rsidP="009A6DD8">
      <w:pPr>
        <w:spacing w:line="240" w:lineRule="auto"/>
        <w:rPr>
          <w:rFonts w:ascii="Times New Roman" w:hAnsi="Times New Roman" w:cs="Times New Roman"/>
          <w:b/>
          <w:bCs/>
          <w:lang w:val="en-US"/>
        </w:rPr>
      </w:pPr>
      <w:r w:rsidRPr="006B40B4">
        <w:rPr>
          <w:rFonts w:ascii="Times New Roman" w:hAnsi="Times New Roman" w:cs="Times New Roman"/>
          <w:b/>
          <w:bCs/>
          <w:lang w:val="en-US"/>
        </w:rPr>
        <w:t>Clinical Signs</w:t>
      </w:r>
    </w:p>
    <w:p w14:paraId="4C420AE9" w14:textId="77777777" w:rsidR="006B40B4" w:rsidRDefault="00285435" w:rsidP="009A6DD8">
      <w:pPr>
        <w:spacing w:line="240" w:lineRule="auto"/>
        <w:rPr>
          <w:rFonts w:ascii="Times New Roman" w:hAnsi="Times New Roman" w:cs="Times New Roman"/>
          <w:lang w:val="en-US"/>
        </w:rPr>
      </w:pPr>
      <w:r>
        <w:rPr>
          <w:rFonts w:ascii="Times New Roman" w:hAnsi="Times New Roman" w:cs="Times New Roman"/>
          <w:lang w:val="en-US"/>
        </w:rPr>
        <w:t>Among the 126 positive participants, the most frequently</w:t>
      </w:r>
      <w:r w:rsidR="006B40B4">
        <w:rPr>
          <w:rFonts w:ascii="Times New Roman" w:hAnsi="Times New Roman" w:cs="Times New Roman"/>
          <w:lang w:val="en-US"/>
        </w:rPr>
        <w:t xml:space="preserve"> observed clinical manifestations were:</w:t>
      </w:r>
    </w:p>
    <w:p w14:paraId="4334E7EF" w14:textId="72E8874E" w:rsidR="00C06F34" w:rsidRDefault="006B40B4" w:rsidP="006B40B4">
      <w:pPr>
        <w:pStyle w:val="ListParagraph"/>
        <w:numPr>
          <w:ilvl w:val="0"/>
          <w:numId w:val="7"/>
        </w:numPr>
        <w:spacing w:line="240" w:lineRule="auto"/>
        <w:rPr>
          <w:rFonts w:ascii="Times New Roman" w:hAnsi="Times New Roman" w:cs="Times New Roman"/>
          <w:lang w:val="en-US"/>
        </w:rPr>
      </w:pPr>
      <w:r>
        <w:rPr>
          <w:rFonts w:ascii="Times New Roman" w:hAnsi="Times New Roman" w:cs="Times New Roman"/>
          <w:lang w:val="en-US"/>
        </w:rPr>
        <w:t>Chronic itching (pruritus): 78 (61.9%)</w:t>
      </w:r>
    </w:p>
    <w:p w14:paraId="37FB2B89" w14:textId="24C2219F" w:rsidR="006B40B4" w:rsidRDefault="006B40B4" w:rsidP="006B40B4">
      <w:pPr>
        <w:pStyle w:val="ListParagraph"/>
        <w:numPr>
          <w:ilvl w:val="0"/>
          <w:numId w:val="7"/>
        </w:numPr>
        <w:spacing w:line="240" w:lineRule="auto"/>
        <w:rPr>
          <w:rFonts w:ascii="Times New Roman" w:hAnsi="Times New Roman" w:cs="Times New Roman"/>
          <w:lang w:val="en-US"/>
        </w:rPr>
      </w:pPr>
      <w:r>
        <w:rPr>
          <w:rFonts w:ascii="Times New Roman" w:hAnsi="Times New Roman" w:cs="Times New Roman"/>
          <w:lang w:val="en-US"/>
        </w:rPr>
        <w:t>Subcutaneous nodules: 41 (32.5%)</w:t>
      </w:r>
    </w:p>
    <w:p w14:paraId="3566D036" w14:textId="5747DF13" w:rsidR="006B40B4" w:rsidRDefault="006B40B4" w:rsidP="006B40B4">
      <w:pPr>
        <w:pStyle w:val="ListParagraph"/>
        <w:numPr>
          <w:ilvl w:val="0"/>
          <w:numId w:val="7"/>
        </w:numPr>
        <w:spacing w:line="240" w:lineRule="auto"/>
        <w:rPr>
          <w:rFonts w:ascii="Times New Roman" w:hAnsi="Times New Roman" w:cs="Times New Roman"/>
          <w:lang w:val="en-US"/>
        </w:rPr>
      </w:pPr>
      <w:r>
        <w:rPr>
          <w:rFonts w:ascii="Times New Roman" w:hAnsi="Times New Roman" w:cs="Times New Roman"/>
          <w:lang w:val="en-US"/>
        </w:rPr>
        <w:t>Leopard skin (depigmentation): 27 (21.4%)</w:t>
      </w:r>
    </w:p>
    <w:p w14:paraId="3CF264D7" w14:textId="42A595CC" w:rsidR="006B40B4" w:rsidRDefault="006B40B4" w:rsidP="006B40B4">
      <w:pPr>
        <w:pStyle w:val="ListParagraph"/>
        <w:numPr>
          <w:ilvl w:val="0"/>
          <w:numId w:val="7"/>
        </w:numPr>
        <w:spacing w:line="240" w:lineRule="auto"/>
        <w:rPr>
          <w:rFonts w:ascii="Times New Roman" w:hAnsi="Times New Roman" w:cs="Times New Roman"/>
          <w:lang w:val="en-US"/>
        </w:rPr>
      </w:pPr>
      <w:r>
        <w:rPr>
          <w:rFonts w:ascii="Times New Roman" w:hAnsi="Times New Roman" w:cs="Times New Roman"/>
          <w:lang w:val="en-US"/>
        </w:rPr>
        <w:t>Hanging groin: 4 (3.2%)</w:t>
      </w:r>
    </w:p>
    <w:p w14:paraId="392AC0A3" w14:textId="093045EB" w:rsidR="00635F8B" w:rsidRPr="00635F8B" w:rsidRDefault="00635F8B" w:rsidP="00635F8B">
      <w:pPr>
        <w:spacing w:line="240" w:lineRule="auto"/>
        <w:rPr>
          <w:rFonts w:ascii="Times New Roman" w:hAnsi="Times New Roman" w:cs="Times New Roman"/>
          <w:lang w:val="en-US"/>
        </w:rPr>
      </w:pPr>
      <w:r>
        <w:rPr>
          <w:rFonts w:ascii="Times New Roman" w:hAnsi="Times New Roman" w:cs="Times New Roman"/>
          <w:lang w:val="en-US"/>
        </w:rPr>
        <w:t>No cases of severe visual impairment or blindness attributable to onchocerciasis were recorded during this survey.</w:t>
      </w:r>
    </w:p>
    <w:p w14:paraId="6B96179B" w14:textId="77777777" w:rsidR="00635F8B" w:rsidRPr="00635F8B" w:rsidRDefault="00635F8B" w:rsidP="00635F8B">
      <w:pPr>
        <w:spacing w:line="240" w:lineRule="auto"/>
        <w:rPr>
          <w:rFonts w:ascii="Times New Roman" w:hAnsi="Times New Roman" w:cs="Times New Roman"/>
          <w:lang w:val="en-US"/>
        </w:rPr>
      </w:pPr>
    </w:p>
    <w:p w14:paraId="48E0D287" w14:textId="77777777" w:rsidR="00635F8B" w:rsidRPr="00635F8B" w:rsidRDefault="00635F8B" w:rsidP="00635F8B">
      <w:pPr>
        <w:spacing w:line="240" w:lineRule="auto"/>
        <w:rPr>
          <w:rFonts w:ascii="Times New Roman" w:hAnsi="Times New Roman" w:cs="Times New Roman"/>
          <w:lang w:val="en-US"/>
        </w:rPr>
      </w:pPr>
    </w:p>
    <w:p w14:paraId="3ED12BC2" w14:textId="77777777" w:rsidR="00635F8B" w:rsidRPr="00635F8B" w:rsidRDefault="00635F8B" w:rsidP="00635F8B">
      <w:pPr>
        <w:spacing w:line="240" w:lineRule="auto"/>
        <w:rPr>
          <w:rFonts w:ascii="Times New Roman" w:hAnsi="Times New Roman" w:cs="Times New Roman"/>
          <w:lang w:val="en-US"/>
        </w:rPr>
      </w:pPr>
    </w:p>
    <w:p w14:paraId="07C5638C" w14:textId="77777777" w:rsidR="00635F8B" w:rsidRPr="00635F8B" w:rsidRDefault="00635F8B" w:rsidP="00635F8B">
      <w:pPr>
        <w:spacing w:line="240" w:lineRule="auto"/>
        <w:rPr>
          <w:rFonts w:ascii="Times New Roman" w:hAnsi="Times New Roman" w:cs="Times New Roman"/>
          <w:lang w:val="en-US"/>
        </w:rPr>
      </w:pPr>
    </w:p>
    <w:p w14:paraId="28A015E1" w14:textId="77777777" w:rsidR="00635F8B" w:rsidRPr="00635F8B" w:rsidRDefault="00635F8B" w:rsidP="00635F8B">
      <w:pPr>
        <w:spacing w:line="240" w:lineRule="auto"/>
        <w:rPr>
          <w:rFonts w:ascii="Times New Roman" w:hAnsi="Times New Roman" w:cs="Times New Roman"/>
          <w:lang w:val="en-US"/>
        </w:rPr>
      </w:pPr>
    </w:p>
    <w:p w14:paraId="22DC7F6D" w14:textId="77777777" w:rsidR="00635F8B" w:rsidRPr="00635F8B" w:rsidRDefault="00635F8B" w:rsidP="00635F8B">
      <w:pPr>
        <w:spacing w:line="240" w:lineRule="auto"/>
        <w:rPr>
          <w:rFonts w:ascii="Times New Roman" w:hAnsi="Times New Roman" w:cs="Times New Roman"/>
          <w:lang w:val="en-US"/>
        </w:rPr>
      </w:pPr>
    </w:p>
    <w:p w14:paraId="2F449606" w14:textId="77777777" w:rsidR="00635F8B" w:rsidRDefault="00635F8B" w:rsidP="00635F8B">
      <w:pPr>
        <w:spacing w:line="240" w:lineRule="auto"/>
        <w:rPr>
          <w:rFonts w:ascii="Times New Roman" w:hAnsi="Times New Roman" w:cs="Times New Roman"/>
          <w:lang w:val="en-US"/>
        </w:rPr>
      </w:pPr>
    </w:p>
    <w:p w14:paraId="2995888D" w14:textId="77777777" w:rsidR="00635F8B" w:rsidRPr="00635F8B" w:rsidRDefault="00635F8B" w:rsidP="00635F8B">
      <w:pPr>
        <w:spacing w:line="240" w:lineRule="auto"/>
        <w:rPr>
          <w:rFonts w:ascii="Times New Roman" w:hAnsi="Times New Roman" w:cs="Times New Roman"/>
          <w:lang w:val="en-US"/>
        </w:rPr>
      </w:pPr>
    </w:p>
    <w:p w14:paraId="03936458" w14:textId="77777777" w:rsidR="00635F8B" w:rsidRDefault="005B726F" w:rsidP="00E544FE">
      <w:pPr>
        <w:spacing w:line="240" w:lineRule="auto"/>
        <w:rPr>
          <w:rFonts w:ascii="Times New Roman" w:hAnsi="Times New Roman" w:cs="Times New Roman"/>
          <w:b/>
          <w:bCs/>
          <w:sz w:val="28"/>
          <w:szCs w:val="28"/>
          <w:lang w:val="en-US"/>
        </w:rPr>
      </w:pPr>
      <w:r w:rsidRPr="005B726F">
        <w:rPr>
          <w:rFonts w:ascii="Times New Roman" w:hAnsi="Times New Roman" w:cs="Times New Roman"/>
          <w:b/>
          <w:bCs/>
          <w:sz w:val="28"/>
          <w:szCs w:val="28"/>
          <w:lang w:val="en-US"/>
        </w:rPr>
        <w:lastRenderedPageBreak/>
        <w:t>DISCUSSION</w:t>
      </w:r>
    </w:p>
    <w:p w14:paraId="3C0CE53D" w14:textId="77777777" w:rsidR="00597BFF" w:rsidRDefault="00635F8B" w:rsidP="00635F8B">
      <w:pPr>
        <w:spacing w:line="240" w:lineRule="auto"/>
        <w:rPr>
          <w:rFonts w:ascii="Times New Roman" w:hAnsi="Times New Roman" w:cs="Times New Roman"/>
          <w:lang w:val="en-US"/>
        </w:rPr>
      </w:pPr>
      <w:r>
        <w:rPr>
          <w:rFonts w:ascii="Times New Roman" w:hAnsi="Times New Roman" w:cs="Times New Roman"/>
          <w:lang w:val="en-US"/>
        </w:rPr>
        <w:t xml:space="preserve">This community-based study revealed a persistent high prevalence of </w:t>
      </w:r>
      <w:r w:rsidRPr="00635F8B">
        <w:rPr>
          <w:rFonts w:ascii="Times New Roman" w:hAnsi="Times New Roman" w:cs="Times New Roman"/>
          <w:i/>
          <w:iCs/>
          <w:lang w:val="en-US"/>
        </w:rPr>
        <w:t>Onchocerca volvulus</w:t>
      </w:r>
      <w:r>
        <w:rPr>
          <w:rFonts w:ascii="Times New Roman" w:hAnsi="Times New Roman" w:cs="Times New Roman"/>
          <w:lang w:val="en-US"/>
        </w:rPr>
        <w:t xml:space="preserve"> infection</w:t>
      </w:r>
      <w:r w:rsidR="00085708">
        <w:rPr>
          <w:rFonts w:ascii="Times New Roman" w:hAnsi="Times New Roman" w:cs="Times New Roman"/>
          <w:lang w:val="en-US"/>
        </w:rPr>
        <w:t xml:space="preserve"> (31.5%) among residents of Kura LGA, with a geometric mean intensity of 8.3 microfilariae per skin snip among positive individuals. Critically, the prevalence of 18.3% observed in children aged 5 – 14 years far exceeds the WHO elimination threshold of &lt;1%, indicating ongoing active transmission</w:t>
      </w:r>
      <w:r w:rsidR="00597BFF">
        <w:rPr>
          <w:rFonts w:ascii="Times New Roman" w:hAnsi="Times New Roman" w:cs="Times New Roman"/>
          <w:lang w:val="en-US"/>
        </w:rPr>
        <w:t xml:space="preserve"> despite decades of mass drug administration (MDA) with ivermectin. These findings underscore significant programmatic gap that requires urgent remedial action.</w:t>
      </w:r>
    </w:p>
    <w:p w14:paraId="4A62ECF7" w14:textId="589476C6" w:rsidR="00671580" w:rsidRDefault="00597BFF" w:rsidP="00635F8B">
      <w:pPr>
        <w:spacing w:line="240" w:lineRule="auto"/>
        <w:rPr>
          <w:rFonts w:ascii="Times New Roman" w:hAnsi="Times New Roman" w:cs="Times New Roman"/>
          <w:lang w:val="en-US"/>
        </w:rPr>
      </w:pPr>
      <w:r>
        <w:rPr>
          <w:rFonts w:ascii="Times New Roman" w:hAnsi="Times New Roman" w:cs="Times New Roman"/>
          <w:lang w:val="en-US"/>
        </w:rPr>
        <w:t>The overall prevalence of 31.5% recorded in this study is comparable to reports from other persistent endemic foci in Nigeria. For instance, studies in parts of Kaduna and Taraba States have reported prevalence rates ranging from 2</w:t>
      </w:r>
      <w:r w:rsidR="00691819">
        <w:rPr>
          <w:rFonts w:ascii="Times New Roman" w:hAnsi="Times New Roman" w:cs="Times New Roman"/>
          <w:lang w:val="en-US"/>
        </w:rPr>
        <w:t>0</w:t>
      </w:r>
      <w:r>
        <w:rPr>
          <w:rFonts w:ascii="Times New Roman" w:hAnsi="Times New Roman" w:cs="Times New Roman"/>
          <w:lang w:val="en-US"/>
        </w:rPr>
        <w:t>% to 45% in riverine communities</w:t>
      </w:r>
      <w:r w:rsidR="00085708">
        <w:rPr>
          <w:rFonts w:ascii="Times New Roman" w:hAnsi="Times New Roman" w:cs="Times New Roman"/>
          <w:lang w:val="en-US"/>
        </w:rPr>
        <w:t xml:space="preserve"> </w:t>
      </w:r>
      <w:r w:rsidR="00691819">
        <w:rPr>
          <w:rFonts w:ascii="Times New Roman" w:hAnsi="Times New Roman" w:cs="Times New Roman"/>
          <w:lang w:val="en-US"/>
        </w:rPr>
        <w:t xml:space="preserve">to the extent of one community in Taraba recording 71.9% blindness rates </w:t>
      </w:r>
      <w:r w:rsidR="00085708">
        <w:rPr>
          <w:rFonts w:ascii="Times New Roman" w:hAnsi="Times New Roman" w:cs="Times New Roman"/>
          <w:lang w:val="en-US"/>
        </w:rPr>
        <w:t>among</w:t>
      </w:r>
      <w:r w:rsidR="00945137">
        <w:rPr>
          <w:rFonts w:ascii="Times New Roman" w:hAnsi="Times New Roman" w:cs="Times New Roman"/>
          <w:lang w:val="en-US"/>
        </w:rPr>
        <w:t xml:space="preserve"> the riverine communities </w:t>
      </w:r>
      <w:r w:rsidR="00945137" w:rsidRPr="00945137">
        <w:rPr>
          <w:rFonts w:ascii="Times New Roman" w:hAnsi="Times New Roman" w:cs="Times New Roman"/>
          <w:lang w:val="en-US"/>
        </w:rPr>
        <w:t>[11, 12</w:t>
      </w:r>
      <w:r w:rsidR="00945137">
        <w:rPr>
          <w:rFonts w:ascii="Times New Roman" w:hAnsi="Times New Roman" w:cs="Times New Roman"/>
          <w:lang w:val="en-US"/>
        </w:rPr>
        <w:t>]. In Kaduna riverine communities,</w:t>
      </w:r>
      <w:r w:rsidR="00431E3A">
        <w:rPr>
          <w:rFonts w:ascii="Times New Roman" w:hAnsi="Times New Roman" w:cs="Times New Roman"/>
          <w:lang w:val="en-US"/>
        </w:rPr>
        <w:t xml:space="preserve"> </w:t>
      </w:r>
      <w:r w:rsidR="00671580">
        <w:rPr>
          <w:rFonts w:ascii="Times New Roman" w:hAnsi="Times New Roman" w:cs="Times New Roman"/>
          <w:lang w:val="en-US"/>
        </w:rPr>
        <w:t>out of 1,502 children aged 5- years examined, only 2 were found to be Sero-positive</w:t>
      </w:r>
      <w:r w:rsidR="00717861">
        <w:rPr>
          <w:rFonts w:ascii="Times New Roman" w:hAnsi="Times New Roman" w:cs="Times New Roman"/>
          <w:lang w:val="en-US"/>
        </w:rPr>
        <w:t>, but in the other age groups the prevalence was similar</w:t>
      </w:r>
      <w:r w:rsidR="00671580">
        <w:rPr>
          <w:rFonts w:ascii="Times New Roman" w:hAnsi="Times New Roman" w:cs="Times New Roman"/>
          <w:lang w:val="en-US"/>
        </w:rPr>
        <w:t xml:space="preserve"> compared to Taraba State [13].</w:t>
      </w:r>
    </w:p>
    <w:p w14:paraId="2161553D" w14:textId="3A3B22B5" w:rsidR="0049389D" w:rsidRDefault="00671580" w:rsidP="00635F8B">
      <w:pPr>
        <w:spacing w:line="240" w:lineRule="auto"/>
        <w:rPr>
          <w:rFonts w:ascii="Times New Roman" w:hAnsi="Times New Roman" w:cs="Times New Roman"/>
          <w:lang w:val="en-US"/>
        </w:rPr>
      </w:pPr>
      <w:r>
        <w:rPr>
          <w:rFonts w:ascii="Times New Roman" w:hAnsi="Times New Roman" w:cs="Times New Roman"/>
          <w:lang w:val="en-US"/>
        </w:rPr>
        <w:t xml:space="preserve">However, it is notably higher than the </w:t>
      </w:r>
      <w:r w:rsidR="0046060A">
        <w:rPr>
          <w:rFonts w:ascii="Times New Roman" w:hAnsi="Times New Roman" w:cs="Times New Roman"/>
          <w:lang w:val="en-US"/>
        </w:rPr>
        <w:t xml:space="preserve">overall </w:t>
      </w:r>
      <w:r>
        <w:rPr>
          <w:rFonts w:ascii="Times New Roman" w:hAnsi="Times New Roman" w:cs="Times New Roman"/>
          <w:lang w:val="en-US"/>
        </w:rPr>
        <w:t>&lt;5% prevalence</w:t>
      </w:r>
      <w:r w:rsidR="00717861">
        <w:rPr>
          <w:rFonts w:ascii="Times New Roman" w:hAnsi="Times New Roman" w:cs="Times New Roman"/>
          <w:lang w:val="en-US"/>
        </w:rPr>
        <w:t xml:space="preserve"> reported in states that have successfully interrupted</w:t>
      </w:r>
      <w:r w:rsidR="0046060A">
        <w:rPr>
          <w:rFonts w:ascii="Times New Roman" w:hAnsi="Times New Roman" w:cs="Times New Roman"/>
          <w:lang w:val="en-US"/>
        </w:rPr>
        <w:t xml:space="preserve"> transmission</w:t>
      </w:r>
      <w:r w:rsidR="00717861">
        <w:rPr>
          <w:rFonts w:ascii="Times New Roman" w:hAnsi="Times New Roman" w:cs="Times New Roman"/>
          <w:lang w:val="en-US"/>
        </w:rPr>
        <w:t>, such as Plateau and Nasarawa, where sustained high-coverage MDA has been implemented</w:t>
      </w:r>
      <w:r w:rsidR="0046060A">
        <w:rPr>
          <w:rFonts w:ascii="Times New Roman" w:hAnsi="Times New Roman" w:cs="Times New Roman"/>
          <w:lang w:val="en-US"/>
        </w:rPr>
        <w:t xml:space="preserve"> for over 15 years [9]. This contrast suggests that Kura LGA communit</w:t>
      </w:r>
      <w:r w:rsidR="00EE7235">
        <w:rPr>
          <w:rFonts w:ascii="Times New Roman" w:hAnsi="Times New Roman" w:cs="Times New Roman"/>
          <w:lang w:val="en-US"/>
        </w:rPr>
        <w:t>y</w:t>
      </w:r>
      <w:r w:rsidR="0046060A">
        <w:rPr>
          <w:rFonts w:ascii="Times New Roman" w:hAnsi="Times New Roman" w:cs="Times New Roman"/>
          <w:lang w:val="en-US"/>
        </w:rPr>
        <w:t xml:space="preserve"> </w:t>
      </w:r>
      <w:r w:rsidR="00EE7235">
        <w:rPr>
          <w:rFonts w:ascii="Times New Roman" w:hAnsi="Times New Roman" w:cs="Times New Roman"/>
          <w:lang w:val="en-US"/>
        </w:rPr>
        <w:t xml:space="preserve">contrary what was claimed in Yahaya et al. (2021) </w:t>
      </w:r>
      <w:r w:rsidR="0049389D">
        <w:rPr>
          <w:rFonts w:ascii="Times New Roman" w:hAnsi="Times New Roman" w:cs="Times New Roman"/>
          <w:lang w:val="en-US"/>
        </w:rPr>
        <w:t>remain</w:t>
      </w:r>
      <w:r w:rsidR="0046060A">
        <w:rPr>
          <w:rFonts w:ascii="Times New Roman" w:hAnsi="Times New Roman" w:cs="Times New Roman"/>
          <w:lang w:val="en-US"/>
        </w:rPr>
        <w:t xml:space="preserve"> a recalcitrant hotspot where elimination efforts have stagnated or regressed</w:t>
      </w:r>
      <w:r w:rsidR="00EE7235">
        <w:rPr>
          <w:rFonts w:ascii="Times New Roman" w:hAnsi="Times New Roman" w:cs="Times New Roman"/>
          <w:lang w:val="en-US"/>
        </w:rPr>
        <w:t xml:space="preserve"> [18]</w:t>
      </w:r>
      <w:r w:rsidR="0049389D">
        <w:rPr>
          <w:rFonts w:ascii="Times New Roman" w:hAnsi="Times New Roman" w:cs="Times New Roman"/>
          <w:lang w:val="en-US"/>
        </w:rPr>
        <w:t>.</w:t>
      </w:r>
    </w:p>
    <w:p w14:paraId="180B10F9" w14:textId="24D38F27" w:rsidR="0047404F" w:rsidRDefault="00C75453" w:rsidP="00635F8B">
      <w:pPr>
        <w:spacing w:line="240" w:lineRule="auto"/>
        <w:rPr>
          <w:rFonts w:ascii="Times New Roman" w:hAnsi="Times New Roman" w:cs="Times New Roman"/>
          <w:lang w:val="en-US"/>
        </w:rPr>
      </w:pPr>
      <w:r>
        <w:rPr>
          <w:rFonts w:ascii="Times New Roman" w:hAnsi="Times New Roman" w:cs="Times New Roman"/>
          <w:lang w:val="en-US"/>
        </w:rPr>
        <w:t xml:space="preserve">The most alarming finding is the 18.3% prevalence among children aged 5 – 14 years. In an elimination setting, this age group serves as a sentinel indicator because they have been born after the peak of MDA interventions and thus have minimal exposure to infective bites. </w:t>
      </w:r>
      <w:r w:rsidR="0047404F">
        <w:rPr>
          <w:rFonts w:ascii="Times New Roman" w:hAnsi="Times New Roman" w:cs="Times New Roman"/>
          <w:lang w:val="en-US"/>
        </w:rPr>
        <w:t>The high positivity rate in this cohort points to ongoing transmission rather than merely residual infections from the pre-MDA era [</w:t>
      </w:r>
      <w:r w:rsidR="00EE7235">
        <w:rPr>
          <w:rFonts w:ascii="Times New Roman" w:hAnsi="Times New Roman" w:cs="Times New Roman"/>
          <w:lang w:val="en-US"/>
        </w:rPr>
        <w:t>10</w:t>
      </w:r>
      <w:r w:rsidR="0047404F">
        <w:rPr>
          <w:rFonts w:ascii="Times New Roman" w:hAnsi="Times New Roman" w:cs="Times New Roman"/>
          <w:lang w:val="en-US"/>
        </w:rPr>
        <w:t>].</w:t>
      </w:r>
    </w:p>
    <w:p w14:paraId="32BED6B5" w14:textId="0103A5A6" w:rsidR="0047404F" w:rsidRDefault="0047404F" w:rsidP="00635F8B">
      <w:pPr>
        <w:spacing w:line="240" w:lineRule="auto"/>
        <w:rPr>
          <w:rFonts w:ascii="Times New Roman" w:hAnsi="Times New Roman" w:cs="Times New Roman"/>
          <w:lang w:val="en-US"/>
        </w:rPr>
      </w:pPr>
      <w:r>
        <w:rPr>
          <w:rFonts w:ascii="Times New Roman" w:hAnsi="Times New Roman" w:cs="Times New Roman"/>
          <w:lang w:val="en-US"/>
        </w:rPr>
        <w:t>Several factors likely contribute to this. First, the self-reported ivermectin coverage in the preceding 12 months was only 62%, well below the recommended 80% community coverage threshold required to interrupt transmission [</w:t>
      </w:r>
      <w:r w:rsidR="00EE7235">
        <w:rPr>
          <w:rFonts w:ascii="Times New Roman" w:hAnsi="Times New Roman" w:cs="Times New Roman"/>
          <w:lang w:val="en-US"/>
        </w:rPr>
        <w:t>14</w:t>
      </w:r>
      <w:r>
        <w:rPr>
          <w:rFonts w:ascii="Times New Roman" w:hAnsi="Times New Roman" w:cs="Times New Roman"/>
          <w:lang w:val="en-US"/>
        </w:rPr>
        <w:t>]. Second, the proximity of the community to fast-flowing rivers ensures continuous blackfly breeding and human-vector contact, particularly during farming and fishing activities, which are the primary occupation</w:t>
      </w:r>
      <w:r w:rsidR="005D644B">
        <w:rPr>
          <w:rFonts w:ascii="Times New Roman" w:hAnsi="Times New Roman" w:cs="Times New Roman"/>
          <w:lang w:val="en-US"/>
        </w:rPr>
        <w:t xml:space="preserve"> </w:t>
      </w:r>
      <w:r>
        <w:rPr>
          <w:rFonts w:ascii="Times New Roman" w:hAnsi="Times New Roman" w:cs="Times New Roman"/>
          <w:lang w:val="en-US"/>
        </w:rPr>
        <w:t>s of 78% of participants.</w:t>
      </w:r>
    </w:p>
    <w:p w14:paraId="09A2ED7F" w14:textId="203D21C4" w:rsidR="00B94BED" w:rsidRDefault="0047404F" w:rsidP="00635F8B">
      <w:pPr>
        <w:spacing w:line="240" w:lineRule="auto"/>
        <w:rPr>
          <w:rFonts w:ascii="Times New Roman" w:hAnsi="Times New Roman" w:cs="Times New Roman"/>
          <w:lang w:val="en-US"/>
        </w:rPr>
      </w:pPr>
      <w:r>
        <w:rPr>
          <w:rFonts w:ascii="Times New Roman" w:hAnsi="Times New Roman" w:cs="Times New Roman"/>
          <w:lang w:val="en-US"/>
        </w:rPr>
        <w:t>The suboptimal MDA coverage of 62% in this study is a critical bottleneck. The reason</w:t>
      </w:r>
      <w:r w:rsidR="001C6A1C">
        <w:rPr>
          <w:rFonts w:ascii="Times New Roman" w:hAnsi="Times New Roman" w:cs="Times New Roman"/>
          <w:lang w:val="en-US"/>
        </w:rPr>
        <w:t>s cited by non-participants absence during distribution of the drug (34.2%), fear of side effects (27.6%), and lack of awareness (18.4%) are consistent with barriers reported in other Nigerian and sub-Saharan African settings [</w:t>
      </w:r>
      <w:r w:rsidR="00EE7235">
        <w:rPr>
          <w:rFonts w:ascii="Times New Roman" w:hAnsi="Times New Roman" w:cs="Times New Roman"/>
          <w:lang w:val="en-US"/>
        </w:rPr>
        <w:t>17</w:t>
      </w:r>
      <w:r w:rsidR="001C6A1C">
        <w:rPr>
          <w:rFonts w:ascii="Times New Roman" w:hAnsi="Times New Roman" w:cs="Times New Roman"/>
          <w:lang w:val="en-US"/>
        </w:rPr>
        <w:t>]. Absence on distribution days often reflects the timing of MDA campaigns, which may coincide with peak agricultural seasons</w:t>
      </w:r>
      <w:r w:rsidR="00B94BED">
        <w:rPr>
          <w:rFonts w:ascii="Times New Roman" w:hAnsi="Times New Roman" w:cs="Times New Roman"/>
          <w:lang w:val="en-US"/>
        </w:rPr>
        <w:t xml:space="preserve"> when farmers migrate to farm settlements far from the distribution points. Fear of side effects, particularly the severe itching and oedema associated with the Mozzati reaction</w:t>
      </w:r>
      <w:r>
        <w:rPr>
          <w:rFonts w:ascii="Times New Roman" w:hAnsi="Times New Roman" w:cs="Times New Roman"/>
          <w:lang w:val="en-US"/>
        </w:rPr>
        <w:t xml:space="preserve"> </w:t>
      </w:r>
      <w:r w:rsidR="00B94BED">
        <w:rPr>
          <w:rFonts w:ascii="Times New Roman" w:hAnsi="Times New Roman" w:cs="Times New Roman"/>
          <w:lang w:val="en-US"/>
        </w:rPr>
        <w:t>in heavily infected individuals, remains a powerful deterrent. This highlights the need for enhanced community health education that not only promotes uptake but also prepares communities for expected adverse events and manages them effectively at the primary care level.</w:t>
      </w:r>
    </w:p>
    <w:p w14:paraId="1548197C" w14:textId="77777777" w:rsidR="00B74B60" w:rsidRDefault="00B94BED" w:rsidP="00635F8B">
      <w:pPr>
        <w:spacing w:line="240" w:lineRule="auto"/>
        <w:rPr>
          <w:rFonts w:ascii="Times New Roman" w:hAnsi="Times New Roman" w:cs="Times New Roman"/>
          <w:lang w:val="en-US"/>
        </w:rPr>
      </w:pPr>
      <w:r>
        <w:rPr>
          <w:rFonts w:ascii="Times New Roman" w:hAnsi="Times New Roman" w:cs="Times New Roman"/>
          <w:lang w:val="en-US"/>
        </w:rPr>
        <w:t>With regard to infection intensity, the geometric mean of 8.3 Mf/snip</w:t>
      </w:r>
      <w:r w:rsidR="00204224">
        <w:rPr>
          <w:rFonts w:ascii="Times New Roman" w:hAnsi="Times New Roman" w:cs="Times New Roman"/>
          <w:lang w:val="en-US"/>
        </w:rPr>
        <w:t>, with a range of reaching 47 Mf/snip in some adults, is clinically significant. High microfilarial loads are directly correlated with the development of ocular lesions and consequent blindness [13]. The observation that the highest intensity occurred in the 30 – 44 years age group (10.1 Mf/snip) reflects cumulative exposure over decades of agricultural work</w:t>
      </w:r>
      <w:r w:rsidR="00B74B60">
        <w:rPr>
          <w:rFonts w:ascii="Times New Roman" w:hAnsi="Times New Roman" w:cs="Times New Roman"/>
          <w:lang w:val="en-US"/>
        </w:rPr>
        <w:t xml:space="preserve"> near vector breeding sites. This age group also constitutes the most economically productive segment of the community, meaning the disease burden translates directly into lost workdays, reduced agricultural output, and household economic strain translating to a classic poverty -disease trap.</w:t>
      </w:r>
    </w:p>
    <w:p w14:paraId="72665688" w14:textId="77777777" w:rsidR="005D644B" w:rsidRDefault="00B74B60" w:rsidP="00635F8B">
      <w:pPr>
        <w:spacing w:line="240" w:lineRule="auto"/>
        <w:rPr>
          <w:rFonts w:ascii="Times New Roman" w:hAnsi="Times New Roman" w:cs="Times New Roman"/>
          <w:lang w:val="en-US"/>
        </w:rPr>
      </w:pPr>
      <w:r>
        <w:rPr>
          <w:rFonts w:ascii="Times New Roman" w:hAnsi="Times New Roman" w:cs="Times New Roman"/>
          <w:lang w:val="en-US"/>
        </w:rPr>
        <w:t xml:space="preserve">Clinically, the high prevalence of chronic pruritus (61.9%) and subcutaneous nodules (32.5%) among positive participants is noteworthy. While onchocerciasis is often associated with blindness in public health messaging, the dermatological </w:t>
      </w:r>
      <w:r w:rsidR="003C2B25">
        <w:rPr>
          <w:rFonts w:ascii="Times New Roman" w:hAnsi="Times New Roman" w:cs="Times New Roman"/>
          <w:lang w:val="en-US"/>
        </w:rPr>
        <w:t>burden is actually the most common and distressing manifestation [2, 11]. Chronic itching leads to sleep deprivation, skin excoriation, secondary bacterial infections, and profound social stigmatization, particularly for women with leopard skin depigmentation [10]. The fact that 21.4%</w:t>
      </w:r>
      <w:r>
        <w:rPr>
          <w:rFonts w:ascii="Times New Roman" w:hAnsi="Times New Roman" w:cs="Times New Roman"/>
          <w:lang w:val="en-US"/>
        </w:rPr>
        <w:t xml:space="preserve"> </w:t>
      </w:r>
      <w:r w:rsidR="003C2B25">
        <w:rPr>
          <w:rFonts w:ascii="Times New Roman" w:hAnsi="Times New Roman" w:cs="Times New Roman"/>
          <w:lang w:val="en-US"/>
        </w:rPr>
        <w:t>of positive participants had leopard skin indicates long-standing</w:t>
      </w:r>
      <w:r w:rsidR="005D644B">
        <w:rPr>
          <w:rFonts w:ascii="Times New Roman" w:hAnsi="Times New Roman" w:cs="Times New Roman"/>
          <w:lang w:val="en-US"/>
        </w:rPr>
        <w:t>, untreated infection, reinforcing the conclusion that MDA coverage has been historically insufficient in this locale.</w:t>
      </w:r>
    </w:p>
    <w:p w14:paraId="711DC38B" w14:textId="75550D41" w:rsidR="00EB7A45" w:rsidRDefault="005D644B" w:rsidP="00635F8B">
      <w:pPr>
        <w:spacing w:line="240" w:lineRule="auto"/>
        <w:rPr>
          <w:rFonts w:ascii="Times New Roman" w:hAnsi="Times New Roman" w:cs="Times New Roman"/>
          <w:lang w:val="en-US"/>
        </w:rPr>
      </w:pPr>
      <w:r>
        <w:rPr>
          <w:rFonts w:ascii="Times New Roman" w:hAnsi="Times New Roman" w:cs="Times New Roman"/>
          <w:lang w:val="en-US"/>
        </w:rPr>
        <w:t xml:space="preserve">In many resource-poor settings, the biannual community directed distribution of ivermectin </w:t>
      </w:r>
      <w:r w:rsidR="00B07D15">
        <w:rPr>
          <w:rFonts w:ascii="Times New Roman" w:hAnsi="Times New Roman" w:cs="Times New Roman"/>
          <w:lang w:val="en-US"/>
        </w:rPr>
        <w:t>has resulted in partial or total interruption of the disease (Plateau and Nasarawa States)</w:t>
      </w:r>
      <w:r w:rsidR="00CE3B72">
        <w:rPr>
          <w:rFonts w:ascii="Times New Roman" w:hAnsi="Times New Roman" w:cs="Times New Roman"/>
          <w:lang w:val="en-US"/>
        </w:rPr>
        <w:t xml:space="preserve">, </w:t>
      </w:r>
      <w:r w:rsidR="00B07D15">
        <w:rPr>
          <w:rFonts w:ascii="Times New Roman" w:hAnsi="Times New Roman" w:cs="Times New Roman"/>
          <w:lang w:val="en-US"/>
        </w:rPr>
        <w:t>and often leading to total elimination of onchocerciasis in some countries like Ecuador, Guatemala, and Colombia</w:t>
      </w:r>
      <w:r w:rsidR="00CE3B72">
        <w:rPr>
          <w:rFonts w:ascii="Times New Roman" w:hAnsi="Times New Roman" w:cs="Times New Roman"/>
          <w:lang w:val="en-US"/>
        </w:rPr>
        <w:t xml:space="preserve">. </w:t>
      </w:r>
      <w:r w:rsidR="008234F2">
        <w:rPr>
          <w:rFonts w:ascii="Times New Roman" w:hAnsi="Times New Roman" w:cs="Times New Roman"/>
          <w:lang w:val="en-US"/>
        </w:rPr>
        <w:t>While in some countries, elimination was achieved by combining WHO guidelines</w:t>
      </w:r>
      <w:r w:rsidR="00B6189B">
        <w:rPr>
          <w:rFonts w:ascii="Times New Roman" w:hAnsi="Times New Roman" w:cs="Times New Roman"/>
          <w:lang w:val="en-US"/>
        </w:rPr>
        <w:t xml:space="preserve"> with the community guidelines by changing treatment frequency to quarterly as it occurred </w:t>
      </w:r>
      <w:r w:rsidR="00CE3B72">
        <w:rPr>
          <w:rFonts w:ascii="Times New Roman" w:hAnsi="Times New Roman" w:cs="Times New Roman"/>
          <w:lang w:val="en-US"/>
        </w:rPr>
        <w:t xml:space="preserve">in Mexico in 2015 [14]. In some other areas, using larvicidal such as DDT along the channels that the river flows </w:t>
      </w:r>
      <w:r w:rsidR="00EB7A45">
        <w:rPr>
          <w:rFonts w:ascii="Times New Roman" w:hAnsi="Times New Roman" w:cs="Times New Roman"/>
          <w:lang w:val="en-US"/>
        </w:rPr>
        <w:t>have</w:t>
      </w:r>
      <w:r w:rsidR="00CE3B72">
        <w:rPr>
          <w:rFonts w:ascii="Times New Roman" w:hAnsi="Times New Roman" w:cs="Times New Roman"/>
          <w:lang w:val="en-US"/>
        </w:rPr>
        <w:t xml:space="preserve"> been found to be effective in curbing the conducive breeding sites of the black fly </w:t>
      </w:r>
      <w:r w:rsidR="00B07D15">
        <w:rPr>
          <w:rFonts w:ascii="Times New Roman" w:hAnsi="Times New Roman" w:cs="Times New Roman"/>
          <w:lang w:val="en-US"/>
        </w:rPr>
        <w:t>(</w:t>
      </w:r>
      <w:r w:rsidR="00CE3B72" w:rsidRPr="00EB7A45">
        <w:rPr>
          <w:rFonts w:ascii="Times New Roman" w:hAnsi="Times New Roman" w:cs="Times New Roman"/>
          <w:i/>
          <w:iCs/>
          <w:lang w:val="en-US"/>
        </w:rPr>
        <w:t>S</w:t>
      </w:r>
      <w:r w:rsidR="00EB7A45">
        <w:rPr>
          <w:rFonts w:ascii="Times New Roman" w:hAnsi="Times New Roman" w:cs="Times New Roman"/>
          <w:i/>
          <w:iCs/>
          <w:lang w:val="en-US"/>
        </w:rPr>
        <w:t>.</w:t>
      </w:r>
      <w:r w:rsidR="00CE3B72" w:rsidRPr="00EB7A45">
        <w:rPr>
          <w:rFonts w:ascii="Times New Roman" w:hAnsi="Times New Roman" w:cs="Times New Roman"/>
          <w:i/>
          <w:iCs/>
          <w:lang w:val="en-US"/>
        </w:rPr>
        <w:t xml:space="preserve"> </w:t>
      </w:r>
      <w:r w:rsidR="00EB7A45" w:rsidRPr="00EB7A45">
        <w:rPr>
          <w:rFonts w:ascii="Times New Roman" w:hAnsi="Times New Roman" w:cs="Times New Roman"/>
          <w:i/>
          <w:iCs/>
          <w:lang w:val="en-US"/>
        </w:rPr>
        <w:t>damnosum</w:t>
      </w:r>
      <w:r w:rsidR="00EB7A45">
        <w:rPr>
          <w:rFonts w:ascii="Times New Roman" w:hAnsi="Times New Roman" w:cs="Times New Roman"/>
          <w:i/>
          <w:iCs/>
          <w:lang w:val="en-US"/>
        </w:rPr>
        <w:t xml:space="preserve"> </w:t>
      </w:r>
      <w:r w:rsidR="00EB7A45">
        <w:rPr>
          <w:rFonts w:ascii="Times New Roman" w:hAnsi="Times New Roman" w:cs="Times New Roman"/>
          <w:lang w:val="en-US"/>
        </w:rPr>
        <w:t>complex</w:t>
      </w:r>
      <w:r w:rsidR="00B07D15">
        <w:rPr>
          <w:rFonts w:ascii="Times New Roman" w:hAnsi="Times New Roman" w:cs="Times New Roman"/>
          <w:lang w:val="en-US"/>
        </w:rPr>
        <w:t>)</w:t>
      </w:r>
      <w:r w:rsidR="00EB7A45">
        <w:rPr>
          <w:rFonts w:ascii="Times New Roman" w:hAnsi="Times New Roman" w:cs="Times New Roman"/>
          <w:lang w:val="en-US"/>
        </w:rPr>
        <w:t>, particularly in high transmission areas where there is low rainfall</w:t>
      </w:r>
      <w:r w:rsidR="0077135E">
        <w:rPr>
          <w:rFonts w:ascii="Times New Roman" w:hAnsi="Times New Roman" w:cs="Times New Roman"/>
          <w:lang w:val="en-US"/>
        </w:rPr>
        <w:t xml:space="preserve"> [15]</w:t>
      </w:r>
      <w:r w:rsidR="00EB7A45">
        <w:rPr>
          <w:rFonts w:ascii="Times New Roman" w:hAnsi="Times New Roman" w:cs="Times New Roman"/>
          <w:lang w:val="en-US"/>
        </w:rPr>
        <w:t>.</w:t>
      </w:r>
    </w:p>
    <w:p w14:paraId="5E394FD0" w14:textId="77777777" w:rsidR="00EB7A45" w:rsidRPr="0077135E" w:rsidRDefault="00EB7A45" w:rsidP="00635F8B">
      <w:pPr>
        <w:spacing w:line="240" w:lineRule="auto"/>
        <w:rPr>
          <w:rFonts w:ascii="Times New Roman" w:hAnsi="Times New Roman" w:cs="Times New Roman"/>
          <w:b/>
          <w:bCs/>
          <w:lang w:val="en-US"/>
        </w:rPr>
      </w:pPr>
      <w:r w:rsidRPr="0077135E">
        <w:rPr>
          <w:rFonts w:ascii="Times New Roman" w:hAnsi="Times New Roman" w:cs="Times New Roman"/>
          <w:b/>
          <w:bCs/>
          <w:lang w:val="en-US"/>
        </w:rPr>
        <w:lastRenderedPageBreak/>
        <w:t>Implications for Elimination</w:t>
      </w:r>
    </w:p>
    <w:p w14:paraId="1A066B24" w14:textId="473364AD" w:rsidR="00B46802" w:rsidRDefault="00EB7A45" w:rsidP="00635F8B">
      <w:pPr>
        <w:spacing w:line="240" w:lineRule="auto"/>
        <w:rPr>
          <w:rFonts w:ascii="Times New Roman" w:hAnsi="Times New Roman" w:cs="Times New Roman"/>
          <w:lang w:val="en-US"/>
        </w:rPr>
      </w:pPr>
      <w:r>
        <w:rPr>
          <w:rFonts w:ascii="Times New Roman" w:hAnsi="Times New Roman" w:cs="Times New Roman"/>
          <w:lang w:val="en-US"/>
        </w:rPr>
        <w:t xml:space="preserve">The finding that 18.3% of children harbour </w:t>
      </w:r>
      <w:r w:rsidR="0077135E">
        <w:rPr>
          <w:rFonts w:ascii="Times New Roman" w:hAnsi="Times New Roman" w:cs="Times New Roman"/>
          <w:lang w:val="en-US"/>
        </w:rPr>
        <w:t xml:space="preserve">microfilariae is a red flag for the Nigerian onchocerciasis elimination programme. It demonstrates that, in this community (Kura LGA), the current MDA strategies have failed to interrupt transmission of the disease. The WHO </w:t>
      </w:r>
      <w:r w:rsidR="00F94288">
        <w:rPr>
          <w:rFonts w:ascii="Times New Roman" w:hAnsi="Times New Roman" w:cs="Times New Roman"/>
          <w:lang w:val="en-US"/>
        </w:rPr>
        <w:t xml:space="preserve">in conjunction with the Federal Ministry of Health in Nigeria </w:t>
      </w:r>
      <w:r w:rsidR="0077135E">
        <w:rPr>
          <w:rFonts w:ascii="Times New Roman" w:hAnsi="Times New Roman" w:cs="Times New Roman"/>
          <w:lang w:val="en-US"/>
        </w:rPr>
        <w:t>has set the elimination of onchocerciasis as a public health problem requiring that prevalence in children falls below 1% [16].</w:t>
      </w:r>
      <w:r w:rsidR="00B46802">
        <w:rPr>
          <w:rFonts w:ascii="Times New Roman" w:hAnsi="Times New Roman" w:cs="Times New Roman"/>
          <w:lang w:val="en-US"/>
        </w:rPr>
        <w:t xml:space="preserve"> This study data shows that the country is far from that target, as such, the study recommends the following evidence-based interventions for Kura LGA community and other similar hotspots:</w:t>
      </w:r>
    </w:p>
    <w:p w14:paraId="708CEB7F" w14:textId="77777777" w:rsidR="00B46802" w:rsidRPr="001051EB" w:rsidRDefault="00B46802" w:rsidP="00B46802">
      <w:pPr>
        <w:pStyle w:val="ListParagraph"/>
        <w:numPr>
          <w:ilvl w:val="0"/>
          <w:numId w:val="8"/>
        </w:numPr>
        <w:spacing w:line="240" w:lineRule="auto"/>
        <w:rPr>
          <w:rFonts w:ascii="Times New Roman" w:hAnsi="Times New Roman" w:cs="Times New Roman"/>
          <w:b/>
          <w:bCs/>
          <w:lang w:val="en-US"/>
        </w:rPr>
      </w:pPr>
      <w:r w:rsidRPr="001051EB">
        <w:rPr>
          <w:rFonts w:ascii="Times New Roman" w:hAnsi="Times New Roman" w:cs="Times New Roman"/>
          <w:b/>
          <w:bCs/>
          <w:lang w:val="en-US"/>
        </w:rPr>
        <w:t>Twice-yearly or Quarterly ivermectin distribution</w:t>
      </w:r>
    </w:p>
    <w:p w14:paraId="7A0DD8A4" w14:textId="77777777" w:rsidR="001051EB" w:rsidRDefault="001051EB" w:rsidP="00B46802">
      <w:pPr>
        <w:pStyle w:val="ListParagraph"/>
        <w:spacing w:line="240" w:lineRule="auto"/>
        <w:ind w:left="360"/>
        <w:rPr>
          <w:rFonts w:ascii="Times New Roman" w:hAnsi="Times New Roman" w:cs="Times New Roman"/>
          <w:lang w:val="en-US"/>
        </w:rPr>
      </w:pPr>
      <w:r>
        <w:rPr>
          <w:rFonts w:ascii="Times New Roman" w:hAnsi="Times New Roman" w:cs="Times New Roman"/>
          <w:lang w:val="en-US"/>
        </w:rPr>
        <w:t>Biannual MDA can be changed to quarterly instead of annual distribution, which has been shown to accelerate transmission interruption in hyper-endemic foci as observed in Mexico [14].</w:t>
      </w:r>
    </w:p>
    <w:p w14:paraId="611EF22F" w14:textId="77777777" w:rsidR="001051EB" w:rsidRPr="000113C0" w:rsidRDefault="001051EB" w:rsidP="001051EB">
      <w:pPr>
        <w:pStyle w:val="ListParagraph"/>
        <w:numPr>
          <w:ilvl w:val="0"/>
          <w:numId w:val="8"/>
        </w:numPr>
        <w:spacing w:line="240" w:lineRule="auto"/>
        <w:rPr>
          <w:rFonts w:ascii="Times New Roman" w:hAnsi="Times New Roman" w:cs="Times New Roman"/>
          <w:b/>
          <w:bCs/>
          <w:lang w:val="en-US"/>
        </w:rPr>
      </w:pPr>
      <w:r w:rsidRPr="000113C0">
        <w:rPr>
          <w:rFonts w:ascii="Times New Roman" w:hAnsi="Times New Roman" w:cs="Times New Roman"/>
          <w:b/>
          <w:bCs/>
          <w:lang w:val="en-US"/>
        </w:rPr>
        <w:t>Community-directed treatment with ivermectin (CDTI)</w:t>
      </w:r>
    </w:p>
    <w:p w14:paraId="2CAE81FC" w14:textId="0EC29C86" w:rsidR="00C3771E" w:rsidRDefault="001051EB" w:rsidP="001051EB">
      <w:pPr>
        <w:pStyle w:val="ListParagraph"/>
        <w:spacing w:line="240" w:lineRule="auto"/>
        <w:ind w:left="360"/>
        <w:rPr>
          <w:rFonts w:ascii="Times New Roman" w:hAnsi="Times New Roman" w:cs="Times New Roman"/>
          <w:lang w:val="en-US"/>
        </w:rPr>
      </w:pPr>
      <w:r>
        <w:rPr>
          <w:rFonts w:ascii="Times New Roman" w:hAnsi="Times New Roman" w:cs="Times New Roman"/>
          <w:lang w:val="en-US"/>
        </w:rPr>
        <w:t xml:space="preserve">It should be revitalised with active involvement of community leaders, traditional rulers, NGOs, and women’s group to address the </w:t>
      </w:r>
      <w:r w:rsidR="00C3771E">
        <w:rPr>
          <w:rFonts w:ascii="Times New Roman" w:hAnsi="Times New Roman" w:cs="Times New Roman"/>
          <w:lang w:val="en-US"/>
        </w:rPr>
        <w:t>“</w:t>
      </w:r>
      <w:r>
        <w:rPr>
          <w:rFonts w:ascii="Times New Roman" w:hAnsi="Times New Roman" w:cs="Times New Roman"/>
          <w:lang w:val="en-US"/>
        </w:rPr>
        <w:t>absence</w:t>
      </w:r>
      <w:r w:rsidR="00C3771E">
        <w:rPr>
          <w:rFonts w:ascii="Times New Roman" w:hAnsi="Times New Roman" w:cs="Times New Roman"/>
          <w:lang w:val="en-US"/>
        </w:rPr>
        <w:t xml:space="preserve"> during distribution barriers” [</w:t>
      </w:r>
      <w:r w:rsidR="000113C0">
        <w:rPr>
          <w:rFonts w:ascii="Times New Roman" w:hAnsi="Times New Roman" w:cs="Times New Roman"/>
          <w:lang w:val="en-US"/>
        </w:rPr>
        <w:t>1</w:t>
      </w:r>
      <w:r w:rsidR="00A10AB0">
        <w:rPr>
          <w:rFonts w:ascii="Times New Roman" w:hAnsi="Times New Roman" w:cs="Times New Roman"/>
          <w:lang w:val="en-US"/>
        </w:rPr>
        <w:t>8</w:t>
      </w:r>
      <w:r w:rsidR="00C3771E">
        <w:rPr>
          <w:rFonts w:ascii="Times New Roman" w:hAnsi="Times New Roman" w:cs="Times New Roman"/>
          <w:lang w:val="en-US"/>
        </w:rPr>
        <w:t>].</w:t>
      </w:r>
    </w:p>
    <w:p w14:paraId="19EB73EF" w14:textId="57AFD420" w:rsidR="000113C0" w:rsidRPr="000113C0" w:rsidRDefault="000113C0" w:rsidP="000113C0">
      <w:pPr>
        <w:pStyle w:val="ListParagraph"/>
        <w:numPr>
          <w:ilvl w:val="0"/>
          <w:numId w:val="8"/>
        </w:numPr>
        <w:spacing w:line="240" w:lineRule="auto"/>
        <w:rPr>
          <w:rFonts w:ascii="Times New Roman" w:hAnsi="Times New Roman" w:cs="Times New Roman"/>
          <w:b/>
          <w:bCs/>
          <w:lang w:val="en-US"/>
        </w:rPr>
      </w:pPr>
      <w:r w:rsidRPr="000113C0">
        <w:rPr>
          <w:rFonts w:ascii="Times New Roman" w:hAnsi="Times New Roman" w:cs="Times New Roman"/>
          <w:b/>
          <w:bCs/>
          <w:lang w:val="en-US"/>
        </w:rPr>
        <w:t>Intensive health education</w:t>
      </w:r>
    </w:p>
    <w:p w14:paraId="38BC73AD" w14:textId="0E793184" w:rsidR="00C75453" w:rsidRDefault="000A779E" w:rsidP="000A779E">
      <w:pPr>
        <w:pStyle w:val="ListParagraph"/>
        <w:spacing w:line="240" w:lineRule="auto"/>
        <w:ind w:left="360"/>
        <w:rPr>
          <w:rFonts w:ascii="Times New Roman" w:hAnsi="Times New Roman" w:cs="Times New Roman"/>
          <w:lang w:val="en-US"/>
        </w:rPr>
      </w:pPr>
      <w:r>
        <w:rPr>
          <w:rFonts w:ascii="Times New Roman" w:hAnsi="Times New Roman" w:cs="Times New Roman"/>
          <w:lang w:val="en-US"/>
        </w:rPr>
        <w:t xml:space="preserve">Campaigns to demystify adverse effects and emphasizing the long-term benefits of consistent drug intake should be directed toward the community, as well as </w:t>
      </w:r>
      <w:r w:rsidR="000113C0">
        <w:rPr>
          <w:rFonts w:ascii="Times New Roman" w:hAnsi="Times New Roman" w:cs="Times New Roman"/>
          <w:lang w:val="en-US"/>
        </w:rPr>
        <w:t>instructing</w:t>
      </w:r>
      <w:r>
        <w:rPr>
          <w:rFonts w:ascii="Times New Roman" w:hAnsi="Times New Roman" w:cs="Times New Roman"/>
          <w:lang w:val="en-US"/>
        </w:rPr>
        <w:t xml:space="preserve"> the</w:t>
      </w:r>
      <w:r w:rsidR="000113C0">
        <w:rPr>
          <w:rFonts w:ascii="Times New Roman" w:hAnsi="Times New Roman" w:cs="Times New Roman"/>
          <w:lang w:val="en-US"/>
        </w:rPr>
        <w:t xml:space="preserve"> people to avoid contact with water sources where chemicals were not applied [14].</w:t>
      </w:r>
    </w:p>
    <w:p w14:paraId="6C0D4C17" w14:textId="1F3DF934" w:rsidR="000A779E" w:rsidRPr="000A779E" w:rsidRDefault="000A779E" w:rsidP="000A779E">
      <w:pPr>
        <w:pStyle w:val="ListParagraph"/>
        <w:numPr>
          <w:ilvl w:val="0"/>
          <w:numId w:val="8"/>
        </w:numPr>
        <w:spacing w:line="240" w:lineRule="auto"/>
        <w:rPr>
          <w:rFonts w:ascii="Times New Roman" w:hAnsi="Times New Roman" w:cs="Times New Roman"/>
          <w:b/>
          <w:bCs/>
          <w:lang w:val="en-US"/>
        </w:rPr>
      </w:pPr>
      <w:r w:rsidRPr="000A779E">
        <w:rPr>
          <w:rFonts w:ascii="Times New Roman" w:hAnsi="Times New Roman" w:cs="Times New Roman"/>
          <w:b/>
          <w:bCs/>
          <w:lang w:val="en-US"/>
        </w:rPr>
        <w:t>Integration with vector control</w:t>
      </w:r>
    </w:p>
    <w:p w14:paraId="1BF4050B" w14:textId="36FEF56D" w:rsidR="000A779E" w:rsidRDefault="000A779E" w:rsidP="000A779E">
      <w:pPr>
        <w:pStyle w:val="ListParagraph"/>
        <w:spacing w:line="240" w:lineRule="auto"/>
        <w:ind w:left="360"/>
        <w:rPr>
          <w:rFonts w:ascii="Times New Roman" w:hAnsi="Times New Roman" w:cs="Times New Roman"/>
          <w:lang w:val="en-US"/>
        </w:rPr>
      </w:pPr>
      <w:r w:rsidRPr="000A779E">
        <w:rPr>
          <w:rFonts w:ascii="Times New Roman" w:hAnsi="Times New Roman" w:cs="Times New Roman"/>
          <w:lang w:val="en-US"/>
        </w:rPr>
        <w:t>Where feasible, larviciding of Simulium breeding sites could supplement chemotherapy, particularly in riverine hotspots</w:t>
      </w:r>
      <w:r>
        <w:rPr>
          <w:rFonts w:ascii="Times New Roman" w:hAnsi="Times New Roman" w:cs="Times New Roman"/>
          <w:lang w:val="en-US"/>
        </w:rPr>
        <w:t xml:space="preserve"> [14, 15]</w:t>
      </w:r>
      <w:r w:rsidRPr="000A779E">
        <w:rPr>
          <w:rFonts w:ascii="Times New Roman" w:hAnsi="Times New Roman" w:cs="Times New Roman"/>
          <w:lang w:val="en-US"/>
        </w:rPr>
        <w:t>.</w:t>
      </w:r>
    </w:p>
    <w:p w14:paraId="2BA06B3B" w14:textId="20B24D98" w:rsidR="000A779E" w:rsidRPr="000A779E" w:rsidRDefault="000A779E" w:rsidP="000A779E">
      <w:pPr>
        <w:pStyle w:val="ListParagraph"/>
        <w:numPr>
          <w:ilvl w:val="0"/>
          <w:numId w:val="8"/>
        </w:numPr>
        <w:spacing w:line="240" w:lineRule="auto"/>
        <w:rPr>
          <w:rFonts w:ascii="Times New Roman" w:hAnsi="Times New Roman" w:cs="Times New Roman"/>
          <w:b/>
          <w:bCs/>
          <w:lang w:val="en-US"/>
        </w:rPr>
      </w:pPr>
      <w:r w:rsidRPr="000A779E">
        <w:rPr>
          <w:rFonts w:ascii="Times New Roman" w:hAnsi="Times New Roman" w:cs="Times New Roman"/>
          <w:b/>
          <w:bCs/>
          <w:lang w:val="en-US"/>
        </w:rPr>
        <w:t>Regular post-MDA surveillance</w:t>
      </w:r>
    </w:p>
    <w:p w14:paraId="3E22FB67" w14:textId="4BA7027F" w:rsidR="000A779E" w:rsidRDefault="000A779E" w:rsidP="000A779E">
      <w:pPr>
        <w:pStyle w:val="ListParagraph"/>
        <w:spacing w:line="240" w:lineRule="auto"/>
        <w:ind w:left="360"/>
        <w:rPr>
          <w:rFonts w:ascii="Times New Roman" w:hAnsi="Times New Roman" w:cs="Times New Roman"/>
          <w:lang w:val="en-US"/>
        </w:rPr>
      </w:pPr>
      <w:r>
        <w:rPr>
          <w:rFonts w:ascii="Times New Roman" w:hAnsi="Times New Roman" w:cs="Times New Roman"/>
          <w:lang w:val="en-US"/>
        </w:rPr>
        <w:t xml:space="preserve">Using the Ov-16 rapid diagnostic test </w:t>
      </w:r>
      <w:r w:rsidR="005C227E">
        <w:rPr>
          <w:rFonts w:ascii="Times New Roman" w:hAnsi="Times New Roman" w:cs="Times New Roman"/>
          <w:lang w:val="en-US"/>
        </w:rPr>
        <w:t>often in combination with E</w:t>
      </w:r>
      <w:r w:rsidR="00745DE2">
        <w:rPr>
          <w:rFonts w:ascii="Times New Roman" w:hAnsi="Times New Roman" w:cs="Times New Roman"/>
          <w:lang w:val="en-US"/>
        </w:rPr>
        <w:t xml:space="preserve">LISA </w:t>
      </w:r>
      <w:r>
        <w:rPr>
          <w:rFonts w:ascii="Times New Roman" w:hAnsi="Times New Roman" w:cs="Times New Roman"/>
          <w:lang w:val="en-US"/>
        </w:rPr>
        <w:t>in children to monitor transmission trends without the invasiveness of skin snips</w:t>
      </w:r>
      <w:r w:rsidR="00745DE2">
        <w:rPr>
          <w:rFonts w:ascii="Times New Roman" w:hAnsi="Times New Roman" w:cs="Times New Roman"/>
          <w:lang w:val="en-US"/>
        </w:rPr>
        <w:t xml:space="preserve"> [</w:t>
      </w:r>
      <w:r w:rsidR="005E3A3C">
        <w:rPr>
          <w:rFonts w:ascii="Times New Roman" w:hAnsi="Times New Roman" w:cs="Times New Roman"/>
          <w:lang w:val="en-US"/>
        </w:rPr>
        <w:t xml:space="preserve">2, </w:t>
      </w:r>
      <w:r w:rsidR="00745DE2">
        <w:rPr>
          <w:rFonts w:ascii="Times New Roman" w:hAnsi="Times New Roman" w:cs="Times New Roman"/>
          <w:lang w:val="en-US"/>
        </w:rPr>
        <w:t>19].</w:t>
      </w:r>
    </w:p>
    <w:p w14:paraId="202EE2EB" w14:textId="5EF62495" w:rsidR="00745DE2" w:rsidRPr="00DB2292" w:rsidRDefault="00745DE2" w:rsidP="00745DE2">
      <w:pPr>
        <w:spacing w:line="240" w:lineRule="auto"/>
        <w:rPr>
          <w:rFonts w:ascii="Times New Roman" w:hAnsi="Times New Roman" w:cs="Times New Roman"/>
          <w:b/>
          <w:bCs/>
          <w:lang w:val="en-US"/>
        </w:rPr>
      </w:pPr>
      <w:r w:rsidRPr="00DB2292">
        <w:rPr>
          <w:rFonts w:ascii="Times New Roman" w:hAnsi="Times New Roman" w:cs="Times New Roman"/>
          <w:b/>
          <w:bCs/>
          <w:lang w:val="en-US"/>
        </w:rPr>
        <w:t>Strengths and Limitations</w:t>
      </w:r>
    </w:p>
    <w:p w14:paraId="579C894D" w14:textId="6E5B4906" w:rsidR="00745DE2" w:rsidRDefault="00A143EC" w:rsidP="00745DE2">
      <w:pPr>
        <w:spacing w:line="240" w:lineRule="auto"/>
        <w:rPr>
          <w:rFonts w:ascii="Times New Roman" w:hAnsi="Times New Roman" w:cs="Times New Roman"/>
          <w:lang w:val="en-US"/>
        </w:rPr>
      </w:pPr>
      <w:r>
        <w:rPr>
          <w:rFonts w:ascii="Times New Roman" w:hAnsi="Times New Roman" w:cs="Times New Roman"/>
          <w:lang w:val="en-US"/>
        </w:rPr>
        <w:t>The strength of this study lies in its rigorous parasitological confirmation using the gold-standard skin snip method, which provides objective prevalence and intensity data, unlike rapid diagnostic tests that indicate exposure. The high response rate (100%) and double-reading of slides by trained microscopists enhance the reliability of our estimates. By focusing on the 5 – 14 years age group</w:t>
      </w:r>
      <w:r w:rsidR="00FC078F">
        <w:rPr>
          <w:rFonts w:ascii="Times New Roman" w:hAnsi="Times New Roman" w:cs="Times New Roman"/>
          <w:lang w:val="en-US"/>
        </w:rPr>
        <w:t>, the study has provided a direct, measurable indicator for the state elimination programme.</w:t>
      </w:r>
    </w:p>
    <w:p w14:paraId="203D4962" w14:textId="331C0D60" w:rsidR="00745DE2" w:rsidRDefault="00FC078F" w:rsidP="00745DE2">
      <w:pPr>
        <w:spacing w:line="240" w:lineRule="auto"/>
        <w:rPr>
          <w:rFonts w:ascii="Times New Roman" w:hAnsi="Times New Roman" w:cs="Times New Roman"/>
          <w:lang w:val="en-US"/>
        </w:rPr>
      </w:pPr>
      <w:r>
        <w:rPr>
          <w:rFonts w:ascii="Times New Roman" w:hAnsi="Times New Roman" w:cs="Times New Roman"/>
          <w:lang w:val="en-US"/>
        </w:rPr>
        <w:t>Nevertheless, several limitations must be acknowledged. First, the cross-sectional design precludes assessment of temporal trends or incidence, the author can only measure current prevalence. Second, skin snip microscopy, though specific, has reduced sensitivity in low-intensity settings (though it is not the case here). Third, this study was conducted in a single community, which limits the generalizability of the findings to other ecological zones in Nigeria. However, purposively selecting a known hyper-endemic community provides valuable “sentinel site”</w:t>
      </w:r>
      <w:r w:rsidR="00DB2292">
        <w:rPr>
          <w:rFonts w:ascii="Times New Roman" w:hAnsi="Times New Roman" w:cs="Times New Roman"/>
          <w:lang w:val="en-US"/>
        </w:rPr>
        <w:t xml:space="preserve"> data for programme decision-making at the local level. Fourth, MDA coverage was assessed by self-report, which is subject to recall bias and may overestimate true intake. Fifth, the study did not perform vector studies (blackfly infectivity) to determine how infective it was, or the “molecular xeno-monitoring”, which could have further confirmed ongoing transmission.</w:t>
      </w:r>
      <w:r>
        <w:rPr>
          <w:rFonts w:ascii="Times New Roman" w:hAnsi="Times New Roman" w:cs="Times New Roman"/>
          <w:lang w:val="en-US"/>
        </w:rPr>
        <w:t xml:space="preserve"> </w:t>
      </w:r>
    </w:p>
    <w:p w14:paraId="443D1DB0" w14:textId="4A70A569" w:rsidR="000B2F90" w:rsidRPr="000B2F90" w:rsidRDefault="00762135" w:rsidP="00745DE2">
      <w:pPr>
        <w:spacing w:line="240" w:lineRule="auto"/>
        <w:rPr>
          <w:rFonts w:ascii="Times New Roman" w:hAnsi="Times New Roman" w:cs="Times New Roman"/>
          <w:b/>
          <w:bCs/>
          <w:lang w:val="en-US"/>
        </w:rPr>
      </w:pPr>
      <w:r w:rsidRPr="00762135">
        <w:rPr>
          <w:rFonts w:ascii="Times New Roman" w:hAnsi="Times New Roman" w:cs="Times New Roman"/>
          <w:b/>
          <w:bCs/>
          <w:lang w:val="en-US"/>
        </w:rPr>
        <w:t>CONCLUSION</w:t>
      </w:r>
    </w:p>
    <w:p w14:paraId="2843C065" w14:textId="31173525" w:rsidR="000B2F90" w:rsidRPr="00745DE2" w:rsidRDefault="000B2F90" w:rsidP="00745DE2">
      <w:pPr>
        <w:spacing w:line="240" w:lineRule="auto"/>
        <w:rPr>
          <w:rFonts w:ascii="Times New Roman" w:hAnsi="Times New Roman" w:cs="Times New Roman"/>
          <w:lang w:val="en-US"/>
        </w:rPr>
      </w:pPr>
      <w:r>
        <w:rPr>
          <w:rFonts w:ascii="Times New Roman" w:hAnsi="Times New Roman" w:cs="Times New Roman"/>
          <w:lang w:val="en-US"/>
        </w:rPr>
        <w:t xml:space="preserve">This study reveals that onchocerciasis remains highly endemic in Kura LGA, with an overall prevalence of 31.5% and, more critically, a prevalence of 18.3% among children aged 5 – 14 years, </w:t>
      </w:r>
      <w:r w:rsidR="007F26E4">
        <w:rPr>
          <w:rFonts w:ascii="Times New Roman" w:hAnsi="Times New Roman" w:cs="Times New Roman"/>
          <w:lang w:val="en-US"/>
        </w:rPr>
        <w:t xml:space="preserve">as against the prevalence of </w:t>
      </w:r>
      <w:r w:rsidR="00EE7235">
        <w:rPr>
          <w:rFonts w:ascii="Times New Roman" w:hAnsi="Times New Roman" w:cs="Times New Roman"/>
          <w:lang w:val="en-US"/>
        </w:rPr>
        <w:t>0</w:t>
      </w:r>
      <w:r w:rsidR="007F26E4">
        <w:rPr>
          <w:rFonts w:ascii="Times New Roman" w:hAnsi="Times New Roman" w:cs="Times New Roman"/>
          <w:lang w:val="en-US"/>
        </w:rPr>
        <w:t>.</w:t>
      </w:r>
      <w:r w:rsidR="00EE7235">
        <w:rPr>
          <w:rFonts w:ascii="Times New Roman" w:hAnsi="Times New Roman" w:cs="Times New Roman"/>
          <w:lang w:val="en-US"/>
        </w:rPr>
        <w:t>0</w:t>
      </w:r>
      <w:r w:rsidR="007F26E4">
        <w:rPr>
          <w:rFonts w:ascii="Times New Roman" w:hAnsi="Times New Roman" w:cs="Times New Roman"/>
          <w:lang w:val="en-US"/>
        </w:rPr>
        <w:t xml:space="preserve">% in a study in Yahaya et al. (2021) in the whole Kano </w:t>
      </w:r>
      <w:r w:rsidR="00EE7235">
        <w:rPr>
          <w:rFonts w:ascii="Times New Roman" w:hAnsi="Times New Roman" w:cs="Times New Roman"/>
          <w:lang w:val="en-US"/>
        </w:rPr>
        <w:t>Central Senatorial District</w:t>
      </w:r>
      <w:r w:rsidR="007F26E4">
        <w:rPr>
          <w:rFonts w:ascii="Times New Roman" w:hAnsi="Times New Roman" w:cs="Times New Roman"/>
          <w:lang w:val="en-US"/>
        </w:rPr>
        <w:t xml:space="preserve">, Kura LGA inclusive, </w:t>
      </w:r>
      <w:r>
        <w:rPr>
          <w:rFonts w:ascii="Times New Roman" w:hAnsi="Times New Roman" w:cs="Times New Roman"/>
          <w:lang w:val="en-US"/>
        </w:rPr>
        <w:t xml:space="preserve">which is far exceeding the WHO elimination threshold of &lt;1%. These findings </w:t>
      </w:r>
      <w:r w:rsidR="00EE7235">
        <w:rPr>
          <w:rFonts w:ascii="Times New Roman" w:hAnsi="Times New Roman" w:cs="Times New Roman"/>
          <w:lang w:val="en-US"/>
        </w:rPr>
        <w:t xml:space="preserve">in Kura LGA </w:t>
      </w:r>
      <w:r>
        <w:rPr>
          <w:rFonts w:ascii="Times New Roman" w:hAnsi="Times New Roman" w:cs="Times New Roman"/>
          <w:lang w:val="en-US"/>
        </w:rPr>
        <w:t>confirm the ongoing active transmission despite years of mass drug administration. Suboptimal ivermectin coverage (62%), driven by distribution timing</w:t>
      </w:r>
      <w:r w:rsidR="003C582A">
        <w:rPr>
          <w:rFonts w:ascii="Times New Roman" w:hAnsi="Times New Roman" w:cs="Times New Roman"/>
          <w:lang w:val="en-US"/>
        </w:rPr>
        <w:t xml:space="preserve">, fear of side effects, and inadequate community awareness, appears to be the primary modifiable barrier. To avert continued morbidity and achieve national targets for elimination as observed in </w:t>
      </w:r>
      <w:r w:rsidR="003C582A" w:rsidRPr="003C582A">
        <w:rPr>
          <w:rFonts w:ascii="Times New Roman" w:hAnsi="Times New Roman" w:cs="Times New Roman"/>
          <w:lang w:val="en-US"/>
        </w:rPr>
        <w:t>Miri</w:t>
      </w:r>
      <w:r w:rsidR="003C582A">
        <w:rPr>
          <w:rFonts w:ascii="Times New Roman" w:hAnsi="Times New Roman" w:cs="Times New Roman"/>
          <w:lang w:val="en-US"/>
        </w:rPr>
        <w:t xml:space="preserve"> et al. (2022), is to consider this study recommendations of urgent shift to quarterly MDA, revitalised community-directed treatment with robust health education, as well as intensifying the post-MDA surveillance, particularly in hard-to-reach riverine hotspots</w:t>
      </w:r>
      <w:r w:rsidR="00D063F4">
        <w:rPr>
          <w:rFonts w:ascii="Times New Roman" w:hAnsi="Times New Roman" w:cs="Times New Roman"/>
          <w:lang w:val="en-US"/>
        </w:rPr>
        <w:t>. Without these targeted interventions, this community will remain a reservoir of infection, perpetuating transmission and undermining Nigeria’s broader elimination efforts.</w:t>
      </w:r>
      <w:r w:rsidR="003C582A">
        <w:rPr>
          <w:rFonts w:ascii="Times New Roman" w:hAnsi="Times New Roman" w:cs="Times New Roman"/>
          <w:lang w:val="en-US"/>
        </w:rPr>
        <w:t xml:space="preserve"> </w:t>
      </w:r>
    </w:p>
    <w:p w14:paraId="0FA93FA2" w14:textId="44C053F2" w:rsidR="00635F8B" w:rsidRPr="00635F8B" w:rsidRDefault="00717861" w:rsidP="00635F8B">
      <w:pPr>
        <w:spacing w:line="240" w:lineRule="auto"/>
        <w:rPr>
          <w:rFonts w:ascii="Times New Roman" w:hAnsi="Times New Roman" w:cs="Times New Roman"/>
          <w:lang w:val="en-US"/>
        </w:rPr>
      </w:pPr>
      <w:r>
        <w:rPr>
          <w:rFonts w:ascii="Times New Roman" w:hAnsi="Times New Roman" w:cs="Times New Roman"/>
          <w:lang w:val="en-US"/>
        </w:rPr>
        <w:t xml:space="preserve"> </w:t>
      </w:r>
    </w:p>
    <w:p w14:paraId="028DB640" w14:textId="77777777" w:rsidR="00635F8B" w:rsidRPr="00635F8B" w:rsidRDefault="00635F8B" w:rsidP="00635F8B">
      <w:pPr>
        <w:spacing w:line="240" w:lineRule="auto"/>
        <w:rPr>
          <w:rFonts w:ascii="Times New Roman" w:hAnsi="Times New Roman" w:cs="Times New Roman"/>
          <w:lang w:val="en-US"/>
        </w:rPr>
      </w:pPr>
    </w:p>
    <w:p w14:paraId="2E12DFE6" w14:textId="1DEFA70F" w:rsidR="00635F8B" w:rsidRPr="00762135" w:rsidRDefault="00762135" w:rsidP="00635F8B">
      <w:pPr>
        <w:spacing w:line="240" w:lineRule="auto"/>
        <w:rPr>
          <w:rFonts w:ascii="Times New Roman" w:hAnsi="Times New Roman" w:cs="Times New Roman"/>
          <w:b/>
          <w:bCs/>
          <w:lang w:val="en-US"/>
        </w:rPr>
      </w:pPr>
      <w:r w:rsidRPr="00762135">
        <w:rPr>
          <w:rFonts w:ascii="Times New Roman" w:hAnsi="Times New Roman" w:cs="Times New Roman"/>
          <w:b/>
          <w:bCs/>
          <w:lang w:val="en-US"/>
        </w:rPr>
        <w:lastRenderedPageBreak/>
        <w:t>ACKNOWLEGMENTS</w:t>
      </w:r>
    </w:p>
    <w:p w14:paraId="5E8E1B9C" w14:textId="77777777" w:rsidR="00713053" w:rsidRDefault="00080AB0" w:rsidP="00635F8B">
      <w:pPr>
        <w:spacing w:line="240" w:lineRule="auto"/>
        <w:rPr>
          <w:rFonts w:ascii="Times New Roman" w:hAnsi="Times New Roman" w:cs="Times New Roman"/>
          <w:lang w:val="en-US"/>
        </w:rPr>
      </w:pPr>
      <w:r>
        <w:rPr>
          <w:rFonts w:ascii="Times New Roman" w:hAnsi="Times New Roman" w:cs="Times New Roman"/>
          <w:lang w:val="en-US"/>
        </w:rPr>
        <w:t>The author is grateful to the National Primary Health Care Development Agency (NPHCDA), the Kano State Ministry of Health and the Ex</w:t>
      </w:r>
      <w:r w:rsidR="00713053">
        <w:rPr>
          <w:rFonts w:ascii="Times New Roman" w:hAnsi="Times New Roman" w:cs="Times New Roman"/>
          <w:lang w:val="en-US"/>
        </w:rPr>
        <w:t>panded Special Project for Elimination of Neglected Tropical Diseases (ESPEN) for granting access to the survey data. I also appreciate both the tutors and faculty members of the UNICAF University for their valuable contribution to the study.,</w:t>
      </w:r>
    </w:p>
    <w:p w14:paraId="4D6C93C0" w14:textId="77777777" w:rsidR="00713053" w:rsidRPr="00762135" w:rsidRDefault="00713053" w:rsidP="00635F8B">
      <w:pPr>
        <w:spacing w:line="240" w:lineRule="auto"/>
        <w:rPr>
          <w:rFonts w:ascii="Times New Roman" w:hAnsi="Times New Roman" w:cs="Times New Roman"/>
          <w:b/>
          <w:bCs/>
          <w:lang w:val="en-US"/>
        </w:rPr>
      </w:pPr>
      <w:r w:rsidRPr="00762135">
        <w:rPr>
          <w:rFonts w:ascii="Times New Roman" w:hAnsi="Times New Roman" w:cs="Times New Roman"/>
          <w:b/>
          <w:bCs/>
          <w:lang w:val="en-US"/>
        </w:rPr>
        <w:t>Competing interest</w:t>
      </w:r>
    </w:p>
    <w:p w14:paraId="701019DA" w14:textId="58186ED7" w:rsidR="00713053" w:rsidRDefault="00713053" w:rsidP="00635F8B">
      <w:pPr>
        <w:spacing w:line="240" w:lineRule="auto"/>
        <w:rPr>
          <w:rFonts w:ascii="Times New Roman" w:hAnsi="Times New Roman" w:cs="Times New Roman"/>
          <w:lang w:val="en-US"/>
        </w:rPr>
      </w:pPr>
      <w:r>
        <w:rPr>
          <w:rFonts w:ascii="Times New Roman" w:hAnsi="Times New Roman" w:cs="Times New Roman"/>
          <w:lang w:val="en-US"/>
        </w:rPr>
        <w:t>The author has no competing interests.</w:t>
      </w:r>
    </w:p>
    <w:p w14:paraId="285532CE" w14:textId="5654D673" w:rsidR="00713053" w:rsidRPr="00762135" w:rsidRDefault="00713053" w:rsidP="00635F8B">
      <w:pPr>
        <w:spacing w:line="240" w:lineRule="auto"/>
        <w:rPr>
          <w:rFonts w:ascii="Times New Roman" w:hAnsi="Times New Roman" w:cs="Times New Roman"/>
          <w:b/>
          <w:bCs/>
          <w:lang w:val="en-US"/>
        </w:rPr>
      </w:pPr>
      <w:r w:rsidRPr="00762135">
        <w:rPr>
          <w:rFonts w:ascii="Times New Roman" w:hAnsi="Times New Roman" w:cs="Times New Roman"/>
          <w:b/>
          <w:bCs/>
          <w:lang w:val="en-US"/>
        </w:rPr>
        <w:t>Funding</w:t>
      </w:r>
    </w:p>
    <w:p w14:paraId="737C8381" w14:textId="77777777" w:rsidR="00713053" w:rsidRDefault="00713053" w:rsidP="00635F8B">
      <w:pPr>
        <w:spacing w:line="240" w:lineRule="auto"/>
        <w:rPr>
          <w:rFonts w:ascii="Times New Roman" w:hAnsi="Times New Roman" w:cs="Times New Roman"/>
          <w:lang w:val="en-US"/>
        </w:rPr>
      </w:pPr>
      <w:r>
        <w:rPr>
          <w:rFonts w:ascii="Times New Roman" w:hAnsi="Times New Roman" w:cs="Times New Roman"/>
          <w:lang w:val="en-US"/>
        </w:rPr>
        <w:t>The author received no funding for this study.</w:t>
      </w:r>
    </w:p>
    <w:p w14:paraId="4B261C2E" w14:textId="77777777" w:rsidR="00762135" w:rsidRDefault="00762135" w:rsidP="00635F8B">
      <w:pPr>
        <w:spacing w:line="240" w:lineRule="auto"/>
        <w:rPr>
          <w:rFonts w:ascii="Times New Roman" w:hAnsi="Times New Roman" w:cs="Times New Roman"/>
          <w:lang w:val="en-US"/>
        </w:rPr>
      </w:pPr>
    </w:p>
    <w:p w14:paraId="5C329267" w14:textId="77777777" w:rsidR="00FE59AD" w:rsidRPr="00FE59AD" w:rsidRDefault="00FE59AD" w:rsidP="00FE59AD">
      <w:pPr>
        <w:spacing w:line="240" w:lineRule="auto"/>
        <w:rPr>
          <w:rFonts w:ascii="Times New Roman" w:hAnsi="Times New Roman" w:cs="Times New Roman"/>
          <w:b/>
          <w:bCs/>
          <w:lang w:val="en-US"/>
        </w:rPr>
      </w:pPr>
      <w:r w:rsidRPr="00FE59AD">
        <w:rPr>
          <w:rFonts w:ascii="Times New Roman" w:hAnsi="Times New Roman" w:cs="Times New Roman"/>
          <w:b/>
          <w:bCs/>
          <w:lang w:val="en-US"/>
        </w:rPr>
        <w:t>REFERENCES</w:t>
      </w:r>
    </w:p>
    <w:p w14:paraId="1B2773A1" w14:textId="77777777" w:rsidR="00FE59AD" w:rsidRPr="00FE59AD" w:rsidRDefault="00FE59AD" w:rsidP="00FE59AD">
      <w:pPr>
        <w:numPr>
          <w:ilvl w:val="0"/>
          <w:numId w:val="9"/>
        </w:numPr>
        <w:spacing w:line="240" w:lineRule="auto"/>
        <w:rPr>
          <w:rFonts w:ascii="Times New Roman" w:hAnsi="Times New Roman" w:cs="Times New Roman"/>
          <w:lang w:val="en-US"/>
        </w:rPr>
      </w:pPr>
      <w:r w:rsidRPr="00FE59AD">
        <w:rPr>
          <w:rFonts w:ascii="Times New Roman" w:hAnsi="Times New Roman" w:cs="Times New Roman"/>
          <w:lang w:val="en-US"/>
        </w:rPr>
        <w:t xml:space="preserve">Adeleke, M. A., Mafiana, C. F., Sam-Wobo, S. O., Olatunde, G. O., Ekpo, U. F., Akinwale, O. P., &amp; Toe, L. (2010). Biting behaviour of </w:t>
      </w:r>
      <w:r w:rsidRPr="00FE59AD">
        <w:rPr>
          <w:rFonts w:ascii="Times New Roman" w:hAnsi="Times New Roman" w:cs="Times New Roman"/>
          <w:i/>
          <w:iCs/>
          <w:lang w:val="en-US"/>
        </w:rPr>
        <w:t>Simulium damnosum</w:t>
      </w:r>
      <w:r w:rsidRPr="00FE59AD">
        <w:rPr>
          <w:rFonts w:ascii="Times New Roman" w:hAnsi="Times New Roman" w:cs="Times New Roman"/>
          <w:lang w:val="en-US"/>
        </w:rPr>
        <w:t xml:space="preserve"> complex and </w:t>
      </w:r>
      <w:r w:rsidRPr="00FE59AD">
        <w:rPr>
          <w:rFonts w:ascii="Times New Roman" w:hAnsi="Times New Roman" w:cs="Times New Roman"/>
          <w:i/>
          <w:iCs/>
          <w:lang w:val="en-US"/>
        </w:rPr>
        <w:t>Onchocerca volvulus</w:t>
      </w:r>
      <w:r w:rsidRPr="00FE59AD">
        <w:rPr>
          <w:rFonts w:ascii="Times New Roman" w:hAnsi="Times New Roman" w:cs="Times New Roman"/>
          <w:lang w:val="en-US"/>
        </w:rPr>
        <w:t xml:space="preserve"> infection along the Osun River, Southwest Nigeria. Parasite &amp; vectors, 3: 93. Available at: </w:t>
      </w:r>
      <w:hyperlink r:id="rId7" w:history="1">
        <w:r w:rsidRPr="00FE59AD">
          <w:rPr>
            <w:rStyle w:val="Hyperlink"/>
            <w:rFonts w:ascii="Times New Roman" w:hAnsi="Times New Roman" w:cs="Times New Roman"/>
            <w:lang w:val="en-US"/>
          </w:rPr>
          <w:t>https://doi.org/10.1186/1756-3305-3-93</w:t>
        </w:r>
      </w:hyperlink>
      <w:r w:rsidRPr="00FE59AD">
        <w:rPr>
          <w:rFonts w:ascii="Times New Roman" w:hAnsi="Times New Roman" w:cs="Times New Roman"/>
          <w:lang w:val="en-US"/>
        </w:rPr>
        <w:t xml:space="preserve"> (Accessed: 15 June 2026).</w:t>
      </w:r>
    </w:p>
    <w:p w14:paraId="538BA4C7" w14:textId="77777777" w:rsidR="00FE59AD" w:rsidRPr="00FE59AD" w:rsidRDefault="00FE59AD" w:rsidP="00FE59AD">
      <w:pPr>
        <w:numPr>
          <w:ilvl w:val="0"/>
          <w:numId w:val="9"/>
        </w:numPr>
        <w:spacing w:line="240" w:lineRule="auto"/>
        <w:rPr>
          <w:rFonts w:ascii="Times New Roman" w:hAnsi="Times New Roman" w:cs="Times New Roman"/>
          <w:lang w:val="en-US"/>
        </w:rPr>
      </w:pPr>
      <w:r w:rsidRPr="00FE59AD">
        <w:rPr>
          <w:rFonts w:ascii="Times New Roman" w:hAnsi="Times New Roman" w:cs="Times New Roman"/>
          <w:lang w:val="en-US"/>
        </w:rPr>
        <w:t xml:space="preserve">Akinsanya, B., Adewale, B., Adenusi, A., Lawal, A. &amp; Rahman, O. (2019). Infectivity of </w:t>
      </w:r>
      <w:r w:rsidRPr="00FE59AD">
        <w:rPr>
          <w:rFonts w:ascii="Times New Roman" w:hAnsi="Times New Roman" w:cs="Times New Roman"/>
          <w:i/>
          <w:iCs/>
          <w:lang w:val="en-US"/>
        </w:rPr>
        <w:t>Simulium damnosum</w:t>
      </w:r>
      <w:r w:rsidRPr="00FE59AD">
        <w:rPr>
          <w:rFonts w:ascii="Times New Roman" w:hAnsi="Times New Roman" w:cs="Times New Roman"/>
          <w:lang w:val="en-US"/>
        </w:rPr>
        <w:t xml:space="preserve"> s.l. and therapeutic coverage of ivermectin distribution 10 years post treatment around Owena Dam, Ondo State, Nigeria. </w:t>
      </w:r>
      <w:r w:rsidRPr="00FE59AD">
        <w:rPr>
          <w:rFonts w:ascii="Times New Roman" w:hAnsi="Times New Roman" w:cs="Times New Roman"/>
          <w:i/>
          <w:iCs/>
          <w:lang w:val="en-US"/>
        </w:rPr>
        <w:t>The Brazilian journal of infectious diseases: an official publication of the Brazilian Society of Infectious Diseases, 23</w:t>
      </w:r>
      <w:r w:rsidRPr="00FE59AD">
        <w:rPr>
          <w:rFonts w:ascii="Times New Roman" w:hAnsi="Times New Roman" w:cs="Times New Roman"/>
          <w:lang w:val="en-US"/>
        </w:rPr>
        <w:t xml:space="preserve">(6), 410-418. Available at: </w:t>
      </w:r>
      <w:hyperlink r:id="rId8" w:history="1">
        <w:r w:rsidRPr="00FE59AD">
          <w:rPr>
            <w:rStyle w:val="Hyperlink"/>
            <w:rFonts w:ascii="Times New Roman" w:hAnsi="Times New Roman" w:cs="Times New Roman"/>
            <w:lang w:val="en-US"/>
          </w:rPr>
          <w:t>https://doi.org/10.1016/j.bjid.2019.10.003</w:t>
        </w:r>
      </w:hyperlink>
      <w:r w:rsidRPr="00FE59AD">
        <w:rPr>
          <w:rFonts w:ascii="Times New Roman" w:hAnsi="Times New Roman" w:cs="Times New Roman"/>
          <w:lang w:val="en-US"/>
        </w:rPr>
        <w:t xml:space="preserve"> (Accessed: 15 June 2026).</w:t>
      </w:r>
    </w:p>
    <w:p w14:paraId="2F3D5676" w14:textId="77777777" w:rsidR="00FE59AD" w:rsidRPr="00FE59AD" w:rsidRDefault="00FE59AD" w:rsidP="00FE59AD">
      <w:pPr>
        <w:numPr>
          <w:ilvl w:val="0"/>
          <w:numId w:val="9"/>
        </w:numPr>
        <w:spacing w:line="240" w:lineRule="auto"/>
        <w:rPr>
          <w:rFonts w:ascii="Times New Roman" w:hAnsi="Times New Roman" w:cs="Times New Roman"/>
          <w:lang w:val="en-US"/>
        </w:rPr>
      </w:pPr>
      <w:r w:rsidRPr="00FE59AD">
        <w:rPr>
          <w:rFonts w:ascii="Times New Roman" w:hAnsi="Times New Roman" w:cs="Times New Roman"/>
          <w:lang w:val="en-US"/>
        </w:rPr>
        <w:t>Akogun, O. B. (1999). Onchocerciasis in Taraba State, Nigeria: Clinical epidemiology study of at-risk males in Bakundi district</w:t>
      </w:r>
      <w:r w:rsidRPr="00FE59AD">
        <w:rPr>
          <w:rFonts w:ascii="Times New Roman" w:hAnsi="Times New Roman" w:cs="Times New Roman"/>
          <w:i/>
          <w:iCs/>
          <w:lang w:val="en-US"/>
        </w:rPr>
        <w:t>. Zentralblatt fur Bakteriologie, 289</w:t>
      </w:r>
      <w:r w:rsidRPr="00FE59AD">
        <w:rPr>
          <w:rFonts w:ascii="Times New Roman" w:hAnsi="Times New Roman" w:cs="Times New Roman"/>
          <w:lang w:val="en-US"/>
        </w:rPr>
        <w:t xml:space="preserve">(3), 371-379. Available at: </w:t>
      </w:r>
      <w:hyperlink r:id="rId9" w:history="1">
        <w:r w:rsidRPr="00FE59AD">
          <w:rPr>
            <w:rStyle w:val="Hyperlink"/>
            <w:rFonts w:ascii="Times New Roman" w:hAnsi="Times New Roman" w:cs="Times New Roman"/>
            <w:lang w:val="en-US"/>
          </w:rPr>
          <w:t>https://doi.org/10.1016/s0934-8840(99)80077-2</w:t>
        </w:r>
      </w:hyperlink>
      <w:r w:rsidRPr="00FE59AD">
        <w:rPr>
          <w:rFonts w:ascii="Times New Roman" w:hAnsi="Times New Roman" w:cs="Times New Roman"/>
          <w:lang w:val="en-US"/>
        </w:rPr>
        <w:t xml:space="preserve"> (Accessed: 22 June 2026).</w:t>
      </w:r>
    </w:p>
    <w:p w14:paraId="5F2AC37C" w14:textId="77777777" w:rsidR="00FE59AD" w:rsidRPr="00FE59AD" w:rsidRDefault="00FE59AD" w:rsidP="00FE59AD">
      <w:pPr>
        <w:numPr>
          <w:ilvl w:val="0"/>
          <w:numId w:val="9"/>
        </w:numPr>
        <w:spacing w:line="240" w:lineRule="auto"/>
        <w:rPr>
          <w:rFonts w:ascii="Times New Roman" w:hAnsi="Times New Roman" w:cs="Times New Roman"/>
          <w:lang w:val="en-US"/>
        </w:rPr>
      </w:pPr>
      <w:r w:rsidRPr="00FE59AD">
        <w:rPr>
          <w:rFonts w:ascii="Times New Roman" w:hAnsi="Times New Roman" w:cs="Times New Roman"/>
          <w:lang w:val="en-US"/>
        </w:rPr>
        <w:t xml:space="preserve">Aniaku, I. E., Onyishi, G. C., Nwosu, C. G., Ngwu, G. I., Okeke, C. J., Oraneli, U. B., Otuu, C. A., Akobe, N. A., Nnama, A. U., &amp; Onah, K. I. (2025). Epidemiology and risks survey of Onchocerca volvulus infection in Igbo-Eze North Local Government Area, Enugu State, Nigeria. </w:t>
      </w:r>
      <w:r w:rsidRPr="00FE59AD">
        <w:rPr>
          <w:rFonts w:ascii="Times New Roman" w:hAnsi="Times New Roman" w:cs="Times New Roman"/>
          <w:i/>
          <w:iCs/>
          <w:lang w:val="en-US"/>
        </w:rPr>
        <w:t>Tropical medicine and infectious disease, 10</w:t>
      </w:r>
      <w:r w:rsidRPr="00FE59AD">
        <w:rPr>
          <w:rFonts w:ascii="Times New Roman" w:hAnsi="Times New Roman" w:cs="Times New Roman"/>
          <w:lang w:val="en-US"/>
        </w:rPr>
        <w:t xml:space="preserve">(10), 285. Available at: </w:t>
      </w:r>
      <w:hyperlink r:id="rId10" w:history="1">
        <w:r w:rsidRPr="00FE59AD">
          <w:rPr>
            <w:rStyle w:val="Hyperlink"/>
            <w:rFonts w:ascii="Times New Roman" w:hAnsi="Times New Roman" w:cs="Times New Roman"/>
            <w:lang w:val="en-US"/>
          </w:rPr>
          <w:t>https://doi.org/10.3390/tropicalmed10100285</w:t>
        </w:r>
      </w:hyperlink>
      <w:r w:rsidRPr="00FE59AD">
        <w:rPr>
          <w:rFonts w:ascii="Times New Roman" w:hAnsi="Times New Roman" w:cs="Times New Roman"/>
          <w:lang w:val="en-US"/>
        </w:rPr>
        <w:t xml:space="preserve"> (Accessed: 15 June 2026).</w:t>
      </w:r>
    </w:p>
    <w:p w14:paraId="069A44FE" w14:textId="77777777" w:rsidR="00FE59AD" w:rsidRPr="00FE59AD" w:rsidRDefault="00FE59AD" w:rsidP="00FE59AD">
      <w:pPr>
        <w:numPr>
          <w:ilvl w:val="0"/>
          <w:numId w:val="9"/>
        </w:numPr>
        <w:spacing w:line="240" w:lineRule="auto"/>
        <w:rPr>
          <w:rFonts w:ascii="Times New Roman" w:hAnsi="Times New Roman" w:cs="Times New Roman"/>
          <w:lang w:val="en-US"/>
        </w:rPr>
      </w:pPr>
      <w:r w:rsidRPr="00FE59AD">
        <w:rPr>
          <w:rFonts w:ascii="Times New Roman" w:hAnsi="Times New Roman" w:cs="Times New Roman"/>
          <w:lang w:val="en-US"/>
        </w:rPr>
        <w:t xml:space="preserve">Anosike, J.C., Celestine, Onwuliri, O. E., &amp; Onwuliri, V. A. (2001). The prevalence, intensity and clinical manifestations of Onchocerca volvulus infection in Toro local government area of Bauchi State, Nigeria. </w:t>
      </w:r>
      <w:r w:rsidRPr="00FE59AD">
        <w:rPr>
          <w:rFonts w:ascii="Times New Roman" w:hAnsi="Times New Roman" w:cs="Times New Roman"/>
          <w:i/>
          <w:iCs/>
          <w:lang w:val="en-US"/>
        </w:rPr>
        <w:t>International journal of hygiene and environmental health, 203</w:t>
      </w:r>
      <w:r w:rsidRPr="00FE59AD">
        <w:rPr>
          <w:rFonts w:ascii="Times New Roman" w:hAnsi="Times New Roman" w:cs="Times New Roman"/>
          <w:lang w:val="en-US"/>
        </w:rPr>
        <w:t xml:space="preserve">(5-6), 459-464. Available at: </w:t>
      </w:r>
      <w:hyperlink r:id="rId11" w:history="1">
        <w:r w:rsidRPr="00FE59AD">
          <w:rPr>
            <w:rStyle w:val="Hyperlink"/>
            <w:rFonts w:ascii="Times New Roman" w:hAnsi="Times New Roman" w:cs="Times New Roman"/>
            <w:lang w:val="en-US"/>
          </w:rPr>
          <w:t>https://doi.org/10.1078/1438-4639-00052</w:t>
        </w:r>
      </w:hyperlink>
      <w:r w:rsidRPr="00FE59AD">
        <w:rPr>
          <w:rFonts w:ascii="Times New Roman" w:hAnsi="Times New Roman" w:cs="Times New Roman"/>
          <w:lang w:val="en-US"/>
        </w:rPr>
        <w:t xml:space="preserve"> (Accessed: 14 June 2026).</w:t>
      </w:r>
    </w:p>
    <w:p w14:paraId="675568B0" w14:textId="77777777" w:rsidR="00FE59AD" w:rsidRPr="00FE59AD" w:rsidRDefault="00FE59AD" w:rsidP="00FE59AD">
      <w:pPr>
        <w:numPr>
          <w:ilvl w:val="0"/>
          <w:numId w:val="9"/>
        </w:numPr>
        <w:spacing w:line="240" w:lineRule="auto"/>
        <w:rPr>
          <w:rFonts w:ascii="Times New Roman" w:hAnsi="Times New Roman" w:cs="Times New Roman"/>
          <w:lang w:val="en-US"/>
        </w:rPr>
      </w:pPr>
      <w:r w:rsidRPr="00FE59AD">
        <w:rPr>
          <w:rFonts w:ascii="Times New Roman" w:hAnsi="Times New Roman" w:cs="Times New Roman"/>
          <w:lang w:val="en-US"/>
        </w:rPr>
        <w:t xml:space="preserve">Ekpo, U. F., Eneanya, O. A., Nwankwo, E. N., Soneye, II. Y., Weil, G. J., Fischer, P.U., &amp; Nwaorgu, O. C. (2022). Persistence of onchocerciasis in villages in Enugu and Ogun states in Nigeria following many rounds of mass distribution of ivermectin. </w:t>
      </w:r>
      <w:r w:rsidRPr="00FE59AD">
        <w:rPr>
          <w:rFonts w:ascii="Times New Roman" w:hAnsi="Times New Roman" w:cs="Times New Roman"/>
          <w:i/>
          <w:iCs/>
          <w:lang w:val="en-US"/>
        </w:rPr>
        <w:t>BMC infectious diseases, 22</w:t>
      </w:r>
      <w:r w:rsidRPr="00FE59AD">
        <w:rPr>
          <w:rFonts w:ascii="Times New Roman" w:hAnsi="Times New Roman" w:cs="Times New Roman"/>
          <w:lang w:val="en-US"/>
        </w:rPr>
        <w:t xml:space="preserve">(1), 832. Available at: </w:t>
      </w:r>
      <w:hyperlink r:id="rId12" w:history="1">
        <w:r w:rsidRPr="00FE59AD">
          <w:rPr>
            <w:rStyle w:val="Hyperlink"/>
            <w:rFonts w:ascii="Times New Roman" w:hAnsi="Times New Roman" w:cs="Times New Roman"/>
            <w:lang w:val="en-US"/>
          </w:rPr>
          <w:t>https://doi.org/10.1186/s12879-022-07811-7</w:t>
        </w:r>
      </w:hyperlink>
      <w:r w:rsidRPr="00FE59AD">
        <w:rPr>
          <w:rFonts w:ascii="Times New Roman" w:hAnsi="Times New Roman" w:cs="Times New Roman"/>
          <w:lang w:val="en-US"/>
        </w:rPr>
        <w:t xml:space="preserve"> (Accessed: 14 June 2026).</w:t>
      </w:r>
    </w:p>
    <w:p w14:paraId="529E0C6A" w14:textId="77777777" w:rsidR="00FE59AD" w:rsidRPr="00FE59AD" w:rsidRDefault="00FE59AD" w:rsidP="00FE59AD">
      <w:pPr>
        <w:numPr>
          <w:ilvl w:val="0"/>
          <w:numId w:val="9"/>
        </w:numPr>
        <w:spacing w:line="240" w:lineRule="auto"/>
        <w:rPr>
          <w:rFonts w:ascii="Times New Roman" w:hAnsi="Times New Roman" w:cs="Times New Roman"/>
          <w:lang w:val="en-US"/>
        </w:rPr>
      </w:pPr>
      <w:r w:rsidRPr="00FE59AD">
        <w:rPr>
          <w:rFonts w:ascii="Times New Roman" w:hAnsi="Times New Roman" w:cs="Times New Roman"/>
          <w:lang w:val="en-US"/>
        </w:rPr>
        <w:t xml:space="preserve">Eyo, J., Onyishi, G., &amp; Ugokwe, C, (2013). Rapid epidemiological assessment of onchocerciasis in a tropical semi-urban community, Enugu State, Nigeria. </w:t>
      </w:r>
      <w:r w:rsidRPr="00FE59AD">
        <w:rPr>
          <w:rFonts w:ascii="Times New Roman" w:hAnsi="Times New Roman" w:cs="Times New Roman"/>
          <w:i/>
          <w:iCs/>
          <w:lang w:val="en-US"/>
        </w:rPr>
        <w:t>Iranian journal of parasitology, 8</w:t>
      </w:r>
      <w:r w:rsidRPr="00FE59AD">
        <w:rPr>
          <w:rFonts w:ascii="Times New Roman" w:hAnsi="Times New Roman" w:cs="Times New Roman"/>
          <w:lang w:val="en-US"/>
        </w:rPr>
        <w:t xml:space="preserve">(1), 145-151.  </w:t>
      </w:r>
    </w:p>
    <w:p w14:paraId="144F2E9B" w14:textId="77777777" w:rsidR="00FE59AD" w:rsidRPr="00FE59AD" w:rsidRDefault="00FE59AD" w:rsidP="00FE59AD">
      <w:pPr>
        <w:numPr>
          <w:ilvl w:val="0"/>
          <w:numId w:val="9"/>
        </w:numPr>
        <w:spacing w:line="240" w:lineRule="auto"/>
        <w:rPr>
          <w:rFonts w:ascii="Times New Roman" w:hAnsi="Times New Roman" w:cs="Times New Roman"/>
          <w:lang w:val="en-US"/>
        </w:rPr>
      </w:pPr>
      <w:r w:rsidRPr="00FE59AD">
        <w:rPr>
          <w:rFonts w:ascii="Times New Roman" w:hAnsi="Times New Roman" w:cs="Times New Roman"/>
          <w:lang w:val="en-US"/>
        </w:rPr>
        <w:t xml:space="preserve">Gemade, E. I., &amp; Dipeolu, O. O. (2016). Onchocerciasis in the Benue State of Nigeria. II. Prevalence of the disease among the Tivs living in the Kwande Local Government Area. </w:t>
      </w:r>
      <w:r w:rsidRPr="00FE59AD">
        <w:rPr>
          <w:rFonts w:ascii="Times New Roman" w:hAnsi="Times New Roman" w:cs="Times New Roman"/>
          <w:i/>
          <w:iCs/>
          <w:lang w:val="en-US"/>
        </w:rPr>
        <w:t>Annals of Tropical Medicine &amp; Parasitology, 77</w:t>
      </w:r>
      <w:r w:rsidRPr="00FE59AD">
        <w:rPr>
          <w:rFonts w:ascii="Times New Roman" w:hAnsi="Times New Roman" w:cs="Times New Roman"/>
          <w:lang w:val="en-US"/>
        </w:rPr>
        <w:t xml:space="preserve">(5). 513-516. Available at: </w:t>
      </w:r>
      <w:hyperlink r:id="rId13" w:history="1">
        <w:r w:rsidRPr="00FE59AD">
          <w:rPr>
            <w:rStyle w:val="Hyperlink"/>
            <w:rFonts w:ascii="Times New Roman" w:hAnsi="Times New Roman" w:cs="Times New Roman"/>
            <w:lang w:val="en-US"/>
          </w:rPr>
          <w:t>https://doi.org/10.1080/00034983.1983.11811743</w:t>
        </w:r>
      </w:hyperlink>
      <w:r w:rsidRPr="00FE59AD">
        <w:rPr>
          <w:rFonts w:ascii="Times New Roman" w:hAnsi="Times New Roman" w:cs="Times New Roman"/>
          <w:lang w:val="en-US"/>
        </w:rPr>
        <w:t xml:space="preserve"> (Accessed: 14 June 2026).</w:t>
      </w:r>
    </w:p>
    <w:p w14:paraId="3CBB9998" w14:textId="77777777" w:rsidR="00FE59AD" w:rsidRPr="00FE59AD" w:rsidRDefault="00FE59AD" w:rsidP="00FE59AD">
      <w:pPr>
        <w:numPr>
          <w:ilvl w:val="0"/>
          <w:numId w:val="9"/>
        </w:numPr>
        <w:spacing w:line="240" w:lineRule="auto"/>
        <w:rPr>
          <w:rFonts w:ascii="Times New Roman" w:hAnsi="Times New Roman" w:cs="Times New Roman"/>
          <w:lang w:val="en-US"/>
        </w:rPr>
      </w:pPr>
      <w:r w:rsidRPr="00FE59AD">
        <w:rPr>
          <w:rFonts w:ascii="Times New Roman" w:hAnsi="Times New Roman" w:cs="Times New Roman"/>
          <w:lang w:val="en-US"/>
        </w:rPr>
        <w:t xml:space="preserve">Isiyaku, S., Adamani, W., Louise, H., Ndams, I. S., Ezekiel, K., Kal, A., Gazama, J., &amp; Nock, I. H. (2021). Entomological assessment of the impact of long-term mass administration of ivermectin in onchocerciasis-endemic communities in Kaduna State, Nigeria. </w:t>
      </w:r>
      <w:r w:rsidRPr="00FE59AD">
        <w:rPr>
          <w:rFonts w:ascii="Times New Roman" w:hAnsi="Times New Roman" w:cs="Times New Roman"/>
          <w:i/>
          <w:iCs/>
          <w:lang w:val="en-US"/>
        </w:rPr>
        <w:t>Springer Science and Business Media LLC</w:t>
      </w:r>
      <w:r w:rsidRPr="00FE59AD">
        <w:rPr>
          <w:rFonts w:ascii="Times New Roman" w:hAnsi="Times New Roman" w:cs="Times New Roman"/>
          <w:lang w:val="en-US"/>
        </w:rPr>
        <w:t xml:space="preserve">. Available at: </w:t>
      </w:r>
      <w:hyperlink r:id="rId14" w:history="1">
        <w:r w:rsidRPr="00FE59AD">
          <w:rPr>
            <w:rStyle w:val="Hyperlink"/>
            <w:rFonts w:ascii="Times New Roman" w:hAnsi="Times New Roman" w:cs="Times New Roman"/>
            <w:lang w:val="en-US"/>
          </w:rPr>
          <w:t>https://doi.org/10.21203/rs.3.rs-840823/v1</w:t>
        </w:r>
      </w:hyperlink>
      <w:r w:rsidRPr="00FE59AD">
        <w:rPr>
          <w:rFonts w:ascii="Times New Roman" w:hAnsi="Times New Roman" w:cs="Times New Roman"/>
          <w:lang w:val="en-US"/>
        </w:rPr>
        <w:t xml:space="preserve"> (Accessed: 23 June 2026).  </w:t>
      </w:r>
    </w:p>
    <w:p w14:paraId="04003949" w14:textId="77777777" w:rsidR="00FE59AD" w:rsidRPr="00FE59AD" w:rsidRDefault="00FE59AD" w:rsidP="00FE59AD">
      <w:pPr>
        <w:numPr>
          <w:ilvl w:val="0"/>
          <w:numId w:val="9"/>
        </w:numPr>
        <w:spacing w:line="240" w:lineRule="auto"/>
        <w:rPr>
          <w:rFonts w:ascii="Times New Roman" w:hAnsi="Times New Roman" w:cs="Times New Roman"/>
          <w:lang w:val="en-US"/>
        </w:rPr>
      </w:pPr>
      <w:r w:rsidRPr="00FE59AD">
        <w:rPr>
          <w:rFonts w:ascii="Times New Roman" w:hAnsi="Times New Roman" w:cs="Times New Roman"/>
          <w:lang w:val="en-US"/>
        </w:rPr>
        <w:t xml:space="preserve">Jacob, B., Michael, E., &amp; Unnasch, T. R. (2024). Community-directed vector control to accelerate onchocerciasis elimination. </w:t>
      </w:r>
      <w:r w:rsidRPr="00FE59AD">
        <w:rPr>
          <w:rFonts w:ascii="Times New Roman" w:hAnsi="Times New Roman" w:cs="Times New Roman"/>
          <w:i/>
          <w:iCs/>
          <w:lang w:val="en-US"/>
        </w:rPr>
        <w:t>Pathogens (Basel, Switzerland), 13</w:t>
      </w:r>
      <w:r w:rsidRPr="00FE59AD">
        <w:rPr>
          <w:rFonts w:ascii="Times New Roman" w:hAnsi="Times New Roman" w:cs="Times New Roman"/>
          <w:lang w:val="en-US"/>
        </w:rPr>
        <w:t xml:space="preserve">(3), 268. Available at: </w:t>
      </w:r>
      <w:hyperlink r:id="rId15" w:history="1">
        <w:r w:rsidRPr="00FE59AD">
          <w:rPr>
            <w:rStyle w:val="Hyperlink"/>
            <w:rFonts w:ascii="Times New Roman" w:hAnsi="Times New Roman" w:cs="Times New Roman"/>
            <w:lang w:val="en-US"/>
          </w:rPr>
          <w:t>https://doi.org/10.3390/pathogens13030268</w:t>
        </w:r>
      </w:hyperlink>
      <w:r w:rsidRPr="00FE59AD">
        <w:rPr>
          <w:rFonts w:ascii="Times New Roman" w:hAnsi="Times New Roman" w:cs="Times New Roman"/>
          <w:lang w:val="en-US"/>
        </w:rPr>
        <w:t xml:space="preserve"> (Accessed: 26 June 2026).</w:t>
      </w:r>
    </w:p>
    <w:p w14:paraId="17A24990" w14:textId="77777777" w:rsidR="00FE59AD" w:rsidRPr="00FE59AD" w:rsidRDefault="00FE59AD" w:rsidP="00FE59AD">
      <w:pPr>
        <w:numPr>
          <w:ilvl w:val="0"/>
          <w:numId w:val="9"/>
        </w:numPr>
        <w:spacing w:line="240" w:lineRule="auto"/>
        <w:rPr>
          <w:rFonts w:ascii="Times New Roman" w:hAnsi="Times New Roman" w:cs="Times New Roman"/>
          <w:lang w:val="en-US"/>
        </w:rPr>
      </w:pPr>
      <w:r w:rsidRPr="00FE59AD">
        <w:rPr>
          <w:rFonts w:ascii="Times New Roman" w:hAnsi="Times New Roman" w:cs="Times New Roman"/>
          <w:lang w:val="en-US"/>
        </w:rPr>
        <w:lastRenderedPageBreak/>
        <w:t xml:space="preserve">Miri, E. S., Eigege, A., Kahansim, B., Nwodu, K., Sambo, Y., Mancha, B., Adelamo, S., Umaru, J., Kadimbo, J., Danboyi, J., Mafuyai, H., Makata, E., Akpan, N., Akilah, J., Igbe, M., Coalson, J., Rakers, L., Griswold, E., Unnasch, T. R., Nwoke, B. E. B., Noland, G. S., Richards, F. O. (2022). Two Nigerian States (Plateau and Nasarawa) have eliminated transmission of human onchocerciasis – A report of post-ivermectin mass drug administration surveillance. </w:t>
      </w:r>
      <w:r w:rsidRPr="00FE59AD">
        <w:rPr>
          <w:rFonts w:ascii="Times New Roman" w:hAnsi="Times New Roman" w:cs="Times New Roman"/>
          <w:i/>
          <w:iCs/>
          <w:lang w:val="en-US"/>
        </w:rPr>
        <w:t>The American journal of tropical medicine and hygiene, 108</w:t>
      </w:r>
      <w:r w:rsidRPr="00FE59AD">
        <w:rPr>
          <w:rFonts w:ascii="Times New Roman" w:hAnsi="Times New Roman" w:cs="Times New Roman"/>
          <w:lang w:val="en-US"/>
        </w:rPr>
        <w:t xml:space="preserve">(1), 37-40. Available at: </w:t>
      </w:r>
      <w:hyperlink r:id="rId16" w:history="1">
        <w:r w:rsidRPr="00FE59AD">
          <w:rPr>
            <w:rStyle w:val="Hyperlink"/>
            <w:rFonts w:ascii="Times New Roman" w:hAnsi="Times New Roman" w:cs="Times New Roman"/>
            <w:lang w:val="en-US"/>
          </w:rPr>
          <w:t>https://doi.org/10.4269/ajtmht.22-0491</w:t>
        </w:r>
      </w:hyperlink>
      <w:r w:rsidRPr="00FE59AD">
        <w:rPr>
          <w:rFonts w:ascii="Times New Roman" w:hAnsi="Times New Roman" w:cs="Times New Roman"/>
          <w:lang w:val="en-US"/>
        </w:rPr>
        <w:t xml:space="preserve"> (Accessed: 16 June 2026).</w:t>
      </w:r>
    </w:p>
    <w:p w14:paraId="47ECDAF3" w14:textId="77777777" w:rsidR="00FE59AD" w:rsidRPr="00FE59AD" w:rsidRDefault="00FE59AD" w:rsidP="00FE59AD">
      <w:pPr>
        <w:numPr>
          <w:ilvl w:val="0"/>
          <w:numId w:val="9"/>
        </w:numPr>
        <w:spacing w:line="240" w:lineRule="auto"/>
        <w:rPr>
          <w:rFonts w:ascii="Times New Roman" w:hAnsi="Times New Roman" w:cs="Times New Roman"/>
          <w:lang w:val="en-US"/>
        </w:rPr>
      </w:pPr>
      <w:r w:rsidRPr="00FE59AD">
        <w:rPr>
          <w:rFonts w:ascii="Times New Roman" w:hAnsi="Times New Roman" w:cs="Times New Roman"/>
          <w:lang w:val="en-US"/>
        </w:rPr>
        <w:t xml:space="preserve">Nyagang, S. M., Cumber, S. N., Cho, J. F., Keka, E. I., Nkfusai, C. N., Wepngong, E., Tsoka-Gwegweni, J. M., &amp; Fokam, E. B. (2020). Prevalence of onchocerciasis, attitudes and practices and the treatment coverage after 15 years of mass administration with ivermectin in the Tombel Health District, Cameroon. </w:t>
      </w:r>
      <w:r w:rsidRPr="00FE59AD">
        <w:rPr>
          <w:rFonts w:ascii="Times New Roman" w:hAnsi="Times New Roman" w:cs="Times New Roman"/>
          <w:i/>
          <w:iCs/>
          <w:lang w:val="en-US"/>
        </w:rPr>
        <w:t>The Pan African medical journal, 35</w:t>
      </w:r>
      <w:r w:rsidRPr="00FE59AD">
        <w:rPr>
          <w:rFonts w:ascii="Times New Roman" w:hAnsi="Times New Roman" w:cs="Times New Roman"/>
          <w:lang w:val="en-US"/>
        </w:rPr>
        <w:t xml:space="preserve">, 107. Available at: </w:t>
      </w:r>
      <w:hyperlink r:id="rId17" w:history="1">
        <w:r w:rsidRPr="00FE59AD">
          <w:rPr>
            <w:rStyle w:val="Hyperlink"/>
            <w:rFonts w:ascii="Times New Roman" w:hAnsi="Times New Roman" w:cs="Times New Roman"/>
            <w:lang w:val="en-US"/>
          </w:rPr>
          <w:t>https://doi.org/10.11604/pamj.2020.35.107.16036</w:t>
        </w:r>
      </w:hyperlink>
      <w:r w:rsidRPr="00FE59AD">
        <w:rPr>
          <w:rFonts w:ascii="Times New Roman" w:hAnsi="Times New Roman" w:cs="Times New Roman"/>
          <w:lang w:val="en-US"/>
        </w:rPr>
        <w:t xml:space="preserve"> (Accessed: 14 June 2026).</w:t>
      </w:r>
    </w:p>
    <w:p w14:paraId="64987A9C" w14:textId="77777777" w:rsidR="00FE59AD" w:rsidRPr="00FE59AD" w:rsidRDefault="00FE59AD" w:rsidP="00FE59AD">
      <w:pPr>
        <w:numPr>
          <w:ilvl w:val="0"/>
          <w:numId w:val="9"/>
        </w:numPr>
        <w:spacing w:line="240" w:lineRule="auto"/>
        <w:rPr>
          <w:rFonts w:ascii="Times New Roman" w:hAnsi="Times New Roman" w:cs="Times New Roman"/>
          <w:lang w:val="en-US"/>
        </w:rPr>
      </w:pPr>
      <w:r w:rsidRPr="00FE59AD">
        <w:rPr>
          <w:rFonts w:ascii="Times New Roman" w:hAnsi="Times New Roman" w:cs="Times New Roman"/>
          <w:lang w:val="en-US"/>
        </w:rPr>
        <w:t xml:space="preserve">Olamiju, F. O., Mogaji, H. O., Bjorn, M. T., Marcus, A. J., Oduwa, V., Olamiju, O. J., Nzunde, M., Ikyerga, D. K., &amp; Hopkins, A. (2023). Preliminary assessment of Onchocerca-induced visual impairment using clinical fundus camera in Gashaka local government area of Taraba state, northeastern Nigeria. </w:t>
      </w:r>
      <w:r w:rsidRPr="00FE59AD">
        <w:rPr>
          <w:rFonts w:ascii="Times New Roman" w:hAnsi="Times New Roman" w:cs="Times New Roman"/>
          <w:i/>
          <w:iCs/>
          <w:lang w:val="en-US"/>
        </w:rPr>
        <w:t>Parasite epidemiology and control, 21</w:t>
      </w:r>
      <w:r w:rsidRPr="00FE59AD">
        <w:rPr>
          <w:rFonts w:ascii="Times New Roman" w:hAnsi="Times New Roman" w:cs="Times New Roman"/>
          <w:lang w:val="en-US"/>
        </w:rPr>
        <w:t xml:space="preserve">, e00296. Available at: </w:t>
      </w:r>
      <w:hyperlink r:id="rId18" w:history="1">
        <w:r w:rsidRPr="00FE59AD">
          <w:rPr>
            <w:rStyle w:val="Hyperlink"/>
            <w:rFonts w:ascii="Times New Roman" w:hAnsi="Times New Roman" w:cs="Times New Roman"/>
            <w:lang w:val="en-US"/>
          </w:rPr>
          <w:t>https://doi.org/10.1016/j.parepi.2023.e00296</w:t>
        </w:r>
      </w:hyperlink>
      <w:r w:rsidRPr="00FE59AD">
        <w:rPr>
          <w:rFonts w:ascii="Times New Roman" w:hAnsi="Times New Roman" w:cs="Times New Roman"/>
          <w:lang w:val="en-US"/>
        </w:rPr>
        <w:t xml:space="preserve"> (Accessed: 22 June 2026).</w:t>
      </w:r>
    </w:p>
    <w:p w14:paraId="48A4A6CF" w14:textId="77777777" w:rsidR="00FE59AD" w:rsidRPr="00FE59AD" w:rsidRDefault="00FE59AD" w:rsidP="00FE59AD">
      <w:pPr>
        <w:numPr>
          <w:ilvl w:val="0"/>
          <w:numId w:val="9"/>
        </w:numPr>
        <w:spacing w:line="240" w:lineRule="auto"/>
        <w:rPr>
          <w:rFonts w:ascii="Times New Roman" w:hAnsi="Times New Roman" w:cs="Times New Roman"/>
          <w:lang w:val="en-US"/>
        </w:rPr>
      </w:pPr>
      <w:r w:rsidRPr="00FE59AD">
        <w:rPr>
          <w:rFonts w:ascii="Times New Roman" w:hAnsi="Times New Roman" w:cs="Times New Roman"/>
          <w:lang w:val="en-US"/>
        </w:rPr>
        <w:t xml:space="preserve">Olanrewaju, T. O., Enwezor, F. N. C., Lar, L. A., Igbe, M. A., Abdullahi, R. A., Adeleke, M. A., Adekeye, O. B., &amp; Elhassan, E. O. (2025). Recrudescence of transmission of onchocerciasis in some endemic communities in Kaduna State, Nigeria: What is the way forward? </w:t>
      </w:r>
      <w:r w:rsidRPr="00FE59AD">
        <w:rPr>
          <w:rFonts w:ascii="Times New Roman" w:hAnsi="Times New Roman" w:cs="Times New Roman"/>
          <w:i/>
          <w:iCs/>
          <w:lang w:val="en-US"/>
        </w:rPr>
        <w:t>PLoS neglected tropical diseases, 19</w:t>
      </w:r>
      <w:r w:rsidRPr="00FE59AD">
        <w:rPr>
          <w:rFonts w:ascii="Times New Roman" w:hAnsi="Times New Roman" w:cs="Times New Roman"/>
          <w:lang w:val="en-US"/>
        </w:rPr>
        <w:t xml:space="preserve">(8), e0012495. Available at: </w:t>
      </w:r>
      <w:hyperlink r:id="rId19" w:history="1">
        <w:r w:rsidRPr="00FE59AD">
          <w:rPr>
            <w:rStyle w:val="Hyperlink"/>
            <w:rFonts w:ascii="Times New Roman" w:hAnsi="Times New Roman" w:cs="Times New Roman"/>
            <w:lang w:val="en-US"/>
          </w:rPr>
          <w:t>https://doi.org/10.1371/journal.pntd.0012495</w:t>
        </w:r>
      </w:hyperlink>
      <w:r w:rsidRPr="00FE59AD">
        <w:rPr>
          <w:rFonts w:ascii="Times New Roman" w:hAnsi="Times New Roman" w:cs="Times New Roman"/>
          <w:lang w:val="en-US"/>
        </w:rPr>
        <w:t xml:space="preserve"> (Accessed: 23 June 2026).</w:t>
      </w:r>
    </w:p>
    <w:p w14:paraId="6FA041DE" w14:textId="77777777" w:rsidR="00FE59AD" w:rsidRPr="00FE59AD" w:rsidRDefault="00FE59AD" w:rsidP="00FE59AD">
      <w:pPr>
        <w:numPr>
          <w:ilvl w:val="0"/>
          <w:numId w:val="9"/>
        </w:numPr>
        <w:spacing w:line="240" w:lineRule="auto"/>
        <w:rPr>
          <w:rFonts w:ascii="Times New Roman" w:hAnsi="Times New Roman" w:cs="Times New Roman"/>
          <w:lang w:val="en-US"/>
        </w:rPr>
      </w:pPr>
      <w:r w:rsidRPr="00FE59AD">
        <w:rPr>
          <w:rFonts w:ascii="Times New Roman" w:hAnsi="Times New Roman" w:cs="Times New Roman"/>
          <w:lang w:val="en-US"/>
        </w:rPr>
        <w:t xml:space="preserve">Unnasch, T. R., Golden, A., Cama, V., &amp; Cantey, P. T. (2018). Diagnostics for onchocerciasis in the era of elimination. </w:t>
      </w:r>
      <w:r w:rsidRPr="00FE59AD">
        <w:rPr>
          <w:rFonts w:ascii="Times New Roman" w:hAnsi="Times New Roman" w:cs="Times New Roman"/>
          <w:i/>
          <w:iCs/>
          <w:lang w:val="en-US"/>
        </w:rPr>
        <w:t>International health, 10</w:t>
      </w:r>
      <w:r w:rsidRPr="00FE59AD">
        <w:rPr>
          <w:rFonts w:ascii="Times New Roman" w:hAnsi="Times New Roman" w:cs="Times New Roman"/>
          <w:lang w:val="en-US"/>
        </w:rPr>
        <w:t xml:space="preserve">(suppl_1), i20-i26. Available at: </w:t>
      </w:r>
      <w:hyperlink r:id="rId20" w:history="1">
        <w:r w:rsidRPr="00FE59AD">
          <w:rPr>
            <w:rStyle w:val="Hyperlink"/>
            <w:rFonts w:ascii="Times New Roman" w:hAnsi="Times New Roman" w:cs="Times New Roman"/>
            <w:lang w:val="en-US"/>
          </w:rPr>
          <w:t>https://doi.org/10.1093/inthealth/ihx047</w:t>
        </w:r>
      </w:hyperlink>
      <w:r w:rsidRPr="00FE59AD">
        <w:rPr>
          <w:rFonts w:ascii="Times New Roman" w:hAnsi="Times New Roman" w:cs="Times New Roman"/>
          <w:lang w:val="en-US"/>
        </w:rPr>
        <w:t xml:space="preserve"> (Accessed: 26 June 2026).</w:t>
      </w:r>
    </w:p>
    <w:p w14:paraId="720BC659" w14:textId="77777777" w:rsidR="00FE59AD" w:rsidRPr="00FE59AD" w:rsidRDefault="00FE59AD" w:rsidP="00FE59AD">
      <w:pPr>
        <w:numPr>
          <w:ilvl w:val="0"/>
          <w:numId w:val="9"/>
        </w:numPr>
        <w:spacing w:line="240" w:lineRule="auto"/>
        <w:rPr>
          <w:rFonts w:ascii="Times New Roman" w:hAnsi="Times New Roman" w:cs="Times New Roman"/>
          <w:lang w:val="en-US"/>
        </w:rPr>
      </w:pPr>
      <w:r w:rsidRPr="00FE59AD">
        <w:rPr>
          <w:rFonts w:ascii="Times New Roman" w:hAnsi="Times New Roman" w:cs="Times New Roman"/>
          <w:lang w:val="en-US"/>
        </w:rPr>
        <w:t xml:space="preserve">Usip, L. P., Opara, K. N., Ibanga, E. S., Atting, I. A., &amp; Uttah, E. (2007). Clinical onchocerciasis in Ini Local Government Area, Akwa Ibom State, Nigeria. </w:t>
      </w:r>
      <w:r w:rsidRPr="00FE59AD">
        <w:rPr>
          <w:rFonts w:ascii="Times New Roman" w:hAnsi="Times New Roman" w:cs="Times New Roman"/>
          <w:i/>
          <w:iCs/>
          <w:lang w:val="en-US"/>
        </w:rPr>
        <w:t>Nigerian journal of parasitology, 27</w:t>
      </w:r>
      <w:r w:rsidRPr="00FE59AD">
        <w:rPr>
          <w:rFonts w:ascii="Times New Roman" w:hAnsi="Times New Roman" w:cs="Times New Roman"/>
          <w:lang w:val="en-US"/>
        </w:rPr>
        <w:t xml:space="preserve">(1), 36-40. Available at: </w:t>
      </w:r>
      <w:hyperlink r:id="rId21" w:history="1">
        <w:r w:rsidRPr="00FE59AD">
          <w:rPr>
            <w:rStyle w:val="Hyperlink"/>
            <w:rFonts w:ascii="Times New Roman" w:hAnsi="Times New Roman" w:cs="Times New Roman"/>
            <w:lang w:val="en-US"/>
          </w:rPr>
          <w:t>https://doi.org/10.4314/njpar.v27i1.37833</w:t>
        </w:r>
      </w:hyperlink>
      <w:r w:rsidRPr="00FE59AD">
        <w:rPr>
          <w:rFonts w:ascii="Times New Roman" w:hAnsi="Times New Roman" w:cs="Times New Roman"/>
          <w:lang w:val="en-US"/>
        </w:rPr>
        <w:t xml:space="preserve"> (Accessed: 15 June 2026).</w:t>
      </w:r>
    </w:p>
    <w:p w14:paraId="48C54954" w14:textId="77777777" w:rsidR="00FE59AD" w:rsidRPr="00FE59AD" w:rsidRDefault="00FE59AD" w:rsidP="00FE59AD">
      <w:pPr>
        <w:numPr>
          <w:ilvl w:val="0"/>
          <w:numId w:val="9"/>
        </w:numPr>
        <w:spacing w:line="240" w:lineRule="auto"/>
        <w:rPr>
          <w:rFonts w:ascii="Times New Roman" w:hAnsi="Times New Roman" w:cs="Times New Roman"/>
          <w:lang w:val="en-US"/>
        </w:rPr>
      </w:pPr>
      <w:r w:rsidRPr="00FE59AD">
        <w:rPr>
          <w:rFonts w:ascii="Times New Roman" w:hAnsi="Times New Roman" w:cs="Times New Roman"/>
          <w:lang w:val="en-US"/>
        </w:rPr>
        <w:t xml:space="preserve">World Health Organization, (2022). Onchocerciasis: fact sheet 2022. Available at: </w:t>
      </w:r>
      <w:hyperlink r:id="rId22" w:history="1">
        <w:r w:rsidRPr="00FE59AD">
          <w:rPr>
            <w:rStyle w:val="Hyperlink"/>
            <w:rFonts w:ascii="Times New Roman" w:hAnsi="Times New Roman" w:cs="Times New Roman"/>
            <w:lang w:val="en-US"/>
          </w:rPr>
          <w:t>https://www.who.int/news-room/fact</w:t>
        </w:r>
      </w:hyperlink>
      <w:r w:rsidRPr="00FE59AD">
        <w:rPr>
          <w:rFonts w:ascii="Times New Roman" w:hAnsi="Times New Roman" w:cs="Times New Roman"/>
          <w:lang w:val="en-US"/>
        </w:rPr>
        <w:t xml:space="preserve"> (Accessed: 25 June 2026). </w:t>
      </w:r>
    </w:p>
    <w:p w14:paraId="539B053D" w14:textId="77777777" w:rsidR="00FE59AD" w:rsidRPr="00FE59AD" w:rsidRDefault="00FE59AD" w:rsidP="00FE59AD">
      <w:pPr>
        <w:numPr>
          <w:ilvl w:val="0"/>
          <w:numId w:val="9"/>
        </w:numPr>
        <w:spacing w:line="240" w:lineRule="auto"/>
        <w:rPr>
          <w:rFonts w:ascii="Times New Roman" w:hAnsi="Times New Roman" w:cs="Times New Roman"/>
          <w:b/>
          <w:bCs/>
          <w:lang w:val="en-US"/>
        </w:rPr>
      </w:pPr>
      <w:r w:rsidRPr="00FE59AD">
        <w:rPr>
          <w:rFonts w:ascii="Times New Roman" w:hAnsi="Times New Roman" w:cs="Times New Roman"/>
          <w:lang w:val="en-US"/>
        </w:rPr>
        <w:t xml:space="preserve">Yahaya, A., Kela, S. L., Suleiman, M. M., Sama’ila, A. B. (2021). Prevalence studies on onchocerciasis (river blindness) in some villages from three senatorial districts, Kano State, Nigeria. </w:t>
      </w:r>
      <w:r w:rsidRPr="00FE59AD">
        <w:rPr>
          <w:rFonts w:ascii="Times New Roman" w:hAnsi="Times New Roman" w:cs="Times New Roman"/>
          <w:i/>
          <w:iCs/>
          <w:lang w:val="en-US"/>
        </w:rPr>
        <w:t>South Asian Journal of Parasitology, 4</w:t>
      </w:r>
      <w:r w:rsidRPr="00FE59AD">
        <w:rPr>
          <w:rFonts w:ascii="Times New Roman" w:hAnsi="Times New Roman" w:cs="Times New Roman"/>
          <w:lang w:val="en-US"/>
        </w:rPr>
        <w:t>(4): 265-276. Available at:</w:t>
      </w:r>
      <w:r w:rsidRPr="00FE59AD">
        <w:rPr>
          <w:rFonts w:ascii="Times New Roman" w:hAnsi="Times New Roman" w:cs="Times New Roman"/>
        </w:rPr>
        <w:t xml:space="preserve"> </w:t>
      </w:r>
      <w:hyperlink r:id="rId23" w:history="1">
        <w:r w:rsidRPr="00FE59AD">
          <w:rPr>
            <w:rStyle w:val="Hyperlink"/>
            <w:rFonts w:ascii="Times New Roman" w:hAnsi="Times New Roman" w:cs="Times New Roman"/>
          </w:rPr>
          <w:t>https://journalsajp.com/index.php/SAJP/article/view/114</w:t>
        </w:r>
      </w:hyperlink>
      <w:r w:rsidRPr="00FE59AD">
        <w:rPr>
          <w:rFonts w:ascii="Times New Roman" w:hAnsi="Times New Roman" w:cs="Times New Roman"/>
        </w:rPr>
        <w:t xml:space="preserve"> (Accessed: 26 June 2026).</w:t>
      </w:r>
      <w:r w:rsidRPr="00FE59AD">
        <w:rPr>
          <w:rFonts w:ascii="Times New Roman" w:hAnsi="Times New Roman" w:cs="Times New Roman"/>
          <w:b/>
          <w:bCs/>
          <w:lang w:val="en-US"/>
        </w:rPr>
        <w:t xml:space="preserve">  </w:t>
      </w:r>
    </w:p>
    <w:p w14:paraId="0BB094C6" w14:textId="34907A48" w:rsidR="005C227E" w:rsidRPr="005C227E" w:rsidRDefault="005C227E" w:rsidP="005C227E">
      <w:pPr>
        <w:rPr>
          <w:rFonts w:ascii="Times New Roman" w:hAnsi="Times New Roman" w:cs="Times New Roman"/>
          <w:lang w:val="en-US"/>
        </w:rPr>
      </w:pPr>
    </w:p>
    <w:sectPr w:rsidR="005C227E" w:rsidRPr="005C227E" w:rsidSect="00FA0CD5">
      <w:pgSz w:w="11906" w:h="16838" w:code="9"/>
      <w:pgMar w:top="425"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329B5" w14:textId="77777777" w:rsidR="003746B5" w:rsidRDefault="003746B5" w:rsidP="00FA0CD5">
      <w:pPr>
        <w:spacing w:after="0" w:line="240" w:lineRule="auto"/>
      </w:pPr>
      <w:r>
        <w:separator/>
      </w:r>
    </w:p>
  </w:endnote>
  <w:endnote w:type="continuationSeparator" w:id="0">
    <w:p w14:paraId="6620D522" w14:textId="77777777" w:rsidR="003746B5" w:rsidRDefault="003746B5" w:rsidP="00FA0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022F1" w14:textId="77777777" w:rsidR="003746B5" w:rsidRDefault="003746B5" w:rsidP="00FA0CD5">
      <w:pPr>
        <w:spacing w:after="0" w:line="240" w:lineRule="auto"/>
      </w:pPr>
      <w:r>
        <w:separator/>
      </w:r>
    </w:p>
  </w:footnote>
  <w:footnote w:type="continuationSeparator" w:id="0">
    <w:p w14:paraId="5D5217D2" w14:textId="77777777" w:rsidR="003746B5" w:rsidRDefault="003746B5" w:rsidP="00FA0C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0E1D"/>
    <w:multiLevelType w:val="hybridMultilevel"/>
    <w:tmpl w:val="6772ED2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1F0E0CD8"/>
    <w:multiLevelType w:val="hybridMultilevel"/>
    <w:tmpl w:val="00A88778"/>
    <w:lvl w:ilvl="0" w:tplc="3D7C3CEE">
      <w:start w:val="1"/>
      <w:numFmt w:val="decimal"/>
      <w:lvlText w:val="%1."/>
      <w:lvlJc w:val="left"/>
      <w:pPr>
        <w:ind w:left="360" w:hanging="360"/>
      </w:pPr>
      <w:rPr>
        <w:rFonts w:hint="default"/>
        <w:sz w:val="24"/>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235D6A6C"/>
    <w:multiLevelType w:val="hybridMultilevel"/>
    <w:tmpl w:val="FBD249D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2A192CC5"/>
    <w:multiLevelType w:val="hybridMultilevel"/>
    <w:tmpl w:val="8360776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4597790F"/>
    <w:multiLevelType w:val="hybridMultilevel"/>
    <w:tmpl w:val="FF26F64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4AB37C61"/>
    <w:multiLevelType w:val="hybridMultilevel"/>
    <w:tmpl w:val="EF4CD900"/>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 w15:restartNumberingAfterBreak="0">
    <w:nsid w:val="627B5D05"/>
    <w:multiLevelType w:val="hybridMultilevel"/>
    <w:tmpl w:val="AEE6594E"/>
    <w:lvl w:ilvl="0" w:tplc="7166B350">
      <w:start w:val="1"/>
      <w:numFmt w:val="decimal"/>
      <w:lvlText w:val="%1."/>
      <w:lvlJc w:val="left"/>
      <w:pPr>
        <w:ind w:left="720" w:hanging="360"/>
      </w:pPr>
      <w:rPr>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67487F17"/>
    <w:multiLevelType w:val="hybridMultilevel"/>
    <w:tmpl w:val="C440562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 w15:restartNumberingAfterBreak="0">
    <w:nsid w:val="6E1F7942"/>
    <w:multiLevelType w:val="hybridMultilevel"/>
    <w:tmpl w:val="A56EE6B4"/>
    <w:lvl w:ilvl="0" w:tplc="20000017">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1210918722">
    <w:abstractNumId w:val="4"/>
  </w:num>
  <w:num w:numId="2" w16cid:durableId="444468808">
    <w:abstractNumId w:val="1"/>
  </w:num>
  <w:num w:numId="3" w16cid:durableId="860705535">
    <w:abstractNumId w:val="8"/>
  </w:num>
  <w:num w:numId="4" w16cid:durableId="1269923078">
    <w:abstractNumId w:val="3"/>
  </w:num>
  <w:num w:numId="5" w16cid:durableId="733697803">
    <w:abstractNumId w:val="0"/>
  </w:num>
  <w:num w:numId="6" w16cid:durableId="1801848869">
    <w:abstractNumId w:val="2"/>
  </w:num>
  <w:num w:numId="7" w16cid:durableId="1905485376">
    <w:abstractNumId w:val="7"/>
  </w:num>
  <w:num w:numId="8" w16cid:durableId="530068405">
    <w:abstractNumId w:val="5"/>
  </w:num>
  <w:num w:numId="9" w16cid:durableId="8051229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D0A"/>
    <w:rsid w:val="000113C0"/>
    <w:rsid w:val="0002011B"/>
    <w:rsid w:val="000206C7"/>
    <w:rsid w:val="00020CCF"/>
    <w:rsid w:val="000238E0"/>
    <w:rsid w:val="00046992"/>
    <w:rsid w:val="00053B3A"/>
    <w:rsid w:val="0005579D"/>
    <w:rsid w:val="00080AB0"/>
    <w:rsid w:val="00085708"/>
    <w:rsid w:val="000A779E"/>
    <w:rsid w:val="000B2F90"/>
    <w:rsid w:val="000B516E"/>
    <w:rsid w:val="000D06B8"/>
    <w:rsid w:val="000F239A"/>
    <w:rsid w:val="000F7A2D"/>
    <w:rsid w:val="001051EB"/>
    <w:rsid w:val="00117F8D"/>
    <w:rsid w:val="00125437"/>
    <w:rsid w:val="001304E4"/>
    <w:rsid w:val="00132649"/>
    <w:rsid w:val="00142D10"/>
    <w:rsid w:val="00183963"/>
    <w:rsid w:val="00187FA3"/>
    <w:rsid w:val="00191D6B"/>
    <w:rsid w:val="001968AC"/>
    <w:rsid w:val="001C6A1C"/>
    <w:rsid w:val="001C7856"/>
    <w:rsid w:val="00204224"/>
    <w:rsid w:val="002116A4"/>
    <w:rsid w:val="00221942"/>
    <w:rsid w:val="002319FC"/>
    <w:rsid w:val="00245447"/>
    <w:rsid w:val="002644B0"/>
    <w:rsid w:val="00264945"/>
    <w:rsid w:val="00276D0A"/>
    <w:rsid w:val="00283ED8"/>
    <w:rsid w:val="00285435"/>
    <w:rsid w:val="00291D58"/>
    <w:rsid w:val="002F61A0"/>
    <w:rsid w:val="003256C9"/>
    <w:rsid w:val="003379BE"/>
    <w:rsid w:val="00342370"/>
    <w:rsid w:val="00364FC2"/>
    <w:rsid w:val="00371C10"/>
    <w:rsid w:val="003746B5"/>
    <w:rsid w:val="003C2B25"/>
    <w:rsid w:val="003C582A"/>
    <w:rsid w:val="003C61B6"/>
    <w:rsid w:val="003D4DE0"/>
    <w:rsid w:val="003E5847"/>
    <w:rsid w:val="00403E05"/>
    <w:rsid w:val="00415314"/>
    <w:rsid w:val="00426B35"/>
    <w:rsid w:val="00431E3A"/>
    <w:rsid w:val="00435433"/>
    <w:rsid w:val="00437CA1"/>
    <w:rsid w:val="004410FA"/>
    <w:rsid w:val="00441D60"/>
    <w:rsid w:val="0044390A"/>
    <w:rsid w:val="00444F95"/>
    <w:rsid w:val="0046060A"/>
    <w:rsid w:val="0047404F"/>
    <w:rsid w:val="0049389D"/>
    <w:rsid w:val="004C07E6"/>
    <w:rsid w:val="004C4CFE"/>
    <w:rsid w:val="004E1FDF"/>
    <w:rsid w:val="004E5D4A"/>
    <w:rsid w:val="004F4A59"/>
    <w:rsid w:val="0050546F"/>
    <w:rsid w:val="0051453C"/>
    <w:rsid w:val="00525AFE"/>
    <w:rsid w:val="005522B2"/>
    <w:rsid w:val="00557DC3"/>
    <w:rsid w:val="0059310A"/>
    <w:rsid w:val="0059567D"/>
    <w:rsid w:val="00597BFF"/>
    <w:rsid w:val="005B726F"/>
    <w:rsid w:val="005C227E"/>
    <w:rsid w:val="005C7744"/>
    <w:rsid w:val="005D644B"/>
    <w:rsid w:val="005E3A3C"/>
    <w:rsid w:val="005F515D"/>
    <w:rsid w:val="006061DC"/>
    <w:rsid w:val="00624D77"/>
    <w:rsid w:val="00635F8B"/>
    <w:rsid w:val="00653BC9"/>
    <w:rsid w:val="00670AFF"/>
    <w:rsid w:val="00671580"/>
    <w:rsid w:val="00674296"/>
    <w:rsid w:val="00680604"/>
    <w:rsid w:val="00686E26"/>
    <w:rsid w:val="00691819"/>
    <w:rsid w:val="006B2614"/>
    <w:rsid w:val="006B40B4"/>
    <w:rsid w:val="006E761E"/>
    <w:rsid w:val="00701CCC"/>
    <w:rsid w:val="00713053"/>
    <w:rsid w:val="00717861"/>
    <w:rsid w:val="007307FB"/>
    <w:rsid w:val="00731945"/>
    <w:rsid w:val="00733696"/>
    <w:rsid w:val="00743E7D"/>
    <w:rsid w:val="00745DE2"/>
    <w:rsid w:val="00762135"/>
    <w:rsid w:val="0077135E"/>
    <w:rsid w:val="00771F13"/>
    <w:rsid w:val="007728A6"/>
    <w:rsid w:val="007852E1"/>
    <w:rsid w:val="00793624"/>
    <w:rsid w:val="007A5729"/>
    <w:rsid w:val="007C42AE"/>
    <w:rsid w:val="007C5F24"/>
    <w:rsid w:val="007E3D26"/>
    <w:rsid w:val="007F26E4"/>
    <w:rsid w:val="007F4C76"/>
    <w:rsid w:val="008234F2"/>
    <w:rsid w:val="00834FA9"/>
    <w:rsid w:val="008376F0"/>
    <w:rsid w:val="008378E7"/>
    <w:rsid w:val="00843385"/>
    <w:rsid w:val="00855A09"/>
    <w:rsid w:val="0086173E"/>
    <w:rsid w:val="008759F2"/>
    <w:rsid w:val="00880C29"/>
    <w:rsid w:val="00886B87"/>
    <w:rsid w:val="008A21DC"/>
    <w:rsid w:val="008C0260"/>
    <w:rsid w:val="008D2DD8"/>
    <w:rsid w:val="008E5072"/>
    <w:rsid w:val="009274DD"/>
    <w:rsid w:val="009334F8"/>
    <w:rsid w:val="00942246"/>
    <w:rsid w:val="009431AE"/>
    <w:rsid w:val="00945137"/>
    <w:rsid w:val="00955E6F"/>
    <w:rsid w:val="00957742"/>
    <w:rsid w:val="009A4A84"/>
    <w:rsid w:val="009A6DD8"/>
    <w:rsid w:val="009B2AB0"/>
    <w:rsid w:val="009D51EA"/>
    <w:rsid w:val="009E778E"/>
    <w:rsid w:val="00A10AB0"/>
    <w:rsid w:val="00A11F99"/>
    <w:rsid w:val="00A143EC"/>
    <w:rsid w:val="00A24066"/>
    <w:rsid w:val="00A733C7"/>
    <w:rsid w:val="00A9144E"/>
    <w:rsid w:val="00A95835"/>
    <w:rsid w:val="00AD262C"/>
    <w:rsid w:val="00AD6A24"/>
    <w:rsid w:val="00AF21F8"/>
    <w:rsid w:val="00B07D15"/>
    <w:rsid w:val="00B103FC"/>
    <w:rsid w:val="00B10D88"/>
    <w:rsid w:val="00B17AAB"/>
    <w:rsid w:val="00B30EE0"/>
    <w:rsid w:val="00B31187"/>
    <w:rsid w:val="00B46802"/>
    <w:rsid w:val="00B46E20"/>
    <w:rsid w:val="00B6189B"/>
    <w:rsid w:val="00B71051"/>
    <w:rsid w:val="00B74B60"/>
    <w:rsid w:val="00B8637B"/>
    <w:rsid w:val="00B91DD4"/>
    <w:rsid w:val="00B94BED"/>
    <w:rsid w:val="00BA5D68"/>
    <w:rsid w:val="00BA7AC4"/>
    <w:rsid w:val="00BB2AAD"/>
    <w:rsid w:val="00BC1E9B"/>
    <w:rsid w:val="00BC6153"/>
    <w:rsid w:val="00BD0409"/>
    <w:rsid w:val="00BE53DD"/>
    <w:rsid w:val="00BF7E1D"/>
    <w:rsid w:val="00C0404B"/>
    <w:rsid w:val="00C06F34"/>
    <w:rsid w:val="00C07F87"/>
    <w:rsid w:val="00C3771E"/>
    <w:rsid w:val="00C540FB"/>
    <w:rsid w:val="00C72FCC"/>
    <w:rsid w:val="00C75453"/>
    <w:rsid w:val="00C95A89"/>
    <w:rsid w:val="00CA717B"/>
    <w:rsid w:val="00CC3220"/>
    <w:rsid w:val="00CC631F"/>
    <w:rsid w:val="00CD3887"/>
    <w:rsid w:val="00CE3B72"/>
    <w:rsid w:val="00CF33E6"/>
    <w:rsid w:val="00CF7C45"/>
    <w:rsid w:val="00D0194D"/>
    <w:rsid w:val="00D063F4"/>
    <w:rsid w:val="00D145D5"/>
    <w:rsid w:val="00D2415A"/>
    <w:rsid w:val="00D25365"/>
    <w:rsid w:val="00D81B2D"/>
    <w:rsid w:val="00D823BA"/>
    <w:rsid w:val="00DB2292"/>
    <w:rsid w:val="00DD0A20"/>
    <w:rsid w:val="00DE3747"/>
    <w:rsid w:val="00DF0564"/>
    <w:rsid w:val="00E148BE"/>
    <w:rsid w:val="00E3078B"/>
    <w:rsid w:val="00E32998"/>
    <w:rsid w:val="00E544FE"/>
    <w:rsid w:val="00E66749"/>
    <w:rsid w:val="00E716DB"/>
    <w:rsid w:val="00E756C7"/>
    <w:rsid w:val="00E77313"/>
    <w:rsid w:val="00E85686"/>
    <w:rsid w:val="00E9019A"/>
    <w:rsid w:val="00E90839"/>
    <w:rsid w:val="00EB2336"/>
    <w:rsid w:val="00EB6E08"/>
    <w:rsid w:val="00EB7A45"/>
    <w:rsid w:val="00EC169B"/>
    <w:rsid w:val="00ED75CF"/>
    <w:rsid w:val="00EE3D7A"/>
    <w:rsid w:val="00EE5FB1"/>
    <w:rsid w:val="00EE7235"/>
    <w:rsid w:val="00EF1C43"/>
    <w:rsid w:val="00F10AC7"/>
    <w:rsid w:val="00F153B7"/>
    <w:rsid w:val="00F30FC8"/>
    <w:rsid w:val="00F324A7"/>
    <w:rsid w:val="00F83FE1"/>
    <w:rsid w:val="00F93601"/>
    <w:rsid w:val="00F94288"/>
    <w:rsid w:val="00F96188"/>
    <w:rsid w:val="00FA0CD5"/>
    <w:rsid w:val="00FB08FB"/>
    <w:rsid w:val="00FC078F"/>
    <w:rsid w:val="00FD27D0"/>
    <w:rsid w:val="00FE59AD"/>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33754"/>
  <w15:chartTrackingRefBased/>
  <w15:docId w15:val="{6D56F3C9-400F-408F-B66E-0E9B65388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6D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6D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6D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6D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6D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6D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D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D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D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D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6D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6D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D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6D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6D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D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D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D0A"/>
    <w:rPr>
      <w:rFonts w:eastAsiaTheme="majorEastAsia" w:cstheme="majorBidi"/>
      <w:color w:val="272727" w:themeColor="text1" w:themeTint="D8"/>
    </w:rPr>
  </w:style>
  <w:style w:type="paragraph" w:styleId="Title">
    <w:name w:val="Title"/>
    <w:basedOn w:val="Normal"/>
    <w:next w:val="Normal"/>
    <w:link w:val="TitleChar"/>
    <w:uiPriority w:val="10"/>
    <w:qFormat/>
    <w:rsid w:val="00276D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D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D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D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D0A"/>
    <w:pPr>
      <w:spacing w:before="160"/>
      <w:jc w:val="center"/>
    </w:pPr>
    <w:rPr>
      <w:i/>
      <w:iCs/>
      <w:color w:val="404040" w:themeColor="text1" w:themeTint="BF"/>
    </w:rPr>
  </w:style>
  <w:style w:type="character" w:customStyle="1" w:styleId="QuoteChar">
    <w:name w:val="Quote Char"/>
    <w:basedOn w:val="DefaultParagraphFont"/>
    <w:link w:val="Quote"/>
    <w:uiPriority w:val="29"/>
    <w:rsid w:val="00276D0A"/>
    <w:rPr>
      <w:i/>
      <w:iCs/>
      <w:color w:val="404040" w:themeColor="text1" w:themeTint="BF"/>
    </w:rPr>
  </w:style>
  <w:style w:type="paragraph" w:styleId="ListParagraph">
    <w:name w:val="List Paragraph"/>
    <w:basedOn w:val="Normal"/>
    <w:uiPriority w:val="34"/>
    <w:qFormat/>
    <w:rsid w:val="00276D0A"/>
    <w:pPr>
      <w:ind w:left="720"/>
      <w:contextualSpacing/>
    </w:pPr>
  </w:style>
  <w:style w:type="character" w:styleId="IntenseEmphasis">
    <w:name w:val="Intense Emphasis"/>
    <w:basedOn w:val="DefaultParagraphFont"/>
    <w:uiPriority w:val="21"/>
    <w:qFormat/>
    <w:rsid w:val="00276D0A"/>
    <w:rPr>
      <w:i/>
      <w:iCs/>
      <w:color w:val="0F4761" w:themeColor="accent1" w:themeShade="BF"/>
    </w:rPr>
  </w:style>
  <w:style w:type="paragraph" w:styleId="IntenseQuote">
    <w:name w:val="Intense Quote"/>
    <w:basedOn w:val="Normal"/>
    <w:next w:val="Normal"/>
    <w:link w:val="IntenseQuoteChar"/>
    <w:uiPriority w:val="30"/>
    <w:qFormat/>
    <w:rsid w:val="00276D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6D0A"/>
    <w:rPr>
      <w:i/>
      <w:iCs/>
      <w:color w:val="0F4761" w:themeColor="accent1" w:themeShade="BF"/>
    </w:rPr>
  </w:style>
  <w:style w:type="character" w:styleId="IntenseReference">
    <w:name w:val="Intense Reference"/>
    <w:basedOn w:val="DefaultParagraphFont"/>
    <w:uiPriority w:val="32"/>
    <w:qFormat/>
    <w:rsid w:val="00276D0A"/>
    <w:rPr>
      <w:b/>
      <w:bCs/>
      <w:smallCaps/>
      <w:color w:val="0F4761" w:themeColor="accent1" w:themeShade="BF"/>
      <w:spacing w:val="5"/>
    </w:rPr>
  </w:style>
  <w:style w:type="paragraph" w:styleId="Header">
    <w:name w:val="header"/>
    <w:basedOn w:val="Normal"/>
    <w:link w:val="HeaderChar"/>
    <w:uiPriority w:val="99"/>
    <w:unhideWhenUsed/>
    <w:rsid w:val="00FA0C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CD5"/>
  </w:style>
  <w:style w:type="paragraph" w:styleId="Footer">
    <w:name w:val="footer"/>
    <w:basedOn w:val="Normal"/>
    <w:link w:val="FooterChar"/>
    <w:uiPriority w:val="99"/>
    <w:unhideWhenUsed/>
    <w:rsid w:val="00FA0C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CD5"/>
  </w:style>
  <w:style w:type="character" w:styleId="Hyperlink">
    <w:name w:val="Hyperlink"/>
    <w:basedOn w:val="DefaultParagraphFont"/>
    <w:uiPriority w:val="99"/>
    <w:unhideWhenUsed/>
    <w:rsid w:val="00525AFE"/>
    <w:rPr>
      <w:color w:val="467886" w:themeColor="hyperlink"/>
      <w:u w:val="single"/>
    </w:rPr>
  </w:style>
  <w:style w:type="character" w:styleId="UnresolvedMention">
    <w:name w:val="Unresolved Mention"/>
    <w:basedOn w:val="DefaultParagraphFont"/>
    <w:uiPriority w:val="99"/>
    <w:semiHidden/>
    <w:unhideWhenUsed/>
    <w:rsid w:val="00525AFE"/>
    <w:rPr>
      <w:color w:val="605E5C"/>
      <w:shd w:val="clear" w:color="auto" w:fill="E1DFDD"/>
    </w:rPr>
  </w:style>
  <w:style w:type="table" w:styleId="TableGrid">
    <w:name w:val="Table Grid"/>
    <w:basedOn w:val="TableNormal"/>
    <w:uiPriority w:val="39"/>
    <w:rsid w:val="00771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bjid.2019.10.003" TargetMode="External"/><Relationship Id="rId13" Type="http://schemas.openxmlformats.org/officeDocument/2006/relationships/hyperlink" Target="https://doi.org/10.1080/00034983.1983.11811743" TargetMode="External"/><Relationship Id="rId18" Type="http://schemas.openxmlformats.org/officeDocument/2006/relationships/hyperlink" Target="https://doi.org/10.1016/j.parepi.2023.e00296" TargetMode="External"/><Relationship Id="rId3" Type="http://schemas.openxmlformats.org/officeDocument/2006/relationships/settings" Target="settings.xml"/><Relationship Id="rId21" Type="http://schemas.openxmlformats.org/officeDocument/2006/relationships/hyperlink" Target="https://doi.org/10.4314/njpar.v27i1.37833" TargetMode="External"/><Relationship Id="rId7" Type="http://schemas.openxmlformats.org/officeDocument/2006/relationships/hyperlink" Target="https://doi.org/10.1186/1756-3305-3-93" TargetMode="External"/><Relationship Id="rId12" Type="http://schemas.openxmlformats.org/officeDocument/2006/relationships/hyperlink" Target="https://doi.org/10.1186/s12879-022-07811-7" TargetMode="External"/><Relationship Id="rId17" Type="http://schemas.openxmlformats.org/officeDocument/2006/relationships/hyperlink" Target="https://doi.org/10.11604/pamj.2020.35.107.1603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4269/ajtmht.22-0491" TargetMode="External"/><Relationship Id="rId20" Type="http://schemas.openxmlformats.org/officeDocument/2006/relationships/hyperlink" Target="https://doi.org/10.1093/inthealth/ihx04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78/1438-4639-0005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390/pathogens13030268" TargetMode="External"/><Relationship Id="rId23" Type="http://schemas.openxmlformats.org/officeDocument/2006/relationships/hyperlink" Target="https://journalsajp.com/index.php/SAJP/article/view/114" TargetMode="External"/><Relationship Id="rId10" Type="http://schemas.openxmlformats.org/officeDocument/2006/relationships/hyperlink" Target="https://doi.org/10.3390/tropicalmed10100285" TargetMode="External"/><Relationship Id="rId19" Type="http://schemas.openxmlformats.org/officeDocument/2006/relationships/hyperlink" Target="https://doi.org/10.1371/journal.pntd.0012495" TargetMode="External"/><Relationship Id="rId4" Type="http://schemas.openxmlformats.org/officeDocument/2006/relationships/webSettings" Target="webSettings.xml"/><Relationship Id="rId9" Type="http://schemas.openxmlformats.org/officeDocument/2006/relationships/hyperlink" Target="https://doi.org/10.1016/s0934-8840(99)80077-2" TargetMode="External"/><Relationship Id="rId14" Type="http://schemas.openxmlformats.org/officeDocument/2006/relationships/hyperlink" Target="https://doi.org/10.21203/rs.3.rs-840823/v1" TargetMode="External"/><Relationship Id="rId22" Type="http://schemas.openxmlformats.org/officeDocument/2006/relationships/hyperlink" Target="https://www.who.int/news-room/f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1813</TotalTime>
  <Pages>1</Pages>
  <Words>4625</Words>
  <Characters>26363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 Suleiman Taura</dc:creator>
  <cp:keywords/>
  <dc:description/>
  <cp:lastModifiedBy>Sule Suleiman Taura</cp:lastModifiedBy>
  <cp:revision>46</cp:revision>
  <dcterms:created xsi:type="dcterms:W3CDTF">2026-06-14T12:19:00Z</dcterms:created>
  <dcterms:modified xsi:type="dcterms:W3CDTF">2026-06-23T22:47:00Z</dcterms:modified>
</cp:coreProperties>
</file>