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9189" w14:textId="0FA81D94" w:rsidR="00326DBF" w:rsidRPr="00326DBF" w:rsidRDefault="00326DBF" w:rsidP="00D34C05">
      <w:pPr>
        <w:spacing w:line="276" w:lineRule="auto"/>
        <w:jc w:val="center"/>
        <w:rPr>
          <w:rFonts w:ascii="Times New Roman" w:hAnsi="Times New Roman" w:cs="Times New Roman"/>
          <w:shd w:val="clear" w:color="auto" w:fill="FFFFFF"/>
        </w:rPr>
      </w:pPr>
    </w:p>
    <w:p w14:paraId="155F149C" w14:textId="03C5C184" w:rsidR="00E778D2" w:rsidRDefault="00E778D2" w:rsidP="00D34C05">
      <w:pPr>
        <w:spacing w:line="276" w:lineRule="auto"/>
        <w:jc w:val="center"/>
        <w:rPr>
          <w:rFonts w:ascii="Times New Roman" w:hAnsi="Times New Roman" w:cs="Times New Roman"/>
          <w:b/>
          <w:bCs/>
          <w:shd w:val="clear" w:color="auto" w:fill="FFFFFF"/>
        </w:rPr>
      </w:pPr>
      <w:r w:rsidRPr="00C43173">
        <w:rPr>
          <w:rFonts w:ascii="Times New Roman" w:hAnsi="Times New Roman" w:cs="Times New Roman"/>
          <w:b/>
          <w:bCs/>
          <w:shd w:val="clear" w:color="auto" w:fill="FFFFFF"/>
        </w:rPr>
        <w:t>CAPACITY BUILDING BY CIVIL SOCIETY ORGANIZATIONS AND WOMEN’S POLITICAL PARTICIPATION IN NAIROBI CITY COUNTY</w:t>
      </w:r>
      <w:r w:rsidR="00E60C3B">
        <w:rPr>
          <w:rFonts w:ascii="Times New Roman" w:hAnsi="Times New Roman" w:cs="Times New Roman"/>
          <w:b/>
          <w:bCs/>
          <w:shd w:val="clear" w:color="auto" w:fill="FFFFFF"/>
        </w:rPr>
        <w:t>; KENYA</w:t>
      </w:r>
    </w:p>
    <w:p w14:paraId="5A78C70C" w14:textId="77777777" w:rsidR="00830501" w:rsidRPr="004924A5" w:rsidRDefault="00830501" w:rsidP="003340AB">
      <w:pPr>
        <w:suppressAutoHyphens/>
        <w:spacing w:before="120" w:after="0" w:line="240" w:lineRule="auto"/>
        <w:jc w:val="center"/>
        <w:rPr>
          <w:rFonts w:ascii="Times New Roman" w:hAnsi="Times New Roman" w:cs="Times New Roman"/>
          <w:shd w:val="clear" w:color="auto" w:fill="FFFFFF"/>
        </w:rPr>
      </w:pPr>
      <w:r w:rsidRPr="00830501">
        <w:rPr>
          <w:rFonts w:ascii="Arial" w:hAnsi="Arial" w:cs="Arial"/>
          <w:sz w:val="23"/>
          <w:szCs w:val="23"/>
          <w:shd w:val="clear" w:color="auto" w:fill="FFFFFF"/>
          <w:vertAlign w:val="superscript"/>
        </w:rPr>
        <w:t/>
      </w:r>
      <w:r w:rsidR="00340DD5" w:rsidRPr="004924A5">
        <w:rPr>
          <w:rFonts w:ascii="Times New Roman" w:hAnsi="Times New Roman" w:cs="Times New Roman"/>
          <w:shd w:val="clear" w:color="auto" w:fill="FFFFFF"/>
        </w:rPr>
        <w:t xml:space="preserve"/>
      </w:r>
      <w:proofErr w:type="spellStart"/>
      <w:r w:rsidR="00340DD5" w:rsidRPr="004924A5">
        <w:rPr>
          <w:rFonts w:ascii="Times New Roman" w:hAnsi="Times New Roman" w:cs="Times New Roman"/>
          <w:shd w:val="clear" w:color="auto" w:fill="FFFFFF"/>
        </w:rPr>
        <w:t/>
      </w:r>
      <w:r w:rsidR="00340DD5">
        <w:rPr>
          <w:rFonts w:ascii="Times New Roman" w:hAnsi="Times New Roman" w:cs="Times New Roman"/>
          <w:shd w:val="clear" w:color="auto" w:fill="FFFFFF"/>
        </w:rPr>
        <w:t/>
      </w:r>
      <w:proofErr w:type="spellEnd"/>
      <w:r w:rsidR="00340DD5" w:rsidRPr="004924A5">
        <w:rPr>
          <w:rFonts w:ascii="Times New Roman" w:hAnsi="Times New Roman" w:cs="Times New Roman"/>
          <w:shd w:val="clear" w:color="auto" w:fill="FFFFFF"/>
        </w:rPr>
        <w:t xml:space="preserve"/>
      </w:r>
      <w:r>
        <w:rPr>
          <w:rFonts w:ascii="Times New Roman" w:hAnsi="Times New Roman" w:cs="Times New Roman"/>
          <w:shd w:val="clear" w:color="auto" w:fill="FFFFFF"/>
        </w:rPr>
        <w:t xml:space="preserve"/>
      </w:r>
      <w:r w:rsidRPr="00EE4411">
        <w:rPr>
          <w:rFonts w:ascii="Times New Roman" w:hAnsi="Times New Roman" w:cs="Times New Roman"/>
          <w:shd w:val="clear" w:color="auto" w:fill="FFFFFF"/>
          <w:vertAlign w:val="superscript"/>
        </w:rPr>
        <w:t/>
      </w:r>
      <w:r w:rsidRPr="004924A5">
        <w:rPr>
          <w:rFonts w:ascii="Times New Roman" w:hAnsi="Times New Roman" w:cs="Times New Roman"/>
          <w:shd w:val="clear" w:color="auto" w:fill="FFFFFF"/>
        </w:rPr>
        <w:t/>
      </w:r>
      <w:r>
        <w:rPr>
          <w:rFonts w:ascii="Times New Roman" w:hAnsi="Times New Roman" w:cs="Times New Roman"/>
          <w:shd w:val="clear" w:color="auto" w:fill="FFFFFF"/>
        </w:rPr>
        <w:t xml:space="preserve"/>
      </w:r>
    </w:p>
    <w:p w14:paraId="26400251" w14:textId="66790B0C" w:rsidR="00340DD5" w:rsidRPr="004924A5" w:rsidRDefault="00340DD5" w:rsidP="003340AB">
      <w:pPr>
        <w:suppressAutoHyphens/>
        <w:spacing w:before="120" w:after="0" w:line="240" w:lineRule="auto"/>
        <w:jc w:val="center"/>
        <w:rPr>
          <w:rFonts w:ascii="Times New Roman" w:hAnsi="Times New Roman" w:cs="Times New Roman"/>
          <w:shd w:val="clear" w:color="auto" w:fill="FFFFFF"/>
        </w:rPr>
      </w:pPr>
    </w:p>
    <w:p w14:paraId="00A59FE4" w14:textId="218583C6" w:rsidR="00340DD5" w:rsidRPr="004924A5" w:rsidRDefault="00DD7ED3" w:rsidP="003340AB">
      <w:pPr>
        <w:suppressAutoHyphens/>
        <w:spacing w:before="120" w:after="0" w:line="240" w:lineRule="auto"/>
        <w:jc w:val="center"/>
        <w:rPr>
          <w:rFonts w:ascii="Times New Roman" w:hAnsi="Times New Roman" w:cs="Times New Roman"/>
          <w:shd w:val="clear" w:color="auto" w:fill="FFFFFF"/>
        </w:rPr>
      </w:pPr>
      <w:r w:rsidRPr="00DD7ED3">
        <w:rPr>
          <w:rFonts w:ascii="Times New Roman" w:hAnsi="Times New Roman" w:cs="Times New Roman"/>
          <w:shd w:val="clear" w:color="auto" w:fill="FFFFFF"/>
          <w:vertAlign w:val="superscript"/>
        </w:rPr>
        <w:t/>
      </w:r>
      <w:r w:rsidR="0005228C">
        <w:rPr>
          <w:rFonts w:ascii="Times New Roman" w:hAnsi="Times New Roman" w:cs="Times New Roman"/>
          <w:shd w:val="clear" w:color="auto" w:fill="FFFFFF"/>
        </w:rPr>
        <w:t xml:space="preserve"/>
      </w:r>
      <w:r w:rsidR="002B7CEB">
        <w:rPr>
          <w:rFonts w:ascii="Times New Roman" w:hAnsi="Times New Roman" w:cs="Times New Roman"/>
          <w:shd w:val="clear" w:color="auto" w:fill="FFFFFF"/>
        </w:rPr>
        <w:t xml:space="preserve"/>
      </w:r>
      <w:r w:rsidR="00DD21ED">
        <w:rPr>
          <w:rFonts w:ascii="Times New Roman" w:hAnsi="Times New Roman" w:cs="Times New Roman"/>
          <w:shd w:val="clear" w:color="auto" w:fill="FFFFFF"/>
        </w:rPr>
        <w:t xml:space="preserve"/>
      </w:r>
      <w:r w:rsidR="00340DD5" w:rsidRPr="004924A5">
        <w:rPr>
          <w:rFonts w:ascii="Times New Roman" w:hAnsi="Times New Roman" w:cs="Times New Roman"/>
          <w:shd w:val="clear" w:color="auto" w:fill="FFFFFF"/>
        </w:rPr>
        <w:t/>
      </w:r>
    </w:p>
    <w:p w14:paraId="5A299761" w14:textId="513C996B" w:rsidR="00340DD5" w:rsidRPr="004924A5" w:rsidRDefault="00DD7ED3" w:rsidP="003340AB">
      <w:pPr>
        <w:suppressAutoHyphens/>
        <w:spacing w:before="120" w:after="0" w:line="240" w:lineRule="auto"/>
        <w:jc w:val="center"/>
        <w:rPr>
          <w:rFonts w:ascii="Times New Roman" w:hAnsi="Times New Roman" w:cs="Times New Roman"/>
          <w:shd w:val="clear" w:color="auto" w:fill="FFFFFF"/>
        </w:rPr>
      </w:pPr>
      <w:r w:rsidRPr="00DD7ED3">
        <w:rPr>
          <w:rFonts w:ascii="Times New Roman" w:hAnsi="Times New Roman" w:cs="Times New Roman"/>
          <w:shd w:val="clear" w:color="auto" w:fill="FFFFFF"/>
          <w:vertAlign w:val="superscript"/>
        </w:rPr>
        <w:t/>
      </w:r>
      <w:r w:rsidR="00340DD5" w:rsidRPr="004924A5">
        <w:rPr>
          <w:rFonts w:ascii="Times New Roman" w:hAnsi="Times New Roman" w:cs="Times New Roman"/>
          <w:shd w:val="clear" w:color="auto" w:fill="FFFFFF"/>
        </w:rPr>
        <w:t/>
      </w:r>
    </w:p>
    <w:p w14:paraId="08A13C48" w14:textId="77777777" w:rsidR="00340DD5" w:rsidRDefault="00340DD5" w:rsidP="003340AB">
      <w:pPr>
        <w:suppressAutoHyphens/>
        <w:spacing w:before="120" w:after="0" w:line="240" w:lineRule="auto"/>
        <w:jc w:val="center"/>
        <w:rPr>
          <w:rFonts w:ascii="Times New Roman" w:hAnsi="Times New Roman" w:cs="Times New Roman"/>
          <w:shd w:val="clear" w:color="auto" w:fill="FFFFFF"/>
        </w:rPr>
      </w:pPr>
      <w:r w:rsidRPr="004924A5">
        <w:rPr>
          <w:rFonts w:ascii="Times New Roman" w:hAnsi="Times New Roman" w:cs="Times New Roman"/>
          <w:shd w:val="clear" w:color="auto" w:fill="FFFFFF"/>
        </w:rPr>
        <w:t/>
      </w:r>
    </w:p>
    <w:p w14:paraId="51B3B555" w14:textId="77777777" w:rsidR="00AA3C6E" w:rsidRDefault="00AA3C6E" w:rsidP="003340AB">
      <w:pPr>
        <w:suppressAutoHyphens/>
        <w:spacing w:before="120" w:after="0" w:line="240" w:lineRule="auto"/>
        <w:jc w:val="center"/>
        <w:rPr>
          <w:rFonts w:ascii="Times New Roman" w:hAnsi="Times New Roman" w:cs="Times New Roman"/>
          <w:shd w:val="clear" w:color="auto" w:fill="FFFFFF"/>
        </w:rPr>
      </w:pPr>
    </w:p>
    <w:p w14:paraId="1BEDF0FA" w14:textId="6F00F7DB" w:rsidR="00AA3C6E" w:rsidRPr="00AA3C6E" w:rsidRDefault="00AA3C6E" w:rsidP="003340AB">
      <w:pPr>
        <w:suppressAutoHyphens/>
        <w:spacing w:before="120" w:after="0" w:line="240" w:lineRule="auto"/>
        <w:jc w:val="center"/>
        <w:rPr>
          <w:rFonts w:ascii="Times New Roman" w:hAnsi="Times New Roman" w:cs="Times New Roman"/>
          <w:b/>
          <w:bCs/>
          <w:shd w:val="clear" w:color="auto" w:fill="FFFFFF"/>
        </w:rPr>
      </w:pPr>
      <w:r w:rsidRPr="00AA3C6E">
        <w:rPr>
          <w:rFonts w:ascii="Times New Roman" w:hAnsi="Times New Roman" w:cs="Times New Roman"/>
          <w:b/>
          <w:bCs/>
          <w:shd w:val="clear" w:color="auto" w:fill="FFFFFF"/>
        </w:rPr>
        <w:t>ABSTRACT</w:t>
      </w:r>
    </w:p>
    <w:p w14:paraId="7DB51052" w14:textId="77777777" w:rsidR="00340DD5" w:rsidRPr="00C43173" w:rsidRDefault="00340DD5" w:rsidP="00E778D2">
      <w:pPr>
        <w:spacing w:line="276" w:lineRule="auto"/>
        <w:jc w:val="both"/>
        <w:rPr>
          <w:rFonts w:ascii="Times New Roman" w:hAnsi="Times New Roman" w:cs="Times New Roman"/>
          <w:b/>
          <w:bCs/>
          <w:shd w:val="clear" w:color="auto" w:fill="FFFFFF"/>
        </w:rPr>
      </w:pPr>
    </w:p>
    <w:p w14:paraId="780DF568" w14:textId="50389D1D" w:rsidR="00E8123F" w:rsidRPr="00E778D2" w:rsidRDefault="00731FB2" w:rsidP="00E778D2">
      <w:pPr>
        <w:spacing w:line="276" w:lineRule="auto"/>
        <w:jc w:val="both"/>
        <w:rPr>
          <w:rFonts w:ascii="Times New Roman" w:hAnsi="Times New Roman" w:cs="Times New Roman"/>
          <w:shd w:val="clear" w:color="auto" w:fill="FFFFFF"/>
        </w:rPr>
      </w:pPr>
      <w:r w:rsidRPr="00E778D2">
        <w:rPr>
          <w:rFonts w:ascii="Times New Roman" w:hAnsi="Times New Roman" w:cs="Times New Roman"/>
          <w:shd w:val="clear" w:color="auto" w:fill="FFFFFF"/>
        </w:rPr>
        <w:t xml:space="preserve">The </w:t>
      </w:r>
      <w:r w:rsidR="00795631">
        <w:rPr>
          <w:rFonts w:ascii="Times New Roman" w:hAnsi="Times New Roman" w:cs="Times New Roman"/>
          <w:shd w:val="clear" w:color="auto" w:fill="FFFFFF"/>
        </w:rPr>
        <w:t xml:space="preserve">general objective </w:t>
      </w:r>
      <w:r w:rsidRPr="00E778D2">
        <w:rPr>
          <w:rFonts w:ascii="Times New Roman" w:hAnsi="Times New Roman" w:cs="Times New Roman"/>
          <w:shd w:val="clear" w:color="auto" w:fill="FFFFFF"/>
        </w:rPr>
        <w:t xml:space="preserve">of this study was to determine the extent </w:t>
      </w:r>
      <w:r w:rsidR="00B220C6">
        <w:rPr>
          <w:rFonts w:ascii="Times New Roman" w:hAnsi="Times New Roman" w:cs="Times New Roman"/>
          <w:shd w:val="clear" w:color="auto" w:fill="FFFFFF"/>
        </w:rPr>
        <w:t xml:space="preserve">to </w:t>
      </w:r>
      <w:r w:rsidRPr="00E778D2">
        <w:rPr>
          <w:rFonts w:ascii="Times New Roman" w:hAnsi="Times New Roman" w:cs="Times New Roman"/>
          <w:shd w:val="clear" w:color="auto" w:fill="FFFFFF"/>
        </w:rPr>
        <w:t xml:space="preserve">which capacity building by Civil Society </w:t>
      </w:r>
      <w:r w:rsidR="00E778D2" w:rsidRPr="00E778D2">
        <w:rPr>
          <w:rFonts w:ascii="Times New Roman" w:hAnsi="Times New Roman" w:cs="Times New Roman"/>
          <w:shd w:val="clear" w:color="auto" w:fill="FFFFFF"/>
        </w:rPr>
        <w:t>Organizations</w:t>
      </w:r>
      <w:r w:rsidRPr="00E778D2">
        <w:rPr>
          <w:rFonts w:ascii="Times New Roman" w:hAnsi="Times New Roman" w:cs="Times New Roman"/>
          <w:shd w:val="clear" w:color="auto" w:fill="FFFFFF"/>
        </w:rPr>
        <w:t xml:space="preserve"> (CSOs) affect women’s political participation</w:t>
      </w:r>
      <w:r w:rsidR="00E778D2">
        <w:rPr>
          <w:rFonts w:ascii="Times New Roman" w:hAnsi="Times New Roman" w:cs="Times New Roman"/>
          <w:shd w:val="clear" w:color="auto" w:fill="FFFFFF"/>
        </w:rPr>
        <w:t xml:space="preserve"> in Nairobi City County</w:t>
      </w:r>
      <w:r w:rsidR="00F37D45">
        <w:rPr>
          <w:rFonts w:ascii="Times New Roman" w:hAnsi="Times New Roman" w:cs="Times New Roman"/>
          <w:shd w:val="clear" w:color="auto" w:fill="FFFFFF"/>
        </w:rPr>
        <w:t>; Kenya</w:t>
      </w:r>
      <w:r w:rsidR="00795631">
        <w:rPr>
          <w:rFonts w:ascii="Times New Roman" w:hAnsi="Times New Roman" w:cs="Times New Roman"/>
          <w:shd w:val="clear" w:color="auto" w:fill="FFFFFF"/>
        </w:rPr>
        <w:t>.</w:t>
      </w:r>
      <w:r w:rsidR="008276FA">
        <w:rPr>
          <w:rFonts w:ascii="Times New Roman" w:hAnsi="Times New Roman" w:cs="Times New Roman"/>
          <w:shd w:val="clear" w:color="auto" w:fill="FFFFFF"/>
        </w:rPr>
        <w:t xml:space="preserve"> Despite </w:t>
      </w:r>
      <w:r w:rsidR="00D45247">
        <w:rPr>
          <w:rFonts w:ascii="Times New Roman" w:hAnsi="Times New Roman" w:cs="Times New Roman"/>
          <w:shd w:val="clear" w:color="auto" w:fill="FFFFFF"/>
        </w:rPr>
        <w:t xml:space="preserve">the presence of </w:t>
      </w:r>
      <w:r w:rsidR="00F80998">
        <w:rPr>
          <w:rFonts w:ascii="Times New Roman" w:hAnsi="Times New Roman" w:cs="Times New Roman"/>
          <w:shd w:val="clear" w:color="auto" w:fill="FFFFFF"/>
        </w:rPr>
        <w:t xml:space="preserve">many </w:t>
      </w:r>
      <w:r w:rsidR="00D45247">
        <w:rPr>
          <w:rFonts w:ascii="Times New Roman" w:hAnsi="Times New Roman" w:cs="Times New Roman"/>
          <w:shd w:val="clear" w:color="auto" w:fill="FFFFFF"/>
        </w:rPr>
        <w:t xml:space="preserve">Civil Societies </w:t>
      </w:r>
      <w:r w:rsidR="00F80998">
        <w:rPr>
          <w:rFonts w:ascii="Times New Roman" w:hAnsi="Times New Roman" w:cs="Times New Roman"/>
          <w:shd w:val="clear" w:color="auto" w:fill="FFFFFF"/>
        </w:rPr>
        <w:t xml:space="preserve">Organization </w:t>
      </w:r>
      <w:r w:rsidR="009D3322">
        <w:rPr>
          <w:rFonts w:ascii="Times New Roman" w:hAnsi="Times New Roman" w:cs="Times New Roman"/>
          <w:shd w:val="clear" w:color="auto" w:fill="FFFFFF"/>
        </w:rPr>
        <w:t xml:space="preserve">in Kenya geared towards </w:t>
      </w:r>
      <w:r w:rsidR="00C53EAD">
        <w:rPr>
          <w:rFonts w:ascii="Times New Roman" w:hAnsi="Times New Roman" w:cs="Times New Roman"/>
          <w:shd w:val="clear" w:color="auto" w:fill="FFFFFF"/>
        </w:rPr>
        <w:t>enhancing</w:t>
      </w:r>
      <w:r w:rsidR="009D3322">
        <w:rPr>
          <w:rFonts w:ascii="Times New Roman" w:hAnsi="Times New Roman" w:cs="Times New Roman"/>
          <w:shd w:val="clear" w:color="auto" w:fill="FFFFFF"/>
        </w:rPr>
        <w:t xml:space="preserve"> women’s political </w:t>
      </w:r>
      <w:r w:rsidR="000D13B5">
        <w:rPr>
          <w:rFonts w:ascii="Times New Roman" w:hAnsi="Times New Roman" w:cs="Times New Roman"/>
          <w:shd w:val="clear" w:color="auto" w:fill="FFFFFF"/>
        </w:rPr>
        <w:t xml:space="preserve">participation, little is known of the effect of </w:t>
      </w:r>
      <w:r w:rsidR="00C53EAD">
        <w:rPr>
          <w:rFonts w:ascii="Times New Roman" w:hAnsi="Times New Roman" w:cs="Times New Roman"/>
          <w:shd w:val="clear" w:color="auto" w:fill="FFFFFF"/>
        </w:rPr>
        <w:t>their</w:t>
      </w:r>
      <w:r w:rsidR="000D13B5">
        <w:rPr>
          <w:rFonts w:ascii="Times New Roman" w:hAnsi="Times New Roman" w:cs="Times New Roman"/>
          <w:shd w:val="clear" w:color="auto" w:fill="FFFFFF"/>
        </w:rPr>
        <w:t xml:space="preserve"> initiatives</w:t>
      </w:r>
      <w:r w:rsidR="00893E09">
        <w:rPr>
          <w:rFonts w:ascii="Times New Roman" w:hAnsi="Times New Roman" w:cs="Times New Roman"/>
          <w:shd w:val="clear" w:color="auto" w:fill="FFFFFF"/>
        </w:rPr>
        <w:t xml:space="preserve">. </w:t>
      </w:r>
      <w:r w:rsidR="00BF501A" w:rsidRPr="00E778D2">
        <w:rPr>
          <w:rFonts w:ascii="Times New Roman" w:hAnsi="Times New Roman" w:cs="Times New Roman"/>
          <w:shd w:val="clear" w:color="auto" w:fill="FFFFFF"/>
        </w:rPr>
        <w:t>This</w:t>
      </w:r>
      <w:r w:rsidRPr="00E778D2">
        <w:rPr>
          <w:rFonts w:ascii="Times New Roman" w:hAnsi="Times New Roman" w:cs="Times New Roman"/>
          <w:shd w:val="clear" w:color="auto" w:fill="FFFFFF"/>
        </w:rPr>
        <w:t xml:space="preserve"> study </w:t>
      </w:r>
      <w:r w:rsidR="00016F36">
        <w:rPr>
          <w:rFonts w:ascii="Times New Roman" w:hAnsi="Times New Roman" w:cs="Times New Roman"/>
          <w:shd w:val="clear" w:color="auto" w:fill="FFFFFF"/>
        </w:rPr>
        <w:t>adopted</w:t>
      </w:r>
      <w:r w:rsidRPr="00E778D2">
        <w:rPr>
          <w:rFonts w:ascii="Times New Roman" w:hAnsi="Times New Roman" w:cs="Times New Roman"/>
          <w:shd w:val="clear" w:color="auto" w:fill="FFFFFF"/>
        </w:rPr>
        <w:t xml:space="preserve"> descriptive survey design. The target population </w:t>
      </w:r>
      <w:r w:rsidR="00453173" w:rsidRPr="00E778D2">
        <w:rPr>
          <w:rFonts w:ascii="Times New Roman" w:hAnsi="Times New Roman" w:cs="Times New Roman"/>
          <w:shd w:val="clear" w:color="auto" w:fill="FFFFFF"/>
        </w:rPr>
        <w:t xml:space="preserve">comprised </w:t>
      </w:r>
      <w:r w:rsidR="00C53EAD" w:rsidRPr="00E778D2">
        <w:rPr>
          <w:rFonts w:ascii="Times New Roman" w:hAnsi="Times New Roman" w:cs="Times New Roman"/>
          <w:shd w:val="clear" w:color="auto" w:fill="FFFFFF"/>
        </w:rPr>
        <w:t>of 112</w:t>
      </w:r>
      <w:r w:rsidRPr="00E778D2">
        <w:rPr>
          <w:rFonts w:ascii="Times New Roman" w:hAnsi="Times New Roman" w:cs="Times New Roman"/>
          <w:shd w:val="clear" w:color="auto" w:fill="FFFFFF"/>
        </w:rPr>
        <w:t xml:space="preserve"> women who got vied for elective positions </w:t>
      </w:r>
      <w:r w:rsidR="00BF501A">
        <w:rPr>
          <w:rFonts w:ascii="Times New Roman" w:hAnsi="Times New Roman" w:cs="Times New Roman"/>
          <w:shd w:val="clear" w:color="auto" w:fill="FFFFFF"/>
        </w:rPr>
        <w:t xml:space="preserve">in </w:t>
      </w:r>
      <w:r w:rsidR="00C53EAD">
        <w:rPr>
          <w:rFonts w:ascii="Times New Roman" w:hAnsi="Times New Roman" w:cs="Times New Roman"/>
          <w:shd w:val="clear" w:color="auto" w:fill="FFFFFF"/>
        </w:rPr>
        <w:t>Nairobi County</w:t>
      </w:r>
      <w:r w:rsidR="00437EB5">
        <w:rPr>
          <w:rFonts w:ascii="Times New Roman" w:hAnsi="Times New Roman" w:cs="Times New Roman"/>
          <w:shd w:val="clear" w:color="auto" w:fill="FFFFFF"/>
        </w:rPr>
        <w:t xml:space="preserve"> via </w:t>
      </w:r>
      <w:r w:rsidRPr="00E778D2">
        <w:rPr>
          <w:rFonts w:ascii="Times New Roman" w:hAnsi="Times New Roman" w:cs="Times New Roman"/>
          <w:shd w:val="clear" w:color="auto" w:fill="FFFFFF"/>
        </w:rPr>
        <w:t>CSO support</w:t>
      </w:r>
      <w:r w:rsidR="00C43207">
        <w:rPr>
          <w:rFonts w:ascii="Times New Roman" w:hAnsi="Times New Roman" w:cs="Times New Roman"/>
          <w:shd w:val="clear" w:color="auto" w:fill="FFFFFF"/>
        </w:rPr>
        <w:t xml:space="preserve"> among whom were elected</w:t>
      </w:r>
      <w:r w:rsidRPr="00E778D2">
        <w:rPr>
          <w:rFonts w:ascii="Times New Roman" w:hAnsi="Times New Roman" w:cs="Times New Roman"/>
          <w:shd w:val="clear" w:color="auto" w:fill="FFFFFF"/>
        </w:rPr>
        <w:t xml:space="preserve">. The researcher also </w:t>
      </w:r>
      <w:r w:rsidR="006A3B6C">
        <w:rPr>
          <w:rFonts w:ascii="Times New Roman" w:hAnsi="Times New Roman" w:cs="Times New Roman"/>
          <w:shd w:val="clear" w:color="auto" w:fill="FFFFFF"/>
        </w:rPr>
        <w:t>collected</w:t>
      </w:r>
      <w:r w:rsidRPr="00E778D2">
        <w:rPr>
          <w:rFonts w:ascii="Times New Roman" w:hAnsi="Times New Roman" w:cs="Times New Roman"/>
          <w:shd w:val="clear" w:color="auto" w:fill="FFFFFF"/>
        </w:rPr>
        <w:t xml:space="preserve"> both primary and secondary data</w:t>
      </w:r>
      <w:r w:rsidR="00E3395F">
        <w:rPr>
          <w:rFonts w:ascii="Times New Roman" w:hAnsi="Times New Roman" w:cs="Times New Roman"/>
          <w:shd w:val="clear" w:color="auto" w:fill="FFFFFF"/>
        </w:rPr>
        <w:t xml:space="preserve"> via questionnaire administration</w:t>
      </w:r>
      <w:r w:rsidR="0048705C">
        <w:rPr>
          <w:rFonts w:ascii="Times New Roman" w:hAnsi="Times New Roman" w:cs="Times New Roman"/>
          <w:shd w:val="clear" w:color="auto" w:fill="FFFFFF"/>
        </w:rPr>
        <w:t xml:space="preserve"> and data collection sheet</w:t>
      </w:r>
      <w:r w:rsidRPr="00E778D2">
        <w:rPr>
          <w:rFonts w:ascii="Times New Roman" w:hAnsi="Times New Roman" w:cs="Times New Roman"/>
          <w:shd w:val="clear" w:color="auto" w:fill="FFFFFF"/>
        </w:rPr>
        <w:t xml:space="preserve">. </w:t>
      </w:r>
      <w:r w:rsidR="00E8123F" w:rsidRPr="00E778D2">
        <w:rPr>
          <w:rFonts w:ascii="Times New Roman" w:hAnsi="Times New Roman" w:cs="Times New Roman"/>
          <w:shd w:val="clear" w:color="auto" w:fill="FFFFFF"/>
        </w:rPr>
        <w:t>The</w:t>
      </w:r>
      <w:r w:rsidR="00E3395F">
        <w:rPr>
          <w:rFonts w:ascii="Times New Roman" w:hAnsi="Times New Roman" w:cs="Times New Roman"/>
          <w:shd w:val="clear" w:color="auto" w:fill="FFFFFF"/>
        </w:rPr>
        <w:t>se</w:t>
      </w:r>
      <w:r w:rsidR="00E8123F" w:rsidRPr="00E778D2">
        <w:rPr>
          <w:rFonts w:ascii="Times New Roman" w:hAnsi="Times New Roman" w:cs="Times New Roman"/>
          <w:shd w:val="clear" w:color="auto" w:fill="FFFFFF"/>
        </w:rPr>
        <w:t xml:space="preserve"> data collected </w:t>
      </w:r>
      <w:proofErr w:type="gramStart"/>
      <w:r w:rsidR="00E8123F" w:rsidRPr="00E778D2">
        <w:rPr>
          <w:rFonts w:ascii="Times New Roman" w:hAnsi="Times New Roman" w:cs="Times New Roman"/>
          <w:shd w:val="clear" w:color="auto" w:fill="FFFFFF"/>
        </w:rPr>
        <w:t>was</w:t>
      </w:r>
      <w:proofErr w:type="gramEnd"/>
      <w:r w:rsidR="00E8123F" w:rsidRPr="00E778D2">
        <w:rPr>
          <w:rFonts w:ascii="Times New Roman" w:hAnsi="Times New Roman" w:cs="Times New Roman"/>
          <w:shd w:val="clear" w:color="auto" w:fill="FFFFFF"/>
        </w:rPr>
        <w:t xml:space="preserve"> analyzed using </w:t>
      </w:r>
      <w:r w:rsidR="0048705C">
        <w:rPr>
          <w:rFonts w:ascii="Times New Roman" w:hAnsi="Times New Roman" w:cs="Times New Roman"/>
          <w:shd w:val="clear" w:color="auto" w:fill="FFFFFF"/>
        </w:rPr>
        <w:t xml:space="preserve">both descriptive and inferential </w:t>
      </w:r>
      <w:r w:rsidR="00792596">
        <w:rPr>
          <w:rFonts w:ascii="Times New Roman" w:hAnsi="Times New Roman" w:cs="Times New Roman"/>
          <w:shd w:val="clear" w:color="auto" w:fill="FFFFFF"/>
        </w:rPr>
        <w:t xml:space="preserve">statistics using </w:t>
      </w:r>
      <w:r w:rsidRPr="00E778D2">
        <w:rPr>
          <w:rFonts w:ascii="Times New Roman" w:hAnsi="Times New Roman" w:cs="Times New Roman"/>
          <w:shd w:val="clear" w:color="auto" w:fill="FFFFFF"/>
        </w:rPr>
        <w:t xml:space="preserve">Statistical </w:t>
      </w:r>
      <w:r w:rsidR="00453173" w:rsidRPr="00E778D2">
        <w:rPr>
          <w:rFonts w:ascii="Times New Roman" w:hAnsi="Times New Roman" w:cs="Times New Roman"/>
          <w:shd w:val="clear" w:color="auto" w:fill="FFFFFF"/>
        </w:rPr>
        <w:t>Package for</w:t>
      </w:r>
      <w:r w:rsidRPr="00E778D2">
        <w:rPr>
          <w:rFonts w:ascii="Times New Roman" w:hAnsi="Times New Roman" w:cs="Times New Roman"/>
          <w:shd w:val="clear" w:color="auto" w:fill="FFFFFF"/>
        </w:rPr>
        <w:t xml:space="preserve"> Social </w:t>
      </w:r>
      <w:r w:rsidR="00C53EAD" w:rsidRPr="00E778D2">
        <w:rPr>
          <w:rFonts w:ascii="Times New Roman" w:hAnsi="Times New Roman" w:cs="Times New Roman"/>
          <w:shd w:val="clear" w:color="auto" w:fill="FFFFFF"/>
        </w:rPr>
        <w:t>Sciences (SPSS) version</w:t>
      </w:r>
      <w:r w:rsidRPr="00E778D2">
        <w:rPr>
          <w:rFonts w:ascii="Times New Roman" w:hAnsi="Times New Roman" w:cs="Times New Roman"/>
          <w:shd w:val="clear" w:color="auto" w:fill="FFFFFF"/>
        </w:rPr>
        <w:t xml:space="preserve"> 2</w:t>
      </w:r>
      <w:r w:rsidR="00E8123F" w:rsidRPr="00E778D2">
        <w:rPr>
          <w:rFonts w:ascii="Times New Roman" w:hAnsi="Times New Roman" w:cs="Times New Roman"/>
          <w:shd w:val="clear" w:color="auto" w:fill="FFFFFF"/>
        </w:rPr>
        <w:t>8</w:t>
      </w:r>
      <w:r w:rsidRPr="00E778D2">
        <w:rPr>
          <w:rFonts w:ascii="Times New Roman" w:hAnsi="Times New Roman" w:cs="Times New Roman"/>
          <w:shd w:val="clear" w:color="auto" w:fill="FFFFFF"/>
        </w:rPr>
        <w:t xml:space="preserve">.0. </w:t>
      </w:r>
    </w:p>
    <w:p w14:paraId="4BD4B06E" w14:textId="5D5CF814" w:rsidR="00E8123F" w:rsidRPr="00E778D2" w:rsidRDefault="00731FB2" w:rsidP="00E778D2">
      <w:pPr>
        <w:spacing w:line="276" w:lineRule="auto"/>
        <w:jc w:val="both"/>
        <w:rPr>
          <w:rFonts w:ascii="Times New Roman" w:hAnsi="Times New Roman" w:cs="Times New Roman"/>
          <w:shd w:val="clear" w:color="auto" w:fill="FFFFFF"/>
        </w:rPr>
      </w:pPr>
      <w:r w:rsidRPr="00E778D2">
        <w:rPr>
          <w:rFonts w:ascii="Times New Roman" w:hAnsi="Times New Roman" w:cs="Times New Roman"/>
          <w:shd w:val="clear" w:color="auto" w:fill="FFFFFF"/>
        </w:rPr>
        <w:t>The</w:t>
      </w:r>
      <w:r w:rsidR="00E8123F" w:rsidRPr="00E778D2">
        <w:rPr>
          <w:rFonts w:ascii="Times New Roman" w:hAnsi="Times New Roman" w:cs="Times New Roman"/>
          <w:shd w:val="clear" w:color="auto" w:fill="FFFFFF"/>
        </w:rPr>
        <w:t xml:space="preserve"> </w:t>
      </w:r>
      <w:r w:rsidR="00792596">
        <w:rPr>
          <w:rFonts w:ascii="Times New Roman" w:hAnsi="Times New Roman" w:cs="Times New Roman"/>
          <w:shd w:val="clear" w:color="auto" w:fill="FFFFFF"/>
        </w:rPr>
        <w:t xml:space="preserve">findings from </w:t>
      </w:r>
      <w:r w:rsidR="00E8123F" w:rsidRPr="00E778D2">
        <w:rPr>
          <w:rFonts w:ascii="Times New Roman" w:hAnsi="Times New Roman" w:cs="Times New Roman"/>
          <w:shd w:val="clear" w:color="auto" w:fill="FFFFFF"/>
        </w:rPr>
        <w:t xml:space="preserve">inferential results reveal a positive </w:t>
      </w:r>
      <w:r w:rsidR="00AA3F62" w:rsidRPr="00E778D2">
        <w:rPr>
          <w:rFonts w:ascii="Times New Roman" w:hAnsi="Times New Roman" w:cs="Times New Roman"/>
          <w:shd w:val="clear" w:color="auto" w:fill="FFFFFF"/>
        </w:rPr>
        <w:t>and</w:t>
      </w:r>
      <w:r w:rsidR="00E8123F" w:rsidRPr="00E778D2">
        <w:rPr>
          <w:rFonts w:ascii="Times New Roman" w:hAnsi="Times New Roman" w:cs="Times New Roman"/>
          <w:shd w:val="clear" w:color="auto" w:fill="FFFFFF"/>
        </w:rPr>
        <w:t xml:space="preserve"> significant relationship between capacity building </w:t>
      </w:r>
      <w:r w:rsidR="00AA3F62" w:rsidRPr="00E778D2">
        <w:rPr>
          <w:rFonts w:ascii="Times New Roman" w:hAnsi="Times New Roman" w:cs="Times New Roman"/>
          <w:shd w:val="clear" w:color="auto" w:fill="FFFFFF"/>
        </w:rPr>
        <w:t>a</w:t>
      </w:r>
      <w:r w:rsidR="00E8123F" w:rsidRPr="00E778D2">
        <w:rPr>
          <w:rFonts w:ascii="Times New Roman" w:hAnsi="Times New Roman" w:cs="Times New Roman"/>
          <w:shd w:val="clear" w:color="auto" w:fill="FFFFFF"/>
        </w:rPr>
        <w:t>nd women’s political participation in Nairobi Ci</w:t>
      </w:r>
      <w:r w:rsidR="00AA3F62" w:rsidRPr="00E778D2">
        <w:rPr>
          <w:rFonts w:ascii="Times New Roman" w:hAnsi="Times New Roman" w:cs="Times New Roman"/>
          <w:shd w:val="clear" w:color="auto" w:fill="FFFFFF"/>
        </w:rPr>
        <w:t>ty County with a p &lt; 0.01. Capacity building and women’s political participation had a Pearson correlation of r = 0.822 which implied a moderately strong positive correlation.</w:t>
      </w:r>
      <w:r w:rsidR="00AA3F62" w:rsidRPr="00E778D2">
        <w:rPr>
          <w:rFonts w:ascii="Times New Roman" w:hAnsi="Times New Roman" w:cs="Times New Roman"/>
        </w:rPr>
        <w:t xml:space="preserve"> </w:t>
      </w:r>
      <w:r w:rsidR="00AA3F62" w:rsidRPr="00E778D2">
        <w:rPr>
          <w:rFonts w:ascii="Times New Roman" w:hAnsi="Times New Roman" w:cs="Times New Roman"/>
          <w:shd w:val="clear" w:color="auto" w:fill="FFFFFF"/>
        </w:rPr>
        <w:t xml:space="preserve"> The r-square for the model was 0.709.</w:t>
      </w:r>
      <w:r w:rsidR="00AA3F62" w:rsidRPr="00E778D2">
        <w:rPr>
          <w:rFonts w:ascii="Times New Roman" w:hAnsi="Times New Roman" w:cs="Times New Roman"/>
        </w:rPr>
        <w:t xml:space="preserve"> </w:t>
      </w:r>
      <w:r w:rsidR="00AA3F62" w:rsidRPr="00E778D2">
        <w:rPr>
          <w:rFonts w:ascii="Times New Roman" w:hAnsi="Times New Roman" w:cs="Times New Roman"/>
          <w:shd w:val="clear" w:color="auto" w:fill="FFFFFF"/>
        </w:rPr>
        <w:t>This implied that 70.9% of the variation in the dependent variable, women’s political participation could be explained by capacity building, the independent variable.</w:t>
      </w:r>
    </w:p>
    <w:p w14:paraId="7B6FD3B8" w14:textId="3C394F4A" w:rsidR="002D7000" w:rsidRPr="00E76CB7" w:rsidRDefault="00E778D2" w:rsidP="00E778D2">
      <w:pPr>
        <w:suppressAutoHyphens/>
        <w:spacing w:before="120" w:after="120" w:line="276" w:lineRule="auto"/>
        <w:jc w:val="both"/>
        <w:rPr>
          <w:rFonts w:ascii="Times New Roman" w:eastAsia="Calibri" w:hAnsi="Times New Roman" w:cs="Times New Roman"/>
          <w:kern w:val="0"/>
          <w:lang w:eastAsia="hi-IN" w:bidi="hi-IN"/>
          <w14:ligatures w14:val="none"/>
        </w:rPr>
      </w:pPr>
      <w:r w:rsidRPr="00E778D2">
        <w:rPr>
          <w:rFonts w:ascii="Times New Roman" w:hAnsi="Times New Roman" w:cs="Times New Roman"/>
          <w:shd w:val="clear" w:color="auto" w:fill="FFFFFF"/>
        </w:rPr>
        <w:t xml:space="preserve">While the </w:t>
      </w:r>
      <w:r w:rsidRPr="006A1E6F">
        <w:rPr>
          <w:rFonts w:ascii="Times New Roman" w:hAnsi="Times New Roman" w:cs="Times New Roman"/>
          <w:shd w:val="clear" w:color="auto" w:fill="FFFFFF"/>
        </w:rPr>
        <w:t>Social Cap</w:t>
      </w:r>
      <w:r w:rsidR="00E52D12" w:rsidRPr="006A1E6F">
        <w:rPr>
          <w:rFonts w:ascii="Times New Roman" w:hAnsi="Times New Roman" w:cs="Times New Roman"/>
          <w:shd w:val="clear" w:color="auto" w:fill="FFFFFF"/>
        </w:rPr>
        <w:t>acity</w:t>
      </w:r>
      <w:r w:rsidR="00A547E0" w:rsidRPr="006A1E6F">
        <w:rPr>
          <w:rFonts w:ascii="Times New Roman" w:hAnsi="Times New Roman" w:cs="Times New Roman"/>
          <w:shd w:val="clear" w:color="auto" w:fill="FFFFFF"/>
        </w:rPr>
        <w:t xml:space="preserve"> Theory</w:t>
      </w:r>
      <w:r w:rsidRPr="006A1E6F">
        <w:rPr>
          <w:rFonts w:ascii="Times New Roman" w:hAnsi="Times New Roman" w:cs="Times New Roman"/>
          <w:shd w:val="clear" w:color="auto" w:fill="FFFFFF"/>
        </w:rPr>
        <w:t xml:space="preserve"> </w:t>
      </w:r>
      <w:r w:rsidRPr="00E778D2">
        <w:rPr>
          <w:rFonts w:ascii="Times New Roman" w:hAnsi="Times New Roman" w:cs="Times New Roman"/>
          <w:shd w:val="clear" w:color="auto" w:fill="FFFFFF"/>
        </w:rPr>
        <w:t xml:space="preserve">and Empowerment theory </w:t>
      </w:r>
      <w:r w:rsidR="00147169">
        <w:rPr>
          <w:rFonts w:ascii="Times New Roman" w:hAnsi="Times New Roman" w:cs="Times New Roman"/>
          <w:shd w:val="clear" w:color="auto" w:fill="FFFFFF"/>
        </w:rPr>
        <w:t xml:space="preserve">that this study is anchored </w:t>
      </w:r>
      <w:r w:rsidR="00264DC7">
        <w:rPr>
          <w:rFonts w:ascii="Times New Roman" w:hAnsi="Times New Roman" w:cs="Times New Roman"/>
          <w:shd w:val="clear" w:color="auto" w:fill="FFFFFF"/>
        </w:rPr>
        <w:t>has been</w:t>
      </w:r>
      <w:r w:rsidRPr="00E778D2">
        <w:rPr>
          <w:rFonts w:ascii="Times New Roman" w:hAnsi="Times New Roman" w:cs="Times New Roman"/>
          <w:shd w:val="clear" w:color="auto" w:fill="FFFFFF"/>
        </w:rPr>
        <w:t xml:space="preserve"> substantiated, the study recommend</w:t>
      </w:r>
      <w:r w:rsidR="0090412B">
        <w:rPr>
          <w:rFonts w:ascii="Times New Roman" w:hAnsi="Times New Roman" w:cs="Times New Roman"/>
          <w:shd w:val="clear" w:color="auto" w:fill="FFFFFF"/>
        </w:rPr>
        <w:t>s</w:t>
      </w:r>
      <w:r w:rsidRPr="00E778D2">
        <w:rPr>
          <w:rFonts w:ascii="Times New Roman" w:hAnsi="Times New Roman" w:cs="Times New Roman"/>
          <w:shd w:val="clear" w:color="auto" w:fill="FFFFFF"/>
        </w:rPr>
        <w:t xml:space="preserve"> that CSOs </w:t>
      </w:r>
      <w:r w:rsidRPr="00E778D2">
        <w:rPr>
          <w:rFonts w:ascii="Times New Roman" w:eastAsia="Calibri" w:hAnsi="Times New Roman" w:cs="Times New Roman"/>
          <w:kern w:val="0"/>
          <w:lang w:eastAsia="hi-IN" w:bidi="hi-IN"/>
          <w14:ligatures w14:val="none"/>
        </w:rPr>
        <w:t>should adopt sustainable frameworks that ensure ongoing mentorship, post-election engagement, and consistent monitoring of women who have contested in political races</w:t>
      </w:r>
      <w:r w:rsidR="00800099">
        <w:rPr>
          <w:rFonts w:ascii="Times New Roman" w:eastAsia="Calibri" w:hAnsi="Times New Roman" w:cs="Times New Roman"/>
          <w:kern w:val="0"/>
          <w:lang w:eastAsia="hi-IN" w:bidi="hi-IN"/>
          <w14:ligatures w14:val="none"/>
        </w:rPr>
        <w:t>, CSO’s should introduce</w:t>
      </w:r>
      <w:r w:rsidRPr="00E778D2">
        <w:rPr>
          <w:rFonts w:ascii="Times New Roman" w:eastAsia="Calibri" w:hAnsi="Times New Roman" w:cs="Times New Roman"/>
          <w:kern w:val="0"/>
          <w:lang w:eastAsia="hi-IN" w:bidi="hi-IN"/>
          <w14:ligatures w14:val="none"/>
        </w:rPr>
        <w:t xml:space="preserve"> post-training tracking systems </w:t>
      </w:r>
      <w:r w:rsidR="00154487">
        <w:rPr>
          <w:rFonts w:ascii="Times New Roman" w:eastAsia="Calibri" w:hAnsi="Times New Roman" w:cs="Times New Roman"/>
          <w:kern w:val="0"/>
          <w:lang w:eastAsia="hi-IN" w:bidi="hi-IN"/>
          <w14:ligatures w14:val="none"/>
        </w:rPr>
        <w:t>that should a</w:t>
      </w:r>
      <w:r w:rsidRPr="00E778D2">
        <w:rPr>
          <w:rFonts w:ascii="Times New Roman" w:eastAsia="Calibri" w:hAnsi="Times New Roman" w:cs="Times New Roman"/>
          <w:kern w:val="0"/>
          <w:lang w:eastAsia="hi-IN" w:bidi="hi-IN"/>
          <w14:ligatures w14:val="none"/>
        </w:rPr>
        <w:t xml:space="preserve">llow </w:t>
      </w:r>
      <w:r w:rsidR="00154487">
        <w:rPr>
          <w:rFonts w:ascii="Times New Roman" w:eastAsia="Calibri" w:hAnsi="Times New Roman" w:cs="Times New Roman"/>
          <w:kern w:val="0"/>
          <w:lang w:eastAsia="hi-IN" w:bidi="hi-IN"/>
          <w14:ligatures w14:val="none"/>
        </w:rPr>
        <w:t>them</w:t>
      </w:r>
      <w:r w:rsidRPr="00E778D2">
        <w:rPr>
          <w:rFonts w:ascii="Times New Roman" w:eastAsia="Calibri" w:hAnsi="Times New Roman" w:cs="Times New Roman"/>
          <w:kern w:val="0"/>
          <w:lang w:eastAsia="hi-IN" w:bidi="hi-IN"/>
          <w14:ligatures w14:val="none"/>
        </w:rPr>
        <w:t xml:space="preserve"> assess progress and provide targeted assistance to women pursuing political leadership</w:t>
      </w:r>
      <w:r w:rsidR="000636B3">
        <w:rPr>
          <w:rFonts w:ascii="Times New Roman" w:eastAsia="Calibri" w:hAnsi="Times New Roman" w:cs="Times New Roman"/>
          <w:kern w:val="0"/>
          <w:lang w:eastAsia="hi-IN" w:bidi="hi-IN"/>
          <w14:ligatures w14:val="none"/>
        </w:rPr>
        <w:t xml:space="preserve"> and l</w:t>
      </w:r>
      <w:r w:rsidR="00DF0BAC">
        <w:rPr>
          <w:rFonts w:ascii="Times New Roman" w:eastAsia="Calibri" w:hAnsi="Times New Roman" w:cs="Times New Roman"/>
          <w:kern w:val="0"/>
          <w:lang w:eastAsia="hi-IN" w:bidi="hi-IN"/>
          <w14:ligatures w14:val="none"/>
        </w:rPr>
        <w:t>astly</w:t>
      </w:r>
      <w:r w:rsidR="003D5BCA">
        <w:rPr>
          <w:rFonts w:ascii="Times New Roman" w:eastAsia="Calibri" w:hAnsi="Times New Roman" w:cs="Times New Roman"/>
          <w:kern w:val="0"/>
          <w:lang w:eastAsia="hi-IN" w:bidi="hi-IN"/>
          <w14:ligatures w14:val="none"/>
        </w:rPr>
        <w:t>,</w:t>
      </w:r>
      <w:r w:rsidR="000946B0">
        <w:rPr>
          <w:rFonts w:ascii="Times New Roman" w:eastAsia="Calibri" w:hAnsi="Times New Roman" w:cs="Times New Roman"/>
          <w:kern w:val="0"/>
          <w:lang w:eastAsia="hi-IN" w:bidi="hi-IN"/>
          <w14:ligatures w14:val="none"/>
        </w:rPr>
        <w:t xml:space="preserve"> </w:t>
      </w:r>
      <w:r w:rsidR="008C20A4">
        <w:rPr>
          <w:rFonts w:ascii="Times New Roman" w:eastAsia="Calibri" w:hAnsi="Times New Roman" w:cs="Times New Roman"/>
          <w:kern w:val="0"/>
          <w:lang w:eastAsia="hi-IN" w:bidi="hi-IN"/>
          <w14:ligatures w14:val="none"/>
        </w:rPr>
        <w:t>the institutional capacity of CSO should be strengthened</w:t>
      </w:r>
      <w:r w:rsidR="00493DE5">
        <w:rPr>
          <w:rFonts w:ascii="Times New Roman" w:eastAsia="Calibri" w:hAnsi="Times New Roman" w:cs="Times New Roman"/>
          <w:kern w:val="0"/>
          <w:lang w:eastAsia="hi-IN" w:bidi="hi-IN"/>
          <w14:ligatures w14:val="none"/>
        </w:rPr>
        <w:t xml:space="preserve"> through activities such as:</w:t>
      </w:r>
      <w:r w:rsidRPr="00E778D2">
        <w:rPr>
          <w:rFonts w:ascii="Times New Roman" w:eastAsia="Calibri" w:hAnsi="Times New Roman" w:cs="Times New Roman"/>
          <w:kern w:val="0"/>
          <w:lang w:eastAsia="hi-IN" w:bidi="hi-IN"/>
          <w14:ligatures w14:val="none"/>
        </w:rPr>
        <w:t xml:space="preserve"> staff development, partnership-building, and improved data management systems to enhance their operational efficiency and advocacy impact. </w:t>
      </w:r>
      <w:r w:rsidR="000636B3">
        <w:rPr>
          <w:rFonts w:ascii="Times New Roman" w:eastAsia="Calibri" w:hAnsi="Times New Roman" w:cs="Times New Roman"/>
          <w:kern w:val="0"/>
          <w:lang w:eastAsia="hi-IN" w:bidi="hi-IN"/>
          <w14:ligatures w14:val="none"/>
        </w:rPr>
        <w:t>Above all</w:t>
      </w:r>
      <w:r w:rsidRPr="00E778D2">
        <w:rPr>
          <w:rFonts w:ascii="Times New Roman" w:eastAsia="Calibri" w:hAnsi="Times New Roman" w:cs="Times New Roman"/>
          <w:kern w:val="0"/>
          <w:lang w:eastAsia="hi-IN" w:bidi="hi-IN"/>
          <w14:ligatures w14:val="none"/>
        </w:rPr>
        <w:t>, cooperation among organizations should be encouraged to prevent competition and duplication of efforts. Through collaboration, CSOs can pool resources, harmonize activities, and build stronger collective influence.</w:t>
      </w:r>
    </w:p>
    <w:p w14:paraId="17A0712F" w14:textId="77777777" w:rsidR="00731FB2" w:rsidRDefault="00731FB2" w:rsidP="0098281F">
      <w:pPr>
        <w:spacing w:line="240" w:lineRule="auto"/>
        <w:jc w:val="both"/>
        <w:rPr>
          <w:rFonts w:ascii="Times New Roman" w:hAnsi="Times New Roman" w:cs="Times New Roman"/>
          <w:b/>
          <w:bCs/>
        </w:rPr>
      </w:pPr>
    </w:p>
    <w:p w14:paraId="5524B853" w14:textId="56BFD021" w:rsidR="00F92BAE" w:rsidRPr="0098281F" w:rsidRDefault="00EC078F" w:rsidP="0098281F">
      <w:pPr>
        <w:spacing w:line="240" w:lineRule="auto"/>
        <w:jc w:val="both"/>
        <w:rPr>
          <w:rFonts w:ascii="Times New Roman" w:hAnsi="Times New Roman" w:cs="Times New Roman"/>
          <w:b/>
          <w:bCs/>
        </w:rPr>
      </w:pPr>
      <w:r>
        <w:rPr>
          <w:rFonts w:ascii="Times New Roman" w:hAnsi="Times New Roman" w:cs="Times New Roman"/>
          <w:b/>
          <w:bCs/>
        </w:rPr>
        <w:t>INTRODUCTION</w:t>
      </w:r>
    </w:p>
    <w:p w14:paraId="5119C96C" w14:textId="4E7748E2" w:rsidR="00F92BAE" w:rsidRPr="0098281F" w:rsidRDefault="00F92BAE" w:rsidP="0098281F">
      <w:pPr>
        <w:spacing w:line="240" w:lineRule="auto"/>
        <w:jc w:val="both"/>
        <w:rPr>
          <w:rFonts w:ascii="Times New Roman" w:hAnsi="Times New Roman" w:cs="Times New Roman"/>
        </w:rPr>
      </w:pPr>
      <w:r w:rsidRPr="0098281F">
        <w:rPr>
          <w:rFonts w:ascii="Times New Roman" w:hAnsi="Times New Roman" w:cs="Times New Roman"/>
        </w:rPr>
        <w:t xml:space="preserve">Women occupy an important role in society. Their contributions towards building society and strengthening democracy cannot be ignored. This is because democracy enables the ordinary citizens to </w:t>
      </w:r>
      <w:r w:rsidR="00BC690A" w:rsidRPr="0098281F">
        <w:rPr>
          <w:rFonts w:ascii="Times New Roman" w:hAnsi="Times New Roman" w:cs="Times New Roman"/>
        </w:rPr>
        <w:t>take part</w:t>
      </w:r>
      <w:r w:rsidRPr="0098281F">
        <w:rPr>
          <w:rFonts w:ascii="Times New Roman" w:hAnsi="Times New Roman" w:cs="Times New Roman"/>
        </w:rPr>
        <w:t xml:space="preserve"> in the governance processes of their society since sovereignty lies in the people (Kumar, 2020; Azmi, 2020; </w:t>
      </w:r>
      <w:proofErr w:type="spellStart"/>
      <w:r w:rsidRPr="0098281F">
        <w:rPr>
          <w:rFonts w:ascii="Times New Roman" w:hAnsi="Times New Roman" w:cs="Times New Roman"/>
        </w:rPr>
        <w:t>Fashagba</w:t>
      </w:r>
      <w:proofErr w:type="spellEnd"/>
      <w:r w:rsidRPr="0098281F">
        <w:rPr>
          <w:rFonts w:ascii="Times New Roman" w:hAnsi="Times New Roman" w:cs="Times New Roman"/>
        </w:rPr>
        <w:t xml:space="preserve"> et al., 2019). The definition of democracy provid</w:t>
      </w:r>
      <w:r w:rsidR="003159DC">
        <w:rPr>
          <w:rFonts w:ascii="Times New Roman" w:hAnsi="Times New Roman" w:cs="Times New Roman"/>
        </w:rPr>
        <w:t>ed</w:t>
      </w:r>
      <w:r w:rsidRPr="0098281F">
        <w:rPr>
          <w:rFonts w:ascii="Times New Roman" w:hAnsi="Times New Roman" w:cs="Times New Roman"/>
        </w:rPr>
        <w:t xml:space="preserve"> </w:t>
      </w:r>
      <w:r w:rsidR="003159DC">
        <w:rPr>
          <w:rFonts w:ascii="Times New Roman" w:hAnsi="Times New Roman" w:cs="Times New Roman"/>
        </w:rPr>
        <w:t xml:space="preserve">by </w:t>
      </w:r>
      <w:r w:rsidR="00AD54C8">
        <w:rPr>
          <w:rFonts w:ascii="Times New Roman" w:hAnsi="Times New Roman" w:cs="Times New Roman"/>
        </w:rPr>
        <w:t>Dahl (1998)</w:t>
      </w:r>
      <w:r w:rsidR="003159DC">
        <w:rPr>
          <w:rFonts w:ascii="Times New Roman" w:hAnsi="Times New Roman" w:cs="Times New Roman"/>
        </w:rPr>
        <w:t xml:space="preserve"> is </w:t>
      </w:r>
      <w:proofErr w:type="gramStart"/>
      <w:r w:rsidR="003159DC">
        <w:rPr>
          <w:rFonts w:ascii="Times New Roman" w:hAnsi="Times New Roman" w:cs="Times New Roman"/>
        </w:rPr>
        <w:t>that,</w:t>
      </w:r>
      <w:proofErr w:type="gramEnd"/>
      <w:r w:rsidR="003159DC">
        <w:rPr>
          <w:rFonts w:ascii="Times New Roman" w:hAnsi="Times New Roman" w:cs="Times New Roman"/>
        </w:rPr>
        <w:t xml:space="preserve"> it is a</w:t>
      </w:r>
      <w:r w:rsidR="00AD54C8">
        <w:rPr>
          <w:rFonts w:ascii="Times New Roman" w:hAnsi="Times New Roman" w:cs="Times New Roman"/>
        </w:rPr>
        <w:t xml:space="preserve"> </w:t>
      </w:r>
      <w:r w:rsidRPr="0098281F">
        <w:rPr>
          <w:rFonts w:ascii="Times New Roman" w:hAnsi="Times New Roman" w:cs="Times New Roman"/>
        </w:rPr>
        <w:t>system of government of the people, for the people by the people. In this context, it establishes the fact that all citizens are entitled by the constitution and the law to be properly represented, this includes women.</w:t>
      </w:r>
    </w:p>
    <w:p w14:paraId="3FF830BD" w14:textId="0ED8060D" w:rsidR="00225E46" w:rsidRPr="0098281F" w:rsidRDefault="00225E46" w:rsidP="0098281F">
      <w:pPr>
        <w:spacing w:line="240" w:lineRule="auto"/>
        <w:jc w:val="both"/>
        <w:rPr>
          <w:rFonts w:ascii="Times New Roman" w:hAnsi="Times New Roman" w:cs="Times New Roman"/>
        </w:rPr>
      </w:pPr>
      <w:r w:rsidRPr="0098281F">
        <w:rPr>
          <w:rFonts w:ascii="Times New Roman" w:hAnsi="Times New Roman" w:cs="Times New Roman"/>
        </w:rPr>
        <w:t xml:space="preserve">Women's political participation has gained global recognition as a key indicator of democratic governance and inclusive development. </w:t>
      </w:r>
      <w:r w:rsidR="000E26C5" w:rsidRPr="0098281F">
        <w:rPr>
          <w:rFonts w:ascii="Times New Roman" w:hAnsi="Times New Roman" w:cs="Times New Roman"/>
        </w:rPr>
        <w:t xml:space="preserve">Uwa </w:t>
      </w:r>
      <w:r w:rsidR="000E26C5" w:rsidRPr="0098281F">
        <w:rPr>
          <w:rFonts w:ascii="Times New Roman" w:hAnsi="Times New Roman" w:cs="Times New Roman"/>
          <w:i/>
        </w:rPr>
        <w:t>et al</w:t>
      </w:r>
      <w:r w:rsidR="000E26C5" w:rsidRPr="0098281F">
        <w:rPr>
          <w:rFonts w:ascii="Times New Roman" w:hAnsi="Times New Roman" w:cs="Times New Roman"/>
        </w:rPr>
        <w:t xml:space="preserve">. (2018), </w:t>
      </w:r>
      <w:proofErr w:type="spellStart"/>
      <w:r w:rsidR="000E26C5" w:rsidRPr="0098281F">
        <w:rPr>
          <w:rFonts w:ascii="Times New Roman" w:hAnsi="Times New Roman" w:cs="Times New Roman"/>
        </w:rPr>
        <w:t>Oshewolo</w:t>
      </w:r>
      <w:proofErr w:type="spellEnd"/>
      <w:r w:rsidR="000E26C5" w:rsidRPr="0098281F">
        <w:rPr>
          <w:rFonts w:ascii="Times New Roman" w:hAnsi="Times New Roman" w:cs="Times New Roman"/>
        </w:rPr>
        <w:t xml:space="preserve"> and </w:t>
      </w:r>
      <w:proofErr w:type="spellStart"/>
      <w:r w:rsidR="000E26C5" w:rsidRPr="0098281F">
        <w:rPr>
          <w:rFonts w:ascii="Times New Roman" w:hAnsi="Times New Roman" w:cs="Times New Roman"/>
        </w:rPr>
        <w:t>Adedire</w:t>
      </w:r>
      <w:proofErr w:type="spellEnd"/>
      <w:r w:rsidR="000E26C5" w:rsidRPr="0098281F">
        <w:rPr>
          <w:rFonts w:ascii="Times New Roman" w:hAnsi="Times New Roman" w:cs="Times New Roman"/>
        </w:rPr>
        <w:t xml:space="preserve"> (2019) as well as </w:t>
      </w:r>
      <w:proofErr w:type="spellStart"/>
      <w:r w:rsidR="000E26C5" w:rsidRPr="0098281F">
        <w:rPr>
          <w:rFonts w:ascii="Times New Roman" w:hAnsi="Times New Roman" w:cs="Times New Roman"/>
        </w:rPr>
        <w:t>Fashagba</w:t>
      </w:r>
      <w:proofErr w:type="spellEnd"/>
      <w:r w:rsidR="000E26C5" w:rsidRPr="0098281F">
        <w:rPr>
          <w:rFonts w:ascii="Times New Roman" w:hAnsi="Times New Roman" w:cs="Times New Roman"/>
        </w:rPr>
        <w:t xml:space="preserve"> et al. (2019) note that the Beijing Declaration formulated in 1995 which called for 30% of women’s involvement in governance and decision-making processes is yet to be achieved</w:t>
      </w:r>
      <w:r w:rsidR="00F22CFE" w:rsidRPr="0098281F">
        <w:rPr>
          <w:rFonts w:ascii="Times New Roman" w:hAnsi="Times New Roman" w:cs="Times New Roman"/>
        </w:rPr>
        <w:t xml:space="preserve"> despite women constituting nearly half of the world’s population</w:t>
      </w:r>
      <w:r w:rsidR="000E26C5" w:rsidRPr="0098281F">
        <w:rPr>
          <w:rFonts w:ascii="Times New Roman" w:hAnsi="Times New Roman" w:cs="Times New Roman"/>
        </w:rPr>
        <w:t>.</w:t>
      </w:r>
      <w:r w:rsidRPr="0098281F">
        <w:rPr>
          <w:rFonts w:ascii="Times New Roman" w:hAnsi="Times New Roman" w:cs="Times New Roman"/>
        </w:rPr>
        <w:t xml:space="preserve"> This</w:t>
      </w:r>
      <w:r w:rsidR="00DC29A3" w:rsidRPr="0098281F">
        <w:rPr>
          <w:rFonts w:ascii="Times New Roman" w:hAnsi="Times New Roman" w:cs="Times New Roman"/>
        </w:rPr>
        <w:t xml:space="preserve"> </w:t>
      </w:r>
      <w:r w:rsidRPr="0098281F">
        <w:rPr>
          <w:rFonts w:ascii="Times New Roman" w:hAnsi="Times New Roman" w:cs="Times New Roman"/>
        </w:rPr>
        <w:t xml:space="preserve">underrepresentation has </w:t>
      </w:r>
      <w:r w:rsidR="00DC29A3" w:rsidRPr="0098281F">
        <w:rPr>
          <w:rFonts w:ascii="Times New Roman" w:hAnsi="Times New Roman" w:cs="Times New Roman"/>
        </w:rPr>
        <w:t xml:space="preserve">influenced  development actors such as governments, international organizations </w:t>
      </w:r>
      <w:r w:rsidRPr="0098281F">
        <w:rPr>
          <w:rFonts w:ascii="Times New Roman" w:hAnsi="Times New Roman" w:cs="Times New Roman"/>
        </w:rPr>
        <w:t xml:space="preserve">, and </w:t>
      </w:r>
      <w:r w:rsidR="00674CC9" w:rsidRPr="0098281F">
        <w:rPr>
          <w:rFonts w:ascii="Times New Roman" w:hAnsi="Times New Roman" w:cs="Times New Roman"/>
        </w:rPr>
        <w:t>C</w:t>
      </w:r>
      <w:r w:rsidRPr="0098281F">
        <w:rPr>
          <w:rFonts w:ascii="Times New Roman" w:hAnsi="Times New Roman" w:cs="Times New Roman"/>
        </w:rPr>
        <w:t xml:space="preserve">ivil </w:t>
      </w:r>
      <w:r w:rsidR="00674CC9" w:rsidRPr="0098281F">
        <w:rPr>
          <w:rFonts w:ascii="Times New Roman" w:hAnsi="Times New Roman" w:cs="Times New Roman"/>
        </w:rPr>
        <w:t>S</w:t>
      </w:r>
      <w:r w:rsidRPr="0098281F">
        <w:rPr>
          <w:rFonts w:ascii="Times New Roman" w:hAnsi="Times New Roman" w:cs="Times New Roman"/>
        </w:rPr>
        <w:t xml:space="preserve">ociety </w:t>
      </w:r>
      <w:r w:rsidR="00674CC9" w:rsidRPr="0098281F">
        <w:rPr>
          <w:rFonts w:ascii="Times New Roman" w:hAnsi="Times New Roman" w:cs="Times New Roman"/>
        </w:rPr>
        <w:t>O</w:t>
      </w:r>
      <w:r w:rsidRPr="0098281F">
        <w:rPr>
          <w:rFonts w:ascii="Times New Roman" w:hAnsi="Times New Roman" w:cs="Times New Roman"/>
        </w:rPr>
        <w:t>rganizations (CSOs) to develop interventions aimed at increasing women's p</w:t>
      </w:r>
      <w:r w:rsidR="00DC29A3" w:rsidRPr="0098281F">
        <w:rPr>
          <w:rFonts w:ascii="Times New Roman" w:hAnsi="Times New Roman" w:cs="Times New Roman"/>
        </w:rPr>
        <w:t>olitical participation</w:t>
      </w:r>
      <w:r w:rsidRPr="0098281F">
        <w:rPr>
          <w:rFonts w:ascii="Times New Roman" w:hAnsi="Times New Roman" w:cs="Times New Roman"/>
        </w:rPr>
        <w:t>.</w:t>
      </w:r>
    </w:p>
    <w:p w14:paraId="0C563C1F" w14:textId="55D54AA9" w:rsidR="00674CC9" w:rsidRDefault="00674CC9" w:rsidP="0098281F">
      <w:pPr>
        <w:spacing w:line="240" w:lineRule="auto"/>
        <w:jc w:val="both"/>
        <w:rPr>
          <w:rFonts w:ascii="Times New Roman" w:hAnsi="Times New Roman" w:cs="Times New Roman"/>
        </w:rPr>
      </w:pPr>
      <w:r w:rsidRPr="0098281F">
        <w:rPr>
          <w:rFonts w:ascii="Times New Roman" w:hAnsi="Times New Roman" w:cs="Times New Roman"/>
        </w:rPr>
        <w:t xml:space="preserve">Among the various interventions employed to promote women's political participation, capacity building has emerged as one of the most </w:t>
      </w:r>
      <w:r w:rsidR="00226070" w:rsidRPr="0098281F">
        <w:rPr>
          <w:rFonts w:ascii="Times New Roman" w:hAnsi="Times New Roman" w:cs="Times New Roman"/>
        </w:rPr>
        <w:t>significant. According</w:t>
      </w:r>
      <w:r w:rsidR="00670D72" w:rsidRPr="0098281F">
        <w:rPr>
          <w:rFonts w:ascii="Times New Roman" w:hAnsi="Times New Roman" w:cs="Times New Roman"/>
        </w:rPr>
        <w:t xml:space="preserve"> to</w:t>
      </w:r>
      <w:r w:rsidR="009B5ACD">
        <w:rPr>
          <w:rFonts w:ascii="Times New Roman" w:hAnsi="Times New Roman" w:cs="Times New Roman"/>
        </w:rPr>
        <w:t xml:space="preserve"> </w:t>
      </w:r>
      <w:r w:rsidR="00226070">
        <w:rPr>
          <w:rFonts w:ascii="Times New Roman" w:hAnsi="Times New Roman" w:cs="Times New Roman"/>
        </w:rPr>
        <w:t>Turay and Kamara (2024</w:t>
      </w:r>
      <w:r w:rsidR="00670D72" w:rsidRPr="0098281F">
        <w:rPr>
          <w:rFonts w:ascii="Times New Roman" w:hAnsi="Times New Roman" w:cs="Times New Roman"/>
        </w:rPr>
        <w:t>),</w:t>
      </w:r>
      <w:r w:rsidRPr="0098281F">
        <w:rPr>
          <w:rFonts w:ascii="Times New Roman" w:hAnsi="Times New Roman" w:cs="Times New Roman"/>
        </w:rPr>
        <w:t xml:space="preserve"> capacity building involves activities such as  training, mentorship, civic education, leadership development, and awareness creation which are aimed at aimed at strengthening women’s ability to engage effectively in political </w:t>
      </w:r>
      <w:r w:rsidR="00F5530B" w:rsidRPr="0098281F">
        <w:rPr>
          <w:rFonts w:ascii="Times New Roman" w:hAnsi="Times New Roman" w:cs="Times New Roman"/>
        </w:rPr>
        <w:t>processes.</w:t>
      </w:r>
    </w:p>
    <w:p w14:paraId="17A915E7" w14:textId="4D8B5FB7" w:rsidR="00B202D3" w:rsidRPr="00F5530B" w:rsidRDefault="00226070" w:rsidP="00B202D3">
      <w:pPr>
        <w:spacing w:after="120" w:line="276" w:lineRule="auto"/>
        <w:jc w:val="both"/>
        <w:rPr>
          <w:rFonts w:ascii="Times New Roman" w:eastAsia="Times New Roman" w:hAnsi="Times New Roman" w:cs="Times New Roman"/>
        </w:rPr>
      </w:pPr>
      <w:r w:rsidRPr="00F5530B">
        <w:rPr>
          <w:rFonts w:ascii="Times New Roman" w:eastAsia="Times New Roman" w:hAnsi="Times New Roman" w:cs="Times New Roman"/>
        </w:rPr>
        <w:t>Globally, capacity building has been widely recognized as a key strategy employed by civil society organizations (CSOs) to enhance women’s political participation. Rather than merely increasing numerical representation, these interventions focus on strengthening women’s political agency through leadership training, civic education, and mentorship.</w:t>
      </w:r>
      <w:r w:rsidR="00B202D3" w:rsidRPr="00F5530B">
        <w:rPr>
          <w:rFonts w:ascii="Times New Roman" w:eastAsia="Times New Roman" w:hAnsi="Times New Roman" w:cs="Times New Roman"/>
        </w:rPr>
        <w:t xml:space="preserve"> UN Women (2024) found that structured programs improve women’s political efficacy by strengthening leadership competencies and electoral competitiveness. </w:t>
      </w:r>
    </w:p>
    <w:p w14:paraId="380CFFA1" w14:textId="3670D15E" w:rsidR="00B202D3" w:rsidRDefault="00B202D3" w:rsidP="00B202D3">
      <w:pPr>
        <w:spacing w:after="120" w:line="276" w:lineRule="auto"/>
        <w:jc w:val="both"/>
      </w:pPr>
      <w:r>
        <w:rPr>
          <w:rFonts w:ascii="Times New Roman" w:eastAsia="Times New Roman" w:hAnsi="Times New Roman" w:cs="Times New Roman"/>
          <w:sz w:val="22"/>
          <w:szCs w:val="22"/>
        </w:rPr>
        <w:t>In Sub-Saharan Africa, CSO capacity-building is framed as an empowerment process targeting entrenched socio-political barriers to women’s leadership.</w:t>
      </w:r>
      <w:r w:rsidR="00DB14D5" w:rsidRPr="00DB14D5">
        <w:rPr>
          <w:rFonts w:ascii="Times New Roman" w:eastAsia="Times New Roman" w:hAnsi="Times New Roman" w:cs="Times New Roman"/>
        </w:rPr>
        <w:t xml:space="preserve"> </w:t>
      </w:r>
      <w:r w:rsidR="00DB14D5" w:rsidRPr="0098281F">
        <w:rPr>
          <w:rFonts w:ascii="Times New Roman" w:eastAsia="Times New Roman" w:hAnsi="Times New Roman" w:cs="Times New Roman"/>
        </w:rPr>
        <w:t>Wainaina</w:t>
      </w:r>
      <w:r w:rsidR="00DB14D5" w:rsidRPr="00DB14D5">
        <w:rPr>
          <w:rFonts w:ascii="Times New Roman" w:hAnsi="Times New Roman" w:cs="Times New Roman"/>
          <w:i/>
          <w:iCs/>
        </w:rPr>
        <w:t xml:space="preserve"> et al</w:t>
      </w:r>
      <w:r w:rsidR="00DB14D5" w:rsidRPr="0014517B">
        <w:rPr>
          <w:rFonts w:ascii="Times New Roman" w:hAnsi="Times New Roman" w:cs="Times New Roman"/>
        </w:rPr>
        <w:t>.</w:t>
      </w:r>
      <w:r w:rsidR="00DB14D5">
        <w:rPr>
          <w:rFonts w:ascii="Times New Roman" w:hAnsi="Times New Roman" w:cs="Times New Roman"/>
        </w:rPr>
        <w:t>,</w:t>
      </w:r>
      <w:r>
        <w:rPr>
          <w:rFonts w:ascii="Times New Roman" w:eastAsia="Times New Roman" w:hAnsi="Times New Roman" w:cs="Times New Roman"/>
          <w:sz w:val="22"/>
          <w:szCs w:val="22"/>
        </w:rPr>
        <w:t xml:space="preserve"> (2023), identify mentorship as the most impactful component in preparing women for elective and appointive positions.</w:t>
      </w:r>
      <w:r w:rsidR="001F5FFE" w:rsidRPr="001F5FFE">
        <w:t xml:space="preserve"> </w:t>
      </w:r>
      <w:r w:rsidR="001F5FFE" w:rsidRPr="001F5FFE">
        <w:rPr>
          <w:rFonts w:ascii="Times New Roman" w:eastAsia="Times New Roman" w:hAnsi="Times New Roman" w:cs="Times New Roman"/>
          <w:sz w:val="22"/>
          <w:szCs w:val="22"/>
        </w:rPr>
        <w:t xml:space="preserve">Nevertheless, patriarchal norms and clientelist electoral practices, including vote-buying, continue to constrain women's political advancement by privileging candidates with greater access to financial resources and entrenched political networks, thereby limiting the conversion of women's political preparedness into sustained political inclusion (Kiplimo &amp; </w:t>
      </w:r>
      <w:proofErr w:type="spellStart"/>
      <w:r w:rsidR="001F5FFE" w:rsidRPr="001F5FFE">
        <w:rPr>
          <w:rFonts w:ascii="Times New Roman" w:eastAsia="Times New Roman" w:hAnsi="Times New Roman" w:cs="Times New Roman"/>
          <w:sz w:val="22"/>
          <w:szCs w:val="22"/>
        </w:rPr>
        <w:t>Amunga</w:t>
      </w:r>
      <w:proofErr w:type="spellEnd"/>
      <w:r w:rsidR="001F5FFE" w:rsidRPr="001F5FFE">
        <w:rPr>
          <w:rFonts w:ascii="Times New Roman" w:eastAsia="Times New Roman" w:hAnsi="Times New Roman" w:cs="Times New Roman"/>
          <w:sz w:val="22"/>
          <w:szCs w:val="22"/>
        </w:rPr>
        <w:t>, 2021</w:t>
      </w:r>
      <w:r w:rsidR="00515F63">
        <w:rPr>
          <w:rFonts w:ascii="Times New Roman" w:eastAsia="Times New Roman" w:hAnsi="Times New Roman" w:cs="Times New Roman"/>
          <w:sz w:val="22"/>
          <w:szCs w:val="22"/>
        </w:rPr>
        <w:t>;</w:t>
      </w:r>
      <w:r w:rsidR="008E022F">
        <w:rPr>
          <w:rFonts w:ascii="Times New Roman" w:eastAsia="Times New Roman" w:hAnsi="Times New Roman" w:cs="Times New Roman"/>
          <w:sz w:val="22"/>
          <w:szCs w:val="22"/>
        </w:rPr>
        <w:t xml:space="preserve"> </w:t>
      </w:r>
      <w:r w:rsidR="00471577">
        <w:rPr>
          <w:rFonts w:ascii="Times New Roman" w:eastAsia="Times New Roman" w:hAnsi="Times New Roman" w:cs="Times New Roman"/>
          <w:sz w:val="22"/>
          <w:szCs w:val="22"/>
        </w:rPr>
        <w:t>Kilimo,2022</w:t>
      </w:r>
      <w:r w:rsidR="001F5FFE" w:rsidRPr="001F5FFE">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6375B547" w14:textId="5275EC4B" w:rsidR="00B202D3" w:rsidRDefault="00B202D3" w:rsidP="00B202D3">
      <w:pPr>
        <w:spacing w:line="240" w:lineRule="auto"/>
        <w:jc w:val="both"/>
        <w:rPr>
          <w:rFonts w:ascii="Times New Roman" w:hAnsi="Times New Roman" w:cs="Times New Roman"/>
        </w:rPr>
      </w:pPr>
      <w:r>
        <w:rPr>
          <w:rFonts w:ascii="Times New Roman" w:eastAsia="Times New Roman" w:hAnsi="Times New Roman" w:cs="Times New Roman"/>
          <w:sz w:val="22"/>
          <w:szCs w:val="22"/>
        </w:rPr>
        <w:t>In Kenya, CSO capacity-building activity expanded significantly after the 2010 Constitution established the two-thirds gender principle and devolution.</w:t>
      </w:r>
      <w:r w:rsidRPr="00B202D3">
        <w:rPr>
          <w:rFonts w:ascii="Times New Roman" w:eastAsia="Times New Roman" w:hAnsi="Times New Roman" w:cs="Times New Roman"/>
        </w:rPr>
        <w:t xml:space="preserve"> </w:t>
      </w:r>
      <w:r w:rsidRPr="0098281F">
        <w:rPr>
          <w:rFonts w:ascii="Times New Roman" w:eastAsia="Times New Roman" w:hAnsi="Times New Roman" w:cs="Times New Roman"/>
        </w:rPr>
        <w:t>.</w:t>
      </w:r>
      <w:r w:rsidRPr="0098281F">
        <w:rPr>
          <w:rFonts w:ascii="Times New Roman" w:hAnsi="Times New Roman" w:cs="Times New Roman"/>
        </w:rPr>
        <w:t xml:space="preserve"> According to </w:t>
      </w:r>
      <w:proofErr w:type="spellStart"/>
      <w:r w:rsidRPr="0098281F">
        <w:rPr>
          <w:rFonts w:ascii="Times New Roman" w:hAnsi="Times New Roman" w:cs="Times New Roman"/>
        </w:rPr>
        <w:t>Githae</w:t>
      </w:r>
      <w:proofErr w:type="spellEnd"/>
      <w:r w:rsidRPr="0098281F">
        <w:rPr>
          <w:rFonts w:ascii="Times New Roman" w:hAnsi="Times New Roman" w:cs="Times New Roman"/>
        </w:rPr>
        <w:t xml:space="preserve"> </w:t>
      </w:r>
      <w:r w:rsidRPr="0098281F">
        <w:rPr>
          <w:rFonts w:ascii="Times New Roman" w:hAnsi="Times New Roman" w:cs="Times New Roman"/>
          <w:i/>
        </w:rPr>
        <w:t>et al</w:t>
      </w:r>
      <w:r w:rsidRPr="0098281F">
        <w:rPr>
          <w:rFonts w:ascii="Times New Roman" w:hAnsi="Times New Roman" w:cs="Times New Roman"/>
        </w:rPr>
        <w:t>. (2022), the Kenyan Constitution represents a monumental success as far as gender equality and women’s rights are concerned. Despite these legal frameworks, women remain underrepresented in elective positions both at national and county levels.</w:t>
      </w:r>
    </w:p>
    <w:p w14:paraId="4814DD2C" w14:textId="27073156" w:rsidR="00B202D3" w:rsidRDefault="00B202D3" w:rsidP="008003F7">
      <w:pPr>
        <w:spacing w:line="240" w:lineRule="auto"/>
        <w:jc w:val="both"/>
        <w:rPr>
          <w:rFonts w:ascii="Times New Roman" w:hAnsi="Times New Roman" w:cs="Times New Roman"/>
        </w:rPr>
      </w:pPr>
      <w:r w:rsidRPr="0098281F">
        <w:rPr>
          <w:rFonts w:ascii="Times New Roman" w:hAnsi="Times New Roman" w:cs="Times New Roman"/>
        </w:rPr>
        <w:lastRenderedPageBreak/>
        <w:t xml:space="preserve">Several barriers continue to hinder women's political participation in </w:t>
      </w:r>
      <w:proofErr w:type="spellStart"/>
      <w:r w:rsidRPr="0098281F">
        <w:rPr>
          <w:rFonts w:ascii="Times New Roman" w:hAnsi="Times New Roman" w:cs="Times New Roman"/>
        </w:rPr>
        <w:t>Kenya.These</w:t>
      </w:r>
      <w:proofErr w:type="spellEnd"/>
      <w:r w:rsidRPr="0098281F">
        <w:rPr>
          <w:rFonts w:ascii="Times New Roman" w:hAnsi="Times New Roman" w:cs="Times New Roman"/>
        </w:rPr>
        <w:t xml:space="preserve"> include inadequate access to campaign financing, limited political networks, patriarchal cultural norms, electoral violence, gender-based discrimination, and insufficient political experience</w:t>
      </w:r>
      <w:r w:rsidR="0014517B">
        <w:rPr>
          <w:rFonts w:ascii="Times New Roman" w:hAnsi="Times New Roman" w:cs="Times New Roman"/>
        </w:rPr>
        <w:t xml:space="preserve"> (</w:t>
      </w:r>
      <w:r w:rsidR="0014517B" w:rsidRPr="0014517B">
        <w:rPr>
          <w:rFonts w:ascii="Times New Roman" w:hAnsi="Times New Roman" w:cs="Times New Roman"/>
        </w:rPr>
        <w:t xml:space="preserve">Kenyatta 2023; </w:t>
      </w:r>
      <w:proofErr w:type="spellStart"/>
      <w:r w:rsidR="0014517B" w:rsidRPr="0014517B">
        <w:rPr>
          <w:rFonts w:ascii="Times New Roman" w:hAnsi="Times New Roman" w:cs="Times New Roman"/>
        </w:rPr>
        <w:t>Onamu</w:t>
      </w:r>
      <w:proofErr w:type="spellEnd"/>
      <w:r w:rsidR="0014517B" w:rsidRPr="0014517B">
        <w:rPr>
          <w:rFonts w:ascii="Times New Roman" w:hAnsi="Times New Roman" w:cs="Times New Roman"/>
        </w:rPr>
        <w:t xml:space="preserve"> </w:t>
      </w:r>
      <w:r w:rsidR="0014517B" w:rsidRPr="00DB14D5">
        <w:rPr>
          <w:rFonts w:ascii="Times New Roman" w:hAnsi="Times New Roman" w:cs="Times New Roman"/>
          <w:i/>
          <w:iCs/>
        </w:rPr>
        <w:t>et al</w:t>
      </w:r>
      <w:r w:rsidR="0014517B" w:rsidRPr="0014517B">
        <w:rPr>
          <w:rFonts w:ascii="Times New Roman" w:hAnsi="Times New Roman" w:cs="Times New Roman"/>
        </w:rPr>
        <w:t>.</w:t>
      </w:r>
      <w:r w:rsidR="00DB14D5">
        <w:rPr>
          <w:rFonts w:ascii="Times New Roman" w:hAnsi="Times New Roman" w:cs="Times New Roman"/>
        </w:rPr>
        <w:t>,</w:t>
      </w:r>
      <w:r w:rsidR="0014517B" w:rsidRPr="0014517B">
        <w:rPr>
          <w:rFonts w:ascii="Times New Roman" w:hAnsi="Times New Roman" w:cs="Times New Roman"/>
        </w:rPr>
        <w:t xml:space="preserve"> 2024)</w:t>
      </w:r>
      <w:r w:rsidRPr="0014517B">
        <w:rPr>
          <w:rFonts w:ascii="Times New Roman" w:hAnsi="Times New Roman" w:cs="Times New Roman"/>
        </w:rPr>
        <w:t xml:space="preserve">. </w:t>
      </w:r>
      <w:r w:rsidRPr="0098281F">
        <w:rPr>
          <w:rFonts w:ascii="Times New Roman" w:hAnsi="Times New Roman" w:cs="Times New Roman"/>
        </w:rPr>
        <w:t>In response to these challenges, CSOs have developed various capacity building interventions which are aimed at enhancing women's political participation and leadership.</w:t>
      </w:r>
    </w:p>
    <w:p w14:paraId="29D2D737" w14:textId="2CEE03FC" w:rsidR="00D41253" w:rsidRPr="0098281F" w:rsidRDefault="00D41253" w:rsidP="003159DC">
      <w:pPr>
        <w:spacing w:line="276" w:lineRule="auto"/>
        <w:jc w:val="both"/>
        <w:rPr>
          <w:rFonts w:ascii="Times New Roman" w:eastAsia="Times New Roman" w:hAnsi="Times New Roman" w:cs="Times New Roman"/>
        </w:rPr>
      </w:pPr>
      <w:r w:rsidRPr="0098281F">
        <w:rPr>
          <w:rFonts w:ascii="Times New Roman" w:hAnsi="Times New Roman" w:cs="Times New Roman"/>
        </w:rPr>
        <w:t>Capacity-building initiatives not only prepare women to run for office but also enhance their ability to perform effectively once elected.</w:t>
      </w:r>
      <w:r w:rsidRPr="0098281F">
        <w:rPr>
          <w:rFonts w:ascii="Times New Roman" w:eastAsia="Times New Roman" w:hAnsi="Times New Roman" w:cs="Times New Roman"/>
        </w:rPr>
        <w:t xml:space="preserve"> Women are often trained on parliamentary procedures, legislative processes, political party operations, leadership skills, and governance structures. Such  initiatives enhance their understanding of the political system, which enables them to make informed decisions regarding their political careers and effectively compete for elective positions. These interventions prepare women to not only  contest for  elections but also to perform their legislative and leadership roles effectively once elected (Wainaina</w:t>
      </w:r>
      <w:r w:rsidR="00DB14D5" w:rsidRPr="00DB14D5">
        <w:rPr>
          <w:rFonts w:ascii="Times New Roman" w:hAnsi="Times New Roman" w:cs="Times New Roman"/>
          <w:i/>
          <w:iCs/>
        </w:rPr>
        <w:t xml:space="preserve"> et al</w:t>
      </w:r>
      <w:r w:rsidR="00DB14D5" w:rsidRPr="0014517B">
        <w:rPr>
          <w:rFonts w:ascii="Times New Roman" w:hAnsi="Times New Roman" w:cs="Times New Roman"/>
        </w:rPr>
        <w:t>.</w:t>
      </w:r>
      <w:r w:rsidR="00DB14D5">
        <w:rPr>
          <w:rFonts w:ascii="Times New Roman" w:hAnsi="Times New Roman" w:cs="Times New Roman"/>
        </w:rPr>
        <w:t>,</w:t>
      </w:r>
      <w:r w:rsidRPr="0098281F">
        <w:rPr>
          <w:rFonts w:ascii="Times New Roman" w:eastAsia="Times New Roman" w:hAnsi="Times New Roman" w:cs="Times New Roman"/>
        </w:rPr>
        <w:t>2023).</w:t>
      </w:r>
    </w:p>
    <w:p w14:paraId="226E806A" w14:textId="77E18D3C" w:rsidR="00B202D3" w:rsidRPr="00D41253" w:rsidRDefault="00B202D3" w:rsidP="00D41253">
      <w:pPr>
        <w:spacing w:after="12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F5530B">
        <w:rPr>
          <w:rFonts w:ascii="Times New Roman" w:eastAsia="Times New Roman" w:hAnsi="Times New Roman" w:cs="Times New Roman"/>
        </w:rPr>
        <w:t>Key actors differ in mandate:</w:t>
      </w:r>
      <w:r w:rsidR="008003F7" w:rsidRPr="00F5530B">
        <w:rPr>
          <w:rFonts w:ascii="Times New Roman" w:eastAsia="Times New Roman" w:hAnsi="Times New Roman" w:cs="Times New Roman"/>
        </w:rPr>
        <w:t xml:space="preserve"> Federation of Women Lawyers</w:t>
      </w:r>
      <w:r w:rsidRPr="00F5530B">
        <w:rPr>
          <w:rFonts w:ascii="Times New Roman" w:eastAsia="Times New Roman" w:hAnsi="Times New Roman" w:cs="Times New Roman"/>
        </w:rPr>
        <w:t xml:space="preserve"> </w:t>
      </w:r>
      <w:r w:rsidR="008003F7" w:rsidRPr="00F5530B">
        <w:rPr>
          <w:rFonts w:ascii="Times New Roman" w:eastAsia="Times New Roman" w:hAnsi="Times New Roman" w:cs="Times New Roman"/>
        </w:rPr>
        <w:t>(</w:t>
      </w:r>
      <w:r w:rsidRPr="00F5530B">
        <w:rPr>
          <w:rFonts w:ascii="Times New Roman" w:eastAsia="Times New Roman" w:hAnsi="Times New Roman" w:cs="Times New Roman"/>
        </w:rPr>
        <w:t>FIDA-Kenya</w:t>
      </w:r>
      <w:r w:rsidR="008003F7" w:rsidRPr="00F5530B">
        <w:rPr>
          <w:rFonts w:ascii="Times New Roman" w:eastAsia="Times New Roman" w:hAnsi="Times New Roman" w:cs="Times New Roman"/>
        </w:rPr>
        <w:t xml:space="preserve">) </w:t>
      </w:r>
      <w:r w:rsidRPr="00F5530B">
        <w:rPr>
          <w:rFonts w:ascii="Times New Roman" w:eastAsia="Times New Roman" w:hAnsi="Times New Roman" w:cs="Times New Roman"/>
        </w:rPr>
        <w:t xml:space="preserve"> provides rights-based legal training;</w:t>
      </w:r>
      <w:r w:rsidR="008003F7" w:rsidRPr="00F5530B">
        <w:rPr>
          <w:rFonts w:ascii="Times New Roman" w:eastAsia="Times New Roman" w:hAnsi="Times New Roman" w:cs="Times New Roman"/>
        </w:rPr>
        <w:t xml:space="preserve"> Coalition On Violence Against Women</w:t>
      </w:r>
      <w:r w:rsidRPr="00F5530B">
        <w:rPr>
          <w:rFonts w:ascii="Times New Roman" w:eastAsia="Times New Roman" w:hAnsi="Times New Roman" w:cs="Times New Roman"/>
        </w:rPr>
        <w:t xml:space="preserve"> </w:t>
      </w:r>
      <w:r w:rsidR="008003F7" w:rsidRPr="00F5530B">
        <w:rPr>
          <w:rFonts w:ascii="Times New Roman" w:eastAsia="Times New Roman" w:hAnsi="Times New Roman" w:cs="Times New Roman"/>
        </w:rPr>
        <w:t>(</w:t>
      </w:r>
      <w:r w:rsidRPr="00F5530B">
        <w:rPr>
          <w:rFonts w:ascii="Times New Roman" w:eastAsia="Times New Roman" w:hAnsi="Times New Roman" w:cs="Times New Roman"/>
        </w:rPr>
        <w:t>COVAW</w:t>
      </w:r>
      <w:r w:rsidR="008003F7" w:rsidRPr="00F5530B">
        <w:rPr>
          <w:rFonts w:ascii="Times New Roman" w:eastAsia="Times New Roman" w:hAnsi="Times New Roman" w:cs="Times New Roman"/>
        </w:rPr>
        <w:t>)</w:t>
      </w:r>
      <w:r w:rsidRPr="00F5530B">
        <w:rPr>
          <w:rFonts w:ascii="Times New Roman" w:eastAsia="Times New Roman" w:hAnsi="Times New Roman" w:cs="Times New Roman"/>
        </w:rPr>
        <w:t xml:space="preserve"> addresses electoral violence deterrence; </w:t>
      </w:r>
      <w:r w:rsidR="008003F7" w:rsidRPr="00F5530B">
        <w:rPr>
          <w:rFonts w:ascii="Times New Roman" w:eastAsia="Times New Roman" w:hAnsi="Times New Roman" w:cs="Times New Roman"/>
        </w:rPr>
        <w:t>Kenya Women Parliamentary Association (</w:t>
      </w:r>
      <w:r w:rsidRPr="00F5530B">
        <w:rPr>
          <w:rFonts w:ascii="Times New Roman" w:eastAsia="Times New Roman" w:hAnsi="Times New Roman" w:cs="Times New Roman"/>
        </w:rPr>
        <w:t>KEWOPA</w:t>
      </w:r>
      <w:r w:rsidR="008003F7" w:rsidRPr="00F5530B">
        <w:rPr>
          <w:rFonts w:ascii="Times New Roman" w:eastAsia="Times New Roman" w:hAnsi="Times New Roman" w:cs="Times New Roman"/>
        </w:rPr>
        <w:t>)</w:t>
      </w:r>
      <w:r w:rsidRPr="00F5530B">
        <w:rPr>
          <w:rFonts w:ascii="Times New Roman" w:eastAsia="Times New Roman" w:hAnsi="Times New Roman" w:cs="Times New Roman"/>
        </w:rPr>
        <w:t xml:space="preserve"> delivers parliamentary mentorship; </w:t>
      </w:r>
      <w:r w:rsidR="008003F7" w:rsidRPr="00F5530B">
        <w:rPr>
          <w:rFonts w:ascii="Times New Roman" w:eastAsia="Times New Roman" w:hAnsi="Times New Roman" w:cs="Times New Roman"/>
        </w:rPr>
        <w:t>Centre for Rights , Education and Awareness (</w:t>
      </w:r>
      <w:r w:rsidR="0014517B" w:rsidRPr="00F5530B">
        <w:rPr>
          <w:rFonts w:ascii="Times New Roman" w:eastAsia="Times New Roman" w:hAnsi="Times New Roman" w:cs="Times New Roman"/>
        </w:rPr>
        <w:t>CREAW</w:t>
      </w:r>
      <w:r w:rsidR="008003F7" w:rsidRPr="00F5530B">
        <w:rPr>
          <w:rFonts w:ascii="Times New Roman" w:eastAsia="Times New Roman" w:hAnsi="Times New Roman" w:cs="Times New Roman"/>
        </w:rPr>
        <w:t>)</w:t>
      </w:r>
      <w:r w:rsidR="0014517B" w:rsidRPr="00F5530B">
        <w:rPr>
          <w:rFonts w:ascii="Times New Roman" w:eastAsia="Times New Roman" w:hAnsi="Times New Roman" w:cs="Times New Roman"/>
        </w:rPr>
        <w:t xml:space="preserve"> which runs Leadership Incubation Forums</w:t>
      </w:r>
      <w:r w:rsidR="008003F7" w:rsidRPr="00F5530B">
        <w:rPr>
          <w:rFonts w:ascii="Times New Roman" w:eastAsia="Times New Roman" w:hAnsi="Times New Roman" w:cs="Times New Roman"/>
        </w:rPr>
        <w:t xml:space="preserve"> </w:t>
      </w:r>
      <w:r w:rsidR="0014517B" w:rsidRPr="00F5530B">
        <w:rPr>
          <w:rFonts w:ascii="Times New Roman" w:eastAsia="Times New Roman" w:hAnsi="Times New Roman" w:cs="Times New Roman"/>
        </w:rPr>
        <w:t>and Uraia Trust which delivers ward-level civic forums</w:t>
      </w:r>
      <w:r w:rsidRPr="00F5530B">
        <w:rPr>
          <w:rFonts w:ascii="Times New Roman" w:eastAsia="Times New Roman" w:hAnsi="Times New Roman" w:cs="Times New Roman"/>
        </w:rPr>
        <w:t xml:space="preserve"> .</w:t>
      </w:r>
      <w:r w:rsidRPr="00F5530B">
        <w:t xml:space="preserve"> </w:t>
      </w:r>
      <w:r w:rsidRPr="00F5530B">
        <w:rPr>
          <w:rFonts w:ascii="Times New Roman" w:eastAsia="Times New Roman" w:hAnsi="Times New Roman" w:cs="Times New Roman"/>
        </w:rPr>
        <w:t xml:space="preserve">Wainaina (2013), in a study of women voters in </w:t>
      </w:r>
      <w:proofErr w:type="spellStart"/>
      <w:r w:rsidRPr="00F5530B">
        <w:rPr>
          <w:rFonts w:ascii="Times New Roman" w:eastAsia="Times New Roman" w:hAnsi="Times New Roman" w:cs="Times New Roman"/>
        </w:rPr>
        <w:t>Gatanga</w:t>
      </w:r>
      <w:proofErr w:type="spellEnd"/>
      <w:r w:rsidRPr="00F5530B">
        <w:rPr>
          <w:rFonts w:ascii="Times New Roman" w:eastAsia="Times New Roman" w:hAnsi="Times New Roman" w:cs="Times New Roman"/>
        </w:rPr>
        <w:t xml:space="preserve"> Ward, </w:t>
      </w:r>
      <w:proofErr w:type="spellStart"/>
      <w:r w:rsidRPr="00F5530B">
        <w:rPr>
          <w:rFonts w:ascii="Times New Roman" w:eastAsia="Times New Roman" w:hAnsi="Times New Roman" w:cs="Times New Roman"/>
        </w:rPr>
        <w:t>Murang'a</w:t>
      </w:r>
      <w:proofErr w:type="spellEnd"/>
      <w:r w:rsidRPr="00F5530B">
        <w:rPr>
          <w:rFonts w:ascii="Times New Roman" w:eastAsia="Times New Roman" w:hAnsi="Times New Roman" w:cs="Times New Roman"/>
        </w:rPr>
        <w:t xml:space="preserve"> County, found that civic education enhanced women's political knowledge, political interest, political efficacy, and political trust, all of which were positively associated with women's political participation. The study further revealed that women who had received civic education were more supportive of equal political participation and leadership opportunities for women</w:t>
      </w:r>
      <w:r w:rsidRPr="001245EA">
        <w:rPr>
          <w:rFonts w:ascii="Times New Roman" w:eastAsia="Times New Roman" w:hAnsi="Times New Roman" w:cs="Times New Roman"/>
          <w:sz w:val="22"/>
          <w:szCs w:val="22"/>
        </w:rPr>
        <w:t>, demonstrating the role of civic education in strengthening women's engagement in political processes.</w:t>
      </w:r>
    </w:p>
    <w:p w14:paraId="0623489D" w14:textId="30560B2E" w:rsidR="0098281F" w:rsidRDefault="0014517B" w:rsidP="0014517B">
      <w:pPr>
        <w:spacing w:after="120" w:line="276" w:lineRule="auto"/>
        <w:jc w:val="both"/>
        <w:rPr>
          <w:rFonts w:ascii="Times New Roman" w:eastAsia="Times New Roman" w:hAnsi="Times New Roman" w:cs="Times New Roman"/>
        </w:rPr>
      </w:pPr>
      <w:r w:rsidRPr="0098281F">
        <w:rPr>
          <w:rFonts w:ascii="Times New Roman" w:hAnsi="Times New Roman" w:cs="Times New Roman"/>
        </w:rPr>
        <w:t>Nairobi, being the capital city and political hub of Kenya</w:t>
      </w:r>
      <w:r>
        <w:rPr>
          <w:rFonts w:ascii="Times New Roman" w:hAnsi="Times New Roman" w:cs="Times New Roman"/>
        </w:rPr>
        <w:t xml:space="preserve"> </w:t>
      </w:r>
      <w:r>
        <w:rPr>
          <w:rFonts w:ascii="Times New Roman" w:eastAsia="Times New Roman" w:hAnsi="Times New Roman" w:cs="Times New Roman"/>
          <w:sz w:val="22"/>
          <w:szCs w:val="22"/>
        </w:rPr>
        <w:t>hosts the densest concentration of CSOs involved in capacity-building</w:t>
      </w:r>
      <w:r>
        <w:rPr>
          <w:rFonts w:ascii="Times New Roman" w:hAnsi="Times New Roman" w:cs="Times New Roman"/>
        </w:rPr>
        <w:t xml:space="preserve"> however, it</w:t>
      </w:r>
      <w:r w:rsidRPr="0098281F">
        <w:rPr>
          <w:rFonts w:ascii="Times New Roman" w:hAnsi="Times New Roman" w:cs="Times New Roman"/>
        </w:rPr>
        <w:t xml:space="preserve"> presents a peculiar case where, despite women having relatively higher access to education, civic awareness, and capacity-building opportunities, they still face persistent challenges in attaining political leadership positions.</w:t>
      </w:r>
      <w:r w:rsidRPr="00AB1DE1">
        <w:t xml:space="preserve"> </w:t>
      </w:r>
      <w:r w:rsidRPr="00AB1DE1">
        <w:rPr>
          <w:rFonts w:ascii="Times New Roman" w:hAnsi="Times New Roman" w:cs="Times New Roman"/>
        </w:rPr>
        <w:t xml:space="preserve">Ochieng and </w:t>
      </w:r>
      <w:proofErr w:type="spellStart"/>
      <w:r w:rsidRPr="00AB1DE1">
        <w:rPr>
          <w:rFonts w:ascii="Times New Roman" w:hAnsi="Times New Roman" w:cs="Times New Roman"/>
        </w:rPr>
        <w:t>Jattani</w:t>
      </w:r>
      <w:proofErr w:type="spellEnd"/>
      <w:r w:rsidRPr="00AB1DE1">
        <w:rPr>
          <w:rFonts w:ascii="Times New Roman" w:hAnsi="Times New Roman" w:cs="Times New Roman"/>
        </w:rPr>
        <w:t xml:space="preserve"> (2022) demonstrate that while educational attainment between men and women in Kenya has nearly reached parity, the country's political empowerment score remains critically low, indicating that educational access has not translated into political inclusion</w:t>
      </w:r>
      <w:r w:rsidRPr="0098281F">
        <w:rPr>
          <w:rFonts w:ascii="Times New Roman" w:hAnsi="Times New Roman" w:cs="Times New Roman"/>
        </w:rPr>
        <w:t xml:space="preserve"> </w:t>
      </w:r>
      <w:r>
        <w:rPr>
          <w:rFonts w:ascii="Times New Roman" w:hAnsi="Times New Roman" w:cs="Times New Roman"/>
        </w:rPr>
        <w:t>.</w:t>
      </w:r>
      <w:r w:rsidRPr="0098281F">
        <w:rPr>
          <w:rFonts w:ascii="Times New Roman" w:hAnsi="Times New Roman" w:cs="Times New Roman"/>
        </w:rPr>
        <w:t xml:space="preserve">Studies </w:t>
      </w:r>
      <w:r>
        <w:rPr>
          <w:rFonts w:ascii="Times New Roman" w:hAnsi="Times New Roman" w:cs="Times New Roman"/>
        </w:rPr>
        <w:t xml:space="preserve">by </w:t>
      </w:r>
      <w:proofErr w:type="spellStart"/>
      <w:r w:rsidR="0086673D">
        <w:rPr>
          <w:rFonts w:ascii="Times New Roman" w:hAnsi="Times New Roman" w:cs="Times New Roman"/>
        </w:rPr>
        <w:t>Onamu</w:t>
      </w:r>
      <w:proofErr w:type="spellEnd"/>
      <w:r w:rsidR="0086673D">
        <w:rPr>
          <w:rFonts w:ascii="Times New Roman" w:hAnsi="Times New Roman" w:cs="Times New Roman"/>
        </w:rPr>
        <w:t xml:space="preserve"> </w:t>
      </w:r>
      <w:r w:rsidR="0086673D" w:rsidRPr="0086673D">
        <w:rPr>
          <w:rFonts w:ascii="Times New Roman" w:hAnsi="Times New Roman" w:cs="Times New Roman"/>
          <w:i/>
          <w:iCs/>
        </w:rPr>
        <w:t>et al.,</w:t>
      </w:r>
      <w:r w:rsidRPr="0086673D">
        <w:rPr>
          <w:rFonts w:ascii="Times New Roman" w:hAnsi="Times New Roman" w:cs="Times New Roman"/>
          <w:i/>
          <w:iCs/>
        </w:rPr>
        <w:t>(</w:t>
      </w:r>
      <w:r>
        <w:rPr>
          <w:rFonts w:ascii="Times New Roman" w:hAnsi="Times New Roman" w:cs="Times New Roman"/>
        </w:rPr>
        <w:t>2024),</w:t>
      </w:r>
      <w:r w:rsidRPr="0098281F">
        <w:rPr>
          <w:rFonts w:ascii="Times New Roman" w:hAnsi="Times New Roman" w:cs="Times New Roman"/>
        </w:rPr>
        <w:t xml:space="preserve">show that although women constitute nearly half of the voting population, they occupy a significantly lower proportion of elected positions </w:t>
      </w:r>
      <w:r>
        <w:rPr>
          <w:rFonts w:ascii="Times New Roman" w:hAnsi="Times New Roman" w:cs="Times New Roman"/>
        </w:rPr>
        <w:t>.</w:t>
      </w:r>
      <w:r w:rsidRPr="0014517B">
        <w:t xml:space="preserve"> </w:t>
      </w:r>
      <w:r w:rsidRPr="00F5530B">
        <w:rPr>
          <w:rFonts w:ascii="Times New Roman" w:hAnsi="Times New Roman" w:cs="Times New Roman"/>
        </w:rPr>
        <w:t>Ranta (2024) further argues that</w:t>
      </w:r>
      <w:r w:rsidRPr="00F5530B">
        <w:rPr>
          <w:rFonts w:ascii="Times New Roman" w:eastAsia="Times New Roman" w:hAnsi="Times New Roman" w:cs="Times New Roman"/>
        </w:rPr>
        <w:t xml:space="preserve"> studies measure inputs and outputs but rarely track women’s progression through the full political </w:t>
      </w:r>
      <w:r w:rsidR="0048486A" w:rsidRPr="00F5530B">
        <w:rPr>
          <w:rFonts w:ascii="Times New Roman" w:eastAsia="Times New Roman" w:hAnsi="Times New Roman" w:cs="Times New Roman"/>
        </w:rPr>
        <w:t>pipeline,</w:t>
      </w:r>
      <w:r w:rsidRPr="00F5530B">
        <w:rPr>
          <w:rFonts w:ascii="Times New Roman" w:eastAsia="Times New Roman" w:hAnsi="Times New Roman" w:cs="Times New Roman"/>
        </w:rPr>
        <w:t xml:space="preserve"> from awareness to candidacy, electoral success, and effective officeholding.</w:t>
      </w:r>
    </w:p>
    <w:p w14:paraId="6C4A5A62" w14:textId="77777777" w:rsidR="00CC4749" w:rsidRPr="00F5530B" w:rsidRDefault="00CC4749" w:rsidP="0014517B">
      <w:pPr>
        <w:spacing w:after="120" w:line="276" w:lineRule="auto"/>
        <w:jc w:val="both"/>
        <w:rPr>
          <w:rFonts w:ascii="Times New Roman" w:eastAsia="Times New Roman" w:hAnsi="Times New Roman" w:cs="Times New Roman"/>
        </w:rPr>
      </w:pPr>
    </w:p>
    <w:p w14:paraId="72075D64" w14:textId="17133EDF" w:rsidR="00F92BAE" w:rsidRPr="0098281F" w:rsidRDefault="00CE4ACE" w:rsidP="0098281F">
      <w:pPr>
        <w:jc w:val="both"/>
        <w:rPr>
          <w:rFonts w:ascii="Times New Roman" w:hAnsi="Times New Roman" w:cs="Times New Roman"/>
          <w:b/>
          <w:bCs/>
        </w:rPr>
      </w:pPr>
      <w:r w:rsidRPr="0098281F">
        <w:rPr>
          <w:rFonts w:ascii="Times New Roman" w:hAnsi="Times New Roman" w:cs="Times New Roman"/>
          <w:b/>
          <w:bCs/>
        </w:rPr>
        <w:t>Statement of the Problem</w:t>
      </w:r>
    </w:p>
    <w:p w14:paraId="69EEB500" w14:textId="4351231B" w:rsidR="00B606A7" w:rsidRDefault="00DD60E3" w:rsidP="0098281F">
      <w:pPr>
        <w:jc w:val="both"/>
        <w:rPr>
          <w:rFonts w:ascii="Times New Roman" w:hAnsi="Times New Roman" w:cs="Times New Roman"/>
        </w:rPr>
      </w:pPr>
      <w:r w:rsidRPr="00DD60E3">
        <w:rPr>
          <w:rFonts w:ascii="Times New Roman" w:hAnsi="Times New Roman" w:cs="Times New Roman"/>
        </w:rPr>
        <w:t>In Kenya, despite constitutional provisions and gender equality policies</w:t>
      </w:r>
      <w:r w:rsidR="00B262E8">
        <w:rPr>
          <w:rFonts w:ascii="Times New Roman" w:hAnsi="Times New Roman" w:cs="Times New Roman"/>
        </w:rPr>
        <w:t xml:space="preserve"> being in place</w:t>
      </w:r>
      <w:r w:rsidRPr="00DD60E3">
        <w:rPr>
          <w:rFonts w:ascii="Times New Roman" w:hAnsi="Times New Roman" w:cs="Times New Roman"/>
        </w:rPr>
        <w:t xml:space="preserve">, women’s political participation is low, particularly </w:t>
      </w:r>
      <w:r w:rsidR="0046174C">
        <w:rPr>
          <w:rFonts w:ascii="Times New Roman" w:hAnsi="Times New Roman" w:cs="Times New Roman"/>
        </w:rPr>
        <w:t>in political</w:t>
      </w:r>
      <w:r w:rsidRPr="00DD60E3">
        <w:rPr>
          <w:rFonts w:ascii="Times New Roman" w:hAnsi="Times New Roman" w:cs="Times New Roman"/>
        </w:rPr>
        <w:t xml:space="preserve"> elective positions. Women in Nairobi City </w:t>
      </w:r>
      <w:r w:rsidRPr="00DD60E3">
        <w:rPr>
          <w:rFonts w:ascii="Times New Roman" w:hAnsi="Times New Roman" w:cs="Times New Roman"/>
        </w:rPr>
        <w:lastRenderedPageBreak/>
        <w:t xml:space="preserve">County continue to face barriers </w:t>
      </w:r>
      <w:r w:rsidR="00DA1474">
        <w:rPr>
          <w:rFonts w:ascii="Times New Roman" w:hAnsi="Times New Roman" w:cs="Times New Roman"/>
        </w:rPr>
        <w:t>such as</w:t>
      </w:r>
      <w:r w:rsidRPr="00DD60E3">
        <w:rPr>
          <w:rFonts w:ascii="Times New Roman" w:hAnsi="Times New Roman" w:cs="Times New Roman"/>
        </w:rPr>
        <w:t xml:space="preserve"> limited political knowledge, weak leadership networks, financial constraints and exclusion from party nomination structures.</w:t>
      </w:r>
      <w:r w:rsidR="00B0278B">
        <w:rPr>
          <w:rFonts w:ascii="Times New Roman" w:hAnsi="Times New Roman" w:cs="Times New Roman"/>
        </w:rPr>
        <w:t xml:space="preserve"> </w:t>
      </w:r>
      <w:r w:rsidR="00594C56">
        <w:rPr>
          <w:rFonts w:ascii="Times New Roman" w:hAnsi="Times New Roman" w:cs="Times New Roman"/>
        </w:rPr>
        <w:t xml:space="preserve">In view of this, </w:t>
      </w:r>
      <w:r w:rsidR="00B606A7" w:rsidRPr="00B606A7">
        <w:rPr>
          <w:rFonts w:ascii="Times New Roman" w:hAnsi="Times New Roman" w:cs="Times New Roman"/>
        </w:rPr>
        <w:t xml:space="preserve">Civil </w:t>
      </w:r>
      <w:r w:rsidR="00DA1474">
        <w:rPr>
          <w:rFonts w:ascii="Times New Roman" w:hAnsi="Times New Roman" w:cs="Times New Roman"/>
        </w:rPr>
        <w:t>S</w:t>
      </w:r>
      <w:r w:rsidR="00B606A7" w:rsidRPr="00B606A7">
        <w:rPr>
          <w:rFonts w:ascii="Times New Roman" w:hAnsi="Times New Roman" w:cs="Times New Roman"/>
        </w:rPr>
        <w:t xml:space="preserve">ociety </w:t>
      </w:r>
      <w:r w:rsidR="00DA1474" w:rsidRPr="00B606A7">
        <w:rPr>
          <w:rFonts w:ascii="Times New Roman" w:hAnsi="Times New Roman" w:cs="Times New Roman"/>
        </w:rPr>
        <w:t>organizations</w:t>
      </w:r>
      <w:r w:rsidR="00B606A7" w:rsidRPr="00B606A7">
        <w:rPr>
          <w:rFonts w:ascii="Times New Roman" w:hAnsi="Times New Roman" w:cs="Times New Roman"/>
        </w:rPr>
        <w:t xml:space="preserve"> and development partners have undertaken various capacity building programs but there is limited evidence o</w:t>
      </w:r>
      <w:r w:rsidR="00DA1474">
        <w:rPr>
          <w:rFonts w:ascii="Times New Roman" w:hAnsi="Times New Roman" w:cs="Times New Roman"/>
        </w:rPr>
        <w:t>n the effectiveness of these programs</w:t>
      </w:r>
      <w:r w:rsidR="00B606A7">
        <w:rPr>
          <w:rFonts w:ascii="Times New Roman" w:hAnsi="Times New Roman" w:cs="Times New Roman"/>
        </w:rPr>
        <w:t xml:space="preserve"> </w:t>
      </w:r>
      <w:r w:rsidR="00A263FA">
        <w:rPr>
          <w:rFonts w:ascii="Times New Roman" w:hAnsi="Times New Roman" w:cs="Times New Roman"/>
        </w:rPr>
        <w:t xml:space="preserve">in </w:t>
      </w:r>
      <w:r w:rsidR="00B606A7" w:rsidRPr="00B606A7">
        <w:rPr>
          <w:rFonts w:ascii="Times New Roman" w:hAnsi="Times New Roman" w:cs="Times New Roman"/>
        </w:rPr>
        <w:t xml:space="preserve">translating into actual political leadership. </w:t>
      </w:r>
      <w:r w:rsidR="00BB47AA">
        <w:rPr>
          <w:rFonts w:ascii="Times New Roman" w:hAnsi="Times New Roman" w:cs="Times New Roman"/>
        </w:rPr>
        <w:t>Wainaina,</w:t>
      </w:r>
      <w:r w:rsidR="00C94D35">
        <w:rPr>
          <w:rFonts w:ascii="Times New Roman" w:hAnsi="Times New Roman" w:cs="Times New Roman"/>
        </w:rPr>
        <w:t xml:space="preserve"> </w:t>
      </w:r>
      <w:r w:rsidR="00C94D35" w:rsidRPr="001216AE">
        <w:rPr>
          <w:rFonts w:ascii="Times New Roman" w:hAnsi="Times New Roman" w:cs="Times New Roman"/>
          <w:i/>
          <w:iCs/>
        </w:rPr>
        <w:t>et al</w:t>
      </w:r>
      <w:r w:rsidR="001216AE">
        <w:rPr>
          <w:rFonts w:ascii="Times New Roman" w:hAnsi="Times New Roman" w:cs="Times New Roman"/>
        </w:rPr>
        <w:t>.,</w:t>
      </w:r>
      <w:r w:rsidR="00C94D35">
        <w:rPr>
          <w:rFonts w:ascii="Times New Roman" w:hAnsi="Times New Roman" w:cs="Times New Roman"/>
        </w:rPr>
        <w:t>(2023) find that c</w:t>
      </w:r>
      <w:r w:rsidR="00B606A7" w:rsidRPr="00B606A7">
        <w:rPr>
          <w:rFonts w:ascii="Times New Roman" w:hAnsi="Times New Roman" w:cs="Times New Roman"/>
        </w:rPr>
        <w:t xml:space="preserve">apacity building </w:t>
      </w:r>
      <w:r w:rsidR="004373C2">
        <w:rPr>
          <w:rFonts w:ascii="Times New Roman" w:hAnsi="Times New Roman" w:cs="Times New Roman"/>
        </w:rPr>
        <w:t>initiatives</w:t>
      </w:r>
      <w:r w:rsidR="00876670">
        <w:rPr>
          <w:rFonts w:ascii="Times New Roman" w:hAnsi="Times New Roman" w:cs="Times New Roman"/>
        </w:rPr>
        <w:t xml:space="preserve"> have </w:t>
      </w:r>
      <w:r w:rsidR="00B606A7" w:rsidRPr="00B606A7">
        <w:rPr>
          <w:rFonts w:ascii="Times New Roman" w:hAnsi="Times New Roman" w:cs="Times New Roman"/>
        </w:rPr>
        <w:t xml:space="preserve">been increasingly </w:t>
      </w:r>
      <w:r w:rsidR="00C94D35" w:rsidRPr="00B606A7">
        <w:rPr>
          <w:rFonts w:ascii="Times New Roman" w:hAnsi="Times New Roman" w:cs="Times New Roman"/>
        </w:rPr>
        <w:t>recognized</w:t>
      </w:r>
      <w:r w:rsidR="00B606A7" w:rsidRPr="00B606A7">
        <w:rPr>
          <w:rFonts w:ascii="Times New Roman" w:hAnsi="Times New Roman" w:cs="Times New Roman"/>
        </w:rPr>
        <w:t xml:space="preserve"> as an important strategy for overcoming barriers to women's political participation and improving women's representation in governance structures</w:t>
      </w:r>
      <w:r w:rsidR="004373C2">
        <w:rPr>
          <w:rFonts w:ascii="Times New Roman" w:hAnsi="Times New Roman" w:cs="Times New Roman"/>
        </w:rPr>
        <w:t>.</w:t>
      </w:r>
    </w:p>
    <w:p w14:paraId="545704C6" w14:textId="4492C8CB" w:rsidR="00E05B61" w:rsidRDefault="00A863F3" w:rsidP="00E05B61">
      <w:pPr>
        <w:jc w:val="both"/>
        <w:rPr>
          <w:rFonts w:ascii="Times New Roman" w:hAnsi="Times New Roman" w:cs="Times New Roman"/>
        </w:rPr>
      </w:pPr>
      <w:r>
        <w:rPr>
          <w:rFonts w:ascii="Times New Roman" w:hAnsi="Times New Roman" w:cs="Times New Roman"/>
        </w:rPr>
        <w:t>However, r</w:t>
      </w:r>
      <w:r w:rsidR="008937DF" w:rsidRPr="0098281F">
        <w:rPr>
          <w:rFonts w:ascii="Times New Roman" w:hAnsi="Times New Roman" w:cs="Times New Roman"/>
        </w:rPr>
        <w:t xml:space="preserve">ecent evidence </w:t>
      </w:r>
      <w:r w:rsidR="00BB47AA" w:rsidRPr="0098281F">
        <w:rPr>
          <w:rFonts w:ascii="Times New Roman" w:hAnsi="Times New Roman" w:cs="Times New Roman"/>
        </w:rPr>
        <w:t>suggests</w:t>
      </w:r>
      <w:r>
        <w:rPr>
          <w:rFonts w:ascii="Times New Roman" w:hAnsi="Times New Roman" w:cs="Times New Roman"/>
        </w:rPr>
        <w:t xml:space="preserve"> </w:t>
      </w:r>
      <w:r w:rsidR="008937DF" w:rsidRPr="0098281F">
        <w:rPr>
          <w:rFonts w:ascii="Times New Roman" w:hAnsi="Times New Roman" w:cs="Times New Roman"/>
        </w:rPr>
        <w:t>that</w:t>
      </w:r>
      <w:r w:rsidR="00840EF0">
        <w:rPr>
          <w:rFonts w:ascii="Times New Roman" w:hAnsi="Times New Roman" w:cs="Times New Roman"/>
        </w:rPr>
        <w:t xml:space="preserve"> </w:t>
      </w:r>
      <w:r w:rsidR="00E76CB7">
        <w:rPr>
          <w:rFonts w:ascii="Times New Roman" w:hAnsi="Times New Roman" w:cs="Times New Roman"/>
        </w:rPr>
        <w:t>w</w:t>
      </w:r>
      <w:r w:rsidR="00840EF0" w:rsidRPr="00E76CB7">
        <w:rPr>
          <w:rFonts w:ascii="Times New Roman" w:hAnsi="Times New Roman" w:cs="Times New Roman"/>
        </w:rPr>
        <w:t>omen’s political participation in elective positions is still disproportionately low, despite constitutional provisions such as Article 27(4) of the Kenyan Constitution and a host of interventions by Civil Society Organizations (CSOs) to promote gender equality. Despite capacity-building efforts such as leadership training, civic education and mentorship</w:t>
      </w:r>
      <w:r w:rsidR="00C4068A" w:rsidRPr="00E76CB7">
        <w:rPr>
          <w:rFonts w:ascii="Times New Roman" w:hAnsi="Times New Roman" w:cs="Times New Roman"/>
        </w:rPr>
        <w:t xml:space="preserve">. </w:t>
      </w:r>
      <w:r w:rsidR="00840EF0" w:rsidRPr="00E76CB7">
        <w:rPr>
          <w:rFonts w:ascii="Times New Roman" w:hAnsi="Times New Roman" w:cs="Times New Roman"/>
        </w:rPr>
        <w:t>Although women in Nairobi City County have relatively greater access to education and civic opportunities, there is still a glaring under-representation in political leadership, underscoring a significant gap between empowerment efforts and political outcomes</w:t>
      </w:r>
      <w:r w:rsidR="0038040C" w:rsidRPr="00E76CB7">
        <w:rPr>
          <w:rFonts w:ascii="Times New Roman" w:hAnsi="Times New Roman" w:cs="Times New Roman"/>
        </w:rPr>
        <w:t xml:space="preserve"> Ouko (2024)</w:t>
      </w:r>
      <w:r w:rsidR="008D283A" w:rsidRPr="00E76CB7">
        <w:rPr>
          <w:rFonts w:ascii="Times New Roman" w:hAnsi="Times New Roman" w:cs="Times New Roman"/>
        </w:rPr>
        <w:t>.</w:t>
      </w:r>
      <w:r w:rsidR="000504D5" w:rsidRPr="00E76CB7">
        <w:rPr>
          <w:rFonts w:ascii="Segoe UI" w:hAnsi="Segoe UI" w:cs="Segoe UI"/>
          <w:shd w:val="clear" w:color="auto" w:fill="FFFFFF"/>
        </w:rPr>
        <w:t xml:space="preserve"> </w:t>
      </w:r>
      <w:r w:rsidR="000504D5" w:rsidRPr="000504D5">
        <w:rPr>
          <w:rFonts w:ascii="Times New Roman" w:hAnsi="Times New Roman" w:cs="Times New Roman"/>
        </w:rPr>
        <w:t xml:space="preserve">This prompts significant inquiries into the efficacy of empowerment strategies in changing political participation </w:t>
      </w:r>
      <w:r w:rsidR="000504D5">
        <w:rPr>
          <w:rFonts w:ascii="Times New Roman" w:hAnsi="Times New Roman" w:cs="Times New Roman"/>
        </w:rPr>
        <w:t>outcomes.</w:t>
      </w:r>
      <w:r w:rsidR="00DA1474">
        <w:rPr>
          <w:rFonts w:ascii="Times New Roman" w:hAnsi="Times New Roman" w:cs="Times New Roman"/>
        </w:rPr>
        <w:t xml:space="preserve"> </w:t>
      </w:r>
    </w:p>
    <w:p w14:paraId="6A77E716" w14:textId="0E495008" w:rsidR="00CE4ACE" w:rsidRPr="00D34C05" w:rsidRDefault="00A2550C" w:rsidP="00E05B61">
      <w:pPr>
        <w:jc w:val="both"/>
        <w:rPr>
          <w:rFonts w:ascii="Times New Roman" w:hAnsi="Times New Roman" w:cs="Times New Roman"/>
          <w:shd w:val="clear" w:color="auto" w:fill="FFFFFF"/>
        </w:rPr>
      </w:pPr>
      <w:r>
        <w:rPr>
          <w:rFonts w:ascii="Times New Roman" w:hAnsi="Times New Roman" w:cs="Times New Roman"/>
        </w:rPr>
        <w:t>It is this pretext that t</w:t>
      </w:r>
      <w:r w:rsidR="00840B89" w:rsidRPr="00DA1474">
        <w:rPr>
          <w:rFonts w:ascii="Times New Roman" w:hAnsi="Times New Roman" w:cs="Times New Roman"/>
        </w:rPr>
        <w:t xml:space="preserve">his study </w:t>
      </w:r>
      <w:r w:rsidR="00BF12D8">
        <w:rPr>
          <w:rFonts w:ascii="Times New Roman" w:hAnsi="Times New Roman" w:cs="Times New Roman"/>
        </w:rPr>
        <w:t>s</w:t>
      </w:r>
      <w:r w:rsidR="00E05B61">
        <w:rPr>
          <w:rFonts w:ascii="Times New Roman" w:hAnsi="Times New Roman" w:cs="Times New Roman"/>
        </w:rPr>
        <w:t>ought</w:t>
      </w:r>
      <w:r w:rsidR="00BF12D8">
        <w:rPr>
          <w:rFonts w:ascii="Times New Roman" w:hAnsi="Times New Roman" w:cs="Times New Roman"/>
        </w:rPr>
        <w:t xml:space="preserve"> to ascertain the effect </w:t>
      </w:r>
      <w:r w:rsidR="00DD60E3" w:rsidRPr="00DA1474">
        <w:rPr>
          <w:rFonts w:ascii="Times New Roman" w:hAnsi="Times New Roman" w:cs="Times New Roman"/>
        </w:rPr>
        <w:t xml:space="preserve">of </w:t>
      </w:r>
      <w:r w:rsidR="00FD7031">
        <w:rPr>
          <w:rFonts w:ascii="Times New Roman" w:hAnsi="Times New Roman" w:cs="Times New Roman"/>
        </w:rPr>
        <w:t>C</w:t>
      </w:r>
      <w:r w:rsidR="00DD60E3" w:rsidRPr="00DA1474">
        <w:rPr>
          <w:rFonts w:ascii="Times New Roman" w:hAnsi="Times New Roman" w:cs="Times New Roman"/>
        </w:rPr>
        <w:t xml:space="preserve">apacity </w:t>
      </w:r>
      <w:r w:rsidR="00FD7031">
        <w:rPr>
          <w:rFonts w:ascii="Times New Roman" w:hAnsi="Times New Roman" w:cs="Times New Roman"/>
        </w:rPr>
        <w:t>B</w:t>
      </w:r>
      <w:r w:rsidR="00DD60E3" w:rsidRPr="00DA1474">
        <w:rPr>
          <w:rFonts w:ascii="Times New Roman" w:hAnsi="Times New Roman" w:cs="Times New Roman"/>
        </w:rPr>
        <w:t xml:space="preserve">uilding </w:t>
      </w:r>
      <w:r w:rsidR="00FD7031">
        <w:rPr>
          <w:rFonts w:ascii="Times New Roman" w:hAnsi="Times New Roman" w:cs="Times New Roman"/>
        </w:rPr>
        <w:t>I</w:t>
      </w:r>
      <w:r w:rsidR="00DD60E3" w:rsidRPr="00DA1474">
        <w:rPr>
          <w:rFonts w:ascii="Times New Roman" w:hAnsi="Times New Roman" w:cs="Times New Roman"/>
        </w:rPr>
        <w:t>nterventions in</w:t>
      </w:r>
      <w:r w:rsidR="00FD7031">
        <w:rPr>
          <w:rFonts w:ascii="Times New Roman" w:hAnsi="Times New Roman" w:cs="Times New Roman"/>
        </w:rPr>
        <w:t xml:space="preserve"> E</w:t>
      </w:r>
      <w:r w:rsidR="00DD60E3" w:rsidRPr="00DA1474">
        <w:rPr>
          <w:rFonts w:ascii="Times New Roman" w:hAnsi="Times New Roman" w:cs="Times New Roman"/>
        </w:rPr>
        <w:t xml:space="preserve">nhancing </w:t>
      </w:r>
      <w:r w:rsidR="00FD7031">
        <w:rPr>
          <w:rFonts w:ascii="Times New Roman" w:hAnsi="Times New Roman" w:cs="Times New Roman"/>
        </w:rPr>
        <w:t>W</w:t>
      </w:r>
      <w:r w:rsidR="00DD60E3" w:rsidRPr="00DA1474">
        <w:rPr>
          <w:rFonts w:ascii="Times New Roman" w:hAnsi="Times New Roman" w:cs="Times New Roman"/>
        </w:rPr>
        <w:t xml:space="preserve">omen’s </w:t>
      </w:r>
      <w:r w:rsidR="00E56883">
        <w:rPr>
          <w:rFonts w:ascii="Times New Roman" w:hAnsi="Times New Roman" w:cs="Times New Roman"/>
        </w:rPr>
        <w:t>P</w:t>
      </w:r>
      <w:r w:rsidR="00DD60E3" w:rsidRPr="00DA1474">
        <w:rPr>
          <w:rFonts w:ascii="Times New Roman" w:hAnsi="Times New Roman" w:cs="Times New Roman"/>
        </w:rPr>
        <w:t xml:space="preserve">olitical </w:t>
      </w:r>
      <w:r w:rsidR="00E56883">
        <w:rPr>
          <w:rFonts w:ascii="Times New Roman" w:hAnsi="Times New Roman" w:cs="Times New Roman"/>
        </w:rPr>
        <w:t>P</w:t>
      </w:r>
      <w:r w:rsidR="00DD60E3" w:rsidRPr="00DA1474">
        <w:rPr>
          <w:rFonts w:ascii="Times New Roman" w:hAnsi="Times New Roman" w:cs="Times New Roman"/>
        </w:rPr>
        <w:t>articipation in Nairobi County</w:t>
      </w:r>
      <w:r w:rsidR="00174B49">
        <w:rPr>
          <w:rFonts w:ascii="Times New Roman" w:hAnsi="Times New Roman" w:cs="Times New Roman"/>
        </w:rPr>
        <w:t>; Kenya</w:t>
      </w:r>
      <w:r w:rsidR="00DD60E3" w:rsidRPr="00DA1474">
        <w:rPr>
          <w:rFonts w:ascii="Times New Roman" w:hAnsi="Times New Roman" w:cs="Times New Roman"/>
        </w:rPr>
        <w:t xml:space="preserve"> with the view of </w:t>
      </w:r>
      <w:r w:rsidR="00174B49" w:rsidRPr="00DA1474">
        <w:rPr>
          <w:rFonts w:ascii="Times New Roman" w:hAnsi="Times New Roman" w:cs="Times New Roman"/>
        </w:rPr>
        <w:t>informin</w:t>
      </w:r>
      <w:r w:rsidR="00174B49">
        <w:rPr>
          <w:rFonts w:ascii="Times New Roman" w:hAnsi="Times New Roman" w:cs="Times New Roman"/>
        </w:rPr>
        <w:t>g</w:t>
      </w:r>
      <w:r w:rsidR="00E56883">
        <w:rPr>
          <w:rFonts w:ascii="Times New Roman" w:hAnsi="Times New Roman" w:cs="Times New Roman"/>
        </w:rPr>
        <w:t xml:space="preserve"> </w:t>
      </w:r>
      <w:r w:rsidR="00DD60E3" w:rsidRPr="00DA1474">
        <w:rPr>
          <w:rFonts w:ascii="Times New Roman" w:hAnsi="Times New Roman" w:cs="Times New Roman"/>
        </w:rPr>
        <w:t>effective policy and programmatic interventions.</w:t>
      </w:r>
    </w:p>
    <w:p w14:paraId="2CAB00DB" w14:textId="77777777" w:rsidR="00E52D12" w:rsidRDefault="00E52D12" w:rsidP="00DA1474">
      <w:pPr>
        <w:jc w:val="both"/>
        <w:rPr>
          <w:rFonts w:ascii="Times New Roman" w:hAnsi="Times New Roman" w:cs="Times New Roman"/>
          <w:b/>
          <w:bCs/>
        </w:rPr>
      </w:pPr>
    </w:p>
    <w:p w14:paraId="03457093" w14:textId="02F5D9A3" w:rsidR="00B93FFB" w:rsidRPr="00EC078F" w:rsidRDefault="00B93FFB" w:rsidP="00DA1474">
      <w:pPr>
        <w:jc w:val="both"/>
        <w:rPr>
          <w:rFonts w:ascii="Times New Roman" w:hAnsi="Times New Roman" w:cs="Times New Roman"/>
          <w:b/>
          <w:bCs/>
        </w:rPr>
      </w:pPr>
      <w:r w:rsidRPr="00EC078F">
        <w:rPr>
          <w:rFonts w:ascii="Times New Roman" w:hAnsi="Times New Roman" w:cs="Times New Roman"/>
          <w:b/>
          <w:bCs/>
        </w:rPr>
        <w:t>LITERATURE REVIEW</w:t>
      </w:r>
    </w:p>
    <w:p w14:paraId="54225C17" w14:textId="77777777" w:rsidR="008003F7" w:rsidRDefault="00B93FFB" w:rsidP="00EC078F">
      <w:pPr>
        <w:jc w:val="both"/>
        <w:rPr>
          <w:rFonts w:ascii="Times New Roman" w:hAnsi="Times New Roman" w:cs="Times New Roman"/>
        </w:rPr>
      </w:pPr>
      <w:r>
        <w:rPr>
          <w:rFonts w:ascii="Times New Roman" w:hAnsi="Times New Roman" w:cs="Times New Roman"/>
        </w:rPr>
        <w:t xml:space="preserve">This section provides a summary of the research on </w:t>
      </w:r>
      <w:r w:rsidR="00EC078F">
        <w:rPr>
          <w:rFonts w:ascii="Times New Roman" w:hAnsi="Times New Roman" w:cs="Times New Roman"/>
        </w:rPr>
        <w:t>how Capacity Building initiatives by Civil Society Organizations have improved Women’s Political Participation in Nairobi City County. The review is grouped into three broad categories namely; the theoretical review under which the study is based, global, regional and local empiricism, and the conceptual framework which bridges the key variables under study</w:t>
      </w:r>
      <w:r w:rsidR="008003F7">
        <w:rPr>
          <w:rFonts w:ascii="Times New Roman" w:hAnsi="Times New Roman" w:cs="Times New Roman"/>
        </w:rPr>
        <w:t>.</w:t>
      </w:r>
    </w:p>
    <w:p w14:paraId="17DF2646" w14:textId="331E6090" w:rsidR="00EC078F" w:rsidRDefault="00EC078F" w:rsidP="00EC078F">
      <w:pPr>
        <w:jc w:val="both"/>
        <w:rPr>
          <w:rFonts w:ascii="Times New Roman" w:hAnsi="Times New Roman" w:cs="Times New Roman"/>
          <w:b/>
          <w:bCs/>
        </w:rPr>
      </w:pPr>
      <w:r w:rsidRPr="00EC078F">
        <w:rPr>
          <w:rFonts w:ascii="Times New Roman" w:hAnsi="Times New Roman" w:cs="Times New Roman"/>
          <w:b/>
          <w:bCs/>
        </w:rPr>
        <w:t xml:space="preserve">Theoretical </w:t>
      </w:r>
      <w:r w:rsidR="00BB47AA">
        <w:rPr>
          <w:rFonts w:ascii="Times New Roman" w:hAnsi="Times New Roman" w:cs="Times New Roman"/>
          <w:b/>
          <w:bCs/>
        </w:rPr>
        <w:t>Review</w:t>
      </w:r>
    </w:p>
    <w:p w14:paraId="5AA41C45" w14:textId="73DAFA70" w:rsidR="003B286F" w:rsidRPr="00A6765A" w:rsidRDefault="003B286F" w:rsidP="00EC078F">
      <w:pPr>
        <w:jc w:val="both"/>
        <w:rPr>
          <w:rFonts w:ascii="Times New Roman" w:hAnsi="Times New Roman" w:cs="Times New Roman"/>
        </w:rPr>
      </w:pPr>
      <w:r w:rsidRPr="00A6765A">
        <w:rPr>
          <w:rFonts w:ascii="Times New Roman" w:hAnsi="Times New Roman" w:cs="Times New Roman"/>
        </w:rPr>
        <w:t xml:space="preserve">This study was </w:t>
      </w:r>
      <w:r w:rsidR="00A6765A" w:rsidRPr="00A6765A">
        <w:rPr>
          <w:rFonts w:ascii="Times New Roman" w:hAnsi="Times New Roman" w:cs="Times New Roman"/>
        </w:rPr>
        <w:t xml:space="preserve">grounded </w:t>
      </w:r>
      <w:r w:rsidRPr="00A6765A">
        <w:rPr>
          <w:rFonts w:ascii="Times New Roman" w:hAnsi="Times New Roman" w:cs="Times New Roman"/>
        </w:rPr>
        <w:t>on the following theories</w:t>
      </w:r>
      <w:r w:rsidR="00A6765A" w:rsidRPr="00A6765A">
        <w:rPr>
          <w:rFonts w:ascii="Times New Roman" w:hAnsi="Times New Roman" w:cs="Times New Roman"/>
        </w:rPr>
        <w:t>:</w:t>
      </w:r>
    </w:p>
    <w:p w14:paraId="3BEF4661" w14:textId="7E7DF8D5" w:rsidR="00D11188" w:rsidRPr="00EC078F" w:rsidRDefault="00D11188" w:rsidP="00EC078F">
      <w:pPr>
        <w:jc w:val="both"/>
        <w:rPr>
          <w:rFonts w:ascii="Times New Roman" w:hAnsi="Times New Roman" w:cs="Times New Roman"/>
          <w:b/>
          <w:bCs/>
        </w:rPr>
      </w:pPr>
      <w:r w:rsidRPr="00EC078F">
        <w:rPr>
          <w:rFonts w:ascii="Times New Roman" w:hAnsi="Times New Roman" w:cs="Times New Roman"/>
          <w:b/>
          <w:bCs/>
        </w:rPr>
        <w:t>Social Capital Theory</w:t>
      </w:r>
    </w:p>
    <w:p w14:paraId="071BE902" w14:textId="77777777" w:rsidR="00D11188" w:rsidRPr="00EC078F" w:rsidRDefault="00D11188" w:rsidP="00EC078F">
      <w:pPr>
        <w:jc w:val="both"/>
        <w:rPr>
          <w:rFonts w:ascii="Times New Roman" w:hAnsi="Times New Roman" w:cs="Times New Roman"/>
        </w:rPr>
      </w:pPr>
      <w:r w:rsidRPr="00EC078F">
        <w:rPr>
          <w:rFonts w:ascii="Times New Roman" w:hAnsi="Times New Roman" w:cs="Times New Roman"/>
        </w:rPr>
        <w:t xml:space="preserve">Robert Putnam brought the idea of social capital theory into aspect of social networks and community. In the context of Robert Putnam (1993), social capital is those characteristics of the organizations or the groups that enable collective or joint action to occur among the members of a given society. Natures of social organizations such as networks, norms and trust facilitate action and cooperation for mutual benefit. This theory involves relationship that can be formed, both formal and informal, that can add value within an organization. These include </w:t>
      </w:r>
      <w:r w:rsidRPr="00EC078F">
        <w:rPr>
          <w:rFonts w:ascii="Times New Roman" w:hAnsi="Times New Roman" w:cs="Times New Roman"/>
          <w:bCs/>
        </w:rPr>
        <w:t>Bonding Social Capital</w:t>
      </w:r>
      <w:r w:rsidRPr="00EC078F">
        <w:rPr>
          <w:rFonts w:ascii="Times New Roman" w:hAnsi="Times New Roman" w:cs="Times New Roman"/>
        </w:rPr>
        <w:t xml:space="preserve">: It refers to a close working relationship between individuals or groups that call for loyalty </w:t>
      </w:r>
      <w:r w:rsidRPr="00EC078F">
        <w:rPr>
          <w:rFonts w:ascii="Times New Roman" w:hAnsi="Times New Roman" w:cs="Times New Roman"/>
        </w:rPr>
        <w:lastRenderedPageBreak/>
        <w:t xml:space="preserve">and commitment from the two. It may be derived from values, beliefs and experiences that are shared. </w:t>
      </w:r>
      <w:r w:rsidRPr="00EC078F">
        <w:rPr>
          <w:rFonts w:ascii="Times New Roman" w:hAnsi="Times New Roman" w:cs="Times New Roman"/>
          <w:bCs/>
        </w:rPr>
        <w:t>Bridging Social Capital</w:t>
      </w:r>
      <w:r w:rsidRPr="00EC078F">
        <w:rPr>
          <w:rFonts w:ascii="Times New Roman" w:hAnsi="Times New Roman" w:cs="Times New Roman"/>
        </w:rPr>
        <w:t>: This kind of capital points toward those sparse and casual connections that are established when individuals or groups that usually have different values and beliefs come together. These relationships can result in increased diversity and access to new resources in the organization.</w:t>
      </w:r>
    </w:p>
    <w:p w14:paraId="54C695C4" w14:textId="47CD9A44" w:rsidR="00D11188" w:rsidRPr="00EC078F" w:rsidRDefault="00D11188" w:rsidP="00EC078F">
      <w:pPr>
        <w:jc w:val="both"/>
        <w:rPr>
          <w:rFonts w:ascii="Times New Roman" w:hAnsi="Times New Roman" w:cs="Times New Roman"/>
        </w:rPr>
      </w:pPr>
      <w:r w:rsidRPr="00EC078F">
        <w:rPr>
          <w:rFonts w:ascii="Times New Roman" w:hAnsi="Times New Roman" w:cs="Times New Roman"/>
        </w:rPr>
        <w:t>In his book Bowling Alone</w:t>
      </w:r>
      <w:r w:rsidRPr="00EC078F">
        <w:rPr>
          <w:rFonts w:ascii="Times New Roman" w:hAnsi="Times New Roman" w:cs="Times New Roman"/>
          <w:iCs/>
        </w:rPr>
        <w:t>: The Collapse and Revival of American Community</w:t>
      </w:r>
      <w:r w:rsidRPr="00EC078F">
        <w:rPr>
          <w:rFonts w:ascii="Times New Roman" w:hAnsi="Times New Roman" w:cs="Times New Roman"/>
        </w:rPr>
        <w:t xml:space="preserve"> (2000), Putman elaborates how the social capital continues to shrink and its consequences on civic and political engagement. According to Putnam, social capital has potential to enhance the workings of democracy since politics attracts increased attention and enthusiasm when people other than the candidates are interested. Putnam posited that both bonding and bridging social capital complement each other. Therefore, when bonding capital declines, so does the bridging capital which in turn leads to increased ethnic tensions.</w:t>
      </w:r>
    </w:p>
    <w:p w14:paraId="616C6834" w14:textId="77777777" w:rsidR="00D11188" w:rsidRPr="00EC078F" w:rsidRDefault="00D11188" w:rsidP="00EC078F">
      <w:pPr>
        <w:jc w:val="both"/>
        <w:rPr>
          <w:rFonts w:ascii="Times New Roman" w:hAnsi="Times New Roman" w:cs="Times New Roman"/>
        </w:rPr>
      </w:pPr>
      <w:r w:rsidRPr="00EC078F">
        <w:rPr>
          <w:rFonts w:ascii="Times New Roman" w:hAnsi="Times New Roman" w:cs="Times New Roman"/>
        </w:rPr>
        <w:t>One of the arguments critics advance against this approach is confusion of concepts and operations. The critics say that Putnam’s theory lacks adequate and clear definitions of social capital thus the measurement approaches have made it difficult to quantify social capital putting more hindrances to empirical uses. Critiques have also said that Putnam founded his theory in the conditions of the U.S in the 90’s and therefore it may not be usefully applied in other areas of the world (Narayan &amp; Cassidy, 2001).</w:t>
      </w:r>
    </w:p>
    <w:p w14:paraId="16E6713A" w14:textId="77777777" w:rsidR="00D11188" w:rsidRPr="00EC078F" w:rsidRDefault="00D11188" w:rsidP="00EC078F">
      <w:pPr>
        <w:jc w:val="both"/>
        <w:rPr>
          <w:rFonts w:ascii="Times New Roman" w:hAnsi="Times New Roman" w:cs="Times New Roman"/>
        </w:rPr>
      </w:pPr>
      <w:r w:rsidRPr="00EC078F">
        <w:rPr>
          <w:rFonts w:ascii="Times New Roman" w:hAnsi="Times New Roman" w:cs="Times New Roman"/>
        </w:rPr>
        <w:t xml:space="preserve">A particular weakness in applying Putnam’s theory of social capital is that it </w:t>
      </w:r>
      <w:r w:rsidRPr="00EC078F">
        <w:rPr>
          <w:rFonts w:ascii="Times New Roman" w:hAnsi="Times New Roman" w:cs="Times New Roman"/>
          <w:shd w:val="clear" w:color="auto" w:fill="FFFFFF"/>
        </w:rPr>
        <w:t>overlooks power dynamics and structural inequalities within society</w:t>
      </w:r>
      <w:r w:rsidRPr="00EC078F">
        <w:rPr>
          <w:rFonts w:ascii="Times New Roman" w:hAnsi="Times New Roman" w:cs="Times New Roman"/>
        </w:rPr>
        <w:t xml:space="preserve">. According to the critics in the current society, social capital can be a disadvantage if marginalized groups find it hard to get access and participate. The concept of social capital at the community level on which the theory focuses can also overlook </w:t>
      </w:r>
      <w:r w:rsidRPr="00EC078F">
        <w:rPr>
          <w:rFonts w:ascii="Times New Roman" w:hAnsi="Times New Roman" w:cs="Times New Roman"/>
          <w:shd w:val="clear" w:color="auto" w:fill="FFFFFF"/>
        </w:rPr>
        <w:t>may neglect the disparities and power imbalances that exist within and between communities</w:t>
      </w:r>
      <w:r w:rsidRPr="00EC078F">
        <w:rPr>
          <w:rFonts w:ascii="Times New Roman" w:hAnsi="Times New Roman" w:cs="Times New Roman"/>
        </w:rPr>
        <w:t xml:space="preserve">. There can be a </w:t>
      </w:r>
      <w:r w:rsidRPr="00EC078F">
        <w:rPr>
          <w:rFonts w:ascii="Times New Roman" w:hAnsi="Times New Roman" w:cs="Times New Roman"/>
          <w:shd w:val="clear" w:color="auto" w:fill="FFFFFF"/>
        </w:rPr>
        <w:t xml:space="preserve">tendency to universalize findings across populations. </w:t>
      </w:r>
      <w:r w:rsidRPr="00EC078F">
        <w:rPr>
          <w:rFonts w:ascii="Times New Roman" w:hAnsi="Times New Roman" w:cs="Times New Roman"/>
        </w:rPr>
        <w:t>In this concept, the theory has been used to explain how CSO capacity building influences women political engagement.</w:t>
      </w:r>
    </w:p>
    <w:p w14:paraId="21928BD9" w14:textId="77777777" w:rsidR="00D11188" w:rsidRPr="00EC078F" w:rsidRDefault="00D11188" w:rsidP="00EC078F">
      <w:pPr>
        <w:jc w:val="both"/>
        <w:rPr>
          <w:rFonts w:ascii="Times New Roman" w:hAnsi="Times New Roman" w:cs="Times New Roman"/>
        </w:rPr>
      </w:pPr>
      <w:r w:rsidRPr="00EC078F">
        <w:rPr>
          <w:rFonts w:ascii="Times New Roman" w:hAnsi="Times New Roman" w:cs="Times New Roman"/>
        </w:rPr>
        <w:t>This theory provides a framework for understanding how networks, norms, and trust among individuals or groups contribute to mutual action and cooperation. The concepts of bonding and bridging social capital are particularly relevant in examining how civil society organizations (CSOs) foster women's political participation. For instance, bonding social capital rooted in strong, close relationships enhances trust and loyalty among women’s groups, helping them mobilize and support one another in political initiatives. Bridging social capital, on the other hand, expands access to diverse networks and resources, which is essential for addressing structural barriers women face in politics. Despite criticisms of conceptual ambiguity and context specificity, the theory effectively explains how CSOs use social capital to strengthen advocacy, foster inclusivity, and enable women to engage in political systems.</w:t>
      </w:r>
    </w:p>
    <w:p w14:paraId="320EF136" w14:textId="28D2F52F" w:rsidR="00B93FFB" w:rsidRPr="00EC078F" w:rsidRDefault="00B93FFB" w:rsidP="00EC078F">
      <w:pPr>
        <w:jc w:val="both"/>
        <w:rPr>
          <w:rFonts w:ascii="Times New Roman" w:hAnsi="Times New Roman" w:cs="Times New Roman"/>
          <w:b/>
          <w:bCs/>
        </w:rPr>
      </w:pPr>
      <w:r w:rsidRPr="00EC078F">
        <w:rPr>
          <w:rFonts w:ascii="Times New Roman" w:hAnsi="Times New Roman" w:cs="Times New Roman"/>
          <w:b/>
          <w:bCs/>
        </w:rPr>
        <w:t>Empowerment Theory</w:t>
      </w:r>
    </w:p>
    <w:p w14:paraId="02486762" w14:textId="77777777" w:rsidR="00B93FFB" w:rsidRPr="00EC078F" w:rsidRDefault="00B93FFB" w:rsidP="00EC078F">
      <w:pPr>
        <w:jc w:val="both"/>
        <w:rPr>
          <w:rFonts w:ascii="Times New Roman" w:hAnsi="Times New Roman" w:cs="Times New Roman"/>
        </w:rPr>
      </w:pPr>
      <w:r w:rsidRPr="00EC078F">
        <w:rPr>
          <w:rFonts w:ascii="Times New Roman" w:hAnsi="Times New Roman" w:cs="Times New Roman"/>
        </w:rPr>
        <w:lastRenderedPageBreak/>
        <w:t>Empowerment Theory is mainly linked to the works of Naila Kabeer (1999) and Paulo Freire (1970). The theory explores how individuals and marginalized groups gain the ability to make strategic life choices by increasing their access to resources, agency, and achievements (Kabeer, 1999).It points out that people’s ability to change their lives and surroundings is aided by education, social networks and institutional support. According to Freire (1970), becoming empowered means understanding the structures that keep people oppressed and deciding to take action to change these circumstances. Empowerment is seen as a process and an outcome, assisting people, especially women, to get past obstacles like discrimination, poverty and not being able to take part in political matters (Sen, 1999).</w:t>
      </w:r>
    </w:p>
    <w:p w14:paraId="2EB2C802" w14:textId="77777777" w:rsidR="00B93FFB" w:rsidRPr="00EC078F" w:rsidRDefault="00B93FFB" w:rsidP="00EC078F">
      <w:pPr>
        <w:jc w:val="both"/>
        <w:rPr>
          <w:rFonts w:ascii="Times New Roman" w:hAnsi="Times New Roman" w:cs="Times New Roman"/>
        </w:rPr>
      </w:pPr>
      <w:r w:rsidRPr="00EC078F">
        <w:rPr>
          <w:rFonts w:ascii="Times New Roman" w:hAnsi="Times New Roman" w:cs="Times New Roman"/>
        </w:rPr>
        <w:t>Empowerment Theory is believed by many to have several weaknesses. Critics point out that empowerment is not clear and is tough to measure which results in difficulties in using it in policy and development (Cornwall, 2016). Other critics also state that these initiatives concentrate on helping individuals instead of addressing main systemic injustices (</w:t>
      </w:r>
      <w:proofErr w:type="spellStart"/>
      <w:r w:rsidRPr="00EC078F">
        <w:rPr>
          <w:rFonts w:ascii="Times New Roman" w:hAnsi="Times New Roman" w:cs="Times New Roman"/>
        </w:rPr>
        <w:t>Batliwala</w:t>
      </w:r>
      <w:proofErr w:type="spellEnd"/>
      <w:r w:rsidRPr="00EC078F">
        <w:rPr>
          <w:rFonts w:ascii="Times New Roman" w:hAnsi="Times New Roman" w:cs="Times New Roman"/>
        </w:rPr>
        <w:t xml:space="preserve">, 2007). In addition, using a Western approach to empowerment may not pay enough attention to what life is like in the local culture, sometimes forcing foreign ideas that do not suit the communities in question (Mohanty, 1988). There are also doubts among critics as to whether these initiatives truly change the balance of power or just allow marginalized people to be part of systems that </w:t>
      </w:r>
      <w:proofErr w:type="gramStart"/>
      <w:r w:rsidRPr="00EC078F">
        <w:rPr>
          <w:rFonts w:ascii="Times New Roman" w:hAnsi="Times New Roman" w:cs="Times New Roman"/>
        </w:rPr>
        <w:t>still keep</w:t>
      </w:r>
      <w:proofErr w:type="gramEnd"/>
      <w:r w:rsidRPr="00EC078F">
        <w:rPr>
          <w:rFonts w:ascii="Times New Roman" w:hAnsi="Times New Roman" w:cs="Times New Roman"/>
        </w:rPr>
        <w:t xml:space="preserve"> them oppressed (Parpart, Rai &amp; Staudt, 2002). </w:t>
      </w:r>
    </w:p>
    <w:p w14:paraId="00F24862" w14:textId="5B5BA35E" w:rsidR="009E1577" w:rsidRDefault="009E1577" w:rsidP="00EC078F">
      <w:pPr>
        <w:jc w:val="both"/>
        <w:rPr>
          <w:rFonts w:ascii="Times New Roman" w:hAnsi="Times New Roman" w:cs="Times New Roman"/>
        </w:rPr>
      </w:pPr>
      <w:r w:rsidRPr="009E1577">
        <w:rPr>
          <w:rFonts w:ascii="Times New Roman" w:hAnsi="Times New Roman" w:cs="Times New Roman"/>
        </w:rPr>
        <w:t xml:space="preserve">Capacity building by </w:t>
      </w:r>
      <w:r>
        <w:rPr>
          <w:rFonts w:ascii="Times New Roman" w:hAnsi="Times New Roman" w:cs="Times New Roman"/>
        </w:rPr>
        <w:t>Civil Society Organizations (</w:t>
      </w:r>
      <w:r w:rsidRPr="009E1577">
        <w:rPr>
          <w:rFonts w:ascii="Times New Roman" w:hAnsi="Times New Roman" w:cs="Times New Roman"/>
        </w:rPr>
        <w:t>CSOs</w:t>
      </w:r>
      <w:r>
        <w:rPr>
          <w:rFonts w:ascii="Times New Roman" w:hAnsi="Times New Roman" w:cs="Times New Roman"/>
        </w:rPr>
        <w:t>)</w:t>
      </w:r>
      <w:r w:rsidRPr="009E1577">
        <w:rPr>
          <w:rFonts w:ascii="Times New Roman" w:hAnsi="Times New Roman" w:cs="Times New Roman"/>
        </w:rPr>
        <w:t xml:space="preserve"> aligns with Empowerment Theory by strengthening women’s skills, knowledge, and confidence </w:t>
      </w:r>
      <w:proofErr w:type="gramStart"/>
      <w:r w:rsidRPr="009E1577">
        <w:rPr>
          <w:rFonts w:ascii="Times New Roman" w:hAnsi="Times New Roman" w:cs="Times New Roman"/>
        </w:rPr>
        <w:t>to participate</w:t>
      </w:r>
      <w:proofErr w:type="gramEnd"/>
      <w:r w:rsidRPr="009E1577">
        <w:rPr>
          <w:rFonts w:ascii="Times New Roman" w:hAnsi="Times New Roman" w:cs="Times New Roman"/>
        </w:rPr>
        <w:t xml:space="preserve"> in political processes. The theory explains this as an empowerment process where individuals gain control over decisions affecting their lives. Through training, civic education, and networking, CSOs enhance women’s individual and collective capacity. This ultimately leads to increased and more meaningful political participation.</w:t>
      </w:r>
    </w:p>
    <w:p w14:paraId="03866F34" w14:textId="08558ACE" w:rsidR="00EC078F" w:rsidRPr="009E1577" w:rsidRDefault="00EC078F" w:rsidP="00EC078F">
      <w:pPr>
        <w:jc w:val="both"/>
        <w:rPr>
          <w:rFonts w:ascii="Times New Roman" w:hAnsi="Times New Roman" w:cs="Times New Roman"/>
          <w:b/>
          <w:bCs/>
        </w:rPr>
      </w:pPr>
      <w:r w:rsidRPr="009E1577">
        <w:rPr>
          <w:rFonts w:ascii="Times New Roman" w:hAnsi="Times New Roman" w:cs="Times New Roman"/>
          <w:b/>
          <w:bCs/>
        </w:rPr>
        <w:t>Empirical Review</w:t>
      </w:r>
    </w:p>
    <w:p w14:paraId="688581E0" w14:textId="659724F6" w:rsidR="000663E0" w:rsidRDefault="00EC078F" w:rsidP="00480C89">
      <w:pPr>
        <w:jc w:val="both"/>
        <w:rPr>
          <w:rFonts w:ascii="Times New Roman" w:hAnsi="Times New Roman" w:cs="Times New Roman"/>
          <w:b/>
          <w:bCs/>
        </w:rPr>
      </w:pPr>
      <w:r w:rsidRPr="009E1577">
        <w:rPr>
          <w:rFonts w:ascii="Times New Roman" w:hAnsi="Times New Roman" w:cs="Times New Roman"/>
          <w:b/>
          <w:bCs/>
        </w:rPr>
        <w:t>Capacity Building and Women’s Political Participation</w:t>
      </w:r>
    </w:p>
    <w:p w14:paraId="71087840" w14:textId="77777777" w:rsidR="00F2145D" w:rsidRPr="00F2145D" w:rsidRDefault="00F2145D" w:rsidP="00F2145D">
      <w:pPr>
        <w:jc w:val="both"/>
        <w:rPr>
          <w:rFonts w:ascii="Times New Roman" w:hAnsi="Times New Roman" w:cs="Times New Roman"/>
        </w:rPr>
      </w:pPr>
      <w:r w:rsidRPr="00F2145D">
        <w:rPr>
          <w:rFonts w:ascii="Times New Roman" w:hAnsi="Times New Roman" w:cs="Times New Roman"/>
        </w:rPr>
        <w:t xml:space="preserve">Civil society organizations (CSOs) are major supporters of women’s political representation around the world (Norris &amp; Lovenduski, 1995; World Bank, 2024). CSOs provide trainings, advocacy and act as support structures that help women to participate in politics as well as navigating any challenges that they may encounter. Carson (2022) describes how, in the United States, organizations as Ready to Run and </w:t>
      </w:r>
      <w:proofErr w:type="spellStart"/>
      <w:r w:rsidRPr="00F2145D">
        <w:rPr>
          <w:rFonts w:ascii="Times New Roman" w:hAnsi="Times New Roman" w:cs="Times New Roman"/>
        </w:rPr>
        <w:t>VoteRunLead</w:t>
      </w:r>
      <w:proofErr w:type="spellEnd"/>
      <w:r w:rsidRPr="00F2145D">
        <w:rPr>
          <w:rFonts w:ascii="Times New Roman" w:hAnsi="Times New Roman" w:cs="Times New Roman"/>
        </w:rPr>
        <w:t>, prepare women for the political office, by providing them with crucial skills such as campaign planning and public speaking. The National Democratic Institute (NDI) has also organized training sessions in countries such as Afghanistan where it has helped women understand electoral processes, understand how to launch campaigns, and communicate their messages effectively which has resulted in increased female candidacy and voter engagement (NDI, 2021).</w:t>
      </w:r>
    </w:p>
    <w:p w14:paraId="6CFA1D2B" w14:textId="77777777" w:rsidR="00F2145D" w:rsidRPr="00F2145D" w:rsidRDefault="00F2145D" w:rsidP="00F2145D">
      <w:pPr>
        <w:jc w:val="both"/>
        <w:rPr>
          <w:rFonts w:ascii="Times New Roman" w:hAnsi="Times New Roman" w:cs="Times New Roman"/>
        </w:rPr>
      </w:pPr>
      <w:r w:rsidRPr="00F2145D">
        <w:rPr>
          <w:rFonts w:ascii="Times New Roman" w:hAnsi="Times New Roman" w:cs="Times New Roman"/>
        </w:rPr>
        <w:lastRenderedPageBreak/>
        <w:t xml:space="preserve">CSOs have also played a great role in changing the societal attitude towards women’s political engagement .For instance, in Nigeria, the Women Advocates Research and Documentation Centre (WARDC) has over the years put pressure on policy makers to adopt policies that protect female candidates from violence and harassment. Such efforts have paved way in creating a safer and favorable environment for women to engage in politics (Olatunji &amp; </w:t>
      </w:r>
      <w:proofErr w:type="spellStart"/>
      <w:r w:rsidRPr="00F2145D">
        <w:rPr>
          <w:rFonts w:ascii="Times New Roman" w:hAnsi="Times New Roman" w:cs="Times New Roman"/>
        </w:rPr>
        <w:t>Ojakorotu</w:t>
      </w:r>
      <w:proofErr w:type="spellEnd"/>
      <w:r w:rsidRPr="00F2145D">
        <w:rPr>
          <w:rFonts w:ascii="Times New Roman" w:hAnsi="Times New Roman" w:cs="Times New Roman"/>
        </w:rPr>
        <w:t>, 2022).  These initiatives aim at combating gender violence and discrimination ensuring women get an equal opportunity to contest in elections.</w:t>
      </w:r>
    </w:p>
    <w:p w14:paraId="523DE671" w14:textId="1176B299" w:rsidR="00F2145D" w:rsidRPr="00F2145D" w:rsidRDefault="00F2145D" w:rsidP="00F2145D">
      <w:pPr>
        <w:jc w:val="both"/>
        <w:rPr>
          <w:rFonts w:ascii="Times New Roman" w:hAnsi="Times New Roman" w:cs="Times New Roman"/>
        </w:rPr>
      </w:pPr>
      <w:r w:rsidRPr="00F2145D">
        <w:rPr>
          <w:rFonts w:ascii="Times New Roman" w:hAnsi="Times New Roman" w:cs="Times New Roman"/>
        </w:rPr>
        <w:t xml:space="preserve">In Kenya, CSO’s have also developed effective programs to improve women’s leadership and political engagement. The Women’s Empowerment Link (WEL) offers leadership training that equips women with skills </w:t>
      </w:r>
      <w:r w:rsidR="00F5530B" w:rsidRPr="00F2145D">
        <w:rPr>
          <w:rFonts w:ascii="Times New Roman" w:hAnsi="Times New Roman" w:cs="Times New Roman"/>
        </w:rPr>
        <w:t>to</w:t>
      </w:r>
      <w:r w:rsidRPr="00F2145D">
        <w:rPr>
          <w:rFonts w:ascii="Times New Roman" w:hAnsi="Times New Roman" w:cs="Times New Roman"/>
        </w:rPr>
        <w:t xml:space="preserve"> engage in political activities as well as championing for gender sensitive legislation once voted into office (Nzomo 2021). Women are also informed on how they can conduct efficient electoral campaigns in terms of sourcing for votes, how they can access finances and how they can navigate various electoral laws (Mukhwana &amp; Mukhwana, 2023).Women are also trained on the function of parliamentarians, how to prepare bills and the operations of political parties (Wainaina et al., 2023). Women possessing the knowledge of the political system have a better chance at making important choices in their political careers. This training ensures that women are not only prepared to contest for political seats but are also able to continue to defend and secure those positions once won.</w:t>
      </w:r>
    </w:p>
    <w:p w14:paraId="2BBE6594" w14:textId="6609958D" w:rsidR="00F2145D" w:rsidRPr="00F2145D" w:rsidRDefault="00F2145D" w:rsidP="00F2145D">
      <w:pPr>
        <w:jc w:val="both"/>
        <w:rPr>
          <w:rFonts w:ascii="Times New Roman" w:hAnsi="Times New Roman" w:cs="Times New Roman"/>
        </w:rPr>
      </w:pPr>
      <w:r w:rsidRPr="00F2145D">
        <w:rPr>
          <w:rFonts w:ascii="Times New Roman" w:hAnsi="Times New Roman" w:cs="Times New Roman"/>
        </w:rPr>
        <w:t xml:space="preserve">Ugwu et al (2023), note that political mentorship initiatives are fundamental in supporting women in the political processes. FIDA-Kenya offers mentorship to its female candidates within the political scenes. According to </w:t>
      </w:r>
      <w:proofErr w:type="spellStart"/>
      <w:r w:rsidR="00AE13CC" w:rsidRPr="00AE13CC">
        <w:rPr>
          <w:rFonts w:ascii="Times New Roman" w:hAnsi="Times New Roman" w:cs="Times New Roman"/>
        </w:rPr>
        <w:t>Sanbonmatsu</w:t>
      </w:r>
      <w:proofErr w:type="spellEnd"/>
      <w:r w:rsidR="00AE13CC" w:rsidRPr="00AE13CC">
        <w:rPr>
          <w:rFonts w:ascii="Times New Roman" w:hAnsi="Times New Roman" w:cs="Times New Roman"/>
        </w:rPr>
        <w:t xml:space="preserve"> and Dittmar (2020), </w:t>
      </w:r>
      <w:r w:rsidRPr="00F2145D">
        <w:rPr>
          <w:rFonts w:ascii="Times New Roman" w:hAnsi="Times New Roman" w:cs="Times New Roman"/>
        </w:rPr>
        <w:t xml:space="preserve">women attending mentorship programs demonstrate greater confidence and better campaign knowledge than those without such interventions. Mentorship provides an opportunity for women to get individual guidance from mentors on how to build their political vision, strategies and their image. This gives the women candidates the confidence they need </w:t>
      </w:r>
      <w:r w:rsidR="00F5530B" w:rsidRPr="00F2145D">
        <w:rPr>
          <w:rFonts w:ascii="Times New Roman" w:hAnsi="Times New Roman" w:cs="Times New Roman"/>
        </w:rPr>
        <w:t>to</w:t>
      </w:r>
      <w:r w:rsidRPr="00F2145D">
        <w:rPr>
          <w:rFonts w:ascii="Times New Roman" w:hAnsi="Times New Roman" w:cs="Times New Roman"/>
        </w:rPr>
        <w:t xml:space="preserve"> excel in the political field. Mentors acquaint women with relevant political contacts including fellow politicians and the leaders of the respective political parties. Networking is a strong technique that can be implemented to promote politics careers among women. Gichuhi and Kinyua (2023) note that “soft skills” attained during capacity-building initiatives are essential for understanding complex legislative and political systems</w:t>
      </w:r>
    </w:p>
    <w:p w14:paraId="1BA910E6" w14:textId="0A7EA28A" w:rsidR="001804A4" w:rsidRPr="0041144B" w:rsidRDefault="00F2145D" w:rsidP="00EC078F">
      <w:pPr>
        <w:jc w:val="both"/>
        <w:rPr>
          <w:rFonts w:ascii="Times New Roman" w:hAnsi="Times New Roman" w:cs="Times New Roman"/>
        </w:rPr>
      </w:pPr>
      <w:r w:rsidRPr="00F2145D">
        <w:rPr>
          <w:rFonts w:ascii="Times New Roman" w:hAnsi="Times New Roman" w:cs="Times New Roman"/>
        </w:rPr>
        <w:t xml:space="preserve">The Center for Rights Education and Awareness (CREAW) offers civic education and communication training to equip women to better articulate their needs and champion their rights in political spaces (CREAW,2023). Through community mobilization, debates, and forums, CREAW also works to build public awareness and support for women's political participation. According to </w:t>
      </w:r>
      <w:proofErr w:type="spellStart"/>
      <w:r w:rsidRPr="00F2145D">
        <w:rPr>
          <w:rFonts w:ascii="Times New Roman" w:hAnsi="Times New Roman" w:cs="Times New Roman"/>
        </w:rPr>
        <w:t>Rusfiana</w:t>
      </w:r>
      <w:proofErr w:type="spellEnd"/>
      <w:r w:rsidRPr="00F2145D">
        <w:rPr>
          <w:rFonts w:ascii="Times New Roman" w:hAnsi="Times New Roman" w:cs="Times New Roman"/>
        </w:rPr>
        <w:t xml:space="preserve"> and Kurniasih (2024), Civil Society Organizations’ purpose is to uphold human rights and social justice. The Kenya National Commission on Human Rights (KNCHR) conducts </w:t>
      </w:r>
      <w:proofErr w:type="spellStart"/>
      <w:r w:rsidRPr="00F2145D">
        <w:rPr>
          <w:rFonts w:ascii="Times New Roman" w:hAnsi="Times New Roman" w:cs="Times New Roman"/>
        </w:rPr>
        <w:t>Programmes</w:t>
      </w:r>
      <w:proofErr w:type="spellEnd"/>
      <w:r w:rsidRPr="00F2145D">
        <w:rPr>
          <w:rFonts w:ascii="Times New Roman" w:hAnsi="Times New Roman" w:cs="Times New Roman"/>
        </w:rPr>
        <w:t xml:space="preserve"> that empower women through informing them on their constitutional right to vote and political participation.</w:t>
      </w:r>
    </w:p>
    <w:p w14:paraId="3C0E9146" w14:textId="77777777" w:rsidR="001804A4" w:rsidRDefault="008C72A0" w:rsidP="001804A4">
      <w:pPr>
        <w:jc w:val="both"/>
        <w:rPr>
          <w:rFonts w:ascii="Times New Roman" w:hAnsi="Times New Roman" w:cs="Times New Roman"/>
          <w:b/>
          <w:bCs/>
        </w:rPr>
      </w:pPr>
      <w:r>
        <w:rPr>
          <w:rFonts w:ascii="Times New Roman" w:hAnsi="Times New Roman" w:cs="Times New Roman"/>
          <w:b/>
          <w:bCs/>
        </w:rPr>
        <w:t>Conceptual Framework</w:t>
      </w:r>
    </w:p>
    <w:p w14:paraId="1D7F5A43" w14:textId="068B4A99" w:rsidR="00011BDA" w:rsidRPr="002D7069" w:rsidRDefault="00011BDA" w:rsidP="001804A4">
      <w:pPr>
        <w:jc w:val="both"/>
        <w:rPr>
          <w:rFonts w:ascii="Times New Roman" w:hAnsi="Times New Roman" w:cs="Times New Roman"/>
        </w:rPr>
      </w:pPr>
      <w:r w:rsidRPr="002D7069">
        <w:rPr>
          <w:rFonts w:ascii="Times New Roman" w:hAnsi="Times New Roman" w:cs="Times New Roman"/>
        </w:rPr>
        <w:lastRenderedPageBreak/>
        <w:t>A conceptual framework provides diagrammatic representation which illustrates the relationship between Capacity Building ( Independent Variable)  and Women’s Political Participation ( Dependent Variable) in Nairobi City County. Leadership</w:t>
      </w:r>
      <w:r w:rsidR="005B450A">
        <w:rPr>
          <w:rFonts w:ascii="Times New Roman" w:hAnsi="Times New Roman" w:cs="Times New Roman"/>
        </w:rPr>
        <w:t xml:space="preserve"> development programs</w:t>
      </w:r>
      <w:r w:rsidRPr="002D7069">
        <w:rPr>
          <w:rFonts w:ascii="Times New Roman" w:hAnsi="Times New Roman" w:cs="Times New Roman"/>
        </w:rPr>
        <w:t xml:space="preserve">, Mentorship </w:t>
      </w:r>
      <w:r w:rsidR="005B450A">
        <w:rPr>
          <w:rFonts w:ascii="Times New Roman" w:hAnsi="Times New Roman" w:cs="Times New Roman"/>
        </w:rPr>
        <w:t>programs and Legislative knowledge acquisition</w:t>
      </w:r>
      <w:r w:rsidRPr="002D7069">
        <w:rPr>
          <w:rFonts w:ascii="Times New Roman" w:hAnsi="Times New Roman" w:cs="Times New Roman"/>
        </w:rPr>
        <w:t xml:space="preserve"> are intended to affect Women’s Political P</w:t>
      </w:r>
      <w:r w:rsidR="002D7069" w:rsidRPr="002D7069">
        <w:rPr>
          <w:rFonts w:ascii="Times New Roman" w:hAnsi="Times New Roman" w:cs="Times New Roman"/>
        </w:rPr>
        <w:t>a</w:t>
      </w:r>
      <w:r w:rsidRPr="002D7069">
        <w:rPr>
          <w:rFonts w:ascii="Times New Roman" w:hAnsi="Times New Roman" w:cs="Times New Roman"/>
        </w:rPr>
        <w:t xml:space="preserve">rticipation </w:t>
      </w:r>
      <w:r w:rsidR="002D7069" w:rsidRPr="002D7069">
        <w:rPr>
          <w:rFonts w:ascii="Times New Roman" w:hAnsi="Times New Roman" w:cs="Times New Roman"/>
        </w:rPr>
        <w:t>through</w:t>
      </w:r>
      <w:r w:rsidR="005B450A">
        <w:rPr>
          <w:rFonts w:ascii="Times New Roman" w:hAnsi="Times New Roman" w:cs="Times New Roman"/>
        </w:rPr>
        <w:t xml:space="preserve"> level of participation in political decision making processes</w:t>
      </w:r>
      <w:r w:rsidR="002D7069" w:rsidRPr="002D7069">
        <w:rPr>
          <w:rFonts w:ascii="Times New Roman" w:hAnsi="Times New Roman" w:cs="Times New Roman"/>
        </w:rPr>
        <w:t xml:space="preserve"> (such as voting and contesting elections</w:t>
      </w:r>
      <w:r w:rsidR="005B450A">
        <w:rPr>
          <w:rFonts w:ascii="Times New Roman" w:hAnsi="Times New Roman" w:cs="Times New Roman"/>
        </w:rPr>
        <w:t xml:space="preserve">, holding elective or appointive positions </w:t>
      </w:r>
      <w:r w:rsidR="00480C89">
        <w:rPr>
          <w:rFonts w:ascii="Times New Roman" w:hAnsi="Times New Roman" w:cs="Times New Roman"/>
        </w:rPr>
        <w:t xml:space="preserve"> and </w:t>
      </w:r>
      <w:r w:rsidR="00480C89" w:rsidRPr="002D7069">
        <w:rPr>
          <w:rFonts w:ascii="Times New Roman" w:hAnsi="Times New Roman" w:cs="Times New Roman"/>
        </w:rPr>
        <w:t>participating in policy-making and governance processes</w:t>
      </w:r>
      <w:r w:rsidR="002D7069" w:rsidRPr="002D7069">
        <w:rPr>
          <w:rFonts w:ascii="Times New Roman" w:hAnsi="Times New Roman" w:cs="Times New Roman"/>
        </w:rPr>
        <w:t>)</w:t>
      </w:r>
      <w:r w:rsidR="00480C89">
        <w:rPr>
          <w:rFonts w:ascii="Times New Roman" w:hAnsi="Times New Roman" w:cs="Times New Roman"/>
        </w:rPr>
        <w:t xml:space="preserve"> and ease of participation (  such as n</w:t>
      </w:r>
      <w:r w:rsidR="00480C89" w:rsidRPr="00480C89">
        <w:rPr>
          <w:rFonts w:ascii="Times New Roman" w:hAnsi="Times New Roman" w:cs="Times New Roman"/>
        </w:rPr>
        <w:t>umber of barriers reported (</w:t>
      </w:r>
      <w:r w:rsidR="00480C89">
        <w:rPr>
          <w:rFonts w:ascii="Times New Roman" w:hAnsi="Times New Roman" w:cs="Times New Roman"/>
        </w:rPr>
        <w:t xml:space="preserve">in terms of </w:t>
      </w:r>
      <w:proofErr w:type="spellStart"/>
      <w:r w:rsidR="00480C89">
        <w:rPr>
          <w:rFonts w:ascii="Times New Roman" w:hAnsi="Times New Roman" w:cs="Times New Roman"/>
        </w:rPr>
        <w:t>i.e</w:t>
      </w:r>
      <w:proofErr w:type="spellEnd"/>
      <w:r w:rsidR="00480C89">
        <w:rPr>
          <w:rFonts w:ascii="Times New Roman" w:hAnsi="Times New Roman" w:cs="Times New Roman"/>
        </w:rPr>
        <w:t xml:space="preserve"> .</w:t>
      </w:r>
      <w:r w:rsidR="00480C89" w:rsidRPr="00480C89">
        <w:rPr>
          <w:rFonts w:ascii="Times New Roman" w:hAnsi="Times New Roman" w:cs="Times New Roman"/>
        </w:rPr>
        <w:t>cost, discrimination, time constraints</w:t>
      </w:r>
      <w:r w:rsidR="00480C89">
        <w:rPr>
          <w:rFonts w:ascii="Times New Roman" w:hAnsi="Times New Roman" w:cs="Times New Roman"/>
        </w:rPr>
        <w:t xml:space="preserve"> </w:t>
      </w:r>
      <w:proofErr w:type="spellStart"/>
      <w:r w:rsidR="00480C89">
        <w:rPr>
          <w:rFonts w:ascii="Times New Roman" w:hAnsi="Times New Roman" w:cs="Times New Roman"/>
        </w:rPr>
        <w:t>etc</w:t>
      </w:r>
      <w:proofErr w:type="spellEnd"/>
      <w:r w:rsidR="00480C89">
        <w:rPr>
          <w:rFonts w:ascii="Times New Roman" w:hAnsi="Times New Roman" w:cs="Times New Roman"/>
        </w:rPr>
        <w:t>)</w:t>
      </w:r>
      <w:r w:rsidR="00C43173">
        <w:rPr>
          <w:rFonts w:ascii="Times New Roman" w:hAnsi="Times New Roman" w:cs="Times New Roman"/>
        </w:rPr>
        <w:t>.</w:t>
      </w:r>
      <w:r w:rsidR="00C43173" w:rsidRPr="00C43173">
        <w:rPr>
          <w:rFonts w:ascii="Times New Roman" w:eastAsia="Calibri" w:hAnsi="Times New Roman" w:cs="Calibri"/>
          <w:kern w:val="0"/>
          <w:szCs w:val="22"/>
          <w14:ligatures w14:val="none"/>
        </w:rPr>
        <w:t xml:space="preserve"> </w:t>
      </w:r>
      <w:r w:rsidR="00C43173" w:rsidRPr="00C43173">
        <w:rPr>
          <w:rFonts w:ascii="Times New Roman" w:hAnsi="Times New Roman" w:cs="Times New Roman"/>
        </w:rPr>
        <w:t>It serves as a foundation for understanding and interpreting the phenomena under study, helping researchers to outline their hypotheses and design their methodology (Miles</w:t>
      </w:r>
      <w:r w:rsidR="0011301C">
        <w:rPr>
          <w:rFonts w:ascii="Times New Roman" w:hAnsi="Times New Roman" w:cs="Times New Roman"/>
        </w:rPr>
        <w:t xml:space="preserve"> </w:t>
      </w:r>
      <w:r w:rsidR="0011301C" w:rsidRPr="0011301C">
        <w:rPr>
          <w:rFonts w:ascii="Times New Roman" w:hAnsi="Times New Roman" w:cs="Times New Roman"/>
          <w:i/>
          <w:iCs/>
        </w:rPr>
        <w:t>et al</w:t>
      </w:r>
      <w:r w:rsidR="0011301C">
        <w:rPr>
          <w:rFonts w:ascii="Times New Roman" w:hAnsi="Times New Roman" w:cs="Times New Roman"/>
        </w:rPr>
        <w:t>.,2019</w:t>
      </w:r>
      <w:r w:rsidR="00C43173" w:rsidRPr="00C43173">
        <w:rPr>
          <w:rFonts w:ascii="Times New Roman" w:hAnsi="Times New Roman" w:cs="Times New Roman"/>
        </w:rPr>
        <w:t>).</w:t>
      </w:r>
    </w:p>
    <w:p w14:paraId="7D862470" w14:textId="77777777" w:rsidR="001804A4" w:rsidRDefault="001804A4" w:rsidP="001804A4">
      <w:pPr>
        <w:jc w:val="both"/>
        <w:rPr>
          <w:rFonts w:ascii="Times New Roman" w:hAnsi="Times New Roman" w:cs="Times New Roman"/>
          <w:b/>
          <w:bCs/>
        </w:rPr>
      </w:pPr>
    </w:p>
    <w:p w14:paraId="349916B5" w14:textId="6894F940" w:rsidR="001804A4" w:rsidRDefault="001804A4" w:rsidP="001804A4">
      <w:pPr>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4D4CD155" wp14:editId="7DBD41F9">
                <wp:simplePos x="0" y="0"/>
                <wp:positionH relativeFrom="column">
                  <wp:posOffset>-285750</wp:posOffset>
                </wp:positionH>
                <wp:positionV relativeFrom="paragraph">
                  <wp:posOffset>311784</wp:posOffset>
                </wp:positionV>
                <wp:extent cx="2171700" cy="1362075"/>
                <wp:effectExtent l="0" t="0" r="19050" b="28575"/>
                <wp:wrapNone/>
                <wp:docPr id="1344217062" name="Rectangle 3"/>
                <wp:cNvGraphicFramePr/>
                <a:graphic xmlns:a="http://schemas.openxmlformats.org/drawingml/2006/main">
                  <a:graphicData uri="http://schemas.microsoft.com/office/word/2010/wordprocessingShape">
                    <wps:wsp>
                      <wps:cNvSpPr/>
                      <wps:spPr>
                        <a:xfrm>
                          <a:off x="0" y="0"/>
                          <a:ext cx="2171700" cy="13620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875F95A" w14:textId="776A1B3E" w:rsidR="001804A4" w:rsidRPr="00011BDA" w:rsidRDefault="001804A4" w:rsidP="001804A4">
                            <w:pPr>
                              <w:rPr>
                                <w:rFonts w:ascii="Times New Roman" w:hAnsi="Times New Roman" w:cs="Times New Roman"/>
                                <w:b/>
                                <w:bCs/>
                              </w:rPr>
                            </w:pPr>
                            <w:r>
                              <w:t xml:space="preserve"> </w:t>
                            </w:r>
                            <w:r w:rsidRPr="00011BDA">
                              <w:rPr>
                                <w:rFonts w:ascii="Times New Roman" w:hAnsi="Times New Roman" w:cs="Times New Roman"/>
                                <w:b/>
                                <w:bCs/>
                              </w:rPr>
                              <w:t>Capacity Building</w:t>
                            </w:r>
                          </w:p>
                          <w:p w14:paraId="5A0B2001" w14:textId="77777777" w:rsidR="005B450A" w:rsidRPr="005B450A" w:rsidRDefault="005B450A" w:rsidP="005B450A">
                            <w:pPr>
                              <w:numPr>
                                <w:ilvl w:val="0"/>
                                <w:numId w:val="4"/>
                              </w:numPr>
                              <w:suppressAutoHyphens/>
                              <w:spacing w:after="0" w:line="240" w:lineRule="auto"/>
                              <w:contextualSpacing/>
                              <w:jc w:val="both"/>
                              <w:rPr>
                                <w:rFonts w:ascii="Times New Roman" w:eastAsia="Calibri" w:hAnsi="Times New Roman" w:cs="Calibri"/>
                                <w:kern w:val="0"/>
                                <w:szCs w:val="22"/>
                                <w14:ligatures w14:val="none"/>
                              </w:rPr>
                            </w:pPr>
                            <w:r w:rsidRPr="005B450A">
                              <w:rPr>
                                <w:rFonts w:ascii="Times New Roman" w:eastAsia="Calibri" w:hAnsi="Times New Roman" w:cs="Calibri"/>
                                <w:kern w:val="0"/>
                                <w:szCs w:val="22"/>
                                <w14:ligatures w14:val="none"/>
                              </w:rPr>
                              <w:t>Leadership Development Programs</w:t>
                            </w:r>
                          </w:p>
                          <w:p w14:paraId="77D7B362" w14:textId="77777777" w:rsidR="005B450A" w:rsidRPr="005B450A" w:rsidRDefault="005B450A" w:rsidP="005B450A">
                            <w:pPr>
                              <w:numPr>
                                <w:ilvl w:val="0"/>
                                <w:numId w:val="4"/>
                              </w:numPr>
                              <w:suppressAutoHyphens/>
                              <w:spacing w:after="0" w:line="240" w:lineRule="auto"/>
                              <w:contextualSpacing/>
                              <w:jc w:val="both"/>
                              <w:rPr>
                                <w:rFonts w:ascii="Times New Roman" w:eastAsia="Calibri" w:hAnsi="Times New Roman" w:cs="Calibri"/>
                                <w:kern w:val="0"/>
                                <w:szCs w:val="22"/>
                                <w14:ligatures w14:val="none"/>
                              </w:rPr>
                            </w:pPr>
                            <w:r w:rsidRPr="005B450A">
                              <w:rPr>
                                <w:rFonts w:ascii="Times New Roman" w:eastAsia="Calibri" w:hAnsi="Times New Roman" w:cs="Calibri"/>
                                <w:kern w:val="0"/>
                                <w:szCs w:val="22"/>
                                <w14:ligatures w14:val="none"/>
                              </w:rPr>
                              <w:t>Mentorship Programs</w:t>
                            </w:r>
                          </w:p>
                          <w:p w14:paraId="29099B75" w14:textId="77777777" w:rsidR="005B450A" w:rsidRPr="005B450A" w:rsidRDefault="005B450A" w:rsidP="005B450A">
                            <w:pPr>
                              <w:numPr>
                                <w:ilvl w:val="0"/>
                                <w:numId w:val="4"/>
                              </w:numPr>
                              <w:suppressAutoHyphens/>
                              <w:spacing w:after="0" w:line="240" w:lineRule="auto"/>
                              <w:contextualSpacing/>
                              <w:jc w:val="both"/>
                              <w:rPr>
                                <w:rFonts w:ascii="Times New Roman" w:eastAsia="Calibri" w:hAnsi="Times New Roman" w:cs="Times New Roman"/>
                                <w:kern w:val="0"/>
                                <w:szCs w:val="22"/>
                                <w14:ligatures w14:val="none"/>
                              </w:rPr>
                            </w:pPr>
                            <w:r w:rsidRPr="005B450A">
                              <w:rPr>
                                <w:rFonts w:ascii="Times New Roman" w:eastAsia="Calibri" w:hAnsi="Times New Roman" w:cs="Calibri"/>
                                <w:kern w:val="0"/>
                                <w:szCs w:val="22"/>
                                <w14:ligatures w14:val="none"/>
                              </w:rPr>
                              <w:t>Legislative Knowledge Acquisition</w:t>
                            </w:r>
                          </w:p>
                          <w:p w14:paraId="5D3B1A9D" w14:textId="77777777" w:rsidR="001804A4" w:rsidRDefault="001804A4" w:rsidP="001804A4"/>
                          <w:p w14:paraId="6D0F44ED" w14:textId="77777777" w:rsidR="001804A4" w:rsidRDefault="001804A4" w:rsidP="001804A4"/>
                          <w:p w14:paraId="0645A14A" w14:textId="00EBB1C3" w:rsidR="001804A4" w:rsidRPr="0083523E" w:rsidRDefault="001804A4" w:rsidP="001804A4">
                            <w:r w:rsidRPr="0083523E">
                              <w:t xml:space="preserve"> </w:t>
                            </w:r>
                          </w:p>
                          <w:p w14:paraId="3849488F" w14:textId="77777777" w:rsidR="001804A4" w:rsidRPr="0083523E" w:rsidRDefault="001804A4" w:rsidP="001804A4">
                            <w:pPr>
                              <w:numPr>
                                <w:ilvl w:val="0"/>
                                <w:numId w:val="1"/>
                              </w:numPr>
                            </w:pPr>
                            <w:r w:rsidRPr="0083523E">
                              <w:t xml:space="preserve">Civic education </w:t>
                            </w:r>
                          </w:p>
                          <w:p w14:paraId="6E716406" w14:textId="77777777" w:rsidR="001804A4" w:rsidRPr="0083523E" w:rsidRDefault="001804A4" w:rsidP="001804A4">
                            <w:pPr>
                              <w:numPr>
                                <w:ilvl w:val="0"/>
                                <w:numId w:val="1"/>
                              </w:numPr>
                            </w:pPr>
                            <w:r w:rsidRPr="0083523E">
                              <w:t xml:space="preserve">Mentorship </w:t>
                            </w:r>
                          </w:p>
                          <w:p w14:paraId="5CBD738E" w14:textId="77777777" w:rsidR="001804A4" w:rsidRDefault="001804A4" w:rsidP="001804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CD155" id="Rectangle 3" o:spid="_x0000_s1026" style="position:absolute;left:0;text-align:left;margin-left:-22.5pt;margin-top:24.55pt;width:171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" fillcolor="#156082 [3204]" strokecolor="#030e13 [484]" strokeweight="1.5pt">
                <v:textbox>
                  <w:txbxContent>
                    <w:p w14:paraId="1875F95A" w14:textId="776A1B3E" w:rsidR="001804A4" w:rsidRPr="00011BDA" w:rsidRDefault="001804A4" w:rsidP="001804A4">
                      <w:pPr>
                        <w:rPr>
                          <w:rFonts w:ascii="Times New Roman" w:hAnsi="Times New Roman" w:cs="Times New Roman"/>
                          <w:b/>
                          <w:bCs/>
                        </w:rPr>
                      </w:pPr>
                      <w:r>
                        <w:t xml:space="preserve"> </w:t>
                      </w:r>
                      <w:r w:rsidRPr="00011BDA">
                        <w:rPr>
                          <w:rFonts w:ascii="Times New Roman" w:hAnsi="Times New Roman" w:cs="Times New Roman"/>
                          <w:b/>
                          <w:bCs/>
                        </w:rPr>
                        <w:t>Capacity Building</w:t>
                      </w:r>
                    </w:p>
                    <w:p w14:paraId="5A0B2001" w14:textId="77777777" w:rsidR="005B450A" w:rsidRPr="005B450A" w:rsidRDefault="005B450A" w:rsidP="005B450A">
                      <w:pPr>
                        <w:numPr>
                          <w:ilvl w:val="0"/>
                          <w:numId w:val="4"/>
                        </w:numPr>
                        <w:suppressAutoHyphens/>
                        <w:spacing w:after="0" w:line="240" w:lineRule="auto"/>
                        <w:contextualSpacing/>
                        <w:jc w:val="both"/>
                        <w:rPr>
                          <w:rFonts w:ascii="Times New Roman" w:eastAsia="Calibri" w:hAnsi="Times New Roman" w:cs="Calibri"/>
                          <w:kern w:val="0"/>
                          <w:szCs w:val="22"/>
                          <w14:ligatures w14:val="none"/>
                        </w:rPr>
                      </w:pPr>
                      <w:r w:rsidRPr="005B450A">
                        <w:rPr>
                          <w:rFonts w:ascii="Times New Roman" w:eastAsia="Calibri" w:hAnsi="Times New Roman" w:cs="Calibri"/>
                          <w:kern w:val="0"/>
                          <w:szCs w:val="22"/>
                          <w14:ligatures w14:val="none"/>
                        </w:rPr>
                        <w:t>Leadership Development Programs</w:t>
                      </w:r>
                    </w:p>
                    <w:p w14:paraId="77D7B362" w14:textId="77777777" w:rsidR="005B450A" w:rsidRPr="005B450A" w:rsidRDefault="005B450A" w:rsidP="005B450A">
                      <w:pPr>
                        <w:numPr>
                          <w:ilvl w:val="0"/>
                          <w:numId w:val="4"/>
                        </w:numPr>
                        <w:suppressAutoHyphens/>
                        <w:spacing w:after="0" w:line="240" w:lineRule="auto"/>
                        <w:contextualSpacing/>
                        <w:jc w:val="both"/>
                        <w:rPr>
                          <w:rFonts w:ascii="Times New Roman" w:eastAsia="Calibri" w:hAnsi="Times New Roman" w:cs="Calibri"/>
                          <w:kern w:val="0"/>
                          <w:szCs w:val="22"/>
                          <w14:ligatures w14:val="none"/>
                        </w:rPr>
                      </w:pPr>
                      <w:r w:rsidRPr="005B450A">
                        <w:rPr>
                          <w:rFonts w:ascii="Times New Roman" w:eastAsia="Calibri" w:hAnsi="Times New Roman" w:cs="Calibri"/>
                          <w:kern w:val="0"/>
                          <w:szCs w:val="22"/>
                          <w14:ligatures w14:val="none"/>
                        </w:rPr>
                        <w:t>Mentorship Programs</w:t>
                      </w:r>
                    </w:p>
                    <w:p w14:paraId="29099B75" w14:textId="77777777" w:rsidR="005B450A" w:rsidRPr="005B450A" w:rsidRDefault="005B450A" w:rsidP="005B450A">
                      <w:pPr>
                        <w:numPr>
                          <w:ilvl w:val="0"/>
                          <w:numId w:val="4"/>
                        </w:numPr>
                        <w:suppressAutoHyphens/>
                        <w:spacing w:after="0" w:line="240" w:lineRule="auto"/>
                        <w:contextualSpacing/>
                        <w:jc w:val="both"/>
                        <w:rPr>
                          <w:rFonts w:ascii="Times New Roman" w:eastAsia="Calibri" w:hAnsi="Times New Roman" w:cs="Times New Roman"/>
                          <w:kern w:val="0"/>
                          <w:szCs w:val="22"/>
                          <w14:ligatures w14:val="none"/>
                        </w:rPr>
                      </w:pPr>
                      <w:r w:rsidRPr="005B450A">
                        <w:rPr>
                          <w:rFonts w:ascii="Times New Roman" w:eastAsia="Calibri" w:hAnsi="Times New Roman" w:cs="Calibri"/>
                          <w:kern w:val="0"/>
                          <w:szCs w:val="22"/>
                          <w14:ligatures w14:val="none"/>
                        </w:rPr>
                        <w:t>Legislative Knowledge Acquisition</w:t>
                      </w:r>
                    </w:p>
                    <w:p w14:paraId="5D3B1A9D" w14:textId="77777777" w:rsidR="001804A4" w:rsidRDefault="001804A4" w:rsidP="001804A4"/>
                    <w:p w14:paraId="6D0F44ED" w14:textId="77777777" w:rsidR="001804A4" w:rsidRDefault="001804A4" w:rsidP="001804A4"/>
                    <w:p w14:paraId="0645A14A" w14:textId="00EBB1C3" w:rsidR="001804A4" w:rsidRPr="0083523E" w:rsidRDefault="001804A4" w:rsidP="001804A4">
                      <w:r w:rsidRPr="0083523E">
                        <w:t xml:space="preserve"> </w:t>
                      </w:r>
                    </w:p>
                    <w:p w14:paraId="3849488F" w14:textId="77777777" w:rsidR="001804A4" w:rsidRPr="0083523E" w:rsidRDefault="001804A4" w:rsidP="001804A4">
                      <w:pPr>
                        <w:numPr>
                          <w:ilvl w:val="0"/>
                          <w:numId w:val="1"/>
                        </w:numPr>
                      </w:pPr>
                      <w:r w:rsidRPr="0083523E">
                        <w:t xml:space="preserve">Civic education </w:t>
                      </w:r>
                    </w:p>
                    <w:p w14:paraId="6E716406" w14:textId="77777777" w:rsidR="001804A4" w:rsidRPr="0083523E" w:rsidRDefault="001804A4" w:rsidP="001804A4">
                      <w:pPr>
                        <w:numPr>
                          <w:ilvl w:val="0"/>
                          <w:numId w:val="1"/>
                        </w:numPr>
                      </w:pPr>
                      <w:r w:rsidRPr="0083523E">
                        <w:t xml:space="preserve">Mentorship </w:t>
                      </w:r>
                    </w:p>
                    <w:p w14:paraId="5CBD738E" w14:textId="77777777" w:rsidR="001804A4" w:rsidRDefault="001804A4" w:rsidP="001804A4">
                      <w:pPr>
                        <w:jc w:val="center"/>
                      </w:pPr>
                    </w:p>
                  </w:txbxContent>
                </v:textbox>
              </v:rect>
            </w:pict>
          </mc:Fallback>
        </mc:AlternateContent>
      </w:r>
      <w:r>
        <w:rPr>
          <w:rFonts w:ascii="Times New Roman" w:hAnsi="Times New Roman" w:cs="Times New Roman"/>
          <w:b/>
          <w:bCs/>
        </w:rPr>
        <w:t>Independent  Variable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Dependent Variable</w:t>
      </w:r>
    </w:p>
    <w:p w14:paraId="22ECD572" w14:textId="435D2D05" w:rsidR="001804A4" w:rsidRDefault="001804A4" w:rsidP="00EC078F">
      <w:pPr>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7F95EAD5" wp14:editId="53083284">
                <wp:simplePos x="0" y="0"/>
                <wp:positionH relativeFrom="column">
                  <wp:posOffset>2743200</wp:posOffset>
                </wp:positionH>
                <wp:positionV relativeFrom="paragraph">
                  <wp:posOffset>7620</wp:posOffset>
                </wp:positionV>
                <wp:extent cx="2609850" cy="1333500"/>
                <wp:effectExtent l="0" t="0" r="19050" b="19050"/>
                <wp:wrapNone/>
                <wp:docPr id="56358297" name="Rectangle 4"/>
                <wp:cNvGraphicFramePr/>
                <a:graphic xmlns:a="http://schemas.openxmlformats.org/drawingml/2006/main">
                  <a:graphicData uri="http://schemas.microsoft.com/office/word/2010/wordprocessingShape">
                    <wps:wsp>
                      <wps:cNvSpPr/>
                      <wps:spPr>
                        <a:xfrm>
                          <a:off x="0" y="0"/>
                          <a:ext cx="2609850" cy="1333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A41621" w14:textId="496D59A0" w:rsidR="001804A4" w:rsidRPr="00011BDA" w:rsidRDefault="001804A4" w:rsidP="001804A4">
                            <w:pPr>
                              <w:tabs>
                                <w:tab w:val="num" w:pos="720"/>
                              </w:tabs>
                              <w:ind w:left="720" w:hanging="360"/>
                              <w:rPr>
                                <w:b/>
                                <w:bCs/>
                              </w:rPr>
                            </w:pPr>
                            <w:r w:rsidRPr="00011BDA">
                              <w:rPr>
                                <w:b/>
                                <w:bCs/>
                              </w:rPr>
                              <w:t>Women’s Political Participation</w:t>
                            </w:r>
                          </w:p>
                          <w:p w14:paraId="709448E7" w14:textId="77777777" w:rsidR="005B450A" w:rsidRPr="005B450A" w:rsidRDefault="005B450A" w:rsidP="005B450A">
                            <w:pPr>
                              <w:numPr>
                                <w:ilvl w:val="0"/>
                                <w:numId w:val="5"/>
                              </w:numPr>
                              <w:suppressAutoHyphens/>
                              <w:spacing w:after="0" w:line="240" w:lineRule="auto"/>
                              <w:contextualSpacing/>
                              <w:jc w:val="both"/>
                              <w:rPr>
                                <w:rFonts w:ascii="Times New Roman" w:eastAsia="Calibri" w:hAnsi="Times New Roman" w:cs="Calibri"/>
                                <w:kern w:val="0"/>
                                <w:szCs w:val="22"/>
                                <w14:ligatures w14:val="none"/>
                              </w:rPr>
                            </w:pPr>
                            <w:r w:rsidRPr="005B450A">
                              <w:rPr>
                                <w:rFonts w:ascii="Times New Roman" w:eastAsia="Calibri" w:hAnsi="Times New Roman" w:cs="Calibri"/>
                                <w:kern w:val="0"/>
                                <w:szCs w:val="22"/>
                                <w14:ligatures w14:val="none"/>
                              </w:rPr>
                              <w:t>Level of Participation in Political Decision-Making Processes</w:t>
                            </w:r>
                          </w:p>
                          <w:p w14:paraId="03BDC394" w14:textId="77777777" w:rsidR="005B450A" w:rsidRPr="005B450A" w:rsidRDefault="005B450A" w:rsidP="005B450A">
                            <w:pPr>
                              <w:numPr>
                                <w:ilvl w:val="0"/>
                                <w:numId w:val="5"/>
                              </w:numPr>
                              <w:suppressAutoHyphens/>
                              <w:spacing w:after="0" w:line="240" w:lineRule="auto"/>
                              <w:contextualSpacing/>
                              <w:jc w:val="both"/>
                              <w:rPr>
                                <w:rFonts w:ascii="Times New Roman" w:eastAsia="Calibri" w:hAnsi="Times New Roman" w:cs="Calibri"/>
                                <w:kern w:val="0"/>
                                <w:szCs w:val="22"/>
                                <w14:ligatures w14:val="none"/>
                              </w:rPr>
                            </w:pPr>
                            <w:r w:rsidRPr="005B450A">
                              <w:rPr>
                                <w:rFonts w:ascii="Times New Roman" w:eastAsia="Calibri" w:hAnsi="Times New Roman" w:cs="Calibri"/>
                                <w:kern w:val="0"/>
                                <w:szCs w:val="22"/>
                                <w14:ligatures w14:val="none"/>
                              </w:rPr>
                              <w:t>Ease of Participation</w:t>
                            </w:r>
                          </w:p>
                          <w:p w14:paraId="230F31FE" w14:textId="77777777" w:rsidR="001804A4" w:rsidRDefault="001804A4" w:rsidP="001804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5EAD5" id="Rectangle 4" o:spid="_x0000_s1027" style="position:absolute;left:0;text-align:left;margin-left:3in;margin-top:.6pt;width:205.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" fillcolor="#156082 [3204]" strokecolor="#030e13 [484]" strokeweight="1.5pt">
                <v:textbox>
                  <w:txbxContent>
                    <w:p w14:paraId="3CA41621" w14:textId="496D59A0" w:rsidR="001804A4" w:rsidRPr="00011BDA" w:rsidRDefault="001804A4" w:rsidP="001804A4">
                      <w:pPr>
                        <w:tabs>
                          <w:tab w:val="num" w:pos="720"/>
                        </w:tabs>
                        <w:ind w:left="720" w:hanging="360"/>
                        <w:rPr>
                          <w:b/>
                          <w:bCs/>
                        </w:rPr>
                      </w:pPr>
                      <w:r w:rsidRPr="00011BDA">
                        <w:rPr>
                          <w:b/>
                          <w:bCs/>
                        </w:rPr>
                        <w:t>Women’s Political Participation</w:t>
                      </w:r>
                    </w:p>
                    <w:p w14:paraId="709448E7" w14:textId="77777777" w:rsidR="005B450A" w:rsidRPr="005B450A" w:rsidRDefault="005B450A" w:rsidP="005B450A">
                      <w:pPr>
                        <w:numPr>
                          <w:ilvl w:val="0"/>
                          <w:numId w:val="5"/>
                        </w:numPr>
                        <w:suppressAutoHyphens/>
                        <w:spacing w:after="0" w:line="240" w:lineRule="auto"/>
                        <w:contextualSpacing/>
                        <w:jc w:val="both"/>
                        <w:rPr>
                          <w:rFonts w:ascii="Times New Roman" w:eastAsia="Calibri" w:hAnsi="Times New Roman" w:cs="Calibri"/>
                          <w:kern w:val="0"/>
                          <w:szCs w:val="22"/>
                          <w14:ligatures w14:val="none"/>
                        </w:rPr>
                      </w:pPr>
                      <w:r w:rsidRPr="005B450A">
                        <w:rPr>
                          <w:rFonts w:ascii="Times New Roman" w:eastAsia="Calibri" w:hAnsi="Times New Roman" w:cs="Calibri"/>
                          <w:kern w:val="0"/>
                          <w:szCs w:val="22"/>
                          <w14:ligatures w14:val="none"/>
                        </w:rPr>
                        <w:t>Level of Participation in Political Decision-Making Processes</w:t>
                      </w:r>
                    </w:p>
                    <w:p w14:paraId="03BDC394" w14:textId="77777777" w:rsidR="005B450A" w:rsidRPr="005B450A" w:rsidRDefault="005B450A" w:rsidP="005B450A">
                      <w:pPr>
                        <w:numPr>
                          <w:ilvl w:val="0"/>
                          <w:numId w:val="5"/>
                        </w:numPr>
                        <w:suppressAutoHyphens/>
                        <w:spacing w:after="0" w:line="240" w:lineRule="auto"/>
                        <w:contextualSpacing/>
                        <w:jc w:val="both"/>
                        <w:rPr>
                          <w:rFonts w:ascii="Times New Roman" w:eastAsia="Calibri" w:hAnsi="Times New Roman" w:cs="Calibri"/>
                          <w:kern w:val="0"/>
                          <w:szCs w:val="22"/>
                          <w14:ligatures w14:val="none"/>
                        </w:rPr>
                      </w:pPr>
                      <w:r w:rsidRPr="005B450A">
                        <w:rPr>
                          <w:rFonts w:ascii="Times New Roman" w:eastAsia="Calibri" w:hAnsi="Times New Roman" w:cs="Calibri"/>
                          <w:kern w:val="0"/>
                          <w:szCs w:val="22"/>
                          <w14:ligatures w14:val="none"/>
                        </w:rPr>
                        <w:t>Ease of Participation</w:t>
                      </w:r>
                    </w:p>
                    <w:p w14:paraId="230F31FE" w14:textId="77777777" w:rsidR="001804A4" w:rsidRDefault="001804A4" w:rsidP="001804A4">
                      <w:pPr>
                        <w:jc w:val="center"/>
                      </w:pPr>
                    </w:p>
                  </w:txbxContent>
                </v:textbox>
              </v:rect>
            </w:pict>
          </mc:Fallback>
        </mc:AlternateContent>
      </w:r>
    </w:p>
    <w:p w14:paraId="1282CEE1" w14:textId="1928E9E8" w:rsidR="001804A4" w:rsidRDefault="001804A4" w:rsidP="00EC078F">
      <w:pPr>
        <w:jc w:val="both"/>
        <w:rPr>
          <w:rFonts w:ascii="Times New Roman" w:hAnsi="Times New Roman" w:cs="Times New Roman"/>
          <w:b/>
          <w:bCs/>
        </w:rPr>
      </w:pPr>
    </w:p>
    <w:p w14:paraId="2EA009FF" w14:textId="3A26B928" w:rsidR="001804A4" w:rsidRDefault="00011BDA" w:rsidP="00EC078F">
      <w:pPr>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7BE69DC6" wp14:editId="1118C680">
                <wp:simplePos x="0" y="0"/>
                <wp:positionH relativeFrom="column">
                  <wp:posOffset>1685924</wp:posOffset>
                </wp:positionH>
                <wp:positionV relativeFrom="paragraph">
                  <wp:posOffset>39370</wp:posOffset>
                </wp:positionV>
                <wp:extent cx="1038225" cy="0"/>
                <wp:effectExtent l="0" t="76200" r="9525" b="95250"/>
                <wp:wrapNone/>
                <wp:docPr id="880463014" name="Straight Arrow Connector 7"/>
                <wp:cNvGraphicFramePr/>
                <a:graphic xmlns:a="http://schemas.openxmlformats.org/drawingml/2006/main">
                  <a:graphicData uri="http://schemas.microsoft.com/office/word/2010/wordprocessingShape">
                    <wps:wsp>
                      <wps:cNvCnPr/>
                      <wps:spPr>
                        <a:xfrm>
                          <a:off x="0" y="0"/>
                          <a:ext cx="103822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8B4D50A" id="_x0000_t32" coordsize="21600,21600" o:spt="32" o:oned="t" path="m,l21600,21600e" filled="f">
                <v:path arrowok="t" fillok="f" o:connecttype="none"/>
                <o:lock v:ext="edit" shapetype="t"/>
              </v:shapetype>
              <v:shape id="Straight Arrow Connector 7" o:spid="_x0000_s1026" type="#_x0000_t32" style="position:absolute;margin-left:132.75pt;margin-top:3.1pt;width:81.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" strokecolor="#156082 [3204]" strokeweight="1.5pt">
                <v:stroke endarrow="block" joinstyle="miter"/>
              </v:shape>
            </w:pict>
          </mc:Fallback>
        </mc:AlternateContent>
      </w:r>
    </w:p>
    <w:p w14:paraId="05BD7005" w14:textId="620F2996" w:rsidR="001804A4" w:rsidRDefault="001804A4" w:rsidP="00EC078F">
      <w:pPr>
        <w:jc w:val="both"/>
        <w:rPr>
          <w:rFonts w:ascii="Times New Roman" w:hAnsi="Times New Roman" w:cs="Times New Roman"/>
          <w:b/>
          <w:bCs/>
        </w:rPr>
      </w:pPr>
      <w:r>
        <w:rPr>
          <w:rFonts w:ascii="Times New Roman" w:hAnsi="Times New Roman" w:cs="Times New Roman"/>
          <w:b/>
          <w:bCs/>
        </w:rPr>
        <w:t xml:space="preserve">                        </w:t>
      </w:r>
    </w:p>
    <w:p w14:paraId="04B85ABB" w14:textId="3BB25365" w:rsidR="001804A4" w:rsidRDefault="001804A4" w:rsidP="00EC078F">
      <w:pPr>
        <w:jc w:val="both"/>
        <w:rPr>
          <w:rFonts w:ascii="Times New Roman" w:hAnsi="Times New Roman" w:cs="Times New Roman"/>
          <w:b/>
          <w:bCs/>
        </w:rPr>
      </w:pPr>
    </w:p>
    <w:p w14:paraId="2E2CB9B9" w14:textId="107AFFE1" w:rsidR="00D153AB" w:rsidRPr="003159DC" w:rsidRDefault="001804A4" w:rsidP="00EC078F">
      <w:pPr>
        <w:jc w:val="both"/>
        <w:rPr>
          <w:rFonts w:ascii="Times New Roman" w:hAnsi="Times New Roman" w:cs="Times New Roman"/>
          <w:b/>
          <w:bCs/>
          <w:i/>
          <w:iCs/>
        </w:rPr>
      </w:pPr>
      <w:r w:rsidRPr="003159DC">
        <w:rPr>
          <w:rFonts w:ascii="Times New Roman" w:hAnsi="Times New Roman" w:cs="Times New Roman"/>
          <w:b/>
          <w:bCs/>
          <w:i/>
          <w:iCs/>
        </w:rPr>
        <w:t xml:space="preserve">   </w:t>
      </w:r>
      <w:r w:rsidR="003159DC" w:rsidRPr="003159DC">
        <w:rPr>
          <w:rFonts w:ascii="Times New Roman" w:hAnsi="Times New Roman" w:cs="Times New Roman"/>
          <w:b/>
          <w:bCs/>
          <w:i/>
          <w:iCs/>
        </w:rPr>
        <w:t>Figure 1: Conceptual Framework</w:t>
      </w:r>
    </w:p>
    <w:p w14:paraId="48C0E384" w14:textId="77777777" w:rsidR="00D153AB" w:rsidRDefault="00D153AB" w:rsidP="00EC078F">
      <w:pPr>
        <w:jc w:val="both"/>
        <w:rPr>
          <w:rFonts w:ascii="Times New Roman" w:hAnsi="Times New Roman" w:cs="Times New Roman"/>
          <w:b/>
          <w:bCs/>
        </w:rPr>
      </w:pPr>
    </w:p>
    <w:p w14:paraId="116FBF36" w14:textId="6ACF4972" w:rsidR="001804A4" w:rsidRDefault="001804A4" w:rsidP="00EC078F">
      <w:pPr>
        <w:jc w:val="both"/>
        <w:rPr>
          <w:rFonts w:ascii="Times New Roman" w:hAnsi="Times New Roman" w:cs="Times New Roman"/>
          <w:b/>
          <w:bCs/>
        </w:rPr>
      </w:pPr>
      <w:r>
        <w:rPr>
          <w:rFonts w:ascii="Times New Roman" w:hAnsi="Times New Roman" w:cs="Times New Roman"/>
          <w:b/>
          <w:bCs/>
        </w:rPr>
        <w:t xml:space="preserve">                            </w:t>
      </w:r>
    </w:p>
    <w:p w14:paraId="6B8CF92D" w14:textId="7DAD8E93" w:rsidR="00C10B68" w:rsidRDefault="002D7069" w:rsidP="00EC078F">
      <w:pPr>
        <w:jc w:val="both"/>
        <w:rPr>
          <w:rFonts w:ascii="Times New Roman" w:hAnsi="Times New Roman" w:cs="Times New Roman"/>
          <w:b/>
          <w:bCs/>
        </w:rPr>
      </w:pPr>
      <w:r>
        <w:rPr>
          <w:rFonts w:ascii="Times New Roman" w:hAnsi="Times New Roman" w:cs="Times New Roman"/>
          <w:b/>
          <w:bCs/>
        </w:rPr>
        <w:t>METHODOLOGY</w:t>
      </w:r>
    </w:p>
    <w:p w14:paraId="43CE8D8C" w14:textId="5F3C9B7A" w:rsidR="00806056" w:rsidRPr="00806056" w:rsidRDefault="00806056" w:rsidP="00ED2B12">
      <w:pPr>
        <w:jc w:val="both"/>
        <w:rPr>
          <w:rFonts w:ascii="Times New Roman" w:hAnsi="Times New Roman" w:cs="Times New Roman"/>
        </w:rPr>
      </w:pPr>
      <w:r w:rsidRPr="00806056">
        <w:rPr>
          <w:rFonts w:ascii="Times New Roman" w:hAnsi="Times New Roman" w:cs="Times New Roman"/>
        </w:rPr>
        <w:t>To examine the effect of capacity building by civil society organizations on women’s political participation in Nairobi City County; Kenya, the study adopted a descriptive research design. This chapter presents:</w:t>
      </w:r>
      <w:r w:rsidR="00ED2B12">
        <w:rPr>
          <w:rFonts w:ascii="Times New Roman" w:hAnsi="Times New Roman" w:cs="Times New Roman"/>
        </w:rPr>
        <w:t xml:space="preserve"> R</w:t>
      </w:r>
      <w:r w:rsidRPr="00806056">
        <w:rPr>
          <w:rFonts w:ascii="Times New Roman" w:hAnsi="Times New Roman" w:cs="Times New Roman"/>
        </w:rPr>
        <w:t xml:space="preserve">esearch </w:t>
      </w:r>
      <w:r w:rsidR="00ED2B12">
        <w:rPr>
          <w:rFonts w:ascii="Times New Roman" w:hAnsi="Times New Roman" w:cs="Times New Roman"/>
        </w:rPr>
        <w:t>D</w:t>
      </w:r>
      <w:r w:rsidRPr="00806056">
        <w:rPr>
          <w:rFonts w:ascii="Times New Roman" w:hAnsi="Times New Roman" w:cs="Times New Roman"/>
        </w:rPr>
        <w:t xml:space="preserve">esign, </w:t>
      </w:r>
      <w:r w:rsidR="00ED2B12">
        <w:rPr>
          <w:rFonts w:ascii="Times New Roman" w:hAnsi="Times New Roman" w:cs="Times New Roman"/>
        </w:rPr>
        <w:t>T</w:t>
      </w:r>
      <w:r w:rsidRPr="00806056">
        <w:rPr>
          <w:rFonts w:ascii="Times New Roman" w:hAnsi="Times New Roman" w:cs="Times New Roman"/>
        </w:rPr>
        <w:t xml:space="preserve">arget </w:t>
      </w:r>
      <w:r w:rsidR="00ED2B12">
        <w:rPr>
          <w:rFonts w:ascii="Times New Roman" w:hAnsi="Times New Roman" w:cs="Times New Roman"/>
        </w:rPr>
        <w:t>P</w:t>
      </w:r>
      <w:r w:rsidRPr="00806056">
        <w:rPr>
          <w:rFonts w:ascii="Times New Roman" w:hAnsi="Times New Roman" w:cs="Times New Roman"/>
        </w:rPr>
        <w:t xml:space="preserve">opulation, </w:t>
      </w:r>
      <w:r w:rsidR="00ED2B12">
        <w:rPr>
          <w:rFonts w:ascii="Times New Roman" w:hAnsi="Times New Roman" w:cs="Times New Roman"/>
        </w:rPr>
        <w:t>S</w:t>
      </w:r>
      <w:r w:rsidRPr="00806056">
        <w:rPr>
          <w:rFonts w:ascii="Times New Roman" w:hAnsi="Times New Roman" w:cs="Times New Roman"/>
        </w:rPr>
        <w:t xml:space="preserve">ampling </w:t>
      </w:r>
      <w:r w:rsidR="00ED2B12">
        <w:rPr>
          <w:rFonts w:ascii="Times New Roman" w:hAnsi="Times New Roman" w:cs="Times New Roman"/>
        </w:rPr>
        <w:t>F</w:t>
      </w:r>
      <w:r w:rsidRPr="00806056">
        <w:rPr>
          <w:rFonts w:ascii="Times New Roman" w:hAnsi="Times New Roman" w:cs="Times New Roman"/>
        </w:rPr>
        <w:t xml:space="preserve">rame, </w:t>
      </w:r>
      <w:r w:rsidR="00ED2B12">
        <w:rPr>
          <w:rFonts w:ascii="Times New Roman" w:hAnsi="Times New Roman" w:cs="Times New Roman"/>
        </w:rPr>
        <w:t>S</w:t>
      </w:r>
      <w:r w:rsidRPr="00806056">
        <w:rPr>
          <w:rFonts w:ascii="Times New Roman" w:hAnsi="Times New Roman" w:cs="Times New Roman"/>
        </w:rPr>
        <w:t xml:space="preserve">ample </w:t>
      </w:r>
      <w:r w:rsidR="00ED2B12">
        <w:rPr>
          <w:rFonts w:ascii="Times New Roman" w:hAnsi="Times New Roman" w:cs="Times New Roman"/>
        </w:rPr>
        <w:t>S</w:t>
      </w:r>
      <w:r w:rsidRPr="00806056">
        <w:rPr>
          <w:rFonts w:ascii="Times New Roman" w:hAnsi="Times New Roman" w:cs="Times New Roman"/>
        </w:rPr>
        <w:t xml:space="preserve">ize, </w:t>
      </w:r>
      <w:r w:rsidR="00ED2B12">
        <w:rPr>
          <w:rFonts w:ascii="Times New Roman" w:hAnsi="Times New Roman" w:cs="Times New Roman"/>
        </w:rPr>
        <w:t>R</w:t>
      </w:r>
      <w:r w:rsidRPr="00806056">
        <w:rPr>
          <w:rFonts w:ascii="Times New Roman" w:hAnsi="Times New Roman" w:cs="Times New Roman"/>
        </w:rPr>
        <w:t xml:space="preserve">esearch </w:t>
      </w:r>
      <w:r w:rsidR="00ED2B12">
        <w:rPr>
          <w:rFonts w:ascii="Times New Roman" w:hAnsi="Times New Roman" w:cs="Times New Roman"/>
        </w:rPr>
        <w:t>I</w:t>
      </w:r>
      <w:r w:rsidRPr="00806056">
        <w:rPr>
          <w:rFonts w:ascii="Times New Roman" w:hAnsi="Times New Roman" w:cs="Times New Roman"/>
        </w:rPr>
        <w:t xml:space="preserve">nstruments, </w:t>
      </w:r>
      <w:r w:rsidR="00ED2B12">
        <w:rPr>
          <w:rFonts w:ascii="Times New Roman" w:hAnsi="Times New Roman" w:cs="Times New Roman"/>
        </w:rPr>
        <w:t>P</w:t>
      </w:r>
      <w:r w:rsidRPr="00806056">
        <w:rPr>
          <w:rFonts w:ascii="Times New Roman" w:hAnsi="Times New Roman" w:cs="Times New Roman"/>
        </w:rPr>
        <w:t xml:space="preserve">ilot </w:t>
      </w:r>
      <w:r w:rsidR="00ED2B12">
        <w:rPr>
          <w:rFonts w:ascii="Times New Roman" w:hAnsi="Times New Roman" w:cs="Times New Roman"/>
        </w:rPr>
        <w:t>T</w:t>
      </w:r>
      <w:r w:rsidRPr="00806056">
        <w:rPr>
          <w:rFonts w:ascii="Times New Roman" w:hAnsi="Times New Roman" w:cs="Times New Roman"/>
        </w:rPr>
        <w:t xml:space="preserve">esting </w:t>
      </w:r>
      <w:r w:rsidR="00ED2B12">
        <w:rPr>
          <w:rFonts w:ascii="Times New Roman" w:hAnsi="Times New Roman" w:cs="Times New Roman"/>
        </w:rPr>
        <w:t>P</w:t>
      </w:r>
      <w:r w:rsidRPr="00806056">
        <w:rPr>
          <w:rFonts w:ascii="Times New Roman" w:hAnsi="Times New Roman" w:cs="Times New Roman"/>
        </w:rPr>
        <w:t>rocedures, and the methods used for data processing and analysis</w:t>
      </w:r>
    </w:p>
    <w:p w14:paraId="08F6439D" w14:textId="1F7AC46F" w:rsidR="00902A51" w:rsidRPr="008E383A" w:rsidRDefault="00902A51" w:rsidP="00EC078F">
      <w:pPr>
        <w:jc w:val="both"/>
        <w:rPr>
          <w:rFonts w:ascii="Times New Roman" w:hAnsi="Times New Roman" w:cs="Times New Roman"/>
          <w:b/>
          <w:bCs/>
        </w:rPr>
      </w:pPr>
      <w:r w:rsidRPr="008E383A">
        <w:rPr>
          <w:rFonts w:ascii="Times New Roman" w:hAnsi="Times New Roman" w:cs="Times New Roman"/>
          <w:b/>
          <w:bCs/>
        </w:rPr>
        <w:t>Research Design</w:t>
      </w:r>
    </w:p>
    <w:p w14:paraId="7AD8F664" w14:textId="77777777" w:rsidR="00902A51" w:rsidRPr="004A50BE" w:rsidRDefault="00902A51" w:rsidP="00902A51">
      <w:pPr>
        <w:jc w:val="both"/>
        <w:rPr>
          <w:rFonts w:ascii="Times New Roman" w:hAnsi="Times New Roman" w:cs="Times New Roman"/>
        </w:rPr>
      </w:pPr>
      <w:r w:rsidRPr="004A50BE">
        <w:rPr>
          <w:rFonts w:ascii="Times New Roman" w:hAnsi="Times New Roman" w:cs="Times New Roman"/>
        </w:rPr>
        <w:t xml:space="preserve">Research design is a plan embedded in the analysis of collecting and transforming data into findings to achieve research objectives by empirical evidence systematically in the most economical way possible (Sachin and Rajesh, 2022). It is a plan for acquiring, measuring and analyzing data </w:t>
      </w:r>
      <w:proofErr w:type="gramStart"/>
      <w:r w:rsidRPr="004A50BE">
        <w:rPr>
          <w:rFonts w:ascii="Times New Roman" w:hAnsi="Times New Roman" w:cs="Times New Roman"/>
        </w:rPr>
        <w:t>in order to</w:t>
      </w:r>
      <w:proofErr w:type="gramEnd"/>
      <w:r w:rsidRPr="004A50BE">
        <w:rPr>
          <w:rFonts w:ascii="Times New Roman" w:hAnsi="Times New Roman" w:cs="Times New Roman"/>
        </w:rPr>
        <w:t xml:space="preserve"> achieve the outlined goal(s) (Hoerl &amp; Snee, 2020).</w:t>
      </w:r>
    </w:p>
    <w:p w14:paraId="7FC67BF7" w14:textId="1DB5D54E" w:rsidR="00902A51" w:rsidRDefault="00902A51" w:rsidP="00902A51">
      <w:pPr>
        <w:jc w:val="both"/>
        <w:rPr>
          <w:rFonts w:ascii="Times New Roman" w:hAnsi="Times New Roman" w:cs="Times New Roman"/>
          <w:b/>
          <w:bCs/>
        </w:rPr>
      </w:pPr>
      <w:r w:rsidRPr="004A50BE">
        <w:rPr>
          <w:rFonts w:ascii="Times New Roman" w:hAnsi="Times New Roman" w:cs="Times New Roman"/>
        </w:rPr>
        <w:t xml:space="preserve">This study used a descriptive survey design. A descriptive survey design was suitable since it involves the collection of mapped data describing present conditions and experiences, about the subject of study in this regard the effect of  Civil Society Organizations (CSOs) capacity building </w:t>
      </w:r>
      <w:r w:rsidRPr="004A50BE">
        <w:rPr>
          <w:rFonts w:ascii="Times New Roman" w:hAnsi="Times New Roman" w:cs="Times New Roman"/>
        </w:rPr>
        <w:lastRenderedPageBreak/>
        <w:t>on women political participation in Nairobi County. Additionally, it addresses key research questions such as who is involved in implementing these strategies, what strategies are being used, where these interventions have the most impact, when they are applied, and how they influence women's political engagement.</w:t>
      </w:r>
    </w:p>
    <w:p w14:paraId="1C51F6CC" w14:textId="3762D99F" w:rsidR="004B0C30" w:rsidRPr="004A50BE" w:rsidRDefault="004A50BE" w:rsidP="00902A51">
      <w:pPr>
        <w:jc w:val="both"/>
        <w:rPr>
          <w:rFonts w:ascii="Times New Roman" w:hAnsi="Times New Roman" w:cs="Times New Roman"/>
        </w:rPr>
      </w:pPr>
      <w:r w:rsidRPr="004A50BE">
        <w:rPr>
          <w:rFonts w:ascii="Times New Roman" w:hAnsi="Times New Roman" w:cs="Times New Roman"/>
        </w:rPr>
        <w:t>Quantitative</w:t>
      </w:r>
      <w:r w:rsidR="004B0C30" w:rsidRPr="004A50BE">
        <w:rPr>
          <w:rFonts w:ascii="Times New Roman" w:hAnsi="Times New Roman" w:cs="Times New Roman"/>
        </w:rPr>
        <w:t xml:space="preserve"> techniques were also applied to  measure the impact of capacity building on women’s political participation. The quantitative data explained the extent to which capacity building significantly influences women's political participation. It quantified the impact of these interventions on women's involvement in political processes</w:t>
      </w:r>
      <w:r>
        <w:rPr>
          <w:rFonts w:ascii="Times New Roman" w:hAnsi="Times New Roman" w:cs="Times New Roman"/>
        </w:rPr>
        <w:t>.</w:t>
      </w:r>
    </w:p>
    <w:p w14:paraId="0064280B" w14:textId="0DA573A7" w:rsidR="00902A51" w:rsidRDefault="00902A51" w:rsidP="00902A51">
      <w:pPr>
        <w:jc w:val="both"/>
        <w:rPr>
          <w:rFonts w:ascii="Times New Roman" w:hAnsi="Times New Roman" w:cs="Times New Roman"/>
          <w:b/>
          <w:bCs/>
        </w:rPr>
      </w:pPr>
      <w:r>
        <w:rPr>
          <w:rFonts w:ascii="Times New Roman" w:hAnsi="Times New Roman" w:cs="Times New Roman"/>
          <w:b/>
          <w:bCs/>
        </w:rPr>
        <w:t>Target Population</w:t>
      </w:r>
    </w:p>
    <w:p w14:paraId="782CA58C" w14:textId="345397DE" w:rsidR="00480C89" w:rsidRPr="004A50BE" w:rsidRDefault="00480C89" w:rsidP="00902A51">
      <w:pPr>
        <w:jc w:val="both"/>
        <w:rPr>
          <w:rFonts w:ascii="Times New Roman" w:hAnsi="Times New Roman" w:cs="Times New Roman"/>
        </w:rPr>
      </w:pPr>
      <w:r w:rsidRPr="004A50BE">
        <w:rPr>
          <w:rFonts w:ascii="Times New Roman" w:hAnsi="Times New Roman" w:cs="Times New Roman"/>
        </w:rPr>
        <w:t>According to Mugenda and Mugenda (20</w:t>
      </w:r>
      <w:r w:rsidR="004B0C30" w:rsidRPr="004A50BE">
        <w:rPr>
          <w:rFonts w:ascii="Times New Roman" w:hAnsi="Times New Roman" w:cs="Times New Roman"/>
        </w:rPr>
        <w:t>03</w:t>
      </w:r>
      <w:r w:rsidRPr="004A50BE">
        <w:rPr>
          <w:rFonts w:ascii="Times New Roman" w:hAnsi="Times New Roman" w:cs="Times New Roman"/>
        </w:rPr>
        <w:t xml:space="preserve">) a </w:t>
      </w:r>
      <w:r w:rsidR="004B0C30" w:rsidRPr="004A50BE">
        <w:rPr>
          <w:rFonts w:ascii="Times New Roman" w:hAnsi="Times New Roman" w:cs="Times New Roman"/>
        </w:rPr>
        <w:t xml:space="preserve">target </w:t>
      </w:r>
      <w:r w:rsidRPr="004A50BE">
        <w:rPr>
          <w:rFonts w:ascii="Times New Roman" w:hAnsi="Times New Roman" w:cs="Times New Roman"/>
        </w:rPr>
        <w:t xml:space="preserve">population can be described as a group of individuals and objects that have common observable characteristics. </w:t>
      </w:r>
      <w:r w:rsidR="004B0C30" w:rsidRPr="004A50BE">
        <w:rPr>
          <w:rFonts w:ascii="Times New Roman" w:hAnsi="Times New Roman" w:cs="Times New Roman"/>
        </w:rPr>
        <w:t xml:space="preserve">The target population, on the other hand, is that specific portion of the population to which the researcher intends to generalize the findings of the </w:t>
      </w:r>
      <w:r w:rsidR="004A50BE" w:rsidRPr="004A50BE">
        <w:rPr>
          <w:rFonts w:ascii="Times New Roman" w:hAnsi="Times New Roman" w:cs="Times New Roman"/>
        </w:rPr>
        <w:t>study. This</w:t>
      </w:r>
      <w:r w:rsidRPr="004A50BE">
        <w:rPr>
          <w:rFonts w:ascii="Times New Roman" w:hAnsi="Times New Roman" w:cs="Times New Roman"/>
        </w:rPr>
        <w:t xml:space="preserve"> study was conducted in Nairobi city and focused on women who have been involved in political processes and either gotten elective seats or attempted to get elective seats </w:t>
      </w:r>
      <w:r w:rsidR="00F5530B" w:rsidRPr="004A50BE">
        <w:rPr>
          <w:rFonts w:ascii="Times New Roman" w:hAnsi="Times New Roman" w:cs="Times New Roman"/>
        </w:rPr>
        <w:t>because of</w:t>
      </w:r>
      <w:r w:rsidRPr="004A50BE">
        <w:rPr>
          <w:rFonts w:ascii="Times New Roman" w:hAnsi="Times New Roman" w:cs="Times New Roman"/>
        </w:rPr>
        <w:t xml:space="preserve"> CSO support whose organization’s mission is to build the capacities of women for political participation in Nairobi County</w:t>
      </w:r>
      <w:r w:rsidR="00DD14AE" w:rsidRPr="004A50BE">
        <w:rPr>
          <w:rFonts w:ascii="Times New Roman" w:hAnsi="Times New Roman" w:cs="Times New Roman"/>
        </w:rPr>
        <w:t>.</w:t>
      </w:r>
      <w:r w:rsidR="00DD14AE" w:rsidRPr="004A50BE">
        <w:t xml:space="preserve"> </w:t>
      </w:r>
      <w:r w:rsidR="00DD14AE" w:rsidRPr="004A50BE">
        <w:rPr>
          <w:rFonts w:ascii="Times New Roman" w:hAnsi="Times New Roman" w:cs="Times New Roman"/>
        </w:rPr>
        <w:t>The overall population was 1,962 women who were cleared by IEBC to contest in the 2022 General Elections. However, for the purpose of this study, the target population was 112 women in Nairobi City County</w:t>
      </w:r>
      <w:r w:rsidR="004A50BE">
        <w:rPr>
          <w:rFonts w:ascii="Times New Roman" w:hAnsi="Times New Roman" w:cs="Times New Roman"/>
        </w:rPr>
        <w:t>.</w:t>
      </w:r>
    </w:p>
    <w:p w14:paraId="1598BF99" w14:textId="2DB799F9" w:rsidR="00902A51" w:rsidRDefault="00480C89" w:rsidP="00902A51">
      <w:pPr>
        <w:jc w:val="both"/>
        <w:rPr>
          <w:rFonts w:ascii="Times New Roman" w:hAnsi="Times New Roman" w:cs="Times New Roman"/>
          <w:b/>
          <w:bCs/>
        </w:rPr>
      </w:pPr>
      <w:r>
        <w:rPr>
          <w:rFonts w:ascii="Times New Roman" w:hAnsi="Times New Roman" w:cs="Times New Roman"/>
          <w:b/>
          <w:bCs/>
        </w:rPr>
        <w:t>Sampling Frame</w:t>
      </w:r>
    </w:p>
    <w:p w14:paraId="5D799A5A" w14:textId="2531BB89" w:rsidR="00480C89" w:rsidRPr="004A50BE" w:rsidRDefault="00DD14AE" w:rsidP="00902A51">
      <w:pPr>
        <w:jc w:val="both"/>
        <w:rPr>
          <w:rFonts w:ascii="Times New Roman" w:hAnsi="Times New Roman" w:cs="Times New Roman"/>
        </w:rPr>
      </w:pPr>
      <w:r w:rsidRPr="004A50BE">
        <w:rPr>
          <w:rFonts w:ascii="Times New Roman" w:hAnsi="Times New Roman" w:cs="Times New Roman"/>
        </w:rPr>
        <w:t xml:space="preserve">A sampling frame is comprised of elements from where a sample is taken and create a source list of possible items of a finite population and  should represent a population as much as possible (Cargill &amp; O’ Connor, 2021). The sampling frame of this study comprised of </w:t>
      </w:r>
      <w:r w:rsidR="00EF79E2">
        <w:rPr>
          <w:rFonts w:ascii="Times New Roman" w:hAnsi="Times New Roman" w:cs="Times New Roman"/>
        </w:rPr>
        <w:t xml:space="preserve">all </w:t>
      </w:r>
      <w:r w:rsidRPr="004A50BE">
        <w:rPr>
          <w:rFonts w:ascii="Times New Roman" w:hAnsi="Times New Roman" w:cs="Times New Roman"/>
        </w:rPr>
        <w:t xml:space="preserve">women who have been involved in political processes and either gotten elective seats or attempted to get elective seats </w:t>
      </w:r>
      <w:r w:rsidR="00832604" w:rsidRPr="004A50BE">
        <w:rPr>
          <w:rFonts w:ascii="Times New Roman" w:hAnsi="Times New Roman" w:cs="Times New Roman"/>
        </w:rPr>
        <w:t>because of</w:t>
      </w:r>
      <w:r w:rsidRPr="004A50BE">
        <w:rPr>
          <w:rFonts w:ascii="Times New Roman" w:hAnsi="Times New Roman" w:cs="Times New Roman"/>
        </w:rPr>
        <w:t xml:space="preserve"> CSO support. Given the size of the target population (112 women political aspirants in Nairobi County), the study used a snowball approach.</w:t>
      </w:r>
    </w:p>
    <w:p w14:paraId="729068AA" w14:textId="797CB99F" w:rsidR="00480C89" w:rsidRDefault="00480C89" w:rsidP="00902A51">
      <w:pPr>
        <w:jc w:val="both"/>
        <w:rPr>
          <w:rFonts w:ascii="Times New Roman" w:hAnsi="Times New Roman" w:cs="Times New Roman"/>
          <w:b/>
          <w:bCs/>
        </w:rPr>
      </w:pPr>
      <w:r>
        <w:rPr>
          <w:rFonts w:ascii="Times New Roman" w:hAnsi="Times New Roman" w:cs="Times New Roman"/>
          <w:b/>
          <w:bCs/>
        </w:rPr>
        <w:t>Sample Size</w:t>
      </w:r>
    </w:p>
    <w:p w14:paraId="672FD128" w14:textId="2D031FFB" w:rsidR="004A50BE" w:rsidRPr="004A50BE" w:rsidRDefault="00DD14AE" w:rsidP="00DD14AE">
      <w:pPr>
        <w:jc w:val="both"/>
        <w:rPr>
          <w:rFonts w:ascii="Times New Roman" w:hAnsi="Times New Roman" w:cs="Times New Roman"/>
        </w:rPr>
      </w:pPr>
      <w:r w:rsidRPr="004A50BE">
        <w:rPr>
          <w:rFonts w:ascii="Times New Roman" w:hAnsi="Times New Roman" w:cs="Times New Roman"/>
        </w:rPr>
        <w:t xml:space="preserve">A sample is defined as the subset of the population that is chosen for research with intention to represent the whole population in the study (Kotler and Armstrong, 2018). For this study, the target population comprised 112 women in Nairobi City County who were cleared by the IEBC to contest in the 2022 elections.  The study adopted a </w:t>
      </w:r>
      <w:r w:rsidR="00D153AB">
        <w:rPr>
          <w:rFonts w:ascii="Times New Roman" w:hAnsi="Times New Roman" w:cs="Times New Roman"/>
        </w:rPr>
        <w:t>snowball</w:t>
      </w:r>
      <w:r w:rsidRPr="004A50BE">
        <w:rPr>
          <w:rFonts w:ascii="Times New Roman" w:hAnsi="Times New Roman" w:cs="Times New Roman"/>
        </w:rPr>
        <w:t xml:space="preserve"> approach considering this kind of population is not easy to find.</w:t>
      </w:r>
    </w:p>
    <w:p w14:paraId="56B69595" w14:textId="67165EED" w:rsidR="004B0C30" w:rsidRDefault="0039760E" w:rsidP="00DD14AE">
      <w:pPr>
        <w:jc w:val="both"/>
        <w:rPr>
          <w:rFonts w:ascii="Times New Roman" w:hAnsi="Times New Roman" w:cs="Times New Roman"/>
          <w:b/>
          <w:bCs/>
        </w:rPr>
      </w:pPr>
      <w:r>
        <w:rPr>
          <w:rFonts w:ascii="Times New Roman" w:hAnsi="Times New Roman" w:cs="Times New Roman"/>
          <w:b/>
          <w:bCs/>
        </w:rPr>
        <w:t>Data Collection Procedure</w:t>
      </w:r>
    </w:p>
    <w:p w14:paraId="6BE43B37" w14:textId="49AA6032" w:rsidR="004B0C30" w:rsidRPr="004A50BE" w:rsidRDefault="00863D68" w:rsidP="00DD14AE">
      <w:pPr>
        <w:jc w:val="both"/>
        <w:rPr>
          <w:rFonts w:ascii="Times New Roman" w:hAnsi="Times New Roman" w:cs="Times New Roman"/>
        </w:rPr>
      </w:pPr>
      <w:r w:rsidRPr="00863D68">
        <w:rPr>
          <w:rFonts w:ascii="Times New Roman" w:hAnsi="Times New Roman" w:cs="Times New Roman"/>
        </w:rPr>
        <w:t xml:space="preserve">A research instrument is a tool that a researcher can use to collect measure and analyze data (Cervone &amp; Pervin, 2022). </w:t>
      </w:r>
      <w:r>
        <w:rPr>
          <w:rFonts w:ascii="Times New Roman" w:hAnsi="Times New Roman" w:cs="Times New Roman"/>
        </w:rPr>
        <w:t xml:space="preserve">The </w:t>
      </w:r>
      <w:r w:rsidRPr="00863D68">
        <w:rPr>
          <w:rFonts w:ascii="Times New Roman" w:hAnsi="Times New Roman" w:cs="Times New Roman"/>
        </w:rPr>
        <w:t xml:space="preserve">researcher employed both primary and secondary data. </w:t>
      </w:r>
      <w:r w:rsidR="005A3DB9">
        <w:rPr>
          <w:rFonts w:ascii="Times New Roman" w:hAnsi="Times New Roman" w:cs="Times New Roman"/>
        </w:rPr>
        <w:t>The data for the purpose of this stud</w:t>
      </w:r>
      <w:r w:rsidR="006F5E55">
        <w:rPr>
          <w:rFonts w:ascii="Times New Roman" w:hAnsi="Times New Roman" w:cs="Times New Roman"/>
        </w:rPr>
        <w:t>y w</w:t>
      </w:r>
      <w:r w:rsidR="004B0C30" w:rsidRPr="004A50BE">
        <w:rPr>
          <w:rFonts w:ascii="Times New Roman" w:hAnsi="Times New Roman" w:cs="Times New Roman"/>
        </w:rPr>
        <w:t xml:space="preserve">as collected with the help of a semi -structured questionnaire and an In-depth interview. The questions were both closed and open ended, which enabled the researcher </w:t>
      </w:r>
      <w:r w:rsidR="004B0C30" w:rsidRPr="004A50BE">
        <w:rPr>
          <w:rFonts w:ascii="Times New Roman" w:hAnsi="Times New Roman" w:cs="Times New Roman"/>
        </w:rPr>
        <w:lastRenderedPageBreak/>
        <w:t>to get specific details from the respondents, and this facilitated structured data collection. A Likert scale was also used as it is most effective when it comes to measuring opinions (</w:t>
      </w:r>
      <w:r w:rsidR="00B431D4">
        <w:rPr>
          <w:rFonts w:ascii="Times New Roman" w:hAnsi="Times New Roman" w:cs="Times New Roman"/>
        </w:rPr>
        <w:t xml:space="preserve">Dykema </w:t>
      </w:r>
      <w:r w:rsidR="00B431D4" w:rsidRPr="00B431D4">
        <w:rPr>
          <w:rFonts w:ascii="Times New Roman" w:hAnsi="Times New Roman" w:cs="Times New Roman"/>
          <w:i/>
          <w:iCs/>
        </w:rPr>
        <w:t>et al</w:t>
      </w:r>
      <w:r w:rsidR="00B431D4">
        <w:rPr>
          <w:rFonts w:ascii="Times New Roman" w:hAnsi="Times New Roman" w:cs="Times New Roman"/>
        </w:rPr>
        <w:t>.</w:t>
      </w:r>
      <w:r w:rsidR="004B0C30" w:rsidRPr="004A50BE">
        <w:rPr>
          <w:rFonts w:ascii="Times New Roman" w:hAnsi="Times New Roman" w:cs="Times New Roman"/>
        </w:rPr>
        <w:t>, 2022).</w:t>
      </w:r>
    </w:p>
    <w:p w14:paraId="58F72070" w14:textId="347136BD" w:rsidR="004B0C30" w:rsidRDefault="004B0C30" w:rsidP="00DD14AE">
      <w:pPr>
        <w:jc w:val="both"/>
        <w:rPr>
          <w:rFonts w:ascii="Times New Roman" w:hAnsi="Times New Roman" w:cs="Times New Roman"/>
          <w:b/>
          <w:bCs/>
        </w:rPr>
      </w:pPr>
      <w:r>
        <w:rPr>
          <w:rFonts w:ascii="Times New Roman" w:hAnsi="Times New Roman" w:cs="Times New Roman"/>
          <w:b/>
          <w:bCs/>
        </w:rPr>
        <w:t xml:space="preserve">Data </w:t>
      </w:r>
      <w:r w:rsidR="00952C0F">
        <w:rPr>
          <w:rFonts w:ascii="Times New Roman" w:hAnsi="Times New Roman" w:cs="Times New Roman"/>
          <w:b/>
          <w:bCs/>
        </w:rPr>
        <w:t>Processing and Analysis</w:t>
      </w:r>
    </w:p>
    <w:p w14:paraId="57060B0B" w14:textId="2BAAC59B" w:rsidR="00952C0F" w:rsidRDefault="00863D68" w:rsidP="00952C0F">
      <w:pPr>
        <w:jc w:val="both"/>
        <w:rPr>
          <w:rFonts w:ascii="Times New Roman" w:hAnsi="Times New Roman" w:cs="Times New Roman"/>
        </w:rPr>
      </w:pPr>
      <w:r w:rsidRPr="00863D68">
        <w:rPr>
          <w:rFonts w:ascii="Times New Roman" w:hAnsi="Times New Roman" w:cs="Times New Roman"/>
        </w:rPr>
        <w:t>According to Green</w:t>
      </w:r>
      <w:r>
        <w:rPr>
          <w:rFonts w:ascii="Times New Roman" w:hAnsi="Times New Roman" w:cs="Times New Roman"/>
        </w:rPr>
        <w:t>e</w:t>
      </w:r>
      <w:r w:rsidRPr="00863D68">
        <w:rPr>
          <w:rFonts w:ascii="Times New Roman" w:hAnsi="Times New Roman" w:cs="Times New Roman"/>
        </w:rPr>
        <w:t xml:space="preserve"> (2003) the purpose of data analysis is to prepare raw data for presentation and statistical </w:t>
      </w:r>
      <w:proofErr w:type="spellStart"/>
      <w:r w:rsidRPr="00863D68">
        <w:rPr>
          <w:rFonts w:ascii="Times New Roman" w:hAnsi="Times New Roman" w:cs="Times New Roman"/>
        </w:rPr>
        <w:t>inference</w:t>
      </w:r>
      <w:r>
        <w:rPr>
          <w:rFonts w:ascii="Times New Roman" w:hAnsi="Times New Roman" w:cs="Times New Roman"/>
        </w:rPr>
        <w:t>.</w:t>
      </w:r>
      <w:r w:rsidR="00952C0F" w:rsidRPr="004A50BE">
        <w:rPr>
          <w:rFonts w:ascii="Times New Roman" w:hAnsi="Times New Roman" w:cs="Times New Roman"/>
        </w:rPr>
        <w:t>After</w:t>
      </w:r>
      <w:proofErr w:type="spellEnd"/>
      <w:r w:rsidR="00952C0F" w:rsidRPr="004A50BE">
        <w:rPr>
          <w:rFonts w:ascii="Times New Roman" w:hAnsi="Times New Roman" w:cs="Times New Roman"/>
        </w:rPr>
        <w:t xml:space="preserve"> the data collection process, the data was </w:t>
      </w:r>
      <w:r w:rsidR="009F50A3">
        <w:rPr>
          <w:rFonts w:ascii="Times New Roman" w:hAnsi="Times New Roman" w:cs="Times New Roman"/>
        </w:rPr>
        <w:t xml:space="preserve"> cleaned, </w:t>
      </w:r>
      <w:r w:rsidR="00422FE1">
        <w:rPr>
          <w:rFonts w:ascii="Times New Roman" w:hAnsi="Times New Roman" w:cs="Times New Roman"/>
        </w:rPr>
        <w:t xml:space="preserve"> </w:t>
      </w:r>
      <w:r w:rsidR="00952C0F" w:rsidRPr="004A50BE">
        <w:rPr>
          <w:rFonts w:ascii="Times New Roman" w:hAnsi="Times New Roman" w:cs="Times New Roman"/>
        </w:rPr>
        <w:t xml:space="preserve">edited, coded, classified and tabulated so that they could be amendable for analysis. The </w:t>
      </w:r>
      <w:r w:rsidR="00422FE1">
        <w:rPr>
          <w:rFonts w:ascii="Times New Roman" w:hAnsi="Times New Roman" w:cs="Times New Roman"/>
        </w:rPr>
        <w:t xml:space="preserve">data collected was analyzed by use of descriptive and inferential </w:t>
      </w:r>
      <w:r w:rsidR="00127BFD">
        <w:rPr>
          <w:rFonts w:ascii="Times New Roman" w:hAnsi="Times New Roman" w:cs="Times New Roman"/>
        </w:rPr>
        <w:t>statistics</w:t>
      </w:r>
      <w:r w:rsidR="00B94358">
        <w:rPr>
          <w:rFonts w:ascii="Times New Roman" w:hAnsi="Times New Roman" w:cs="Times New Roman"/>
        </w:rPr>
        <w:t xml:space="preserve"> </w:t>
      </w:r>
      <w:r w:rsidR="00B94358" w:rsidRPr="004A50BE">
        <w:rPr>
          <w:rFonts w:ascii="Times New Roman" w:hAnsi="Times New Roman" w:cs="Times New Roman"/>
        </w:rPr>
        <w:t>using Statistical Package for Social Sciences (SPSS) version 28.</w:t>
      </w:r>
      <w:r w:rsidR="002815FF">
        <w:rPr>
          <w:rFonts w:ascii="Times New Roman" w:hAnsi="Times New Roman" w:cs="Times New Roman"/>
        </w:rPr>
        <w:t xml:space="preserve"> U</w:t>
      </w:r>
      <w:r w:rsidR="00127BFD">
        <w:rPr>
          <w:rFonts w:ascii="Times New Roman" w:hAnsi="Times New Roman" w:cs="Times New Roman"/>
        </w:rPr>
        <w:t>nder</w:t>
      </w:r>
      <w:r w:rsidR="00952C0F" w:rsidRPr="004A50BE">
        <w:rPr>
          <w:rFonts w:ascii="Times New Roman" w:hAnsi="Times New Roman" w:cs="Times New Roman"/>
        </w:rPr>
        <w:t xml:space="preserve"> descriptive statistics</w:t>
      </w:r>
      <w:r w:rsidR="00CD0ED9">
        <w:rPr>
          <w:rFonts w:ascii="Times New Roman" w:hAnsi="Times New Roman" w:cs="Times New Roman"/>
        </w:rPr>
        <w:t>,</w:t>
      </w:r>
      <w:r w:rsidR="00471577">
        <w:rPr>
          <w:rFonts w:ascii="Times New Roman" w:hAnsi="Times New Roman" w:cs="Times New Roman"/>
        </w:rPr>
        <w:t xml:space="preserve"> frequency, </w:t>
      </w:r>
      <w:r w:rsidR="00CC3AB3">
        <w:rPr>
          <w:rFonts w:ascii="Times New Roman" w:hAnsi="Times New Roman" w:cs="Times New Roman"/>
        </w:rPr>
        <w:t xml:space="preserve"> </w:t>
      </w:r>
      <w:r w:rsidR="00952C0F" w:rsidRPr="004A50BE">
        <w:rPr>
          <w:rFonts w:ascii="Times New Roman" w:hAnsi="Times New Roman" w:cs="Times New Roman"/>
        </w:rPr>
        <w:t>mean and standard deviation</w:t>
      </w:r>
      <w:r w:rsidR="00CD0ED9">
        <w:rPr>
          <w:rFonts w:ascii="Times New Roman" w:hAnsi="Times New Roman" w:cs="Times New Roman"/>
        </w:rPr>
        <w:t xml:space="preserve"> were computed and under inferential statistics </w:t>
      </w:r>
      <w:r w:rsidR="001903FB">
        <w:rPr>
          <w:rFonts w:ascii="Times New Roman" w:hAnsi="Times New Roman" w:cs="Times New Roman"/>
        </w:rPr>
        <w:t>correlational analysis and simple regression analysis were used</w:t>
      </w:r>
      <w:r w:rsidR="00B94358">
        <w:rPr>
          <w:rFonts w:ascii="Times New Roman" w:hAnsi="Times New Roman" w:cs="Times New Roman"/>
        </w:rPr>
        <w:t>.</w:t>
      </w:r>
      <w:r w:rsidR="00952C0F" w:rsidRPr="004A50BE">
        <w:rPr>
          <w:rFonts w:ascii="Times New Roman" w:hAnsi="Times New Roman" w:cs="Times New Roman"/>
        </w:rPr>
        <w:t xml:space="preserve"> </w:t>
      </w:r>
    </w:p>
    <w:p w14:paraId="21D966D5" w14:textId="01BCAA56" w:rsidR="00952C0F" w:rsidRPr="004A50BE" w:rsidRDefault="00952C0F" w:rsidP="00952C0F">
      <w:pPr>
        <w:jc w:val="both"/>
        <w:rPr>
          <w:rFonts w:ascii="Times New Roman" w:hAnsi="Times New Roman" w:cs="Times New Roman"/>
        </w:rPr>
      </w:pPr>
      <w:r w:rsidRPr="004A50BE">
        <w:rPr>
          <w:rFonts w:ascii="Times New Roman" w:hAnsi="Times New Roman" w:cs="Times New Roman"/>
        </w:rPr>
        <w:t xml:space="preserve">Regression was the most preferred method because of its ability to accurately estimate and in fact display a positive or negative association between independent and dependent variables and further qualify whether such a relationship is either significant or non-significant (Cooper and Schindler, 2018). </w:t>
      </w:r>
      <w:r w:rsidR="008E33B6">
        <w:rPr>
          <w:rFonts w:ascii="Times New Roman" w:hAnsi="Times New Roman" w:cs="Times New Roman"/>
        </w:rPr>
        <w:t>Simple</w:t>
      </w:r>
      <w:r w:rsidRPr="004A50BE">
        <w:rPr>
          <w:rFonts w:ascii="Times New Roman" w:hAnsi="Times New Roman" w:cs="Times New Roman"/>
        </w:rPr>
        <w:t xml:space="preserve"> regression analysis was applied to test the relationship between independent and dependent variables. The model aimed at the tentative calculation of interaction effects between the independent variable and the dependent variable.</w:t>
      </w:r>
    </w:p>
    <w:p w14:paraId="2C4AC0A3" w14:textId="42E6F916" w:rsidR="00952C0F" w:rsidRPr="004A50BE" w:rsidRDefault="00952C0F" w:rsidP="00952C0F">
      <w:pPr>
        <w:jc w:val="both"/>
        <w:rPr>
          <w:rFonts w:ascii="Times New Roman" w:hAnsi="Times New Roman" w:cs="Times New Roman"/>
        </w:rPr>
      </w:pPr>
      <w:r w:rsidRPr="004A50BE">
        <w:rPr>
          <w:rFonts w:ascii="Times New Roman" w:hAnsi="Times New Roman" w:cs="Times New Roman"/>
        </w:rPr>
        <w:t xml:space="preserve">The </w:t>
      </w:r>
      <w:r w:rsidR="008E33B6">
        <w:rPr>
          <w:rFonts w:ascii="Times New Roman" w:hAnsi="Times New Roman" w:cs="Times New Roman"/>
        </w:rPr>
        <w:t>simple</w:t>
      </w:r>
      <w:r w:rsidRPr="004A50BE">
        <w:rPr>
          <w:rFonts w:ascii="Times New Roman" w:hAnsi="Times New Roman" w:cs="Times New Roman"/>
        </w:rPr>
        <w:t xml:space="preserve"> regression </w:t>
      </w:r>
      <w:r w:rsidR="008E33B6">
        <w:rPr>
          <w:rFonts w:ascii="Times New Roman" w:hAnsi="Times New Roman" w:cs="Times New Roman"/>
        </w:rPr>
        <w:t>model was of the form:</w:t>
      </w:r>
    </w:p>
    <w:p w14:paraId="4ACCFD17" w14:textId="1E76D4A9" w:rsidR="00952C0F" w:rsidRPr="004A50BE" w:rsidRDefault="00952C0F" w:rsidP="00952C0F">
      <w:pPr>
        <w:jc w:val="both"/>
        <w:rPr>
          <w:rFonts w:ascii="Times New Roman" w:hAnsi="Times New Roman" w:cs="Times New Roman"/>
        </w:rPr>
      </w:pPr>
      <w:r w:rsidRPr="004A50BE">
        <w:rPr>
          <w:rFonts w:ascii="Times New Roman" w:hAnsi="Times New Roman" w:cs="Times New Roman"/>
        </w:rPr>
        <w:t>Y= β</w:t>
      </w:r>
      <w:r w:rsidRPr="004A50BE">
        <w:rPr>
          <w:rFonts w:ascii="Times New Roman" w:hAnsi="Times New Roman" w:cs="Times New Roman"/>
          <w:vertAlign w:val="subscript"/>
        </w:rPr>
        <w:t>0</w:t>
      </w:r>
      <w:r w:rsidRPr="004A50BE">
        <w:rPr>
          <w:rFonts w:ascii="Times New Roman" w:hAnsi="Times New Roman" w:cs="Times New Roman"/>
        </w:rPr>
        <w:t xml:space="preserve"> + β</w:t>
      </w:r>
      <w:r w:rsidRPr="004A50BE">
        <w:rPr>
          <w:rFonts w:ascii="Times New Roman" w:hAnsi="Times New Roman" w:cs="Times New Roman"/>
          <w:vertAlign w:val="subscript"/>
        </w:rPr>
        <w:t>1</w:t>
      </w:r>
      <w:r w:rsidRPr="004A50BE">
        <w:rPr>
          <w:rFonts w:ascii="Times New Roman" w:hAnsi="Times New Roman" w:cs="Times New Roman"/>
        </w:rPr>
        <w:t>X</w:t>
      </w:r>
      <w:r w:rsidRPr="004A50BE">
        <w:rPr>
          <w:rFonts w:ascii="Times New Roman" w:hAnsi="Times New Roman" w:cs="Times New Roman"/>
          <w:vertAlign w:val="subscript"/>
        </w:rPr>
        <w:t>1</w:t>
      </w:r>
      <w:r w:rsidRPr="004A50BE">
        <w:rPr>
          <w:rFonts w:ascii="Times New Roman" w:hAnsi="Times New Roman" w:cs="Times New Roman"/>
        </w:rPr>
        <w:t xml:space="preserve"> + ε</w:t>
      </w:r>
    </w:p>
    <w:p w14:paraId="351626F6" w14:textId="77777777" w:rsidR="00952C0F" w:rsidRPr="004A50BE" w:rsidRDefault="00952C0F" w:rsidP="00952C0F">
      <w:pPr>
        <w:jc w:val="both"/>
        <w:rPr>
          <w:rFonts w:ascii="Times New Roman" w:hAnsi="Times New Roman" w:cs="Times New Roman"/>
        </w:rPr>
      </w:pPr>
      <w:r w:rsidRPr="004A50BE">
        <w:rPr>
          <w:rFonts w:ascii="Times New Roman" w:hAnsi="Times New Roman" w:cs="Times New Roman"/>
        </w:rPr>
        <w:t>Where, Y = Women’s Political Participation</w:t>
      </w:r>
    </w:p>
    <w:p w14:paraId="2DE16969" w14:textId="77777777" w:rsidR="00952C0F" w:rsidRPr="004A50BE" w:rsidRDefault="00952C0F" w:rsidP="00952C0F">
      <w:pPr>
        <w:jc w:val="both"/>
        <w:rPr>
          <w:rFonts w:ascii="Times New Roman" w:hAnsi="Times New Roman" w:cs="Times New Roman"/>
        </w:rPr>
      </w:pPr>
      <w:r w:rsidRPr="004A50BE">
        <w:rPr>
          <w:rFonts w:ascii="Times New Roman" w:hAnsi="Times New Roman" w:cs="Times New Roman"/>
        </w:rPr>
        <w:t>β</w:t>
      </w:r>
      <w:r w:rsidRPr="004A50BE">
        <w:rPr>
          <w:rFonts w:ascii="Times New Roman" w:hAnsi="Times New Roman" w:cs="Times New Roman"/>
          <w:vertAlign w:val="subscript"/>
        </w:rPr>
        <w:t>0</w:t>
      </w:r>
      <w:r w:rsidRPr="004A50BE">
        <w:rPr>
          <w:rFonts w:ascii="Times New Roman" w:hAnsi="Times New Roman" w:cs="Times New Roman"/>
        </w:rPr>
        <w:t xml:space="preserve"> = The intercept/constant </w:t>
      </w:r>
    </w:p>
    <w:p w14:paraId="3B95A3E8" w14:textId="6A9AA514" w:rsidR="00952C0F" w:rsidRPr="004A50BE" w:rsidRDefault="00952C0F" w:rsidP="00952C0F">
      <w:pPr>
        <w:jc w:val="both"/>
        <w:rPr>
          <w:rFonts w:ascii="Times New Roman" w:hAnsi="Times New Roman" w:cs="Times New Roman"/>
        </w:rPr>
      </w:pPr>
      <w:r w:rsidRPr="004A50BE">
        <w:rPr>
          <w:rFonts w:ascii="Times New Roman" w:hAnsi="Times New Roman" w:cs="Times New Roman"/>
        </w:rPr>
        <w:t>β</w:t>
      </w:r>
      <w:r w:rsidRPr="004A50BE">
        <w:rPr>
          <w:rFonts w:ascii="Times New Roman" w:hAnsi="Times New Roman" w:cs="Times New Roman"/>
          <w:vertAlign w:val="subscript"/>
        </w:rPr>
        <w:t>1</w:t>
      </w:r>
      <w:r w:rsidRPr="004A50BE">
        <w:rPr>
          <w:rFonts w:ascii="Times New Roman" w:hAnsi="Times New Roman" w:cs="Times New Roman"/>
        </w:rPr>
        <w:t xml:space="preserve"> = Beta coefficients to be estimated</w:t>
      </w:r>
    </w:p>
    <w:p w14:paraId="76BDCF0C" w14:textId="2C87665E" w:rsidR="00952C0F" w:rsidRPr="004A50BE" w:rsidRDefault="00952C0F" w:rsidP="00952C0F">
      <w:pPr>
        <w:jc w:val="both"/>
        <w:rPr>
          <w:rFonts w:ascii="Times New Roman" w:hAnsi="Times New Roman" w:cs="Times New Roman"/>
        </w:rPr>
      </w:pPr>
      <w:r w:rsidRPr="004A50BE">
        <w:rPr>
          <w:rFonts w:ascii="Times New Roman" w:hAnsi="Times New Roman" w:cs="Times New Roman"/>
        </w:rPr>
        <w:t>X</w:t>
      </w:r>
      <w:r w:rsidRPr="004A50BE">
        <w:rPr>
          <w:rFonts w:ascii="Times New Roman" w:hAnsi="Times New Roman" w:cs="Times New Roman"/>
          <w:vertAlign w:val="subscript"/>
        </w:rPr>
        <w:t>1</w:t>
      </w:r>
      <w:r w:rsidRPr="004A50BE">
        <w:rPr>
          <w:rFonts w:ascii="Times New Roman" w:hAnsi="Times New Roman" w:cs="Times New Roman"/>
        </w:rPr>
        <w:t xml:space="preserve"> = Capacity Building</w:t>
      </w:r>
    </w:p>
    <w:p w14:paraId="62D10B02" w14:textId="77777777" w:rsidR="00952C0F" w:rsidRPr="004A50BE" w:rsidRDefault="00952C0F" w:rsidP="00952C0F">
      <w:pPr>
        <w:jc w:val="both"/>
        <w:rPr>
          <w:rFonts w:ascii="Times New Roman" w:hAnsi="Times New Roman" w:cs="Times New Roman"/>
        </w:rPr>
      </w:pPr>
      <w:r w:rsidRPr="004A50BE">
        <w:rPr>
          <w:rFonts w:ascii="Times New Roman" w:hAnsi="Times New Roman" w:cs="Times New Roman"/>
        </w:rPr>
        <w:t>ε = Error term</w:t>
      </w:r>
    </w:p>
    <w:p w14:paraId="08A02B7D" w14:textId="2CE7D518" w:rsidR="00952C0F" w:rsidRPr="004A50BE" w:rsidRDefault="00952C0F" w:rsidP="00952C0F">
      <w:pPr>
        <w:jc w:val="both"/>
        <w:rPr>
          <w:rFonts w:ascii="Times New Roman" w:hAnsi="Times New Roman" w:cs="Times New Roman"/>
        </w:rPr>
      </w:pPr>
      <w:r w:rsidRPr="004A50BE">
        <w:rPr>
          <w:rFonts w:ascii="Times New Roman" w:hAnsi="Times New Roman" w:cs="Times New Roman"/>
        </w:rPr>
        <w:t>The test of relationships and significance between variables was obtained using inferential statistics. Pearson correlation was employed to assess the strength of the relationship between independent and dependent variables. The relationship is considered significant at a p-value of &lt;0.05. A Pearson correlation (r) value of ± 0.5 shows a strong correlation, ± 0.30 to ± 0.49 moderate correlation while ± 0.29 is weak. Significance is at less than 0.05 (</w:t>
      </w:r>
      <w:r w:rsidR="00B431D4">
        <w:rPr>
          <w:rFonts w:ascii="Times New Roman" w:hAnsi="Times New Roman" w:cs="Times New Roman"/>
        </w:rPr>
        <w:t>Pallant,2020</w:t>
      </w:r>
      <w:r w:rsidRPr="004A50BE">
        <w:rPr>
          <w:rFonts w:ascii="Times New Roman" w:hAnsi="Times New Roman" w:cs="Times New Roman"/>
        </w:rPr>
        <w:t>).</w:t>
      </w:r>
    </w:p>
    <w:p w14:paraId="03B11323" w14:textId="534D3D3C" w:rsidR="00952C0F" w:rsidRPr="004A50BE" w:rsidRDefault="00952C0F" w:rsidP="00952C0F">
      <w:pPr>
        <w:jc w:val="both"/>
        <w:rPr>
          <w:rFonts w:ascii="Times New Roman" w:hAnsi="Times New Roman" w:cs="Times New Roman"/>
        </w:rPr>
      </w:pPr>
      <w:r w:rsidRPr="004A50BE">
        <w:rPr>
          <w:rFonts w:ascii="Times New Roman" w:hAnsi="Times New Roman" w:cs="Times New Roman"/>
        </w:rPr>
        <w:t xml:space="preserve">Analysis of Variance (ANOVA) was also </w:t>
      </w:r>
      <w:r w:rsidR="000D2EA1">
        <w:rPr>
          <w:rFonts w:ascii="Times New Roman" w:hAnsi="Times New Roman" w:cs="Times New Roman"/>
        </w:rPr>
        <w:t>undertaken</w:t>
      </w:r>
      <w:r w:rsidRPr="004A50BE">
        <w:rPr>
          <w:rFonts w:ascii="Times New Roman" w:hAnsi="Times New Roman" w:cs="Times New Roman"/>
        </w:rPr>
        <w:t xml:space="preserve"> to determine the overall significance and goodness of fit of the regression model. The applicability of this model </w:t>
      </w:r>
      <w:r w:rsidR="006D0E91">
        <w:rPr>
          <w:rFonts w:ascii="Times New Roman" w:hAnsi="Times New Roman" w:cs="Times New Roman"/>
        </w:rPr>
        <w:t>in the context of th</w:t>
      </w:r>
      <w:r w:rsidR="00655B38">
        <w:rPr>
          <w:rFonts w:ascii="Times New Roman" w:hAnsi="Times New Roman" w:cs="Times New Roman"/>
        </w:rPr>
        <w:t xml:space="preserve">is </w:t>
      </w:r>
      <w:r w:rsidR="006D0E91">
        <w:rPr>
          <w:rFonts w:ascii="Times New Roman" w:hAnsi="Times New Roman" w:cs="Times New Roman"/>
        </w:rPr>
        <w:t xml:space="preserve">study </w:t>
      </w:r>
      <w:r w:rsidRPr="004A50BE">
        <w:rPr>
          <w:rFonts w:ascii="Times New Roman" w:hAnsi="Times New Roman" w:cs="Times New Roman"/>
        </w:rPr>
        <w:t xml:space="preserve"> was evaluated using the p-value </w:t>
      </w:r>
      <w:r w:rsidR="00655B38">
        <w:rPr>
          <w:rFonts w:ascii="Times New Roman" w:hAnsi="Times New Roman" w:cs="Times New Roman"/>
        </w:rPr>
        <w:t xml:space="preserve">and </w:t>
      </w:r>
      <w:r w:rsidRPr="004A50BE">
        <w:rPr>
          <w:rFonts w:ascii="Times New Roman" w:hAnsi="Times New Roman" w:cs="Times New Roman"/>
        </w:rPr>
        <w:t>F-statistic</w:t>
      </w:r>
      <w:r w:rsidR="0098394A">
        <w:rPr>
          <w:rFonts w:ascii="Times New Roman" w:hAnsi="Times New Roman" w:cs="Times New Roman"/>
        </w:rPr>
        <w:t xml:space="preserve">. </w:t>
      </w:r>
      <w:r w:rsidR="0098394A" w:rsidRPr="0098394A">
        <w:rPr>
          <w:rFonts w:ascii="Times New Roman" w:hAnsi="Times New Roman" w:cs="Times New Roman"/>
        </w:rPr>
        <w:t>F statistic is used in hypothesis testing to compare explained variance to unexplained variance and decide whether a model or group differences are statistically meaningful</w:t>
      </w:r>
      <w:r w:rsidR="008105F4">
        <w:rPr>
          <w:rFonts w:ascii="Times New Roman" w:hAnsi="Times New Roman" w:cs="Times New Roman"/>
        </w:rPr>
        <w:t>. P</w:t>
      </w:r>
      <w:r w:rsidR="008105F4" w:rsidRPr="008105F4">
        <w:rPr>
          <w:rFonts w:ascii="Times New Roman" w:hAnsi="Times New Roman" w:cs="Times New Roman"/>
        </w:rPr>
        <w:t>-</w:t>
      </w:r>
      <w:r w:rsidR="00B00331" w:rsidRPr="008105F4">
        <w:rPr>
          <w:rFonts w:ascii="Times New Roman" w:hAnsi="Times New Roman" w:cs="Times New Roman"/>
        </w:rPr>
        <w:t xml:space="preserve">value </w:t>
      </w:r>
      <w:r w:rsidR="00B00331">
        <w:rPr>
          <w:rFonts w:ascii="Times New Roman" w:hAnsi="Times New Roman" w:cs="Times New Roman"/>
        </w:rPr>
        <w:t xml:space="preserve">on the other hand </w:t>
      </w:r>
      <w:r w:rsidR="008105F4" w:rsidRPr="008105F4">
        <w:rPr>
          <w:rFonts w:ascii="Times New Roman" w:hAnsi="Times New Roman" w:cs="Times New Roman"/>
        </w:rPr>
        <w:t xml:space="preserve">is used in hypothesis testing to quantify how </w:t>
      </w:r>
      <w:r w:rsidR="008105F4" w:rsidRPr="008105F4">
        <w:rPr>
          <w:rFonts w:ascii="Times New Roman" w:hAnsi="Times New Roman" w:cs="Times New Roman"/>
        </w:rPr>
        <w:lastRenderedPageBreak/>
        <w:t xml:space="preserve">compatible your data </w:t>
      </w:r>
      <w:proofErr w:type="gramStart"/>
      <w:r w:rsidR="008105F4" w:rsidRPr="008105F4">
        <w:rPr>
          <w:rFonts w:ascii="Times New Roman" w:hAnsi="Times New Roman" w:cs="Times New Roman"/>
        </w:rPr>
        <w:t>are</w:t>
      </w:r>
      <w:proofErr w:type="gramEnd"/>
      <w:r w:rsidR="008105F4" w:rsidRPr="008105F4">
        <w:rPr>
          <w:rFonts w:ascii="Times New Roman" w:hAnsi="Times New Roman" w:cs="Times New Roman"/>
        </w:rPr>
        <w:t xml:space="preserve"> with the null hypothesis.</w:t>
      </w:r>
      <w:r w:rsidR="00B00331">
        <w:rPr>
          <w:rFonts w:ascii="Times New Roman" w:hAnsi="Times New Roman" w:cs="Times New Roman"/>
        </w:rPr>
        <w:t xml:space="preserve"> A</w:t>
      </w:r>
      <w:r w:rsidRPr="004A50BE">
        <w:rPr>
          <w:rFonts w:ascii="Times New Roman" w:hAnsi="Times New Roman" w:cs="Times New Roman"/>
        </w:rPr>
        <w:t xml:space="preserve"> </w:t>
      </w:r>
      <w:r w:rsidR="008E6C2F">
        <w:rPr>
          <w:rFonts w:ascii="Times New Roman" w:hAnsi="Times New Roman" w:cs="Times New Roman"/>
        </w:rPr>
        <w:t xml:space="preserve"> p</w:t>
      </w:r>
      <w:r w:rsidRPr="004A50BE">
        <w:rPr>
          <w:rFonts w:ascii="Times New Roman" w:hAnsi="Times New Roman" w:cs="Times New Roman"/>
        </w:rPr>
        <w:t>-value less than 0.05 indicates that the model is significant, possesses strong predictors of the dependent variable, and that the results are not attributable to chance. If the p-value exceeded 0.05, the model is deemed insignificant and unsuitable for elucidating variations in the dependent variable</w:t>
      </w:r>
    </w:p>
    <w:p w14:paraId="1D874E67" w14:textId="66A78541" w:rsidR="00952C0F" w:rsidRDefault="00952C0F" w:rsidP="00DD14AE">
      <w:pPr>
        <w:jc w:val="both"/>
        <w:rPr>
          <w:rFonts w:ascii="Times New Roman" w:hAnsi="Times New Roman" w:cs="Times New Roman"/>
          <w:b/>
          <w:bCs/>
        </w:rPr>
      </w:pPr>
      <w:r>
        <w:rPr>
          <w:rFonts w:ascii="Times New Roman" w:hAnsi="Times New Roman" w:cs="Times New Roman"/>
          <w:b/>
          <w:bCs/>
        </w:rPr>
        <w:t>RESULTS AND DISCUSSION</w:t>
      </w:r>
    </w:p>
    <w:p w14:paraId="18CA077B" w14:textId="1FAFA4AF" w:rsidR="00E92A93" w:rsidRDefault="00E92A93" w:rsidP="003159DC">
      <w:pPr>
        <w:keepNext/>
        <w:keepLines/>
        <w:suppressAutoHyphens/>
        <w:spacing w:before="120" w:after="120" w:line="360" w:lineRule="auto"/>
        <w:jc w:val="both"/>
        <w:outlineLvl w:val="1"/>
        <w:rPr>
          <w:rFonts w:ascii="Times New Roman" w:eastAsia="Calibri" w:hAnsi="Times New Roman" w:cs="Calibri"/>
          <w:b/>
          <w:kern w:val="0"/>
          <w:szCs w:val="36"/>
          <w:lang w:val="en-GB"/>
          <w14:ligatures w14:val="none"/>
        </w:rPr>
      </w:pPr>
      <w:r w:rsidRPr="00E92A93">
        <w:rPr>
          <w:rFonts w:ascii="Times New Roman" w:eastAsia="Calibri" w:hAnsi="Times New Roman" w:cs="Calibri"/>
          <w:b/>
          <w:kern w:val="0"/>
          <w:szCs w:val="36"/>
          <w:lang w:val="en-GB"/>
          <w14:ligatures w14:val="none"/>
        </w:rPr>
        <w:t>Demographic Information</w:t>
      </w:r>
    </w:p>
    <w:p w14:paraId="12A3072E" w14:textId="71EB7282" w:rsidR="003A4D3E" w:rsidRPr="003A4D3E" w:rsidRDefault="003A4D3E" w:rsidP="003159DC">
      <w:pPr>
        <w:keepNext/>
        <w:keepLines/>
        <w:suppressAutoHyphens/>
        <w:spacing w:before="120" w:after="120" w:line="360" w:lineRule="auto"/>
        <w:jc w:val="both"/>
        <w:outlineLvl w:val="1"/>
        <w:rPr>
          <w:rFonts w:ascii="Times New Roman" w:eastAsia="Calibri" w:hAnsi="Times New Roman" w:cs="Calibri"/>
          <w:bCs/>
          <w:kern w:val="0"/>
          <w:szCs w:val="36"/>
          <w:lang w:val="en-GB"/>
          <w14:ligatures w14:val="none"/>
        </w:rPr>
      </w:pPr>
      <w:r w:rsidRPr="003A4D3E">
        <w:rPr>
          <w:rFonts w:ascii="Times New Roman" w:eastAsia="Calibri" w:hAnsi="Times New Roman" w:cs="Calibri"/>
          <w:bCs/>
          <w:kern w:val="0"/>
          <w:szCs w:val="36"/>
          <w:lang w:val="en-GB"/>
          <w14:ligatures w14:val="none"/>
        </w:rPr>
        <w:t xml:space="preserve">In this section, the demographic characteristics of the respondents were presented </w:t>
      </w:r>
      <w:proofErr w:type="gramStart"/>
      <w:r w:rsidRPr="003A4D3E">
        <w:rPr>
          <w:rFonts w:ascii="Times New Roman" w:eastAsia="Calibri" w:hAnsi="Times New Roman" w:cs="Calibri"/>
          <w:bCs/>
          <w:kern w:val="0"/>
          <w:szCs w:val="36"/>
          <w:lang w:val="en-GB"/>
          <w14:ligatures w14:val="none"/>
        </w:rPr>
        <w:t>in order to</w:t>
      </w:r>
      <w:proofErr w:type="gramEnd"/>
      <w:r w:rsidRPr="003A4D3E">
        <w:rPr>
          <w:rFonts w:ascii="Times New Roman" w:eastAsia="Calibri" w:hAnsi="Times New Roman" w:cs="Calibri"/>
          <w:bCs/>
          <w:kern w:val="0"/>
          <w:szCs w:val="36"/>
          <w:lang w:val="en-GB"/>
          <w14:ligatures w14:val="none"/>
        </w:rPr>
        <w:t xml:space="preserve"> describe the study sample and provide contextual background for interpreting the subsequent findings</w:t>
      </w:r>
    </w:p>
    <w:p w14:paraId="1489B3B4" w14:textId="77777777" w:rsidR="00C43173" w:rsidRPr="00C43173" w:rsidRDefault="00C43173" w:rsidP="00C43173">
      <w:pPr>
        <w:keepNext/>
        <w:keepLines/>
        <w:suppressAutoHyphens/>
        <w:spacing w:before="120" w:after="120" w:line="360" w:lineRule="auto"/>
        <w:jc w:val="both"/>
        <w:outlineLvl w:val="1"/>
        <w:rPr>
          <w:rFonts w:ascii="Times New Roman" w:eastAsia="Calibri" w:hAnsi="Times New Roman" w:cs="Calibri"/>
          <w:b/>
          <w:kern w:val="0"/>
          <w:szCs w:val="36"/>
          <w:lang w:val="en-GB"/>
          <w14:ligatures w14:val="none"/>
        </w:rPr>
      </w:pPr>
      <w:r w:rsidRPr="00C43173">
        <w:rPr>
          <w:rFonts w:ascii="Times New Roman" w:eastAsia="Calibri" w:hAnsi="Times New Roman" w:cs="Calibri"/>
          <w:b/>
          <w:kern w:val="0"/>
          <w:szCs w:val="36"/>
          <w:lang w:val="en-GB"/>
          <w14:ligatures w14:val="none"/>
        </w:rPr>
        <w:t>Response Rate</w:t>
      </w:r>
    </w:p>
    <w:p w14:paraId="01BFCBD9" w14:textId="77777777" w:rsidR="00C43173" w:rsidRPr="00C43173" w:rsidRDefault="00C43173" w:rsidP="00C43173">
      <w:pPr>
        <w:suppressAutoHyphens/>
        <w:spacing w:before="120" w:after="120" w:line="360" w:lineRule="auto"/>
        <w:jc w:val="both"/>
        <w:rPr>
          <w:rFonts w:ascii="Times New Roman" w:eastAsia="Calibri" w:hAnsi="Times New Roman" w:cs="Calibri"/>
          <w:kern w:val="0"/>
          <w:szCs w:val="22"/>
          <w:lang w:val="en-GB"/>
          <w14:ligatures w14:val="none"/>
        </w:rPr>
      </w:pPr>
      <w:r w:rsidRPr="00C43173">
        <w:rPr>
          <w:rFonts w:ascii="Times New Roman" w:eastAsia="Calibri" w:hAnsi="Times New Roman" w:cs="Calibri"/>
          <w:kern w:val="0"/>
          <w:szCs w:val="22"/>
          <w:lang w:val="en-GB"/>
          <w14:ligatures w14:val="none"/>
        </w:rPr>
        <w:t>From the population of 112 participants, 12 had participated in a pilot test, hence were excluded from the final data collection to avoid biasness. Of the 100 questionnaires that were administered to the respondents 83 were fully filled and returned to the researcher whereas 17 were not returned thus making a response rate of 83%. Bhardwaj (2019) argues that a response rate which is more than 50% is considered adequate while excellent response rate is usually above 70%. This implies that the response rate in this study is good for making conclusions as well as recommendations.</w:t>
      </w:r>
    </w:p>
    <w:p w14:paraId="35FBF3F0" w14:textId="7C4BB730" w:rsidR="00C43173" w:rsidRPr="00C43173" w:rsidRDefault="00C43173" w:rsidP="00C43173">
      <w:pPr>
        <w:suppressAutoHyphens/>
        <w:spacing w:before="120" w:after="120" w:line="360" w:lineRule="auto"/>
        <w:jc w:val="both"/>
        <w:rPr>
          <w:rFonts w:ascii="Times New Roman" w:eastAsia="Times New Roman" w:hAnsi="Times New Roman" w:cs="Times New Roman"/>
          <w:b/>
          <w:bCs/>
          <w:kern w:val="0"/>
          <w:szCs w:val="20"/>
          <w:lang w:val="en-GB"/>
          <w14:ligatures w14:val="none"/>
        </w:rPr>
      </w:pPr>
      <w:bookmarkStart w:id="0" w:name="_Toc190512756"/>
      <w:bookmarkStart w:id="1" w:name="_Toc199853912"/>
      <w:bookmarkStart w:id="2" w:name="_Toc210124430"/>
      <w:bookmarkStart w:id="3" w:name="_Toc229568692"/>
      <w:r w:rsidRPr="00C43173">
        <w:rPr>
          <w:rFonts w:ascii="Times New Roman" w:eastAsia="Calibri" w:hAnsi="Times New Roman" w:cs="Calibri"/>
          <w:b/>
          <w:kern w:val="0"/>
          <w:szCs w:val="22"/>
          <w14:ligatures w14:val="none"/>
        </w:rPr>
        <w:t xml:space="preserve">Table </w:t>
      </w:r>
      <w:r w:rsidRPr="00C43173">
        <w:rPr>
          <w:rFonts w:ascii="Times New Roman" w:eastAsia="Calibri" w:hAnsi="Times New Roman" w:cs="Calibri"/>
          <w:b/>
          <w:kern w:val="0"/>
          <w:szCs w:val="22"/>
          <w14:ligatures w14:val="none"/>
        </w:rPr>
        <w:fldChar w:fldCharType="begin"/>
      </w:r>
      <w:r w:rsidRPr="00C43173">
        <w:rPr>
          <w:rFonts w:ascii="Times New Roman" w:eastAsia="Calibri" w:hAnsi="Times New Roman" w:cs="Calibri"/>
          <w:b/>
          <w:kern w:val="0"/>
          <w:szCs w:val="22"/>
          <w14:ligatures w14:val="none"/>
        </w:rPr>
        <w:instrText xml:space="preserve"> SEQ Table_4. \* ARABIC </w:instrText>
      </w:r>
      <w:r w:rsidRPr="00C43173">
        <w:rPr>
          <w:rFonts w:ascii="Times New Roman" w:eastAsia="Calibri" w:hAnsi="Times New Roman" w:cs="Calibri"/>
          <w:b/>
          <w:kern w:val="0"/>
          <w:szCs w:val="22"/>
          <w14:ligatures w14:val="none"/>
        </w:rPr>
        <w:fldChar w:fldCharType="separate"/>
      </w:r>
      <w:r w:rsidRPr="00C43173">
        <w:rPr>
          <w:rFonts w:ascii="Times New Roman" w:eastAsia="Calibri" w:hAnsi="Times New Roman" w:cs="Calibri"/>
          <w:b/>
          <w:noProof/>
          <w:kern w:val="0"/>
          <w:szCs w:val="22"/>
          <w14:ligatures w14:val="none"/>
        </w:rPr>
        <w:t>1</w:t>
      </w:r>
      <w:r w:rsidRPr="00C43173">
        <w:rPr>
          <w:rFonts w:ascii="Times New Roman" w:eastAsia="Calibri" w:hAnsi="Times New Roman" w:cs="Calibri"/>
          <w:b/>
          <w:kern w:val="0"/>
          <w:szCs w:val="22"/>
          <w14:ligatures w14:val="none"/>
        </w:rPr>
        <w:fldChar w:fldCharType="end"/>
      </w:r>
      <w:r w:rsidRPr="00C43173">
        <w:rPr>
          <w:rFonts w:ascii="Times New Roman" w:eastAsia="Times New Roman" w:hAnsi="Times New Roman" w:cs="Times New Roman"/>
          <w:b/>
          <w:bCs/>
          <w:kern w:val="0"/>
          <w:szCs w:val="20"/>
          <w:lang w:val="en-GB"/>
          <w14:ligatures w14:val="none"/>
        </w:rPr>
        <w:t>: Response Rate</w:t>
      </w:r>
      <w:bookmarkEnd w:id="0"/>
      <w:bookmarkEnd w:id="1"/>
      <w:bookmarkEnd w:id="2"/>
      <w:bookmarkEnd w:id="3"/>
    </w:p>
    <w:tbl>
      <w:tblPr>
        <w:tblW w:w="5000" w:type="pct"/>
        <w:tblBorders>
          <w:top w:val="single" w:sz="4" w:space="0" w:color="auto"/>
          <w:bottom w:val="single" w:sz="4" w:space="0" w:color="auto"/>
        </w:tblBorders>
        <w:tblLook w:val="04A0" w:firstRow="1" w:lastRow="0" w:firstColumn="1" w:lastColumn="0" w:noHBand="0" w:noVBand="1"/>
      </w:tblPr>
      <w:tblGrid>
        <w:gridCol w:w="4049"/>
        <w:gridCol w:w="3008"/>
        <w:gridCol w:w="2303"/>
      </w:tblGrid>
      <w:tr w:rsidR="00C43173" w:rsidRPr="00C43173" w14:paraId="2115202D" w14:textId="77777777" w:rsidTr="004E1857">
        <w:trPr>
          <w:trHeight w:val="300"/>
        </w:trPr>
        <w:tc>
          <w:tcPr>
            <w:tcW w:w="2163" w:type="pct"/>
            <w:noWrap/>
            <w:hideMark/>
          </w:tcPr>
          <w:p w14:paraId="1DCA0932" w14:textId="77777777" w:rsidR="00C43173" w:rsidRPr="00C43173" w:rsidRDefault="00C43173" w:rsidP="00C43173">
            <w:pPr>
              <w:spacing w:after="0" w:line="276" w:lineRule="auto"/>
              <w:jc w:val="both"/>
              <w:rPr>
                <w:rFonts w:ascii="Times New Roman" w:eastAsia="Calibri" w:hAnsi="Times New Roman" w:cs="Times New Roman"/>
                <w:b/>
                <w:kern w:val="0"/>
                <w:szCs w:val="22"/>
                <w14:ligatures w14:val="none"/>
              </w:rPr>
            </w:pPr>
            <w:r w:rsidRPr="00C43173">
              <w:rPr>
                <w:rFonts w:ascii="Times New Roman" w:eastAsia="Calibri" w:hAnsi="Times New Roman" w:cs="Times New Roman"/>
                <w:b/>
                <w:kern w:val="0"/>
                <w:szCs w:val="22"/>
                <w14:ligatures w14:val="none"/>
              </w:rPr>
              <w:t xml:space="preserve">Questionnaires </w:t>
            </w:r>
          </w:p>
        </w:tc>
        <w:tc>
          <w:tcPr>
            <w:tcW w:w="1607" w:type="pct"/>
            <w:noWrap/>
            <w:hideMark/>
          </w:tcPr>
          <w:p w14:paraId="6ACF86D2" w14:textId="77777777" w:rsidR="00C43173" w:rsidRPr="00C43173" w:rsidRDefault="00C43173" w:rsidP="00C43173">
            <w:pPr>
              <w:spacing w:after="0" w:line="276" w:lineRule="auto"/>
              <w:jc w:val="both"/>
              <w:rPr>
                <w:rFonts w:ascii="Times New Roman" w:eastAsia="Calibri" w:hAnsi="Times New Roman" w:cs="Times New Roman"/>
                <w:b/>
                <w:kern w:val="0"/>
                <w:szCs w:val="22"/>
                <w14:ligatures w14:val="none"/>
              </w:rPr>
            </w:pPr>
            <w:r w:rsidRPr="00C43173">
              <w:rPr>
                <w:rFonts w:ascii="Times New Roman" w:eastAsia="Calibri" w:hAnsi="Times New Roman" w:cs="Times New Roman"/>
                <w:b/>
                <w:kern w:val="0"/>
                <w:szCs w:val="22"/>
                <w14:ligatures w14:val="none"/>
              </w:rPr>
              <w:t>Frequency</w:t>
            </w:r>
          </w:p>
        </w:tc>
        <w:tc>
          <w:tcPr>
            <w:tcW w:w="1230" w:type="pct"/>
            <w:noWrap/>
            <w:hideMark/>
          </w:tcPr>
          <w:p w14:paraId="36742751" w14:textId="77777777" w:rsidR="00C43173" w:rsidRPr="00C43173" w:rsidRDefault="00C43173" w:rsidP="00C43173">
            <w:pPr>
              <w:spacing w:after="0" w:line="276" w:lineRule="auto"/>
              <w:jc w:val="both"/>
              <w:rPr>
                <w:rFonts w:ascii="Times New Roman" w:eastAsia="Calibri" w:hAnsi="Times New Roman" w:cs="Times New Roman"/>
                <w:b/>
                <w:kern w:val="0"/>
                <w:szCs w:val="22"/>
                <w14:ligatures w14:val="none"/>
              </w:rPr>
            </w:pPr>
            <w:r w:rsidRPr="00C43173">
              <w:rPr>
                <w:rFonts w:ascii="Times New Roman" w:eastAsia="Calibri" w:hAnsi="Times New Roman" w:cs="Times New Roman"/>
                <w:b/>
                <w:kern w:val="0"/>
                <w:szCs w:val="22"/>
                <w14:ligatures w14:val="none"/>
              </w:rPr>
              <w:t>Percent</w:t>
            </w:r>
          </w:p>
        </w:tc>
      </w:tr>
      <w:tr w:rsidR="00C43173" w:rsidRPr="00C43173" w14:paraId="6472AE5C" w14:textId="77777777" w:rsidTr="004E1857">
        <w:trPr>
          <w:trHeight w:val="300"/>
        </w:trPr>
        <w:tc>
          <w:tcPr>
            <w:tcW w:w="2163" w:type="pct"/>
            <w:noWrap/>
            <w:hideMark/>
          </w:tcPr>
          <w:p w14:paraId="42801858" w14:textId="77777777" w:rsidR="00C43173" w:rsidRPr="00C43173" w:rsidRDefault="00C43173" w:rsidP="00C43173">
            <w:pPr>
              <w:spacing w:after="0" w:line="276" w:lineRule="auto"/>
              <w:jc w:val="both"/>
              <w:rPr>
                <w:rFonts w:ascii="Times New Roman" w:eastAsia="Calibri" w:hAnsi="Times New Roman" w:cs="Times New Roman"/>
                <w:kern w:val="0"/>
                <w:szCs w:val="22"/>
                <w14:ligatures w14:val="none"/>
              </w:rPr>
            </w:pPr>
            <w:r w:rsidRPr="00C43173">
              <w:rPr>
                <w:rFonts w:ascii="Times New Roman" w:eastAsia="Calibri" w:hAnsi="Times New Roman" w:cs="Times New Roman"/>
                <w:kern w:val="0"/>
                <w:szCs w:val="22"/>
                <w14:ligatures w14:val="none"/>
              </w:rPr>
              <w:t xml:space="preserve">Returned </w:t>
            </w:r>
          </w:p>
        </w:tc>
        <w:tc>
          <w:tcPr>
            <w:tcW w:w="1607" w:type="pct"/>
            <w:noWrap/>
            <w:hideMark/>
          </w:tcPr>
          <w:p w14:paraId="4732B213" w14:textId="77777777" w:rsidR="00C43173" w:rsidRPr="00C43173" w:rsidRDefault="00C43173" w:rsidP="00C43173">
            <w:pPr>
              <w:spacing w:after="0" w:line="276" w:lineRule="auto"/>
              <w:jc w:val="both"/>
              <w:rPr>
                <w:rFonts w:ascii="Times New Roman" w:eastAsia="Calibri" w:hAnsi="Times New Roman" w:cs="Times New Roman"/>
                <w:kern w:val="0"/>
                <w:szCs w:val="22"/>
                <w14:ligatures w14:val="none"/>
              </w:rPr>
            </w:pPr>
            <w:r w:rsidRPr="00C43173">
              <w:rPr>
                <w:rFonts w:ascii="Times New Roman" w:eastAsia="Calibri" w:hAnsi="Times New Roman" w:cs="Times New Roman"/>
                <w:kern w:val="0"/>
                <w:szCs w:val="22"/>
                <w14:ligatures w14:val="none"/>
              </w:rPr>
              <w:t>83</w:t>
            </w:r>
          </w:p>
        </w:tc>
        <w:tc>
          <w:tcPr>
            <w:tcW w:w="1230" w:type="pct"/>
            <w:noWrap/>
          </w:tcPr>
          <w:p w14:paraId="7EE64F07" w14:textId="77777777" w:rsidR="00C43173" w:rsidRPr="00C43173" w:rsidRDefault="00C43173" w:rsidP="00C43173">
            <w:pPr>
              <w:spacing w:after="0" w:line="276" w:lineRule="auto"/>
              <w:jc w:val="both"/>
              <w:rPr>
                <w:rFonts w:ascii="Times New Roman" w:eastAsia="Calibri" w:hAnsi="Times New Roman" w:cs="Times New Roman"/>
                <w:kern w:val="0"/>
                <w:szCs w:val="22"/>
                <w14:ligatures w14:val="none"/>
              </w:rPr>
            </w:pPr>
            <w:r w:rsidRPr="00C43173">
              <w:rPr>
                <w:rFonts w:ascii="Times New Roman" w:eastAsia="Calibri" w:hAnsi="Times New Roman" w:cs="Times New Roman"/>
                <w:kern w:val="0"/>
                <w:szCs w:val="22"/>
                <w14:ligatures w14:val="none"/>
              </w:rPr>
              <w:t>83</w:t>
            </w:r>
          </w:p>
        </w:tc>
      </w:tr>
      <w:tr w:rsidR="00C43173" w:rsidRPr="00C43173" w14:paraId="0E11D53B" w14:textId="77777777" w:rsidTr="004E1857">
        <w:trPr>
          <w:trHeight w:val="300"/>
        </w:trPr>
        <w:tc>
          <w:tcPr>
            <w:tcW w:w="2163" w:type="pct"/>
            <w:noWrap/>
            <w:hideMark/>
          </w:tcPr>
          <w:p w14:paraId="1E97F224" w14:textId="77777777" w:rsidR="00C43173" w:rsidRPr="00C43173" w:rsidRDefault="00C43173" w:rsidP="00C43173">
            <w:pPr>
              <w:spacing w:after="0" w:line="276" w:lineRule="auto"/>
              <w:jc w:val="both"/>
              <w:rPr>
                <w:rFonts w:ascii="Times New Roman" w:eastAsia="Calibri" w:hAnsi="Times New Roman" w:cs="Times New Roman"/>
                <w:kern w:val="0"/>
                <w:szCs w:val="22"/>
                <w14:ligatures w14:val="none"/>
              </w:rPr>
            </w:pPr>
            <w:r w:rsidRPr="00C43173">
              <w:rPr>
                <w:rFonts w:ascii="Times New Roman" w:eastAsia="Calibri" w:hAnsi="Times New Roman" w:cs="Times New Roman"/>
                <w:kern w:val="0"/>
                <w:szCs w:val="22"/>
                <w14:ligatures w14:val="none"/>
              </w:rPr>
              <w:t xml:space="preserve">Unreturned </w:t>
            </w:r>
          </w:p>
        </w:tc>
        <w:tc>
          <w:tcPr>
            <w:tcW w:w="1607" w:type="pct"/>
            <w:noWrap/>
            <w:hideMark/>
          </w:tcPr>
          <w:p w14:paraId="46310613" w14:textId="77777777" w:rsidR="00C43173" w:rsidRPr="00C43173" w:rsidRDefault="00C43173" w:rsidP="00C43173">
            <w:pPr>
              <w:spacing w:after="0" w:line="276" w:lineRule="auto"/>
              <w:jc w:val="both"/>
              <w:rPr>
                <w:rFonts w:ascii="Times New Roman" w:eastAsia="Calibri" w:hAnsi="Times New Roman" w:cs="Times New Roman"/>
                <w:kern w:val="0"/>
                <w:szCs w:val="22"/>
                <w14:ligatures w14:val="none"/>
              </w:rPr>
            </w:pPr>
            <w:r w:rsidRPr="00C43173">
              <w:rPr>
                <w:rFonts w:ascii="Times New Roman" w:eastAsia="Calibri" w:hAnsi="Times New Roman" w:cs="Times New Roman"/>
                <w:kern w:val="0"/>
                <w:szCs w:val="22"/>
                <w14:ligatures w14:val="none"/>
              </w:rPr>
              <w:t>17</w:t>
            </w:r>
          </w:p>
        </w:tc>
        <w:tc>
          <w:tcPr>
            <w:tcW w:w="1230" w:type="pct"/>
            <w:noWrap/>
          </w:tcPr>
          <w:p w14:paraId="61C2ED2D" w14:textId="77777777" w:rsidR="00C43173" w:rsidRPr="00C43173" w:rsidRDefault="00C43173" w:rsidP="00C43173">
            <w:pPr>
              <w:spacing w:after="0" w:line="276" w:lineRule="auto"/>
              <w:jc w:val="both"/>
              <w:rPr>
                <w:rFonts w:ascii="Times New Roman" w:eastAsia="Calibri" w:hAnsi="Times New Roman" w:cs="Times New Roman"/>
                <w:kern w:val="0"/>
                <w:szCs w:val="22"/>
                <w14:ligatures w14:val="none"/>
              </w:rPr>
            </w:pPr>
            <w:r w:rsidRPr="00C43173">
              <w:rPr>
                <w:rFonts w:ascii="Times New Roman" w:eastAsia="Calibri" w:hAnsi="Times New Roman" w:cs="Times New Roman"/>
                <w:kern w:val="0"/>
                <w:szCs w:val="22"/>
                <w14:ligatures w14:val="none"/>
              </w:rPr>
              <w:t>17</w:t>
            </w:r>
          </w:p>
        </w:tc>
      </w:tr>
      <w:tr w:rsidR="00C43173" w:rsidRPr="00C43173" w14:paraId="6D44EF5F" w14:textId="77777777" w:rsidTr="004E1857">
        <w:trPr>
          <w:trHeight w:val="300"/>
        </w:trPr>
        <w:tc>
          <w:tcPr>
            <w:tcW w:w="2163" w:type="pct"/>
            <w:tcBorders>
              <w:bottom w:val="single" w:sz="4" w:space="0" w:color="auto"/>
            </w:tcBorders>
            <w:noWrap/>
            <w:hideMark/>
          </w:tcPr>
          <w:p w14:paraId="5D2DF1E7" w14:textId="77777777" w:rsidR="00C43173" w:rsidRPr="00C43173" w:rsidRDefault="00C43173" w:rsidP="00C43173">
            <w:pPr>
              <w:spacing w:after="0" w:line="276" w:lineRule="auto"/>
              <w:jc w:val="both"/>
              <w:rPr>
                <w:rFonts w:ascii="Times New Roman" w:eastAsia="Calibri" w:hAnsi="Times New Roman" w:cs="Times New Roman"/>
                <w:b/>
                <w:kern w:val="0"/>
                <w:szCs w:val="22"/>
                <w14:ligatures w14:val="none"/>
              </w:rPr>
            </w:pPr>
            <w:r w:rsidRPr="00C43173">
              <w:rPr>
                <w:rFonts w:ascii="Times New Roman" w:eastAsia="Calibri" w:hAnsi="Times New Roman" w:cs="Times New Roman"/>
                <w:b/>
                <w:kern w:val="0"/>
                <w:szCs w:val="22"/>
                <w14:ligatures w14:val="none"/>
              </w:rPr>
              <w:t xml:space="preserve">Total </w:t>
            </w:r>
          </w:p>
        </w:tc>
        <w:tc>
          <w:tcPr>
            <w:tcW w:w="1607" w:type="pct"/>
            <w:tcBorders>
              <w:bottom w:val="single" w:sz="4" w:space="0" w:color="auto"/>
            </w:tcBorders>
            <w:noWrap/>
            <w:hideMark/>
          </w:tcPr>
          <w:p w14:paraId="46A610F8" w14:textId="77777777" w:rsidR="00C43173" w:rsidRPr="00C43173" w:rsidRDefault="00C43173" w:rsidP="00C43173">
            <w:pPr>
              <w:spacing w:after="0" w:line="276" w:lineRule="auto"/>
              <w:jc w:val="both"/>
              <w:rPr>
                <w:rFonts w:ascii="Times New Roman" w:eastAsia="Calibri" w:hAnsi="Times New Roman" w:cs="Times New Roman"/>
                <w:b/>
                <w:bCs/>
                <w:kern w:val="0"/>
                <w:szCs w:val="22"/>
                <w14:ligatures w14:val="none"/>
              </w:rPr>
            </w:pPr>
            <w:r w:rsidRPr="00C43173">
              <w:rPr>
                <w:rFonts w:ascii="Times New Roman" w:eastAsia="Calibri" w:hAnsi="Times New Roman" w:cs="Times New Roman"/>
                <w:b/>
                <w:bCs/>
                <w:kern w:val="0"/>
                <w:szCs w:val="22"/>
                <w14:ligatures w14:val="none"/>
              </w:rPr>
              <w:t>100</w:t>
            </w:r>
          </w:p>
        </w:tc>
        <w:tc>
          <w:tcPr>
            <w:tcW w:w="1230" w:type="pct"/>
            <w:tcBorders>
              <w:bottom w:val="single" w:sz="4" w:space="0" w:color="auto"/>
            </w:tcBorders>
            <w:noWrap/>
          </w:tcPr>
          <w:p w14:paraId="6BE5E311" w14:textId="77777777" w:rsidR="00C43173" w:rsidRPr="00C43173" w:rsidRDefault="00C43173" w:rsidP="00C43173">
            <w:pPr>
              <w:spacing w:after="0" w:line="276" w:lineRule="auto"/>
              <w:jc w:val="both"/>
              <w:rPr>
                <w:rFonts w:ascii="Times New Roman" w:eastAsia="Calibri" w:hAnsi="Times New Roman" w:cs="Times New Roman"/>
                <w:b/>
                <w:bCs/>
                <w:kern w:val="0"/>
                <w:szCs w:val="22"/>
                <w14:ligatures w14:val="none"/>
              </w:rPr>
            </w:pPr>
            <w:r w:rsidRPr="00C43173">
              <w:rPr>
                <w:rFonts w:ascii="Times New Roman" w:eastAsia="Calibri" w:hAnsi="Times New Roman" w:cs="Times New Roman"/>
                <w:b/>
                <w:bCs/>
                <w:kern w:val="0"/>
                <w:szCs w:val="22"/>
                <w14:ligatures w14:val="none"/>
              </w:rPr>
              <w:t>100</w:t>
            </w:r>
          </w:p>
        </w:tc>
      </w:tr>
    </w:tbl>
    <w:p w14:paraId="71D59819" w14:textId="77777777" w:rsidR="00C43173" w:rsidRPr="003159DC" w:rsidRDefault="00C43173" w:rsidP="003159DC">
      <w:pPr>
        <w:keepNext/>
        <w:keepLines/>
        <w:suppressAutoHyphens/>
        <w:spacing w:before="120" w:after="120" w:line="360" w:lineRule="auto"/>
        <w:jc w:val="both"/>
        <w:outlineLvl w:val="1"/>
        <w:rPr>
          <w:rFonts w:ascii="Times New Roman" w:eastAsia="Calibri" w:hAnsi="Times New Roman" w:cs="Calibri"/>
          <w:b/>
          <w:kern w:val="0"/>
          <w:szCs w:val="36"/>
          <w:lang w:val="en-GB"/>
          <w14:ligatures w14:val="none"/>
        </w:rPr>
      </w:pPr>
    </w:p>
    <w:p w14:paraId="6ECDC64F" w14:textId="1B8760A9" w:rsidR="00E92A93" w:rsidRPr="00E92A93" w:rsidRDefault="00E92A93" w:rsidP="00E92A93">
      <w:pPr>
        <w:keepNext/>
        <w:keepLines/>
        <w:suppressAutoHyphens/>
        <w:spacing w:before="120" w:after="120" w:line="360" w:lineRule="auto"/>
        <w:jc w:val="both"/>
        <w:outlineLvl w:val="2"/>
        <w:rPr>
          <w:rFonts w:ascii="Times New Roman" w:eastAsia="Calibri" w:hAnsi="Times New Roman" w:cs="Calibri"/>
          <w:b/>
          <w:kern w:val="0"/>
          <w:szCs w:val="28"/>
          <w14:ligatures w14:val="none"/>
        </w:rPr>
      </w:pPr>
      <w:r w:rsidRPr="00E92A93">
        <w:rPr>
          <w:rFonts w:ascii="Times New Roman" w:eastAsia="Calibri" w:hAnsi="Times New Roman" w:cs="Calibri"/>
          <w:b/>
          <w:kern w:val="0"/>
          <w:szCs w:val="28"/>
          <w14:ligatures w14:val="none"/>
        </w:rPr>
        <w:t>Participation in Political Activities</w:t>
      </w:r>
    </w:p>
    <w:p w14:paraId="673DBA2F" w14:textId="7FBFA91D" w:rsidR="00E92A93" w:rsidRPr="00E92A93" w:rsidRDefault="00E92A93" w:rsidP="00E92A93">
      <w:pPr>
        <w:suppressAutoHyphens/>
        <w:spacing w:before="120" w:after="120" w:line="360" w:lineRule="auto"/>
        <w:jc w:val="both"/>
        <w:rPr>
          <w:rFonts w:ascii="Times New Roman" w:eastAsia="Calibri" w:hAnsi="Times New Roman" w:cs="Calibri"/>
          <w:kern w:val="0"/>
          <w:szCs w:val="22"/>
          <w14:ligatures w14:val="none"/>
        </w:rPr>
      </w:pPr>
      <w:r w:rsidRPr="00E92A93">
        <w:rPr>
          <w:rFonts w:ascii="Times New Roman" w:eastAsia="Calibri" w:hAnsi="Times New Roman" w:cs="Calibri"/>
          <w:kern w:val="0"/>
          <w:szCs w:val="22"/>
          <w14:ligatures w14:val="none"/>
        </w:rPr>
        <w:t>The respondents were requested to indicate if they have participated in any political activity.</w:t>
      </w:r>
      <w:r w:rsidR="00C43173">
        <w:rPr>
          <w:rFonts w:ascii="Times New Roman" w:eastAsia="Calibri" w:hAnsi="Times New Roman" w:cs="Calibri"/>
          <w:kern w:val="0"/>
          <w:szCs w:val="22"/>
          <w14:ligatures w14:val="none"/>
        </w:rPr>
        <w:t xml:space="preserve"> </w:t>
      </w:r>
      <w:r w:rsidR="003159DC">
        <w:rPr>
          <w:rFonts w:ascii="Times New Roman" w:eastAsia="Calibri" w:hAnsi="Times New Roman" w:cs="Calibri"/>
          <w:kern w:val="0"/>
          <w:szCs w:val="22"/>
          <w14:ligatures w14:val="none"/>
        </w:rPr>
        <w:t>The results are shown in Figure 2.</w:t>
      </w:r>
      <w:r w:rsidRPr="00E92A93">
        <w:rPr>
          <w:rFonts w:ascii="Times New Roman" w:eastAsia="Calibri" w:hAnsi="Times New Roman" w:cs="Calibri"/>
          <w:kern w:val="0"/>
          <w:szCs w:val="22"/>
          <w14:ligatures w14:val="none"/>
        </w:rPr>
        <w:t xml:space="preserve"> From the results, 90.2% (75) of the respondents indicated that they have participated in political activities while 9.8% (8) of the respondents indicated they have not.</w:t>
      </w:r>
    </w:p>
    <w:p w14:paraId="461C9615" w14:textId="77777777" w:rsidR="00E92A93" w:rsidRPr="00E92A93" w:rsidRDefault="00E92A93" w:rsidP="00E92A93">
      <w:pPr>
        <w:suppressAutoHyphens/>
        <w:spacing w:before="120" w:after="120" w:line="360" w:lineRule="auto"/>
        <w:jc w:val="both"/>
        <w:rPr>
          <w:rFonts w:ascii="Times New Roman" w:eastAsia="Calibri" w:hAnsi="Times New Roman" w:cs="Calibri"/>
          <w:kern w:val="0"/>
          <w:szCs w:val="22"/>
          <w14:ligatures w14:val="none"/>
        </w:rPr>
      </w:pPr>
      <w:r w:rsidRPr="00E92A93">
        <w:rPr>
          <w:rFonts w:ascii="Times New Roman" w:eastAsia="Calibri" w:hAnsi="Times New Roman" w:cs="Calibri"/>
          <w:kern w:val="0"/>
          <w:szCs w:val="22"/>
          <w14:ligatures w14:val="none"/>
        </w:rPr>
        <w:t xml:space="preserve">The implications of these findings are that: with only 9.8% reporting no political participation, this is a small minority; implying that women  are already somewhat mobilized or connected to political processes. This pattern is consistent with other Kenyan context as per findings from </w:t>
      </w:r>
      <w:r w:rsidRPr="00E92A93">
        <w:rPr>
          <w:rFonts w:ascii="Times New Roman" w:eastAsia="Calibri" w:hAnsi="Times New Roman" w:cs="Calibri"/>
          <w:kern w:val="0"/>
          <w:szCs w:val="22"/>
          <w14:ligatures w14:val="none"/>
        </w:rPr>
        <w:lastRenderedPageBreak/>
        <w:t xml:space="preserve">related studies where women engaged by civil society, parties, or community groups tend to show higher rates of party membership, attendance at rallies, or involvement in campaigns. </w:t>
      </w:r>
    </w:p>
    <w:p w14:paraId="51B68AE1" w14:textId="77777777" w:rsidR="00E92A93" w:rsidRPr="00E92A93" w:rsidRDefault="00E92A93" w:rsidP="00E92A93">
      <w:pPr>
        <w:suppressAutoHyphens/>
        <w:spacing w:before="120" w:after="120" w:line="360" w:lineRule="auto"/>
        <w:jc w:val="both"/>
        <w:rPr>
          <w:rFonts w:ascii="Times New Roman" w:eastAsia="Calibri" w:hAnsi="Times New Roman" w:cs="Calibri"/>
          <w:kern w:val="0"/>
          <w:szCs w:val="22"/>
          <w14:ligatures w14:val="none"/>
        </w:rPr>
      </w:pPr>
    </w:p>
    <w:p w14:paraId="62FABF1D" w14:textId="77777777" w:rsidR="00E92A93" w:rsidRPr="00E92A93" w:rsidRDefault="00E92A93" w:rsidP="00E92A93">
      <w:pPr>
        <w:spacing w:before="120" w:after="120" w:line="360" w:lineRule="auto"/>
        <w:jc w:val="both"/>
        <w:rPr>
          <w:rFonts w:ascii="Times New Roman" w:eastAsia="Calibri" w:hAnsi="Times New Roman" w:cs="Times New Roman"/>
          <w:szCs w:val="22"/>
        </w:rPr>
      </w:pPr>
      <w:r w:rsidRPr="00E92A93">
        <w:rPr>
          <w:rFonts w:ascii="Times New Roman" w:eastAsia="Calibri" w:hAnsi="Times New Roman" w:cs="Times New Roman"/>
          <w:noProof/>
          <w:szCs w:val="22"/>
        </w:rPr>
        <w:drawing>
          <wp:inline distT="0" distB="0" distL="0" distR="0" wp14:anchorId="0A85BE6A" wp14:editId="47E6A98C">
            <wp:extent cx="4572000" cy="2743200"/>
            <wp:effectExtent l="0" t="0" r="19050" b="19050"/>
            <wp:docPr id="50721559" name="Chart 5072155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4CB8C0E" w14:textId="75F9340F" w:rsidR="003159DC" w:rsidRPr="003159DC" w:rsidRDefault="003159DC" w:rsidP="00E92A93">
      <w:pPr>
        <w:keepNext/>
        <w:keepLines/>
        <w:suppressAutoHyphens/>
        <w:spacing w:before="120" w:after="120" w:line="360" w:lineRule="auto"/>
        <w:jc w:val="both"/>
        <w:outlineLvl w:val="2"/>
        <w:rPr>
          <w:rFonts w:ascii="Times New Roman" w:eastAsia="Calibri" w:hAnsi="Times New Roman" w:cs="Calibri"/>
          <w:b/>
          <w:i/>
          <w:iCs/>
          <w:kern w:val="0"/>
          <w:szCs w:val="28"/>
          <w14:ligatures w14:val="none"/>
        </w:rPr>
      </w:pPr>
      <w:r w:rsidRPr="003159DC">
        <w:rPr>
          <w:rFonts w:ascii="Times New Roman" w:eastAsia="Calibri" w:hAnsi="Times New Roman" w:cs="Calibri"/>
          <w:b/>
          <w:i/>
          <w:iCs/>
          <w:kern w:val="0"/>
          <w:szCs w:val="28"/>
          <w14:ligatures w14:val="none"/>
        </w:rPr>
        <w:t>Figure 2: Participation in Political activities</w:t>
      </w:r>
    </w:p>
    <w:p w14:paraId="5907833D" w14:textId="63B9E128" w:rsidR="00E92A93" w:rsidRPr="00E92A93" w:rsidRDefault="00E92A93" w:rsidP="00E92A93">
      <w:pPr>
        <w:keepNext/>
        <w:keepLines/>
        <w:suppressAutoHyphens/>
        <w:spacing w:before="120" w:after="120" w:line="360" w:lineRule="auto"/>
        <w:jc w:val="both"/>
        <w:outlineLvl w:val="2"/>
        <w:rPr>
          <w:rFonts w:ascii="Times New Roman" w:eastAsia="Calibri" w:hAnsi="Times New Roman" w:cs="Calibri"/>
          <w:b/>
          <w:kern w:val="0"/>
          <w:szCs w:val="28"/>
          <w14:ligatures w14:val="none"/>
        </w:rPr>
      </w:pPr>
      <w:r w:rsidRPr="00E92A93">
        <w:rPr>
          <w:rFonts w:ascii="Times New Roman" w:eastAsia="Calibri" w:hAnsi="Times New Roman" w:cs="Calibri"/>
          <w:b/>
          <w:kern w:val="0"/>
          <w:szCs w:val="28"/>
          <w14:ligatures w14:val="none"/>
        </w:rPr>
        <w:t>Length of Participati</w:t>
      </w:r>
      <w:r w:rsidR="003159DC">
        <w:rPr>
          <w:rFonts w:ascii="Times New Roman" w:eastAsia="Calibri" w:hAnsi="Times New Roman" w:cs="Calibri"/>
          <w:b/>
          <w:kern w:val="0"/>
          <w:szCs w:val="28"/>
          <w14:ligatures w14:val="none"/>
        </w:rPr>
        <w:t>on</w:t>
      </w:r>
      <w:r w:rsidRPr="00E92A93">
        <w:rPr>
          <w:rFonts w:ascii="Times New Roman" w:eastAsia="Calibri" w:hAnsi="Times New Roman" w:cs="Calibri"/>
          <w:b/>
          <w:kern w:val="0"/>
          <w:szCs w:val="28"/>
          <w14:ligatures w14:val="none"/>
        </w:rPr>
        <w:t xml:space="preserve"> in Political Activities </w:t>
      </w:r>
    </w:p>
    <w:p w14:paraId="10429CB8" w14:textId="77777777" w:rsidR="00E92A93" w:rsidRPr="00E92A93" w:rsidRDefault="00E92A93" w:rsidP="00E92A93">
      <w:pPr>
        <w:suppressAutoHyphens/>
        <w:spacing w:before="120" w:after="120" w:line="360" w:lineRule="auto"/>
        <w:jc w:val="both"/>
        <w:rPr>
          <w:rFonts w:ascii="Times New Roman" w:eastAsia="Calibri" w:hAnsi="Times New Roman" w:cs="Calibri"/>
          <w:kern w:val="0"/>
          <w:szCs w:val="22"/>
          <w14:ligatures w14:val="none"/>
        </w:rPr>
      </w:pPr>
      <w:r w:rsidRPr="00E92A93">
        <w:rPr>
          <w:rFonts w:ascii="Times New Roman" w:eastAsia="Calibri" w:hAnsi="Times New Roman" w:cs="Calibri"/>
          <w:kern w:val="0"/>
          <w:szCs w:val="22"/>
          <w14:ligatures w14:val="none"/>
        </w:rPr>
        <w:t>The results indicate there is a highly experienced group of politically active women, with 48.6% (40) reporting involvement in political activities for over 6 years and a further 23% (19) engaged for 4–6 years, meaning about 71.6% (59) have at least four years of experience. This contrasts with 17.6% (15) who have participated for a period of 1–3 years and only 10.8% (9) who have been involved for less than 1 year, showing that roughly 28.4% (24) are relatively recent entrants (≤3 years) into political life. Together, these findings suggest that the study largely captures the views of women with medium‑to‑long term political engagement, who are likely to have established networks, familiarity with political processes, and sustained interaction with civil society organizations, rather than mainly first‑time or very new participants.</w:t>
      </w:r>
    </w:p>
    <w:p w14:paraId="66830559" w14:textId="77777777" w:rsidR="00E92A93" w:rsidRPr="00E92A93" w:rsidRDefault="00E92A93" w:rsidP="00E92A93">
      <w:pPr>
        <w:spacing w:before="120" w:after="120" w:line="360" w:lineRule="auto"/>
        <w:jc w:val="both"/>
        <w:rPr>
          <w:rFonts w:ascii="Times New Roman" w:eastAsia="Calibri" w:hAnsi="Times New Roman" w:cs="Times New Roman"/>
          <w:szCs w:val="22"/>
        </w:rPr>
      </w:pPr>
      <w:r w:rsidRPr="00E92A93">
        <w:rPr>
          <w:rFonts w:ascii="Times New Roman" w:eastAsia="Calibri" w:hAnsi="Times New Roman" w:cs="Times New Roman"/>
          <w:noProof/>
          <w:szCs w:val="22"/>
        </w:rPr>
        <w:lastRenderedPageBreak/>
        <w:drawing>
          <wp:inline distT="0" distB="0" distL="0" distR="0" wp14:anchorId="77032CCF" wp14:editId="4FDAEFF1">
            <wp:extent cx="4572000" cy="274320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99987ED" w14:textId="5BFE81B8" w:rsidR="003159DC" w:rsidRPr="003159DC" w:rsidRDefault="003159DC" w:rsidP="00E92A93">
      <w:pPr>
        <w:keepNext/>
        <w:keepLines/>
        <w:suppressAutoHyphens/>
        <w:spacing w:before="120" w:after="120" w:line="360" w:lineRule="auto"/>
        <w:jc w:val="both"/>
        <w:outlineLvl w:val="2"/>
        <w:rPr>
          <w:rFonts w:ascii="Times New Roman" w:eastAsia="Calibri" w:hAnsi="Times New Roman" w:cs="Calibri"/>
          <w:b/>
          <w:i/>
          <w:iCs/>
          <w:kern w:val="0"/>
          <w:szCs w:val="28"/>
          <w14:ligatures w14:val="none"/>
        </w:rPr>
      </w:pPr>
      <w:r w:rsidRPr="003159DC">
        <w:rPr>
          <w:rFonts w:ascii="Times New Roman" w:eastAsia="Calibri" w:hAnsi="Times New Roman" w:cs="Calibri"/>
          <w:b/>
          <w:i/>
          <w:iCs/>
          <w:kern w:val="0"/>
          <w:szCs w:val="28"/>
          <w14:ligatures w14:val="none"/>
        </w:rPr>
        <w:t xml:space="preserve">Figure 3 : Length of Participation in Political Activities </w:t>
      </w:r>
    </w:p>
    <w:p w14:paraId="4E96697C" w14:textId="5ABF57D6" w:rsidR="00E92A93" w:rsidRPr="00E92A93" w:rsidRDefault="00E92A93" w:rsidP="00E92A93">
      <w:pPr>
        <w:keepNext/>
        <w:keepLines/>
        <w:suppressAutoHyphens/>
        <w:spacing w:before="120" w:after="120" w:line="360" w:lineRule="auto"/>
        <w:jc w:val="both"/>
        <w:outlineLvl w:val="2"/>
        <w:rPr>
          <w:rFonts w:ascii="Times New Roman" w:eastAsia="Calibri" w:hAnsi="Times New Roman" w:cs="Calibri"/>
          <w:b/>
          <w:kern w:val="0"/>
          <w:szCs w:val="28"/>
          <w14:ligatures w14:val="none"/>
        </w:rPr>
      </w:pPr>
      <w:r w:rsidRPr="00E92A93">
        <w:rPr>
          <w:rFonts w:ascii="Times New Roman" w:eastAsia="Calibri" w:hAnsi="Times New Roman" w:cs="Calibri"/>
          <w:b/>
          <w:kern w:val="0"/>
          <w:szCs w:val="28"/>
          <w14:ligatures w14:val="none"/>
        </w:rPr>
        <w:t xml:space="preserve">Interaction </w:t>
      </w:r>
      <w:r w:rsidR="00F5530B">
        <w:rPr>
          <w:rFonts w:ascii="Times New Roman" w:eastAsia="Calibri" w:hAnsi="Times New Roman" w:cs="Calibri"/>
          <w:b/>
          <w:kern w:val="0"/>
          <w:szCs w:val="28"/>
          <w14:ligatures w14:val="none"/>
        </w:rPr>
        <w:t>With</w:t>
      </w:r>
      <w:r w:rsidRPr="00E92A93">
        <w:rPr>
          <w:rFonts w:ascii="Times New Roman" w:eastAsia="Calibri" w:hAnsi="Times New Roman" w:cs="Calibri"/>
          <w:b/>
          <w:kern w:val="0"/>
          <w:szCs w:val="28"/>
          <w14:ligatures w14:val="none"/>
        </w:rPr>
        <w:t xml:space="preserve"> Civil Society Initiatives</w:t>
      </w:r>
    </w:p>
    <w:p w14:paraId="7B599AB3" w14:textId="2A3FDD01" w:rsidR="00E92A93" w:rsidRPr="00E92A93" w:rsidRDefault="00E92A93" w:rsidP="00E92A93">
      <w:pPr>
        <w:suppressAutoHyphens/>
        <w:spacing w:before="120" w:after="120" w:line="360" w:lineRule="auto"/>
        <w:jc w:val="both"/>
        <w:rPr>
          <w:rFonts w:ascii="Times New Roman" w:eastAsia="Calibri" w:hAnsi="Times New Roman" w:cs="Calibri"/>
          <w:kern w:val="0"/>
          <w:szCs w:val="22"/>
          <w14:ligatures w14:val="none"/>
        </w:rPr>
      </w:pPr>
      <w:r w:rsidRPr="00E92A93">
        <w:rPr>
          <w:rFonts w:ascii="Times New Roman" w:eastAsia="Calibri" w:hAnsi="Times New Roman" w:cs="Calibri"/>
          <w:kern w:val="0"/>
          <w:szCs w:val="22"/>
          <w14:ligatures w14:val="none"/>
        </w:rPr>
        <w:t xml:space="preserve">The respondents were requested to indicate if they have interacted with any civil society initiatives aimed at promoting women’s political participation. </w:t>
      </w:r>
    </w:p>
    <w:p w14:paraId="3790D15E" w14:textId="77777777" w:rsidR="00E92A93" w:rsidRPr="00E92A93" w:rsidRDefault="00E92A93" w:rsidP="00E92A93">
      <w:pPr>
        <w:suppressAutoHyphens/>
        <w:spacing w:before="120" w:after="120" w:line="360" w:lineRule="auto"/>
        <w:jc w:val="both"/>
        <w:rPr>
          <w:rFonts w:ascii="Times New Roman" w:eastAsia="Calibri" w:hAnsi="Times New Roman" w:cs="Calibri"/>
          <w:kern w:val="0"/>
          <w:szCs w:val="22"/>
          <w14:ligatures w14:val="none"/>
        </w:rPr>
      </w:pPr>
      <w:r w:rsidRPr="00E92A93">
        <w:rPr>
          <w:rFonts w:ascii="Times New Roman" w:eastAsia="Calibri" w:hAnsi="Times New Roman" w:cs="Calibri"/>
          <w:kern w:val="0"/>
          <w:szCs w:val="22"/>
          <w14:ligatures w14:val="none"/>
        </w:rPr>
        <w:t>These findings indicate that a large majority of respondents,84.1% (70) have interacted with civil society initiatives aimed at promoting women’s political participation, while only 15.9% (13) of the  respondents report no such interaction. The high interaction rate suggests that most women in the sample have been exposed to civic education, training, advocacy, or mobilization efforts by civil society organizations, which are known in Kenya to play a significant role in empowering women politically through capacity‑building, mentorship, and awareness campaigns. Consequently, the study’s results on social inclusion strategies and participation patterns mainly reflect women who are already within or close to CSO networks, and may under‑represent women who remain outside these initiatives and potentially face greater informational or structural barriers to political engagement</w:t>
      </w:r>
    </w:p>
    <w:p w14:paraId="49BCE53B" w14:textId="77777777" w:rsidR="00E92A93" w:rsidRPr="00E92A93" w:rsidRDefault="00E92A93" w:rsidP="00E92A93">
      <w:pPr>
        <w:suppressAutoHyphens/>
        <w:spacing w:before="120" w:after="120" w:line="360" w:lineRule="auto"/>
        <w:jc w:val="both"/>
        <w:rPr>
          <w:rFonts w:ascii="Times New Roman" w:eastAsia="Calibri" w:hAnsi="Times New Roman" w:cs="Calibri"/>
          <w:kern w:val="0"/>
          <w:szCs w:val="22"/>
          <w14:ligatures w14:val="none"/>
        </w:rPr>
      </w:pPr>
    </w:p>
    <w:p w14:paraId="6EB2D95B" w14:textId="77777777" w:rsidR="00E92A93" w:rsidRPr="00E92A93" w:rsidRDefault="00E92A93" w:rsidP="00E92A93">
      <w:pPr>
        <w:spacing w:before="120" w:after="120" w:line="360" w:lineRule="auto"/>
        <w:jc w:val="both"/>
        <w:rPr>
          <w:rFonts w:ascii="Times New Roman" w:eastAsia="Calibri" w:hAnsi="Times New Roman" w:cs="Times New Roman"/>
          <w:szCs w:val="22"/>
        </w:rPr>
      </w:pPr>
      <w:r w:rsidRPr="00E92A93">
        <w:rPr>
          <w:rFonts w:ascii="Times New Roman" w:eastAsia="Calibri" w:hAnsi="Times New Roman" w:cs="Times New Roman"/>
          <w:noProof/>
          <w:szCs w:val="22"/>
        </w:rPr>
        <w:lastRenderedPageBreak/>
        <w:drawing>
          <wp:inline distT="0" distB="0" distL="0" distR="0" wp14:anchorId="1D33DC60" wp14:editId="699A10F6">
            <wp:extent cx="4572000" cy="2743200"/>
            <wp:effectExtent l="0" t="0" r="19050" b="1905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827497" w14:textId="10A9759C" w:rsidR="00471577" w:rsidRPr="003159DC" w:rsidRDefault="00F5530B" w:rsidP="00E92A93">
      <w:pPr>
        <w:suppressAutoHyphens/>
        <w:spacing w:before="120" w:after="120" w:line="360" w:lineRule="auto"/>
        <w:jc w:val="both"/>
        <w:rPr>
          <w:rFonts w:ascii="Times New Roman" w:eastAsia="Calibri" w:hAnsi="Times New Roman" w:cs="Calibri"/>
          <w:b/>
          <w:i/>
          <w:iCs/>
          <w:kern w:val="0"/>
          <w:szCs w:val="22"/>
          <w14:ligatures w14:val="none"/>
        </w:rPr>
      </w:pPr>
      <w:bookmarkStart w:id="4" w:name="_Toc213150577"/>
      <w:r w:rsidRPr="003159DC">
        <w:rPr>
          <w:rFonts w:ascii="Times New Roman" w:eastAsia="Calibri" w:hAnsi="Times New Roman" w:cs="Calibri"/>
          <w:b/>
          <w:i/>
          <w:iCs/>
          <w:kern w:val="0"/>
          <w:szCs w:val="22"/>
          <w14:ligatures w14:val="none"/>
        </w:rPr>
        <w:t xml:space="preserve">  </w:t>
      </w:r>
      <w:r w:rsidR="003159DC" w:rsidRPr="003159DC">
        <w:rPr>
          <w:rFonts w:ascii="Times New Roman" w:eastAsia="Calibri" w:hAnsi="Times New Roman" w:cs="Calibri"/>
          <w:b/>
          <w:i/>
          <w:iCs/>
          <w:kern w:val="0"/>
          <w:szCs w:val="22"/>
          <w14:ligatures w14:val="none"/>
        </w:rPr>
        <w:t>Figure 4 :</w:t>
      </w:r>
      <w:r w:rsidRPr="003159DC">
        <w:rPr>
          <w:rFonts w:ascii="Times New Roman" w:eastAsia="Calibri" w:hAnsi="Times New Roman" w:cs="Calibri"/>
          <w:b/>
          <w:i/>
          <w:iCs/>
          <w:kern w:val="0"/>
          <w:szCs w:val="22"/>
          <w14:ligatures w14:val="none"/>
        </w:rPr>
        <w:t xml:space="preserve"> </w:t>
      </w:r>
      <w:r w:rsidR="00E92A93" w:rsidRPr="003159DC">
        <w:rPr>
          <w:rFonts w:ascii="Times New Roman" w:eastAsia="Calibri" w:hAnsi="Times New Roman" w:cs="Calibri"/>
          <w:b/>
          <w:i/>
          <w:iCs/>
          <w:kern w:val="0"/>
          <w:szCs w:val="22"/>
          <w14:ligatures w14:val="none"/>
        </w:rPr>
        <w:t xml:space="preserve">Interaction </w:t>
      </w:r>
      <w:r w:rsidRPr="003159DC">
        <w:rPr>
          <w:rFonts w:ascii="Times New Roman" w:eastAsia="Calibri" w:hAnsi="Times New Roman" w:cs="Calibri"/>
          <w:b/>
          <w:i/>
          <w:iCs/>
          <w:kern w:val="0"/>
          <w:szCs w:val="22"/>
          <w14:ligatures w14:val="none"/>
        </w:rPr>
        <w:t xml:space="preserve">With </w:t>
      </w:r>
      <w:r w:rsidR="00E92A93" w:rsidRPr="003159DC">
        <w:rPr>
          <w:rFonts w:ascii="Times New Roman" w:eastAsia="Calibri" w:hAnsi="Times New Roman" w:cs="Calibri"/>
          <w:b/>
          <w:i/>
          <w:iCs/>
          <w:kern w:val="0"/>
          <w:szCs w:val="22"/>
          <w14:ligatures w14:val="none"/>
        </w:rPr>
        <w:t>Civil Society Initiatives</w:t>
      </w:r>
      <w:bookmarkEnd w:id="4"/>
    </w:p>
    <w:p w14:paraId="75BAB107" w14:textId="42DC9B6D" w:rsidR="00952C0F" w:rsidRPr="00952C0F" w:rsidRDefault="00471577" w:rsidP="00952C0F">
      <w:pPr>
        <w:jc w:val="both"/>
        <w:rPr>
          <w:rFonts w:ascii="Times New Roman" w:hAnsi="Times New Roman" w:cs="Times New Roman"/>
          <w:b/>
          <w:bCs/>
        </w:rPr>
      </w:pPr>
      <w:r>
        <w:rPr>
          <w:rFonts w:ascii="Times New Roman" w:hAnsi="Times New Roman" w:cs="Times New Roman"/>
          <w:b/>
          <w:bCs/>
        </w:rPr>
        <w:t xml:space="preserve">Effect of </w:t>
      </w:r>
      <w:r w:rsidR="00952C0F" w:rsidRPr="00952C0F">
        <w:rPr>
          <w:rFonts w:ascii="Times New Roman" w:hAnsi="Times New Roman" w:cs="Times New Roman"/>
          <w:b/>
          <w:bCs/>
        </w:rPr>
        <w:t xml:space="preserve">Capacity Building </w:t>
      </w:r>
      <w:r>
        <w:rPr>
          <w:rFonts w:ascii="Times New Roman" w:hAnsi="Times New Roman" w:cs="Times New Roman"/>
          <w:b/>
          <w:bCs/>
        </w:rPr>
        <w:t xml:space="preserve">on </w:t>
      </w:r>
      <w:r w:rsidR="00952C0F" w:rsidRPr="00952C0F">
        <w:rPr>
          <w:rFonts w:ascii="Times New Roman" w:hAnsi="Times New Roman" w:cs="Times New Roman"/>
          <w:b/>
          <w:bCs/>
        </w:rPr>
        <w:t>Women’s Political Participation</w:t>
      </w:r>
    </w:p>
    <w:p w14:paraId="16264E5C" w14:textId="1AB1F7AB" w:rsidR="00952C0F" w:rsidRPr="004A50BE" w:rsidRDefault="00952C0F" w:rsidP="00952C0F">
      <w:pPr>
        <w:jc w:val="both"/>
        <w:rPr>
          <w:rFonts w:ascii="Times New Roman" w:hAnsi="Times New Roman" w:cs="Times New Roman"/>
        </w:rPr>
      </w:pPr>
      <w:r w:rsidRPr="004A50BE">
        <w:rPr>
          <w:rFonts w:ascii="Times New Roman" w:hAnsi="Times New Roman" w:cs="Times New Roman"/>
        </w:rPr>
        <w:t xml:space="preserve">The objective of this study was to ascertain the effect of capacity building on women’s political participation in Nairobi City County. </w:t>
      </w:r>
      <w:r w:rsidRPr="004A50BE">
        <w:rPr>
          <w:rFonts w:ascii="Times New Roman" w:hAnsi="Times New Roman" w:cs="Times New Roman"/>
          <w:lang w:val="en-ZA"/>
        </w:rPr>
        <w:t>The respondents were requested to indicate their level of agreement on various statements. The results were as shown on</w:t>
      </w:r>
      <w:r w:rsidR="00F5530B">
        <w:rPr>
          <w:rFonts w:ascii="Times New Roman" w:hAnsi="Times New Roman" w:cs="Times New Roman"/>
          <w:lang w:val="en-ZA"/>
        </w:rPr>
        <w:t xml:space="preserve"> the below Table</w:t>
      </w:r>
      <w:r w:rsidRPr="004A50BE">
        <w:rPr>
          <w:rFonts w:ascii="Times New Roman" w:hAnsi="Times New Roman" w:cs="Times New Roman"/>
          <w:lang w:val="en-ZA"/>
        </w:rPr>
        <w:t>.</w:t>
      </w:r>
    </w:p>
    <w:p w14:paraId="5698D9CA" w14:textId="5C5ACE2C" w:rsidR="00952C0F" w:rsidRPr="004A50BE" w:rsidRDefault="00952C0F" w:rsidP="00952C0F">
      <w:pPr>
        <w:jc w:val="both"/>
        <w:rPr>
          <w:rFonts w:ascii="Times New Roman" w:hAnsi="Times New Roman" w:cs="Times New Roman"/>
          <w:lang w:val="en-ZA"/>
        </w:rPr>
      </w:pPr>
      <w:r w:rsidRPr="004A50BE">
        <w:rPr>
          <w:rFonts w:ascii="Times New Roman" w:hAnsi="Times New Roman" w:cs="Times New Roman"/>
          <w:lang w:val="en-ZA"/>
        </w:rPr>
        <w:t xml:space="preserve">The mean scores for all four capacity-building items as shown in </w:t>
      </w:r>
      <w:r w:rsidR="00F5530B">
        <w:rPr>
          <w:rFonts w:ascii="Times New Roman" w:hAnsi="Times New Roman" w:cs="Times New Roman"/>
          <w:lang w:val="en-ZA"/>
        </w:rPr>
        <w:t xml:space="preserve">the table </w:t>
      </w:r>
      <w:r w:rsidRPr="004A50BE">
        <w:rPr>
          <w:rFonts w:ascii="Times New Roman" w:hAnsi="Times New Roman" w:cs="Times New Roman"/>
          <w:lang w:val="en-ZA"/>
        </w:rPr>
        <w:t>range from 3.794 to 3.900 on a 5</w:t>
      </w:r>
      <w:r w:rsidRPr="004A50BE">
        <w:rPr>
          <w:rFonts w:ascii="Times New Roman" w:hAnsi="Times New Roman" w:cs="Times New Roman"/>
          <w:lang w:val="en-ZA"/>
        </w:rPr>
        <w:noBreakHyphen/>
        <w:t>point Likert continuum scale where 3 is neutral and 4 is agree, indicating that respondents generally agree that CSO capacity-building significantly supports women’s political participation. Using common interpretation bands (e.g., 3.40–4.19 = “agree”), the highest mean of 3.900 shows that most respondents agree leadership and training programs enhance women’s confidence and campaign skills, while means of 3.866 and 3.847 indicate that mentorship and training on legislative processes help women navigate political challenges and understand how laws and policies are made. The mean of 3.794 reflects agreement that training on legal frameworks strengthens women’s ability to advocate for gender equality and address systemic barriers. The standard deviations between 0.696 and 0.947 (all below 1) suggest a moderate dispersion, meaning responses crowd around agreement with some variability but no strong divergence, reinforcing the conclusion that capacity-building is widely perceived as an effective CSO strategy for enhancing women’s political participation.</w:t>
      </w:r>
    </w:p>
    <w:p w14:paraId="40E80754" w14:textId="79812C77" w:rsidR="00952C0F" w:rsidRPr="004A50BE" w:rsidRDefault="00952C0F" w:rsidP="00952C0F">
      <w:pPr>
        <w:jc w:val="both"/>
        <w:rPr>
          <w:rFonts w:ascii="Times New Roman" w:hAnsi="Times New Roman" w:cs="Times New Roman"/>
        </w:rPr>
      </w:pPr>
      <w:r w:rsidRPr="004A50BE">
        <w:rPr>
          <w:rFonts w:ascii="Times New Roman" w:hAnsi="Times New Roman" w:cs="Times New Roman"/>
        </w:rPr>
        <w:t>Nzomo (202</w:t>
      </w:r>
      <w:r w:rsidR="00507280">
        <w:rPr>
          <w:rFonts w:ascii="Times New Roman" w:hAnsi="Times New Roman" w:cs="Times New Roman"/>
        </w:rPr>
        <w:t>1</w:t>
      </w:r>
      <w:r w:rsidRPr="004A50BE">
        <w:rPr>
          <w:rFonts w:ascii="Times New Roman" w:hAnsi="Times New Roman" w:cs="Times New Roman"/>
        </w:rPr>
        <w:t xml:space="preserve">) reports that organizations such as Women’s Empowerment Link (WEL) in Kenya provide leadership training that equips women with the skills required to engage effectively in political processes. </w:t>
      </w:r>
      <w:r w:rsidR="00507280" w:rsidRPr="00507280">
        <w:rPr>
          <w:rFonts w:ascii="Times New Roman" w:hAnsi="Times New Roman" w:cs="Times New Roman"/>
        </w:rPr>
        <w:t>Additionally, Ugwu et al (2023) notes that mentorship initiatives help women navigate political challenges by providing guidance from experienced leaders.</w:t>
      </w:r>
    </w:p>
    <w:p w14:paraId="206DFF67" w14:textId="7593F2CB" w:rsidR="00952C0F" w:rsidRPr="004A50BE" w:rsidRDefault="00952C0F" w:rsidP="00952C0F">
      <w:pPr>
        <w:jc w:val="both"/>
        <w:rPr>
          <w:rFonts w:ascii="Times New Roman" w:hAnsi="Times New Roman" w:cs="Times New Roman"/>
        </w:rPr>
      </w:pPr>
      <w:r w:rsidRPr="004A50BE">
        <w:rPr>
          <w:rFonts w:ascii="Times New Roman" w:hAnsi="Times New Roman" w:cs="Times New Roman"/>
        </w:rPr>
        <w:lastRenderedPageBreak/>
        <w:t xml:space="preserve">Further evidence from </w:t>
      </w:r>
      <w:proofErr w:type="spellStart"/>
      <w:r w:rsidR="00AE13CC" w:rsidRPr="00AE13CC">
        <w:rPr>
          <w:rFonts w:ascii="Times New Roman" w:hAnsi="Times New Roman" w:cs="Times New Roman"/>
        </w:rPr>
        <w:t>Sanbonmatsu</w:t>
      </w:r>
      <w:proofErr w:type="spellEnd"/>
      <w:r w:rsidR="00AE13CC" w:rsidRPr="00AE13CC">
        <w:rPr>
          <w:rFonts w:ascii="Times New Roman" w:hAnsi="Times New Roman" w:cs="Times New Roman"/>
        </w:rPr>
        <w:t xml:space="preserve"> and Dittmar (2020), </w:t>
      </w:r>
      <w:r w:rsidRPr="004A50BE">
        <w:rPr>
          <w:rFonts w:ascii="Times New Roman" w:hAnsi="Times New Roman" w:cs="Times New Roman"/>
        </w:rPr>
        <w:t>indicates that women who participate in mentorship and training programs demonstrate higher levels of confidence and improved campaign knowledge. Similarly, Gichuhi and Kinyua (2023) argue that soft skills gained through capacity-building initiatives enable women to better understand complex legislative and political systems. These studies support the present findings that capacity-building programs significantly contribute to women’s political participation.</w:t>
      </w:r>
    </w:p>
    <w:p w14:paraId="36EBDCBF" w14:textId="6936BCDA" w:rsidR="00952C0F" w:rsidRPr="00952C0F" w:rsidRDefault="003159DC" w:rsidP="00952C0F">
      <w:pPr>
        <w:jc w:val="both"/>
        <w:rPr>
          <w:rFonts w:ascii="Times New Roman" w:hAnsi="Times New Roman" w:cs="Times New Roman"/>
          <w:b/>
          <w:bCs/>
        </w:rPr>
      </w:pPr>
      <w:bookmarkStart w:id="5" w:name="_Toc229568697"/>
      <w:r>
        <w:rPr>
          <w:rFonts w:ascii="Times New Roman" w:hAnsi="Times New Roman" w:cs="Times New Roman"/>
          <w:b/>
          <w:bCs/>
        </w:rPr>
        <w:t xml:space="preserve">Table </w:t>
      </w:r>
      <w:r w:rsidR="00C43173">
        <w:rPr>
          <w:rFonts w:ascii="Times New Roman" w:hAnsi="Times New Roman" w:cs="Times New Roman"/>
          <w:b/>
          <w:bCs/>
        </w:rPr>
        <w:t>2</w:t>
      </w:r>
      <w:r>
        <w:rPr>
          <w:rFonts w:ascii="Times New Roman" w:hAnsi="Times New Roman" w:cs="Times New Roman"/>
          <w:b/>
          <w:bCs/>
        </w:rPr>
        <w:t xml:space="preserve"> : </w:t>
      </w:r>
      <w:r w:rsidR="00952C0F" w:rsidRPr="00952C0F">
        <w:rPr>
          <w:rFonts w:ascii="Times New Roman" w:hAnsi="Times New Roman" w:cs="Times New Roman"/>
          <w:b/>
          <w:bCs/>
        </w:rPr>
        <w:t>Capacity Building and Women’s Political Participation</w:t>
      </w:r>
      <w:bookmarkEnd w:id="5"/>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7072"/>
        <w:gridCol w:w="734"/>
        <w:gridCol w:w="1554"/>
      </w:tblGrid>
      <w:tr w:rsidR="00952C0F" w:rsidRPr="00952C0F" w14:paraId="60309932" w14:textId="77777777">
        <w:trPr>
          <w:cantSplit/>
        </w:trPr>
        <w:tc>
          <w:tcPr>
            <w:tcW w:w="3778" w:type="pct"/>
            <w:tcBorders>
              <w:top w:val="single" w:sz="4" w:space="0" w:color="auto"/>
              <w:left w:val="nil"/>
              <w:bottom w:val="single" w:sz="4" w:space="0" w:color="auto"/>
              <w:right w:val="nil"/>
            </w:tcBorders>
            <w:shd w:val="clear" w:color="auto" w:fill="FFFFFF"/>
          </w:tcPr>
          <w:p w14:paraId="11806C6C" w14:textId="77777777" w:rsidR="00952C0F" w:rsidRPr="00952C0F" w:rsidRDefault="00952C0F" w:rsidP="00952C0F">
            <w:pPr>
              <w:jc w:val="both"/>
              <w:rPr>
                <w:rFonts w:ascii="Times New Roman" w:hAnsi="Times New Roman" w:cs="Times New Roman"/>
                <w:b/>
                <w:bCs/>
              </w:rPr>
            </w:pPr>
          </w:p>
        </w:tc>
        <w:tc>
          <w:tcPr>
            <w:tcW w:w="392" w:type="pct"/>
            <w:tcBorders>
              <w:top w:val="single" w:sz="4" w:space="0" w:color="auto"/>
              <w:left w:val="nil"/>
              <w:bottom w:val="single" w:sz="4" w:space="0" w:color="auto"/>
              <w:right w:val="nil"/>
            </w:tcBorders>
            <w:shd w:val="clear" w:color="auto" w:fill="FFFFFF"/>
            <w:hideMark/>
          </w:tcPr>
          <w:p w14:paraId="06CC2755" w14:textId="77777777" w:rsidR="00952C0F" w:rsidRPr="00952C0F" w:rsidRDefault="00952C0F" w:rsidP="00952C0F">
            <w:pPr>
              <w:jc w:val="both"/>
              <w:rPr>
                <w:rFonts w:ascii="Times New Roman" w:hAnsi="Times New Roman" w:cs="Times New Roman"/>
                <w:b/>
                <w:bCs/>
              </w:rPr>
            </w:pPr>
            <w:r w:rsidRPr="00952C0F">
              <w:rPr>
                <w:rFonts w:ascii="Times New Roman" w:hAnsi="Times New Roman" w:cs="Times New Roman"/>
                <w:b/>
                <w:bCs/>
              </w:rPr>
              <w:t>Mean</w:t>
            </w:r>
          </w:p>
        </w:tc>
        <w:tc>
          <w:tcPr>
            <w:tcW w:w="830" w:type="pct"/>
            <w:tcBorders>
              <w:top w:val="single" w:sz="4" w:space="0" w:color="auto"/>
              <w:left w:val="nil"/>
              <w:bottom w:val="single" w:sz="4" w:space="0" w:color="auto"/>
              <w:right w:val="nil"/>
            </w:tcBorders>
            <w:shd w:val="clear" w:color="auto" w:fill="FFFFFF"/>
            <w:hideMark/>
          </w:tcPr>
          <w:p w14:paraId="610D8EEA" w14:textId="77777777" w:rsidR="00952C0F" w:rsidRPr="00952C0F" w:rsidRDefault="00952C0F" w:rsidP="00952C0F">
            <w:pPr>
              <w:jc w:val="both"/>
              <w:rPr>
                <w:rFonts w:ascii="Times New Roman" w:hAnsi="Times New Roman" w:cs="Times New Roman"/>
                <w:b/>
                <w:bCs/>
              </w:rPr>
            </w:pPr>
            <w:r w:rsidRPr="00952C0F">
              <w:rPr>
                <w:rFonts w:ascii="Times New Roman" w:hAnsi="Times New Roman" w:cs="Times New Roman"/>
                <w:b/>
                <w:bCs/>
              </w:rPr>
              <w:t>Std. Deviation</w:t>
            </w:r>
          </w:p>
        </w:tc>
      </w:tr>
      <w:tr w:rsidR="00952C0F" w:rsidRPr="00952C0F" w14:paraId="759639C7" w14:textId="77777777">
        <w:trPr>
          <w:cantSplit/>
        </w:trPr>
        <w:tc>
          <w:tcPr>
            <w:tcW w:w="3778" w:type="pct"/>
            <w:tcBorders>
              <w:top w:val="single" w:sz="4" w:space="0" w:color="auto"/>
              <w:left w:val="nil"/>
              <w:bottom w:val="nil"/>
              <w:right w:val="nil"/>
            </w:tcBorders>
            <w:shd w:val="clear" w:color="auto" w:fill="FFFFFF"/>
            <w:hideMark/>
          </w:tcPr>
          <w:p w14:paraId="43720C79" w14:textId="77777777" w:rsidR="00952C0F" w:rsidRPr="004A50BE" w:rsidRDefault="00952C0F" w:rsidP="00952C0F">
            <w:pPr>
              <w:jc w:val="both"/>
              <w:rPr>
                <w:rFonts w:ascii="Times New Roman" w:hAnsi="Times New Roman" w:cs="Times New Roman"/>
              </w:rPr>
            </w:pPr>
            <w:r w:rsidRPr="004A50BE">
              <w:rPr>
                <w:rFonts w:ascii="Times New Roman" w:hAnsi="Times New Roman" w:cs="Times New Roman"/>
              </w:rPr>
              <w:t>CSOs run leadership and training programs (e.g., public speaking, campaign strategy) that have been known to boost women’s confidence and skills for running effective political campaigns.</w:t>
            </w:r>
          </w:p>
        </w:tc>
        <w:tc>
          <w:tcPr>
            <w:tcW w:w="392" w:type="pct"/>
            <w:tcBorders>
              <w:top w:val="single" w:sz="4" w:space="0" w:color="auto"/>
              <w:left w:val="nil"/>
              <w:bottom w:val="nil"/>
              <w:right w:val="nil"/>
            </w:tcBorders>
            <w:shd w:val="clear" w:color="auto" w:fill="FFFFFF"/>
            <w:hideMark/>
          </w:tcPr>
          <w:p w14:paraId="09555AB9" w14:textId="2D77A71C" w:rsidR="00952C0F" w:rsidRPr="004A50BE" w:rsidRDefault="00952C0F" w:rsidP="00952C0F">
            <w:pPr>
              <w:jc w:val="both"/>
              <w:rPr>
                <w:rFonts w:ascii="Times New Roman" w:hAnsi="Times New Roman" w:cs="Times New Roman"/>
              </w:rPr>
            </w:pPr>
            <w:r w:rsidRPr="004A50BE">
              <w:rPr>
                <w:rFonts w:ascii="Times New Roman" w:hAnsi="Times New Roman" w:cs="Times New Roman"/>
              </w:rPr>
              <w:t xml:space="preserve"> 3.900    </w:t>
            </w:r>
          </w:p>
        </w:tc>
        <w:tc>
          <w:tcPr>
            <w:tcW w:w="830" w:type="pct"/>
            <w:tcBorders>
              <w:top w:val="single" w:sz="4" w:space="0" w:color="auto"/>
              <w:left w:val="nil"/>
              <w:bottom w:val="nil"/>
              <w:right w:val="nil"/>
            </w:tcBorders>
            <w:shd w:val="clear" w:color="auto" w:fill="FFFFFF"/>
            <w:hideMark/>
          </w:tcPr>
          <w:p w14:paraId="2A8619BD" w14:textId="77777777" w:rsidR="00952C0F" w:rsidRPr="004A50BE" w:rsidRDefault="00952C0F" w:rsidP="00952C0F">
            <w:pPr>
              <w:jc w:val="both"/>
              <w:rPr>
                <w:rFonts w:ascii="Times New Roman" w:hAnsi="Times New Roman" w:cs="Times New Roman"/>
              </w:rPr>
            </w:pPr>
            <w:r w:rsidRPr="004A50BE">
              <w:rPr>
                <w:rFonts w:ascii="Times New Roman" w:hAnsi="Times New Roman" w:cs="Times New Roman"/>
              </w:rPr>
              <w:t>0.947</w:t>
            </w:r>
          </w:p>
        </w:tc>
      </w:tr>
      <w:tr w:rsidR="00952C0F" w:rsidRPr="00952C0F" w14:paraId="47EA0B15" w14:textId="77777777">
        <w:trPr>
          <w:cantSplit/>
        </w:trPr>
        <w:tc>
          <w:tcPr>
            <w:tcW w:w="3778" w:type="pct"/>
            <w:tcBorders>
              <w:top w:val="nil"/>
              <w:left w:val="nil"/>
              <w:bottom w:val="nil"/>
              <w:right w:val="nil"/>
            </w:tcBorders>
            <w:shd w:val="clear" w:color="auto" w:fill="FFFFFF"/>
            <w:hideMark/>
          </w:tcPr>
          <w:p w14:paraId="1F338A7F" w14:textId="77777777" w:rsidR="00952C0F" w:rsidRPr="004A50BE" w:rsidRDefault="00952C0F" w:rsidP="00952C0F">
            <w:pPr>
              <w:jc w:val="both"/>
              <w:rPr>
                <w:rFonts w:ascii="Times New Roman" w:hAnsi="Times New Roman" w:cs="Times New Roman"/>
              </w:rPr>
            </w:pPr>
            <w:r w:rsidRPr="004A50BE">
              <w:rPr>
                <w:rFonts w:ascii="Times New Roman" w:hAnsi="Times New Roman" w:cs="Times New Roman"/>
              </w:rPr>
              <w:t>CSOs connect women newcomers to politics with incumbent leaders who are experienced leaders through mentorship initiatives, hence enabling them to navigate political challenges.</w:t>
            </w:r>
          </w:p>
        </w:tc>
        <w:tc>
          <w:tcPr>
            <w:tcW w:w="392" w:type="pct"/>
            <w:tcBorders>
              <w:top w:val="nil"/>
              <w:left w:val="nil"/>
              <w:bottom w:val="nil"/>
              <w:right w:val="nil"/>
            </w:tcBorders>
            <w:shd w:val="clear" w:color="auto" w:fill="FFFFFF"/>
            <w:hideMark/>
          </w:tcPr>
          <w:p w14:paraId="1754DFB7" w14:textId="6252A626" w:rsidR="00952C0F" w:rsidRPr="004A50BE" w:rsidRDefault="00952C0F" w:rsidP="00952C0F">
            <w:pPr>
              <w:jc w:val="both"/>
              <w:rPr>
                <w:rFonts w:ascii="Times New Roman" w:hAnsi="Times New Roman" w:cs="Times New Roman"/>
              </w:rPr>
            </w:pPr>
            <w:r w:rsidRPr="004A50BE">
              <w:rPr>
                <w:rFonts w:ascii="Times New Roman" w:hAnsi="Times New Roman" w:cs="Times New Roman"/>
              </w:rPr>
              <w:t xml:space="preserve"> 3.866</w:t>
            </w:r>
          </w:p>
        </w:tc>
        <w:tc>
          <w:tcPr>
            <w:tcW w:w="830" w:type="pct"/>
            <w:tcBorders>
              <w:top w:val="nil"/>
              <w:left w:val="nil"/>
              <w:bottom w:val="nil"/>
              <w:right w:val="nil"/>
            </w:tcBorders>
            <w:shd w:val="clear" w:color="auto" w:fill="FFFFFF"/>
            <w:hideMark/>
          </w:tcPr>
          <w:p w14:paraId="2E171E16" w14:textId="77777777" w:rsidR="00952C0F" w:rsidRPr="004A50BE" w:rsidRDefault="00952C0F" w:rsidP="00952C0F">
            <w:pPr>
              <w:jc w:val="both"/>
              <w:rPr>
                <w:rFonts w:ascii="Times New Roman" w:hAnsi="Times New Roman" w:cs="Times New Roman"/>
              </w:rPr>
            </w:pPr>
            <w:r w:rsidRPr="004A50BE">
              <w:rPr>
                <w:rFonts w:ascii="Times New Roman" w:hAnsi="Times New Roman" w:cs="Times New Roman"/>
              </w:rPr>
              <w:t>0.817</w:t>
            </w:r>
          </w:p>
        </w:tc>
      </w:tr>
      <w:tr w:rsidR="00952C0F" w:rsidRPr="00952C0F" w14:paraId="1C0520C7" w14:textId="77777777">
        <w:trPr>
          <w:cantSplit/>
        </w:trPr>
        <w:tc>
          <w:tcPr>
            <w:tcW w:w="3778" w:type="pct"/>
            <w:tcBorders>
              <w:top w:val="nil"/>
              <w:left w:val="nil"/>
              <w:bottom w:val="nil"/>
              <w:right w:val="nil"/>
            </w:tcBorders>
            <w:shd w:val="clear" w:color="auto" w:fill="FFFFFF"/>
            <w:hideMark/>
          </w:tcPr>
          <w:p w14:paraId="78B7FD57" w14:textId="77777777" w:rsidR="00952C0F" w:rsidRPr="004A50BE" w:rsidRDefault="00952C0F" w:rsidP="00952C0F">
            <w:pPr>
              <w:jc w:val="both"/>
              <w:rPr>
                <w:rFonts w:ascii="Times New Roman" w:hAnsi="Times New Roman" w:cs="Times New Roman"/>
              </w:rPr>
            </w:pPr>
            <w:r w:rsidRPr="004A50BE">
              <w:rPr>
                <w:rFonts w:ascii="Times New Roman" w:hAnsi="Times New Roman" w:cs="Times New Roman"/>
              </w:rPr>
              <w:t>CSOs training programs and workshops do equip women with knowledge of legislative processes i.e. how laws and policies are made.</w:t>
            </w:r>
          </w:p>
        </w:tc>
        <w:tc>
          <w:tcPr>
            <w:tcW w:w="392" w:type="pct"/>
            <w:tcBorders>
              <w:top w:val="nil"/>
              <w:left w:val="nil"/>
              <w:bottom w:val="nil"/>
              <w:right w:val="nil"/>
            </w:tcBorders>
            <w:shd w:val="clear" w:color="auto" w:fill="FFFFFF"/>
            <w:hideMark/>
          </w:tcPr>
          <w:p w14:paraId="457EF535" w14:textId="53925C18" w:rsidR="00952C0F" w:rsidRPr="004A50BE" w:rsidRDefault="00952C0F" w:rsidP="00952C0F">
            <w:pPr>
              <w:jc w:val="both"/>
              <w:rPr>
                <w:rFonts w:ascii="Times New Roman" w:hAnsi="Times New Roman" w:cs="Times New Roman"/>
              </w:rPr>
            </w:pPr>
            <w:r w:rsidRPr="004A50BE">
              <w:rPr>
                <w:rFonts w:ascii="Times New Roman" w:hAnsi="Times New Roman" w:cs="Times New Roman"/>
              </w:rPr>
              <w:t xml:space="preserve"> 3.847</w:t>
            </w:r>
          </w:p>
        </w:tc>
        <w:tc>
          <w:tcPr>
            <w:tcW w:w="830" w:type="pct"/>
            <w:tcBorders>
              <w:top w:val="nil"/>
              <w:left w:val="nil"/>
              <w:bottom w:val="nil"/>
              <w:right w:val="nil"/>
            </w:tcBorders>
            <w:shd w:val="clear" w:color="auto" w:fill="FFFFFF"/>
            <w:hideMark/>
          </w:tcPr>
          <w:p w14:paraId="3291BCCF" w14:textId="77777777" w:rsidR="00952C0F" w:rsidRPr="004A50BE" w:rsidRDefault="00952C0F" w:rsidP="00952C0F">
            <w:pPr>
              <w:jc w:val="both"/>
              <w:rPr>
                <w:rFonts w:ascii="Times New Roman" w:hAnsi="Times New Roman" w:cs="Times New Roman"/>
              </w:rPr>
            </w:pPr>
            <w:r w:rsidRPr="004A50BE">
              <w:rPr>
                <w:rFonts w:ascii="Times New Roman" w:hAnsi="Times New Roman" w:cs="Times New Roman"/>
              </w:rPr>
              <w:t>0.738</w:t>
            </w:r>
          </w:p>
        </w:tc>
      </w:tr>
      <w:tr w:rsidR="00952C0F" w:rsidRPr="00952C0F" w14:paraId="5F0A3662" w14:textId="77777777">
        <w:trPr>
          <w:cantSplit/>
        </w:trPr>
        <w:tc>
          <w:tcPr>
            <w:tcW w:w="3778" w:type="pct"/>
            <w:tcBorders>
              <w:top w:val="nil"/>
              <w:left w:val="nil"/>
              <w:bottom w:val="single" w:sz="4" w:space="0" w:color="auto"/>
              <w:right w:val="nil"/>
            </w:tcBorders>
            <w:shd w:val="clear" w:color="auto" w:fill="FFFFFF"/>
            <w:hideMark/>
          </w:tcPr>
          <w:p w14:paraId="0BC72207" w14:textId="77777777" w:rsidR="00952C0F" w:rsidRPr="004A50BE" w:rsidRDefault="00952C0F" w:rsidP="00952C0F">
            <w:pPr>
              <w:jc w:val="both"/>
              <w:rPr>
                <w:rFonts w:ascii="Times New Roman" w:hAnsi="Times New Roman" w:cs="Times New Roman"/>
              </w:rPr>
            </w:pPr>
            <w:r w:rsidRPr="004A50BE">
              <w:rPr>
                <w:rFonts w:ascii="Times New Roman" w:hAnsi="Times New Roman" w:cs="Times New Roman"/>
              </w:rPr>
              <w:t>CSOs train women on legal frameworks to strengthen their ability to advocate for gender equality and dismantle systemic barriers</w:t>
            </w:r>
          </w:p>
        </w:tc>
        <w:tc>
          <w:tcPr>
            <w:tcW w:w="392" w:type="pct"/>
            <w:tcBorders>
              <w:top w:val="nil"/>
              <w:left w:val="nil"/>
              <w:bottom w:val="single" w:sz="4" w:space="0" w:color="auto"/>
              <w:right w:val="nil"/>
            </w:tcBorders>
            <w:shd w:val="clear" w:color="auto" w:fill="FFFFFF"/>
            <w:hideMark/>
          </w:tcPr>
          <w:p w14:paraId="71710EB4" w14:textId="6E371E4D" w:rsidR="00952C0F" w:rsidRPr="004A50BE" w:rsidRDefault="00952C0F" w:rsidP="00952C0F">
            <w:pPr>
              <w:jc w:val="both"/>
              <w:rPr>
                <w:rFonts w:ascii="Times New Roman" w:hAnsi="Times New Roman" w:cs="Times New Roman"/>
              </w:rPr>
            </w:pPr>
            <w:r w:rsidRPr="004A50BE">
              <w:rPr>
                <w:rFonts w:ascii="Times New Roman" w:hAnsi="Times New Roman" w:cs="Times New Roman"/>
              </w:rPr>
              <w:t xml:space="preserve"> 3.794</w:t>
            </w:r>
          </w:p>
        </w:tc>
        <w:tc>
          <w:tcPr>
            <w:tcW w:w="830" w:type="pct"/>
            <w:tcBorders>
              <w:top w:val="nil"/>
              <w:left w:val="nil"/>
              <w:bottom w:val="single" w:sz="4" w:space="0" w:color="auto"/>
              <w:right w:val="nil"/>
            </w:tcBorders>
            <w:shd w:val="clear" w:color="auto" w:fill="FFFFFF"/>
            <w:hideMark/>
          </w:tcPr>
          <w:p w14:paraId="194DF705" w14:textId="77777777" w:rsidR="00952C0F" w:rsidRPr="004A50BE" w:rsidRDefault="00952C0F" w:rsidP="00952C0F">
            <w:pPr>
              <w:jc w:val="both"/>
              <w:rPr>
                <w:rFonts w:ascii="Times New Roman" w:hAnsi="Times New Roman" w:cs="Times New Roman"/>
              </w:rPr>
            </w:pPr>
            <w:r w:rsidRPr="004A50BE">
              <w:rPr>
                <w:rFonts w:ascii="Times New Roman" w:hAnsi="Times New Roman" w:cs="Times New Roman"/>
              </w:rPr>
              <w:t>0.696</w:t>
            </w:r>
          </w:p>
        </w:tc>
      </w:tr>
    </w:tbl>
    <w:p w14:paraId="7B05167B" w14:textId="12C364D8" w:rsidR="00E92A93" w:rsidRDefault="00952C0F" w:rsidP="004A50BE">
      <w:pPr>
        <w:jc w:val="both"/>
        <w:rPr>
          <w:rFonts w:ascii="Times New Roman" w:hAnsi="Times New Roman" w:cs="Times New Roman"/>
          <w:b/>
          <w:bCs/>
        </w:rPr>
      </w:pPr>
      <w:r w:rsidRPr="00952C0F">
        <w:rPr>
          <w:rFonts w:ascii="Times New Roman" w:hAnsi="Times New Roman" w:cs="Times New Roman"/>
          <w:b/>
          <w:bCs/>
        </w:rPr>
        <w:t>Key: 1.00– 1.80: Strongly Disagree, 1.81 – 2.60: Disagree, 2.61 – 3.40: Neutral / Neither Agree nor Disagree, 3.41 – 4.20: Agree, 4.21 – 5.00: Strongly Agre</w:t>
      </w:r>
      <w:r w:rsidR="00F5530B">
        <w:rPr>
          <w:rFonts w:ascii="Times New Roman" w:hAnsi="Times New Roman" w:cs="Times New Roman"/>
          <w:b/>
          <w:bCs/>
        </w:rPr>
        <w:t>e</w:t>
      </w:r>
    </w:p>
    <w:p w14:paraId="4505D30F" w14:textId="77777777" w:rsidR="00F5530B" w:rsidRDefault="00F5530B" w:rsidP="004A50BE">
      <w:pPr>
        <w:jc w:val="both"/>
        <w:rPr>
          <w:rFonts w:ascii="Times New Roman" w:hAnsi="Times New Roman" w:cs="Times New Roman"/>
          <w:b/>
          <w:bCs/>
        </w:rPr>
      </w:pPr>
    </w:p>
    <w:p w14:paraId="175077D1" w14:textId="77777777" w:rsidR="00F5530B" w:rsidRDefault="00F5530B" w:rsidP="004A50BE">
      <w:pPr>
        <w:jc w:val="both"/>
        <w:rPr>
          <w:rFonts w:ascii="Times New Roman" w:hAnsi="Times New Roman" w:cs="Times New Roman"/>
          <w:b/>
          <w:bCs/>
        </w:rPr>
      </w:pPr>
    </w:p>
    <w:p w14:paraId="05B1D51F" w14:textId="77777777" w:rsidR="00F5530B" w:rsidRDefault="00F5530B" w:rsidP="004A50BE">
      <w:pPr>
        <w:jc w:val="both"/>
        <w:rPr>
          <w:rFonts w:ascii="Times New Roman" w:hAnsi="Times New Roman" w:cs="Times New Roman"/>
          <w:b/>
          <w:bCs/>
        </w:rPr>
      </w:pPr>
    </w:p>
    <w:p w14:paraId="34137A8E" w14:textId="77777777" w:rsidR="00F5530B" w:rsidRDefault="00F5530B" w:rsidP="004A50BE">
      <w:pPr>
        <w:jc w:val="both"/>
        <w:rPr>
          <w:rFonts w:ascii="Times New Roman" w:hAnsi="Times New Roman" w:cs="Times New Roman"/>
          <w:b/>
          <w:bCs/>
        </w:rPr>
      </w:pPr>
    </w:p>
    <w:p w14:paraId="4E73148D" w14:textId="77777777" w:rsidR="00F5530B" w:rsidRDefault="00F5530B" w:rsidP="004A50BE">
      <w:pPr>
        <w:jc w:val="both"/>
        <w:rPr>
          <w:rFonts w:ascii="Times New Roman" w:hAnsi="Times New Roman" w:cs="Times New Roman"/>
          <w:b/>
          <w:bCs/>
        </w:rPr>
      </w:pPr>
    </w:p>
    <w:p w14:paraId="7A8BE8B5" w14:textId="77777777" w:rsidR="00F5530B" w:rsidRDefault="00F5530B" w:rsidP="004A50BE">
      <w:pPr>
        <w:jc w:val="both"/>
        <w:rPr>
          <w:rFonts w:ascii="Times New Roman" w:hAnsi="Times New Roman" w:cs="Times New Roman"/>
          <w:b/>
          <w:bCs/>
        </w:rPr>
      </w:pPr>
    </w:p>
    <w:p w14:paraId="066080B0" w14:textId="77777777" w:rsidR="00F5530B" w:rsidRDefault="00F5530B" w:rsidP="004A50BE">
      <w:pPr>
        <w:jc w:val="both"/>
        <w:rPr>
          <w:rFonts w:ascii="Times New Roman" w:hAnsi="Times New Roman" w:cs="Times New Roman"/>
          <w:b/>
          <w:bCs/>
        </w:rPr>
      </w:pPr>
    </w:p>
    <w:p w14:paraId="04E3C101" w14:textId="77777777" w:rsidR="00F5530B" w:rsidRDefault="00F5530B" w:rsidP="004A50BE">
      <w:pPr>
        <w:jc w:val="both"/>
        <w:rPr>
          <w:rFonts w:ascii="Times New Roman" w:hAnsi="Times New Roman" w:cs="Times New Roman"/>
          <w:b/>
          <w:bCs/>
        </w:rPr>
      </w:pPr>
    </w:p>
    <w:p w14:paraId="5157D38C" w14:textId="77777777" w:rsidR="00F5530B" w:rsidRDefault="00F5530B" w:rsidP="004A50BE">
      <w:pPr>
        <w:jc w:val="both"/>
        <w:rPr>
          <w:rFonts w:ascii="Times New Roman" w:hAnsi="Times New Roman" w:cs="Times New Roman"/>
          <w:b/>
          <w:bCs/>
        </w:rPr>
      </w:pPr>
    </w:p>
    <w:p w14:paraId="1C49835A" w14:textId="77777777" w:rsidR="00F5530B" w:rsidRDefault="00F5530B" w:rsidP="004A50BE">
      <w:pPr>
        <w:jc w:val="both"/>
        <w:rPr>
          <w:rFonts w:ascii="Times New Roman" w:hAnsi="Times New Roman" w:cs="Times New Roman"/>
          <w:b/>
          <w:bCs/>
        </w:rPr>
      </w:pPr>
    </w:p>
    <w:p w14:paraId="617D99F8" w14:textId="77777777" w:rsidR="00E92A93" w:rsidRDefault="00E92A93" w:rsidP="004A50BE">
      <w:pPr>
        <w:jc w:val="both"/>
        <w:rPr>
          <w:rFonts w:ascii="Times New Roman" w:hAnsi="Times New Roman" w:cs="Times New Roman"/>
          <w:b/>
          <w:bCs/>
        </w:rPr>
      </w:pPr>
    </w:p>
    <w:p w14:paraId="5D5FE3DB" w14:textId="555CE377" w:rsidR="004A50BE" w:rsidRDefault="004A50BE" w:rsidP="004A50BE">
      <w:pPr>
        <w:jc w:val="both"/>
        <w:rPr>
          <w:rFonts w:ascii="Times New Roman" w:hAnsi="Times New Roman" w:cs="Times New Roman"/>
          <w:b/>
          <w:bCs/>
        </w:rPr>
      </w:pPr>
      <w:r w:rsidRPr="004A50BE">
        <w:rPr>
          <w:rFonts w:ascii="Times New Roman" w:hAnsi="Times New Roman" w:cs="Times New Roman"/>
          <w:b/>
          <w:bCs/>
        </w:rPr>
        <w:lastRenderedPageBreak/>
        <w:t>Correlation Analysis</w:t>
      </w:r>
    </w:p>
    <w:p w14:paraId="1536A4D4" w14:textId="4B40C6A5" w:rsidR="004212C7" w:rsidRDefault="004A50BE" w:rsidP="004A50BE">
      <w:pPr>
        <w:jc w:val="both"/>
        <w:rPr>
          <w:rFonts w:ascii="Times New Roman" w:hAnsi="Times New Roman" w:cs="Times New Roman"/>
          <w:iCs/>
          <w:lang w:val="en-GB"/>
        </w:rPr>
      </w:pPr>
      <w:r w:rsidRPr="004A50BE">
        <w:rPr>
          <w:rFonts w:ascii="Times New Roman" w:hAnsi="Times New Roman" w:cs="Times New Roman"/>
          <w:iCs/>
          <w:lang w:val="en-GB"/>
        </w:rPr>
        <w:t>This research adopted Pearson correlation analysis determine how the dependent variable (women’s political participation in Nairobi City County, Kenya) relates with the independent variables (capacity building).</w:t>
      </w:r>
    </w:p>
    <w:p w14:paraId="7D2D2E33" w14:textId="4DF91653" w:rsidR="0041144B" w:rsidRPr="0041144B" w:rsidRDefault="0041144B" w:rsidP="0041144B">
      <w:pPr>
        <w:jc w:val="both"/>
        <w:rPr>
          <w:rFonts w:ascii="Times New Roman" w:hAnsi="Times New Roman" w:cs="Times New Roman"/>
          <w:iCs/>
          <w:lang w:val="en-GB"/>
        </w:rPr>
      </w:pPr>
      <w:r w:rsidRPr="0041144B">
        <w:rPr>
          <w:rFonts w:ascii="Times New Roman" w:hAnsi="Times New Roman" w:cs="Times New Roman"/>
          <w:iCs/>
          <w:lang w:val="en-GB"/>
        </w:rPr>
        <w:t xml:space="preserve">The correlation analysis results presented in Table </w:t>
      </w:r>
      <w:r w:rsidR="00C43173">
        <w:rPr>
          <w:rFonts w:ascii="Times New Roman" w:hAnsi="Times New Roman" w:cs="Times New Roman"/>
          <w:iCs/>
          <w:lang w:val="en-GB"/>
        </w:rPr>
        <w:t>3</w:t>
      </w:r>
      <w:r w:rsidRPr="0041144B">
        <w:rPr>
          <w:rFonts w:ascii="Times New Roman" w:hAnsi="Times New Roman" w:cs="Times New Roman"/>
          <w:iCs/>
          <w:lang w:val="en-GB"/>
        </w:rPr>
        <w:t xml:space="preserve"> reveal</w:t>
      </w:r>
      <w:r w:rsidR="00C43173">
        <w:rPr>
          <w:rFonts w:ascii="Times New Roman" w:hAnsi="Times New Roman" w:cs="Times New Roman"/>
          <w:iCs/>
          <w:lang w:val="en-GB"/>
        </w:rPr>
        <w:t>s</w:t>
      </w:r>
      <w:r w:rsidRPr="0041144B">
        <w:rPr>
          <w:rFonts w:ascii="Times New Roman" w:hAnsi="Times New Roman" w:cs="Times New Roman"/>
          <w:iCs/>
          <w:lang w:val="en-GB"/>
        </w:rPr>
        <w:t xml:space="preserve"> a strong and positive relationship</w:t>
      </w:r>
    </w:p>
    <w:p w14:paraId="2268AEA1" w14:textId="1C552767" w:rsidR="0041144B" w:rsidRDefault="0041144B" w:rsidP="0041144B">
      <w:pPr>
        <w:jc w:val="both"/>
        <w:rPr>
          <w:rFonts w:ascii="Times New Roman" w:hAnsi="Times New Roman" w:cs="Times New Roman"/>
          <w:iCs/>
          <w:lang w:val="en-GB"/>
        </w:rPr>
      </w:pPr>
      <w:r w:rsidRPr="0041144B">
        <w:rPr>
          <w:rFonts w:ascii="Times New Roman" w:hAnsi="Times New Roman" w:cs="Times New Roman"/>
          <w:iCs/>
          <w:lang w:val="en-GB"/>
        </w:rPr>
        <w:t xml:space="preserve">between </w:t>
      </w:r>
      <w:r>
        <w:rPr>
          <w:rFonts w:ascii="Times New Roman" w:hAnsi="Times New Roman" w:cs="Times New Roman"/>
          <w:iCs/>
          <w:lang w:val="en-GB"/>
        </w:rPr>
        <w:t xml:space="preserve">capacity building </w:t>
      </w:r>
      <w:r w:rsidRPr="0041144B">
        <w:rPr>
          <w:rFonts w:ascii="Times New Roman" w:hAnsi="Times New Roman" w:cs="Times New Roman"/>
          <w:iCs/>
          <w:lang w:val="en-GB"/>
        </w:rPr>
        <w:t>and women’s political participation.</w:t>
      </w:r>
      <w:r w:rsidRPr="0041144B">
        <w:t xml:space="preserve"> </w:t>
      </w:r>
      <w:r w:rsidRPr="0041144B">
        <w:rPr>
          <w:rFonts w:ascii="Times New Roman" w:hAnsi="Times New Roman" w:cs="Times New Roman"/>
          <w:iCs/>
          <w:lang w:val="en-GB"/>
        </w:rPr>
        <w:t xml:space="preserve">Capacity building </w:t>
      </w:r>
      <w:r>
        <w:rPr>
          <w:rFonts w:ascii="Times New Roman" w:hAnsi="Times New Roman" w:cs="Times New Roman"/>
          <w:iCs/>
          <w:lang w:val="en-GB"/>
        </w:rPr>
        <w:t xml:space="preserve">exhibited a </w:t>
      </w:r>
      <w:r w:rsidR="00C43173">
        <w:rPr>
          <w:rFonts w:ascii="Times New Roman" w:hAnsi="Times New Roman" w:cs="Times New Roman"/>
          <w:iCs/>
          <w:lang w:val="en-GB"/>
        </w:rPr>
        <w:t xml:space="preserve">moderately </w:t>
      </w:r>
      <w:r w:rsidRPr="0041144B">
        <w:rPr>
          <w:rFonts w:ascii="Times New Roman" w:hAnsi="Times New Roman" w:cs="Times New Roman"/>
          <w:iCs/>
          <w:lang w:val="en-GB"/>
        </w:rPr>
        <w:t>strong</w:t>
      </w:r>
      <w:r>
        <w:rPr>
          <w:rFonts w:ascii="Times New Roman" w:hAnsi="Times New Roman" w:cs="Times New Roman"/>
          <w:iCs/>
          <w:lang w:val="en-GB"/>
        </w:rPr>
        <w:t xml:space="preserve"> </w:t>
      </w:r>
      <w:r w:rsidR="00C43173">
        <w:rPr>
          <w:rFonts w:ascii="Times New Roman" w:hAnsi="Times New Roman" w:cs="Times New Roman"/>
          <w:iCs/>
          <w:lang w:val="en-GB"/>
        </w:rPr>
        <w:t xml:space="preserve">and </w:t>
      </w:r>
      <w:r w:rsidR="00C43173" w:rsidRPr="0041144B">
        <w:rPr>
          <w:rFonts w:ascii="Times New Roman" w:hAnsi="Times New Roman" w:cs="Times New Roman"/>
          <w:iCs/>
          <w:lang w:val="en-GB"/>
        </w:rPr>
        <w:t>positive</w:t>
      </w:r>
      <w:r w:rsidRPr="0041144B">
        <w:rPr>
          <w:rFonts w:ascii="Times New Roman" w:hAnsi="Times New Roman" w:cs="Times New Roman"/>
          <w:iCs/>
          <w:lang w:val="en-GB"/>
        </w:rPr>
        <w:t xml:space="preserve"> correlation (r = 0.822, p</w:t>
      </w:r>
      <w:r>
        <w:rPr>
          <w:rFonts w:ascii="Times New Roman" w:hAnsi="Times New Roman" w:cs="Times New Roman"/>
          <w:iCs/>
          <w:lang w:val="en-GB"/>
        </w:rPr>
        <w:t xml:space="preserve"> &lt; </w:t>
      </w:r>
      <w:r w:rsidRPr="0041144B">
        <w:rPr>
          <w:rFonts w:ascii="Times New Roman" w:hAnsi="Times New Roman" w:cs="Times New Roman"/>
          <w:iCs/>
          <w:lang w:val="en-GB"/>
        </w:rPr>
        <w:t xml:space="preserve">0.01), meaning that </w:t>
      </w:r>
      <w:proofErr w:type="gramStart"/>
      <w:r w:rsidRPr="0041144B">
        <w:rPr>
          <w:rFonts w:ascii="Times New Roman" w:hAnsi="Times New Roman" w:cs="Times New Roman"/>
          <w:iCs/>
          <w:lang w:val="en-GB"/>
        </w:rPr>
        <w:t xml:space="preserve">training </w:t>
      </w:r>
      <w:r>
        <w:rPr>
          <w:rFonts w:ascii="Times New Roman" w:hAnsi="Times New Roman" w:cs="Times New Roman"/>
          <w:iCs/>
          <w:lang w:val="en-GB"/>
        </w:rPr>
        <w:t>,</w:t>
      </w:r>
      <w:proofErr w:type="gramEnd"/>
      <w:r>
        <w:rPr>
          <w:rFonts w:ascii="Times New Roman" w:hAnsi="Times New Roman" w:cs="Times New Roman"/>
          <w:iCs/>
          <w:lang w:val="en-GB"/>
        </w:rPr>
        <w:t xml:space="preserve"> civic education and </w:t>
      </w:r>
      <w:r w:rsidRPr="0041144B">
        <w:rPr>
          <w:rFonts w:ascii="Times New Roman" w:hAnsi="Times New Roman" w:cs="Times New Roman"/>
          <w:iCs/>
          <w:lang w:val="en-GB"/>
        </w:rPr>
        <w:t>mentorship programs contribute meaningfully to enhancing women’s political engagement.</w:t>
      </w:r>
    </w:p>
    <w:p w14:paraId="121F0C2B" w14:textId="77777777" w:rsidR="00F5540B" w:rsidRPr="004A50BE" w:rsidRDefault="00F5540B" w:rsidP="004A50BE">
      <w:pPr>
        <w:jc w:val="both"/>
        <w:rPr>
          <w:rFonts w:ascii="Times New Roman" w:hAnsi="Times New Roman" w:cs="Times New Roman"/>
          <w:iCs/>
          <w:lang w:val="en-GB"/>
        </w:rPr>
      </w:pPr>
    </w:p>
    <w:p w14:paraId="70754777" w14:textId="3E72B124" w:rsidR="004A50BE" w:rsidRPr="004A50BE" w:rsidRDefault="003159DC" w:rsidP="004A50BE">
      <w:pPr>
        <w:jc w:val="both"/>
        <w:rPr>
          <w:rFonts w:ascii="Times New Roman" w:hAnsi="Times New Roman" w:cs="Times New Roman"/>
          <w:b/>
          <w:bCs/>
        </w:rPr>
      </w:pPr>
      <w:r>
        <w:rPr>
          <w:rFonts w:ascii="Times New Roman" w:hAnsi="Times New Roman" w:cs="Times New Roman"/>
          <w:b/>
          <w:bCs/>
          <w:iCs/>
        </w:rPr>
        <w:t xml:space="preserve">Table </w:t>
      </w:r>
      <w:r w:rsidR="00C43173">
        <w:rPr>
          <w:rFonts w:ascii="Times New Roman" w:hAnsi="Times New Roman" w:cs="Times New Roman"/>
          <w:b/>
          <w:bCs/>
          <w:iCs/>
        </w:rPr>
        <w:t>3</w:t>
      </w:r>
      <w:r>
        <w:rPr>
          <w:rFonts w:ascii="Times New Roman" w:hAnsi="Times New Roman" w:cs="Times New Roman"/>
          <w:b/>
          <w:bCs/>
          <w:iCs/>
        </w:rPr>
        <w:t xml:space="preserve"> : </w:t>
      </w:r>
      <w:r w:rsidR="004A50BE" w:rsidRPr="004A50BE">
        <w:rPr>
          <w:rFonts w:ascii="Times New Roman" w:hAnsi="Times New Roman" w:cs="Times New Roman"/>
          <w:b/>
          <w:bCs/>
          <w:iCs/>
        </w:rPr>
        <w:t>Correlation Coefficients</w:t>
      </w:r>
    </w:p>
    <w:tbl>
      <w:tblPr>
        <w:tblW w:w="5144" w:type="pct"/>
        <w:tblInd w:w="-270" w:type="dxa"/>
        <w:tblBorders>
          <w:top w:val="single" w:sz="4" w:space="0" w:color="auto"/>
        </w:tblBorders>
        <w:tblCellMar>
          <w:left w:w="0" w:type="dxa"/>
          <w:right w:w="0" w:type="dxa"/>
        </w:tblCellMar>
        <w:tblLook w:val="04A0" w:firstRow="1" w:lastRow="0" w:firstColumn="1" w:lastColumn="0" w:noHBand="0" w:noVBand="1"/>
      </w:tblPr>
      <w:tblGrid>
        <w:gridCol w:w="1660"/>
        <w:gridCol w:w="1196"/>
        <w:gridCol w:w="1423"/>
        <w:gridCol w:w="1314"/>
        <w:gridCol w:w="1504"/>
        <w:gridCol w:w="1092"/>
        <w:gridCol w:w="1441"/>
      </w:tblGrid>
      <w:tr w:rsidR="004A50BE" w:rsidRPr="004A50BE" w14:paraId="4AB64E90" w14:textId="77777777" w:rsidTr="004A50BE">
        <w:trPr>
          <w:cantSplit/>
        </w:trPr>
        <w:tc>
          <w:tcPr>
            <w:tcW w:w="1483" w:type="pct"/>
            <w:gridSpan w:val="2"/>
            <w:tcBorders>
              <w:top w:val="single" w:sz="4" w:space="0" w:color="auto"/>
              <w:left w:val="nil"/>
              <w:bottom w:val="single" w:sz="4" w:space="0" w:color="auto"/>
              <w:right w:val="nil"/>
            </w:tcBorders>
            <w:shd w:val="clear" w:color="auto" w:fill="FFFFFF"/>
          </w:tcPr>
          <w:p w14:paraId="5E439531" w14:textId="77777777" w:rsidR="004A50BE" w:rsidRPr="004A50BE" w:rsidRDefault="004A50BE" w:rsidP="004A50BE">
            <w:pPr>
              <w:jc w:val="both"/>
              <w:rPr>
                <w:rFonts w:ascii="Times New Roman" w:hAnsi="Times New Roman" w:cs="Times New Roman"/>
                <w:b/>
                <w:bCs/>
                <w:lang w:val="en-GB"/>
              </w:rPr>
            </w:pPr>
          </w:p>
        </w:tc>
        <w:tc>
          <w:tcPr>
            <w:tcW w:w="739" w:type="pct"/>
            <w:tcBorders>
              <w:top w:val="single" w:sz="4" w:space="0" w:color="auto"/>
              <w:left w:val="nil"/>
              <w:bottom w:val="single" w:sz="4" w:space="0" w:color="auto"/>
              <w:right w:val="nil"/>
            </w:tcBorders>
            <w:shd w:val="clear" w:color="auto" w:fill="FFFFFF"/>
            <w:hideMark/>
          </w:tcPr>
          <w:p w14:paraId="61BF6778" w14:textId="77777777" w:rsidR="004A50BE" w:rsidRPr="004A50BE" w:rsidRDefault="004A50BE" w:rsidP="004A50BE">
            <w:pPr>
              <w:jc w:val="both"/>
              <w:rPr>
                <w:rFonts w:ascii="Times New Roman" w:hAnsi="Times New Roman" w:cs="Times New Roman"/>
                <w:b/>
                <w:bCs/>
                <w:lang w:val="en-GB"/>
              </w:rPr>
            </w:pPr>
            <w:r w:rsidRPr="004A50BE">
              <w:rPr>
                <w:rFonts w:ascii="Times New Roman" w:hAnsi="Times New Roman" w:cs="Times New Roman"/>
                <w:b/>
                <w:bCs/>
                <w:lang w:val="en-GB"/>
              </w:rPr>
              <w:t>Women’s Political Participation</w:t>
            </w:r>
          </w:p>
        </w:tc>
        <w:tc>
          <w:tcPr>
            <w:tcW w:w="682" w:type="pct"/>
            <w:tcBorders>
              <w:top w:val="single" w:sz="4" w:space="0" w:color="auto"/>
              <w:left w:val="nil"/>
              <w:bottom w:val="single" w:sz="4" w:space="0" w:color="auto"/>
              <w:right w:val="nil"/>
            </w:tcBorders>
            <w:shd w:val="clear" w:color="auto" w:fill="FFFFFF"/>
          </w:tcPr>
          <w:p w14:paraId="06F14B4D" w14:textId="13D373D3" w:rsidR="004A50BE" w:rsidRPr="004A50BE" w:rsidRDefault="004A50BE" w:rsidP="004A50BE">
            <w:pPr>
              <w:jc w:val="both"/>
              <w:rPr>
                <w:rFonts w:ascii="Times New Roman" w:hAnsi="Times New Roman" w:cs="Times New Roman"/>
                <w:b/>
                <w:bCs/>
                <w:lang w:val="en-GB"/>
              </w:rPr>
            </w:pPr>
          </w:p>
        </w:tc>
        <w:tc>
          <w:tcPr>
            <w:tcW w:w="781" w:type="pct"/>
            <w:tcBorders>
              <w:top w:val="single" w:sz="4" w:space="0" w:color="auto"/>
              <w:left w:val="nil"/>
              <w:bottom w:val="single" w:sz="4" w:space="0" w:color="auto"/>
              <w:right w:val="nil"/>
            </w:tcBorders>
            <w:shd w:val="clear" w:color="auto" w:fill="FFFFFF"/>
          </w:tcPr>
          <w:p w14:paraId="71E2813E" w14:textId="195CAFDD" w:rsidR="004A50BE" w:rsidRPr="004A50BE" w:rsidRDefault="004A50BE" w:rsidP="004A50BE">
            <w:pPr>
              <w:jc w:val="both"/>
              <w:rPr>
                <w:rFonts w:ascii="Times New Roman" w:hAnsi="Times New Roman" w:cs="Times New Roman"/>
                <w:b/>
                <w:bCs/>
                <w:lang w:val="en-GB"/>
              </w:rPr>
            </w:pPr>
          </w:p>
        </w:tc>
        <w:tc>
          <w:tcPr>
            <w:tcW w:w="567" w:type="pct"/>
            <w:tcBorders>
              <w:top w:val="single" w:sz="4" w:space="0" w:color="auto"/>
              <w:left w:val="nil"/>
              <w:bottom w:val="single" w:sz="4" w:space="0" w:color="auto"/>
              <w:right w:val="nil"/>
            </w:tcBorders>
            <w:shd w:val="clear" w:color="auto" w:fill="FFFFFF"/>
            <w:hideMark/>
          </w:tcPr>
          <w:p w14:paraId="1985112D" w14:textId="77777777" w:rsidR="004A50BE" w:rsidRPr="004A50BE" w:rsidRDefault="004A50BE" w:rsidP="004A50BE">
            <w:pPr>
              <w:jc w:val="both"/>
              <w:rPr>
                <w:rFonts w:ascii="Times New Roman" w:hAnsi="Times New Roman" w:cs="Times New Roman"/>
                <w:b/>
                <w:bCs/>
                <w:lang w:val="en-GB"/>
              </w:rPr>
            </w:pPr>
            <w:r w:rsidRPr="004A50BE">
              <w:rPr>
                <w:rFonts w:ascii="Times New Roman" w:hAnsi="Times New Roman" w:cs="Times New Roman"/>
                <w:b/>
                <w:bCs/>
                <w:lang w:val="en-GB"/>
              </w:rPr>
              <w:t>Capacity Building</w:t>
            </w:r>
          </w:p>
        </w:tc>
        <w:tc>
          <w:tcPr>
            <w:tcW w:w="748" w:type="pct"/>
            <w:tcBorders>
              <w:top w:val="single" w:sz="4" w:space="0" w:color="auto"/>
              <w:left w:val="nil"/>
              <w:bottom w:val="single" w:sz="4" w:space="0" w:color="auto"/>
              <w:right w:val="nil"/>
            </w:tcBorders>
            <w:shd w:val="clear" w:color="auto" w:fill="FFFFFF"/>
            <w:hideMark/>
          </w:tcPr>
          <w:p w14:paraId="20F0A352" w14:textId="2A061E33" w:rsidR="004A50BE" w:rsidRPr="004A50BE" w:rsidRDefault="004A50BE" w:rsidP="004A50BE">
            <w:pPr>
              <w:jc w:val="both"/>
              <w:rPr>
                <w:rFonts w:ascii="Times New Roman" w:hAnsi="Times New Roman" w:cs="Times New Roman"/>
                <w:b/>
                <w:bCs/>
                <w:lang w:val="en-GB"/>
              </w:rPr>
            </w:pPr>
          </w:p>
        </w:tc>
      </w:tr>
      <w:tr w:rsidR="004A50BE" w:rsidRPr="004A50BE" w14:paraId="7C56B6A1" w14:textId="77777777" w:rsidTr="004A50BE">
        <w:trPr>
          <w:cantSplit/>
        </w:trPr>
        <w:tc>
          <w:tcPr>
            <w:tcW w:w="862" w:type="pct"/>
            <w:vMerge w:val="restart"/>
            <w:tcBorders>
              <w:top w:val="single" w:sz="4" w:space="0" w:color="auto"/>
              <w:left w:val="nil"/>
              <w:bottom w:val="nil"/>
              <w:right w:val="nil"/>
            </w:tcBorders>
            <w:shd w:val="clear" w:color="auto" w:fill="FFFFFF"/>
            <w:vAlign w:val="center"/>
            <w:hideMark/>
          </w:tcPr>
          <w:p w14:paraId="4EF0D8FB"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Women’s Political Participation</w:t>
            </w:r>
          </w:p>
        </w:tc>
        <w:tc>
          <w:tcPr>
            <w:tcW w:w="621" w:type="pct"/>
            <w:tcBorders>
              <w:top w:val="single" w:sz="4" w:space="0" w:color="auto"/>
              <w:left w:val="nil"/>
              <w:bottom w:val="nil"/>
              <w:right w:val="nil"/>
            </w:tcBorders>
            <w:shd w:val="clear" w:color="auto" w:fill="FFFFFF"/>
            <w:vAlign w:val="center"/>
            <w:hideMark/>
          </w:tcPr>
          <w:p w14:paraId="08C0F9E4"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Pearson Correlation</w:t>
            </w:r>
          </w:p>
        </w:tc>
        <w:tc>
          <w:tcPr>
            <w:tcW w:w="739" w:type="pct"/>
            <w:tcBorders>
              <w:top w:val="single" w:sz="4" w:space="0" w:color="auto"/>
              <w:left w:val="nil"/>
              <w:bottom w:val="nil"/>
              <w:right w:val="nil"/>
            </w:tcBorders>
            <w:shd w:val="clear" w:color="auto" w:fill="FFFFFF"/>
            <w:hideMark/>
          </w:tcPr>
          <w:p w14:paraId="6E3F5819"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1</w:t>
            </w:r>
          </w:p>
        </w:tc>
        <w:tc>
          <w:tcPr>
            <w:tcW w:w="682" w:type="pct"/>
            <w:tcBorders>
              <w:top w:val="single" w:sz="4" w:space="0" w:color="auto"/>
              <w:left w:val="nil"/>
              <w:bottom w:val="nil"/>
              <w:right w:val="nil"/>
            </w:tcBorders>
            <w:shd w:val="clear" w:color="auto" w:fill="FFFFFF"/>
          </w:tcPr>
          <w:p w14:paraId="0F23A0BC" w14:textId="77777777" w:rsidR="004A50BE" w:rsidRPr="004A50BE" w:rsidRDefault="004A50BE" w:rsidP="004A50BE">
            <w:pPr>
              <w:jc w:val="both"/>
              <w:rPr>
                <w:rFonts w:ascii="Times New Roman" w:hAnsi="Times New Roman" w:cs="Times New Roman"/>
                <w:lang w:val="en-GB"/>
              </w:rPr>
            </w:pPr>
          </w:p>
        </w:tc>
        <w:tc>
          <w:tcPr>
            <w:tcW w:w="781" w:type="pct"/>
            <w:tcBorders>
              <w:top w:val="single" w:sz="4" w:space="0" w:color="auto"/>
              <w:left w:val="nil"/>
              <w:bottom w:val="nil"/>
              <w:right w:val="nil"/>
            </w:tcBorders>
            <w:shd w:val="clear" w:color="auto" w:fill="FFFFFF"/>
          </w:tcPr>
          <w:p w14:paraId="64DA0444" w14:textId="77777777" w:rsidR="004A50BE" w:rsidRPr="004A50BE" w:rsidRDefault="004A50BE" w:rsidP="004A50BE">
            <w:pPr>
              <w:jc w:val="both"/>
              <w:rPr>
                <w:rFonts w:ascii="Times New Roman" w:hAnsi="Times New Roman" w:cs="Times New Roman"/>
                <w:lang w:val="en-GB"/>
              </w:rPr>
            </w:pPr>
          </w:p>
        </w:tc>
        <w:tc>
          <w:tcPr>
            <w:tcW w:w="567" w:type="pct"/>
            <w:tcBorders>
              <w:top w:val="single" w:sz="4" w:space="0" w:color="auto"/>
              <w:left w:val="nil"/>
              <w:bottom w:val="nil"/>
              <w:right w:val="nil"/>
            </w:tcBorders>
            <w:shd w:val="clear" w:color="auto" w:fill="FFFFFF"/>
          </w:tcPr>
          <w:p w14:paraId="1AE298D8" w14:textId="77777777" w:rsidR="004A50BE" w:rsidRPr="004A50BE" w:rsidRDefault="004A50BE" w:rsidP="004A50BE">
            <w:pPr>
              <w:jc w:val="both"/>
              <w:rPr>
                <w:rFonts w:ascii="Times New Roman" w:hAnsi="Times New Roman" w:cs="Times New Roman"/>
                <w:b/>
                <w:bCs/>
                <w:lang w:val="en-GB"/>
              </w:rPr>
            </w:pPr>
          </w:p>
        </w:tc>
        <w:tc>
          <w:tcPr>
            <w:tcW w:w="748" w:type="pct"/>
            <w:tcBorders>
              <w:top w:val="single" w:sz="4" w:space="0" w:color="auto"/>
              <w:left w:val="nil"/>
              <w:bottom w:val="nil"/>
              <w:right w:val="nil"/>
            </w:tcBorders>
            <w:shd w:val="clear" w:color="auto" w:fill="FFFFFF"/>
          </w:tcPr>
          <w:p w14:paraId="020E5EC7" w14:textId="77777777" w:rsidR="004A50BE" w:rsidRPr="004A50BE" w:rsidRDefault="004A50BE" w:rsidP="004A50BE">
            <w:pPr>
              <w:jc w:val="both"/>
              <w:rPr>
                <w:rFonts w:ascii="Times New Roman" w:hAnsi="Times New Roman" w:cs="Times New Roman"/>
                <w:b/>
                <w:bCs/>
                <w:lang w:val="en-GB"/>
              </w:rPr>
            </w:pPr>
          </w:p>
        </w:tc>
      </w:tr>
      <w:tr w:rsidR="004A50BE" w:rsidRPr="004A50BE" w14:paraId="3A789B6C" w14:textId="77777777" w:rsidTr="004A50BE">
        <w:trPr>
          <w:cantSplit/>
        </w:trPr>
        <w:tc>
          <w:tcPr>
            <w:tcW w:w="862" w:type="pct"/>
            <w:vMerge/>
            <w:tcBorders>
              <w:top w:val="single" w:sz="4" w:space="0" w:color="auto"/>
              <w:left w:val="nil"/>
              <w:bottom w:val="nil"/>
              <w:right w:val="nil"/>
            </w:tcBorders>
            <w:vAlign w:val="center"/>
            <w:hideMark/>
          </w:tcPr>
          <w:p w14:paraId="25A9437E" w14:textId="77777777" w:rsidR="004A50BE" w:rsidRPr="004A50BE" w:rsidRDefault="004A50BE" w:rsidP="004A50BE">
            <w:pPr>
              <w:jc w:val="both"/>
              <w:rPr>
                <w:rFonts w:ascii="Times New Roman" w:hAnsi="Times New Roman" w:cs="Times New Roman"/>
                <w:lang w:val="en-GB"/>
              </w:rPr>
            </w:pPr>
          </w:p>
        </w:tc>
        <w:tc>
          <w:tcPr>
            <w:tcW w:w="621" w:type="pct"/>
            <w:tcBorders>
              <w:top w:val="nil"/>
              <w:left w:val="nil"/>
              <w:bottom w:val="nil"/>
              <w:right w:val="nil"/>
            </w:tcBorders>
            <w:shd w:val="clear" w:color="auto" w:fill="FFFFFF"/>
            <w:vAlign w:val="center"/>
            <w:hideMark/>
          </w:tcPr>
          <w:p w14:paraId="698EECB2"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Sig. (2-tailed)</w:t>
            </w:r>
          </w:p>
        </w:tc>
        <w:tc>
          <w:tcPr>
            <w:tcW w:w="739" w:type="pct"/>
            <w:tcBorders>
              <w:top w:val="nil"/>
              <w:left w:val="nil"/>
              <w:bottom w:val="nil"/>
              <w:right w:val="nil"/>
            </w:tcBorders>
            <w:shd w:val="clear" w:color="auto" w:fill="FFFFFF"/>
          </w:tcPr>
          <w:p w14:paraId="2B1B6426" w14:textId="77777777" w:rsidR="004A50BE" w:rsidRPr="004A50BE" w:rsidRDefault="004A50BE" w:rsidP="004A50BE">
            <w:pPr>
              <w:jc w:val="both"/>
              <w:rPr>
                <w:rFonts w:ascii="Times New Roman" w:hAnsi="Times New Roman" w:cs="Times New Roman"/>
                <w:lang w:val="en-GB"/>
              </w:rPr>
            </w:pPr>
          </w:p>
        </w:tc>
        <w:tc>
          <w:tcPr>
            <w:tcW w:w="682" w:type="pct"/>
            <w:tcBorders>
              <w:top w:val="nil"/>
              <w:left w:val="nil"/>
              <w:bottom w:val="nil"/>
              <w:right w:val="nil"/>
            </w:tcBorders>
            <w:shd w:val="clear" w:color="auto" w:fill="FFFFFF"/>
          </w:tcPr>
          <w:p w14:paraId="54DDC678" w14:textId="77777777" w:rsidR="004A50BE" w:rsidRPr="004A50BE" w:rsidRDefault="004A50BE" w:rsidP="004A50BE">
            <w:pPr>
              <w:jc w:val="both"/>
              <w:rPr>
                <w:rFonts w:ascii="Times New Roman" w:hAnsi="Times New Roman" w:cs="Times New Roman"/>
                <w:lang w:val="en-GB"/>
              </w:rPr>
            </w:pPr>
          </w:p>
        </w:tc>
        <w:tc>
          <w:tcPr>
            <w:tcW w:w="781" w:type="pct"/>
            <w:tcBorders>
              <w:top w:val="nil"/>
              <w:left w:val="nil"/>
              <w:bottom w:val="nil"/>
              <w:right w:val="nil"/>
            </w:tcBorders>
            <w:shd w:val="clear" w:color="auto" w:fill="FFFFFF"/>
          </w:tcPr>
          <w:p w14:paraId="5B13BA11" w14:textId="77777777" w:rsidR="004A50BE" w:rsidRPr="004A50BE" w:rsidRDefault="004A50BE" w:rsidP="004A50BE">
            <w:pPr>
              <w:jc w:val="both"/>
              <w:rPr>
                <w:rFonts w:ascii="Times New Roman" w:hAnsi="Times New Roman" w:cs="Times New Roman"/>
                <w:lang w:val="en-GB"/>
              </w:rPr>
            </w:pPr>
          </w:p>
        </w:tc>
        <w:tc>
          <w:tcPr>
            <w:tcW w:w="567" w:type="pct"/>
            <w:tcBorders>
              <w:top w:val="nil"/>
              <w:left w:val="nil"/>
              <w:bottom w:val="nil"/>
              <w:right w:val="nil"/>
            </w:tcBorders>
            <w:shd w:val="clear" w:color="auto" w:fill="FFFFFF"/>
          </w:tcPr>
          <w:p w14:paraId="1ED5FB2A" w14:textId="77777777" w:rsidR="004A50BE" w:rsidRPr="004A50BE" w:rsidRDefault="004A50BE" w:rsidP="004A50BE">
            <w:pPr>
              <w:jc w:val="both"/>
              <w:rPr>
                <w:rFonts w:ascii="Times New Roman" w:hAnsi="Times New Roman" w:cs="Times New Roman"/>
                <w:b/>
                <w:bCs/>
                <w:lang w:val="en-GB"/>
              </w:rPr>
            </w:pPr>
          </w:p>
        </w:tc>
        <w:tc>
          <w:tcPr>
            <w:tcW w:w="748" w:type="pct"/>
            <w:tcBorders>
              <w:top w:val="nil"/>
              <w:left w:val="nil"/>
              <w:bottom w:val="nil"/>
              <w:right w:val="nil"/>
            </w:tcBorders>
            <w:shd w:val="clear" w:color="auto" w:fill="FFFFFF"/>
          </w:tcPr>
          <w:p w14:paraId="12113DB2" w14:textId="77777777" w:rsidR="004A50BE" w:rsidRPr="004A50BE" w:rsidRDefault="004A50BE" w:rsidP="004A50BE">
            <w:pPr>
              <w:jc w:val="both"/>
              <w:rPr>
                <w:rFonts w:ascii="Times New Roman" w:hAnsi="Times New Roman" w:cs="Times New Roman"/>
                <w:b/>
                <w:bCs/>
                <w:lang w:val="en-GB"/>
              </w:rPr>
            </w:pPr>
          </w:p>
        </w:tc>
      </w:tr>
      <w:tr w:rsidR="004A50BE" w:rsidRPr="004A50BE" w14:paraId="680F672B" w14:textId="77777777" w:rsidTr="004A50BE">
        <w:trPr>
          <w:cantSplit/>
        </w:trPr>
        <w:tc>
          <w:tcPr>
            <w:tcW w:w="862" w:type="pct"/>
            <w:vMerge/>
            <w:tcBorders>
              <w:top w:val="single" w:sz="4" w:space="0" w:color="auto"/>
              <w:left w:val="nil"/>
              <w:bottom w:val="nil"/>
              <w:right w:val="nil"/>
            </w:tcBorders>
            <w:vAlign w:val="center"/>
            <w:hideMark/>
          </w:tcPr>
          <w:p w14:paraId="3FEF5C32" w14:textId="77777777" w:rsidR="004A50BE" w:rsidRPr="004A50BE" w:rsidRDefault="004A50BE" w:rsidP="004A50BE">
            <w:pPr>
              <w:jc w:val="both"/>
              <w:rPr>
                <w:rFonts w:ascii="Times New Roman" w:hAnsi="Times New Roman" w:cs="Times New Roman"/>
                <w:lang w:val="en-GB"/>
              </w:rPr>
            </w:pPr>
          </w:p>
        </w:tc>
        <w:tc>
          <w:tcPr>
            <w:tcW w:w="621" w:type="pct"/>
            <w:tcBorders>
              <w:top w:val="nil"/>
              <w:left w:val="nil"/>
              <w:bottom w:val="nil"/>
              <w:right w:val="nil"/>
            </w:tcBorders>
            <w:shd w:val="clear" w:color="auto" w:fill="FFFFFF"/>
            <w:vAlign w:val="center"/>
            <w:hideMark/>
          </w:tcPr>
          <w:p w14:paraId="5CB0BB76"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N</w:t>
            </w:r>
          </w:p>
        </w:tc>
        <w:tc>
          <w:tcPr>
            <w:tcW w:w="739" w:type="pct"/>
            <w:tcBorders>
              <w:top w:val="nil"/>
              <w:left w:val="nil"/>
              <w:bottom w:val="nil"/>
              <w:right w:val="nil"/>
            </w:tcBorders>
            <w:shd w:val="clear" w:color="auto" w:fill="FFFFFF"/>
            <w:hideMark/>
          </w:tcPr>
          <w:p w14:paraId="03147AC8"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83</w:t>
            </w:r>
          </w:p>
        </w:tc>
        <w:tc>
          <w:tcPr>
            <w:tcW w:w="682" w:type="pct"/>
            <w:tcBorders>
              <w:top w:val="nil"/>
              <w:left w:val="nil"/>
              <w:bottom w:val="nil"/>
              <w:right w:val="nil"/>
            </w:tcBorders>
            <w:shd w:val="clear" w:color="auto" w:fill="FFFFFF"/>
          </w:tcPr>
          <w:p w14:paraId="43B70720" w14:textId="77777777" w:rsidR="004A50BE" w:rsidRPr="004A50BE" w:rsidRDefault="004A50BE" w:rsidP="004A50BE">
            <w:pPr>
              <w:jc w:val="both"/>
              <w:rPr>
                <w:rFonts w:ascii="Times New Roman" w:hAnsi="Times New Roman" w:cs="Times New Roman"/>
                <w:lang w:val="en-GB"/>
              </w:rPr>
            </w:pPr>
          </w:p>
        </w:tc>
        <w:tc>
          <w:tcPr>
            <w:tcW w:w="781" w:type="pct"/>
            <w:tcBorders>
              <w:top w:val="nil"/>
              <w:left w:val="nil"/>
              <w:bottom w:val="nil"/>
              <w:right w:val="nil"/>
            </w:tcBorders>
            <w:shd w:val="clear" w:color="auto" w:fill="FFFFFF"/>
          </w:tcPr>
          <w:p w14:paraId="5F992081" w14:textId="77777777" w:rsidR="004A50BE" w:rsidRPr="004A50BE" w:rsidRDefault="004A50BE" w:rsidP="004A50BE">
            <w:pPr>
              <w:jc w:val="both"/>
              <w:rPr>
                <w:rFonts w:ascii="Times New Roman" w:hAnsi="Times New Roman" w:cs="Times New Roman"/>
                <w:lang w:val="en-GB"/>
              </w:rPr>
            </w:pPr>
          </w:p>
        </w:tc>
        <w:tc>
          <w:tcPr>
            <w:tcW w:w="567" w:type="pct"/>
            <w:tcBorders>
              <w:top w:val="nil"/>
              <w:left w:val="nil"/>
              <w:bottom w:val="nil"/>
              <w:right w:val="nil"/>
            </w:tcBorders>
            <w:shd w:val="clear" w:color="auto" w:fill="FFFFFF"/>
          </w:tcPr>
          <w:p w14:paraId="1080E974" w14:textId="77777777" w:rsidR="004A50BE" w:rsidRPr="004A50BE" w:rsidRDefault="004A50BE" w:rsidP="004A50BE">
            <w:pPr>
              <w:jc w:val="both"/>
              <w:rPr>
                <w:rFonts w:ascii="Times New Roman" w:hAnsi="Times New Roman" w:cs="Times New Roman"/>
                <w:b/>
                <w:bCs/>
                <w:lang w:val="en-GB"/>
              </w:rPr>
            </w:pPr>
          </w:p>
        </w:tc>
        <w:tc>
          <w:tcPr>
            <w:tcW w:w="748" w:type="pct"/>
            <w:tcBorders>
              <w:top w:val="nil"/>
              <w:left w:val="nil"/>
              <w:bottom w:val="nil"/>
              <w:right w:val="nil"/>
            </w:tcBorders>
            <w:shd w:val="clear" w:color="auto" w:fill="FFFFFF"/>
          </w:tcPr>
          <w:p w14:paraId="3C88D2E5" w14:textId="77777777" w:rsidR="004A50BE" w:rsidRPr="004A50BE" w:rsidRDefault="004A50BE" w:rsidP="004A50BE">
            <w:pPr>
              <w:jc w:val="both"/>
              <w:rPr>
                <w:rFonts w:ascii="Times New Roman" w:hAnsi="Times New Roman" w:cs="Times New Roman"/>
                <w:b/>
                <w:bCs/>
                <w:lang w:val="en-GB"/>
              </w:rPr>
            </w:pPr>
          </w:p>
        </w:tc>
      </w:tr>
      <w:tr w:rsidR="004A50BE" w:rsidRPr="004A50BE" w14:paraId="501F7DB1" w14:textId="77777777" w:rsidTr="004A50BE">
        <w:trPr>
          <w:cantSplit/>
        </w:trPr>
        <w:tc>
          <w:tcPr>
            <w:tcW w:w="862" w:type="pct"/>
            <w:vMerge w:val="restart"/>
            <w:tcBorders>
              <w:top w:val="nil"/>
              <w:left w:val="nil"/>
              <w:bottom w:val="nil"/>
              <w:right w:val="nil"/>
            </w:tcBorders>
            <w:shd w:val="clear" w:color="auto" w:fill="FFFFFF"/>
            <w:vAlign w:val="center"/>
            <w:hideMark/>
          </w:tcPr>
          <w:p w14:paraId="79F89392"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Capacity Building</w:t>
            </w:r>
          </w:p>
        </w:tc>
        <w:tc>
          <w:tcPr>
            <w:tcW w:w="621" w:type="pct"/>
            <w:tcBorders>
              <w:top w:val="nil"/>
              <w:left w:val="nil"/>
              <w:bottom w:val="nil"/>
              <w:right w:val="nil"/>
            </w:tcBorders>
            <w:shd w:val="clear" w:color="auto" w:fill="FFFFFF"/>
            <w:vAlign w:val="center"/>
            <w:hideMark/>
          </w:tcPr>
          <w:p w14:paraId="504234AF"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Pearson Correlation</w:t>
            </w:r>
          </w:p>
        </w:tc>
        <w:tc>
          <w:tcPr>
            <w:tcW w:w="739" w:type="pct"/>
            <w:tcBorders>
              <w:top w:val="nil"/>
              <w:left w:val="nil"/>
              <w:bottom w:val="nil"/>
              <w:right w:val="nil"/>
            </w:tcBorders>
            <w:shd w:val="clear" w:color="auto" w:fill="FFFFFF"/>
            <w:hideMark/>
          </w:tcPr>
          <w:p w14:paraId="16EC061A"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.822</w:t>
            </w:r>
            <w:r w:rsidRPr="004A50BE">
              <w:rPr>
                <w:rFonts w:ascii="Times New Roman" w:hAnsi="Times New Roman" w:cs="Times New Roman"/>
                <w:vertAlign w:val="superscript"/>
                <w:lang w:val="en-GB"/>
              </w:rPr>
              <w:t>**</w:t>
            </w:r>
          </w:p>
        </w:tc>
        <w:tc>
          <w:tcPr>
            <w:tcW w:w="682" w:type="pct"/>
            <w:tcBorders>
              <w:top w:val="nil"/>
              <w:left w:val="nil"/>
              <w:bottom w:val="nil"/>
              <w:right w:val="nil"/>
            </w:tcBorders>
            <w:shd w:val="clear" w:color="auto" w:fill="FFFFFF"/>
            <w:hideMark/>
          </w:tcPr>
          <w:p w14:paraId="77B2D5D4"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.219</w:t>
            </w:r>
          </w:p>
        </w:tc>
        <w:tc>
          <w:tcPr>
            <w:tcW w:w="781" w:type="pct"/>
            <w:tcBorders>
              <w:top w:val="nil"/>
              <w:left w:val="nil"/>
              <w:bottom w:val="nil"/>
              <w:right w:val="nil"/>
            </w:tcBorders>
            <w:shd w:val="clear" w:color="auto" w:fill="FFFFFF"/>
            <w:hideMark/>
          </w:tcPr>
          <w:p w14:paraId="22C223AC"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.467</w:t>
            </w:r>
          </w:p>
        </w:tc>
        <w:tc>
          <w:tcPr>
            <w:tcW w:w="567" w:type="pct"/>
            <w:tcBorders>
              <w:top w:val="nil"/>
              <w:left w:val="nil"/>
              <w:bottom w:val="nil"/>
              <w:right w:val="nil"/>
            </w:tcBorders>
            <w:shd w:val="clear" w:color="auto" w:fill="FFFFFF"/>
            <w:hideMark/>
          </w:tcPr>
          <w:p w14:paraId="0CDF487E" w14:textId="77777777" w:rsidR="004A50BE" w:rsidRPr="004A50BE" w:rsidRDefault="004A50BE" w:rsidP="004A50BE">
            <w:pPr>
              <w:jc w:val="both"/>
              <w:rPr>
                <w:rFonts w:ascii="Times New Roman" w:hAnsi="Times New Roman" w:cs="Times New Roman"/>
                <w:b/>
                <w:bCs/>
                <w:lang w:val="en-GB"/>
              </w:rPr>
            </w:pPr>
            <w:r w:rsidRPr="004A50BE">
              <w:rPr>
                <w:rFonts w:ascii="Times New Roman" w:hAnsi="Times New Roman" w:cs="Times New Roman"/>
                <w:b/>
                <w:bCs/>
                <w:lang w:val="en-GB"/>
              </w:rPr>
              <w:t>1</w:t>
            </w:r>
          </w:p>
        </w:tc>
        <w:tc>
          <w:tcPr>
            <w:tcW w:w="748" w:type="pct"/>
            <w:tcBorders>
              <w:top w:val="nil"/>
              <w:left w:val="nil"/>
              <w:bottom w:val="nil"/>
              <w:right w:val="nil"/>
            </w:tcBorders>
            <w:shd w:val="clear" w:color="auto" w:fill="FFFFFF"/>
          </w:tcPr>
          <w:p w14:paraId="6CECB66E" w14:textId="77777777" w:rsidR="004A50BE" w:rsidRPr="004A50BE" w:rsidRDefault="004A50BE" w:rsidP="004A50BE">
            <w:pPr>
              <w:jc w:val="both"/>
              <w:rPr>
                <w:rFonts w:ascii="Times New Roman" w:hAnsi="Times New Roman" w:cs="Times New Roman"/>
                <w:b/>
                <w:bCs/>
                <w:lang w:val="en-GB"/>
              </w:rPr>
            </w:pPr>
          </w:p>
        </w:tc>
      </w:tr>
      <w:tr w:rsidR="004A50BE" w:rsidRPr="004A50BE" w14:paraId="4BC2BA96" w14:textId="77777777" w:rsidTr="004A50BE">
        <w:trPr>
          <w:cantSplit/>
        </w:trPr>
        <w:tc>
          <w:tcPr>
            <w:tcW w:w="862" w:type="pct"/>
            <w:vMerge/>
            <w:tcBorders>
              <w:top w:val="nil"/>
              <w:left w:val="nil"/>
              <w:bottom w:val="nil"/>
              <w:right w:val="nil"/>
            </w:tcBorders>
            <w:vAlign w:val="center"/>
            <w:hideMark/>
          </w:tcPr>
          <w:p w14:paraId="6325C026" w14:textId="77777777" w:rsidR="004A50BE" w:rsidRPr="004A50BE" w:rsidRDefault="004A50BE" w:rsidP="004A50BE">
            <w:pPr>
              <w:jc w:val="both"/>
              <w:rPr>
                <w:rFonts w:ascii="Times New Roman" w:hAnsi="Times New Roman" w:cs="Times New Roman"/>
                <w:lang w:val="en-GB"/>
              </w:rPr>
            </w:pPr>
          </w:p>
        </w:tc>
        <w:tc>
          <w:tcPr>
            <w:tcW w:w="621" w:type="pct"/>
            <w:tcBorders>
              <w:top w:val="nil"/>
              <w:left w:val="nil"/>
              <w:bottom w:val="nil"/>
              <w:right w:val="nil"/>
            </w:tcBorders>
            <w:shd w:val="clear" w:color="auto" w:fill="FFFFFF"/>
            <w:vAlign w:val="center"/>
            <w:hideMark/>
          </w:tcPr>
          <w:p w14:paraId="09F8C502" w14:textId="5D462915"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Sig. (2-tailed)</w:t>
            </w:r>
          </w:p>
          <w:p w14:paraId="3A494B45" w14:textId="77777777" w:rsidR="004A50BE" w:rsidRPr="004A50BE" w:rsidRDefault="004A50BE" w:rsidP="004A50BE">
            <w:pPr>
              <w:jc w:val="both"/>
              <w:rPr>
                <w:rFonts w:ascii="Times New Roman" w:hAnsi="Times New Roman" w:cs="Times New Roman"/>
                <w:lang w:val="en-GB"/>
              </w:rPr>
            </w:pPr>
          </w:p>
        </w:tc>
        <w:tc>
          <w:tcPr>
            <w:tcW w:w="739" w:type="pct"/>
            <w:tcBorders>
              <w:top w:val="nil"/>
              <w:left w:val="nil"/>
              <w:bottom w:val="nil"/>
              <w:right w:val="nil"/>
            </w:tcBorders>
            <w:shd w:val="clear" w:color="auto" w:fill="FFFFFF"/>
            <w:hideMark/>
          </w:tcPr>
          <w:p w14:paraId="28D96B43"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.003</w:t>
            </w:r>
          </w:p>
        </w:tc>
        <w:tc>
          <w:tcPr>
            <w:tcW w:w="682" w:type="pct"/>
            <w:tcBorders>
              <w:top w:val="nil"/>
              <w:left w:val="nil"/>
              <w:bottom w:val="nil"/>
              <w:right w:val="nil"/>
            </w:tcBorders>
            <w:shd w:val="clear" w:color="auto" w:fill="FFFFFF"/>
            <w:hideMark/>
          </w:tcPr>
          <w:p w14:paraId="37F4B0F9"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.050</w:t>
            </w:r>
          </w:p>
        </w:tc>
        <w:tc>
          <w:tcPr>
            <w:tcW w:w="781" w:type="pct"/>
            <w:tcBorders>
              <w:top w:val="nil"/>
              <w:left w:val="nil"/>
              <w:bottom w:val="nil"/>
              <w:right w:val="nil"/>
            </w:tcBorders>
            <w:shd w:val="clear" w:color="auto" w:fill="FFFFFF"/>
            <w:hideMark/>
          </w:tcPr>
          <w:p w14:paraId="41360CCF" w14:textId="77777777" w:rsidR="004A50BE" w:rsidRPr="004A50BE" w:rsidRDefault="004A50BE" w:rsidP="004A50BE">
            <w:pPr>
              <w:jc w:val="both"/>
              <w:rPr>
                <w:rFonts w:ascii="Times New Roman" w:hAnsi="Times New Roman" w:cs="Times New Roman"/>
                <w:lang w:val="en-GB"/>
              </w:rPr>
            </w:pPr>
            <w:r w:rsidRPr="004A50BE">
              <w:rPr>
                <w:rFonts w:ascii="Times New Roman" w:hAnsi="Times New Roman" w:cs="Times New Roman"/>
                <w:lang w:val="en-GB"/>
              </w:rPr>
              <w:t>.074</w:t>
            </w:r>
          </w:p>
        </w:tc>
        <w:tc>
          <w:tcPr>
            <w:tcW w:w="567" w:type="pct"/>
            <w:tcBorders>
              <w:top w:val="nil"/>
              <w:left w:val="nil"/>
              <w:bottom w:val="nil"/>
              <w:right w:val="nil"/>
            </w:tcBorders>
            <w:shd w:val="clear" w:color="auto" w:fill="FFFFFF"/>
          </w:tcPr>
          <w:p w14:paraId="51963E8F" w14:textId="77777777" w:rsidR="004A50BE" w:rsidRPr="004A50BE" w:rsidRDefault="004A50BE" w:rsidP="004A50BE">
            <w:pPr>
              <w:jc w:val="both"/>
              <w:rPr>
                <w:rFonts w:ascii="Times New Roman" w:hAnsi="Times New Roman" w:cs="Times New Roman"/>
                <w:b/>
                <w:bCs/>
                <w:lang w:val="en-GB"/>
              </w:rPr>
            </w:pPr>
          </w:p>
        </w:tc>
        <w:tc>
          <w:tcPr>
            <w:tcW w:w="748" w:type="pct"/>
            <w:tcBorders>
              <w:top w:val="nil"/>
              <w:left w:val="nil"/>
              <w:bottom w:val="nil"/>
              <w:right w:val="nil"/>
            </w:tcBorders>
            <w:shd w:val="clear" w:color="auto" w:fill="FFFFFF"/>
          </w:tcPr>
          <w:p w14:paraId="0BEADA3B" w14:textId="77777777" w:rsidR="004A50BE" w:rsidRPr="004A50BE" w:rsidRDefault="004A50BE" w:rsidP="004A50BE">
            <w:pPr>
              <w:jc w:val="both"/>
              <w:rPr>
                <w:rFonts w:ascii="Times New Roman" w:hAnsi="Times New Roman" w:cs="Times New Roman"/>
                <w:b/>
                <w:bCs/>
                <w:lang w:val="en-GB"/>
              </w:rPr>
            </w:pPr>
          </w:p>
        </w:tc>
      </w:tr>
      <w:tr w:rsidR="004A50BE" w:rsidRPr="004A50BE" w14:paraId="14995064" w14:textId="77777777" w:rsidTr="004A50BE">
        <w:trPr>
          <w:cantSplit/>
        </w:trPr>
        <w:tc>
          <w:tcPr>
            <w:tcW w:w="5000" w:type="pct"/>
            <w:gridSpan w:val="7"/>
            <w:tcBorders>
              <w:top w:val="single" w:sz="4" w:space="0" w:color="auto"/>
              <w:left w:val="nil"/>
              <w:bottom w:val="nil"/>
              <w:right w:val="nil"/>
            </w:tcBorders>
            <w:shd w:val="clear" w:color="auto" w:fill="FFFFFF"/>
            <w:hideMark/>
          </w:tcPr>
          <w:p w14:paraId="1295B6FA" w14:textId="77777777" w:rsidR="004A50BE" w:rsidRPr="004A50BE" w:rsidRDefault="004A50BE" w:rsidP="004A50BE">
            <w:pPr>
              <w:jc w:val="both"/>
              <w:rPr>
                <w:rFonts w:ascii="Times New Roman" w:hAnsi="Times New Roman" w:cs="Times New Roman"/>
                <w:b/>
                <w:bCs/>
                <w:lang w:val="en-GB"/>
              </w:rPr>
            </w:pPr>
            <w:r w:rsidRPr="004A50BE">
              <w:rPr>
                <w:rFonts w:ascii="Times New Roman" w:hAnsi="Times New Roman" w:cs="Times New Roman"/>
                <w:b/>
                <w:bCs/>
                <w:lang w:val="en-GB"/>
              </w:rPr>
              <w:t>**. Correlation is significant at the 0.01 level (2-tailed).</w:t>
            </w:r>
          </w:p>
        </w:tc>
      </w:tr>
    </w:tbl>
    <w:p w14:paraId="6D7B5812" w14:textId="77777777" w:rsidR="00507280" w:rsidRDefault="00507280" w:rsidP="009C7DC2">
      <w:pPr>
        <w:jc w:val="both"/>
        <w:rPr>
          <w:rFonts w:ascii="Times New Roman" w:hAnsi="Times New Roman" w:cs="Times New Roman"/>
          <w:b/>
          <w:bCs/>
        </w:rPr>
      </w:pPr>
    </w:p>
    <w:p w14:paraId="66A07A0D" w14:textId="567F520B" w:rsidR="009C7DC2" w:rsidRPr="009C7DC2" w:rsidRDefault="009C7DC2" w:rsidP="009C7DC2">
      <w:pPr>
        <w:jc w:val="both"/>
        <w:rPr>
          <w:rFonts w:ascii="Times New Roman" w:hAnsi="Times New Roman" w:cs="Times New Roman"/>
          <w:b/>
          <w:bCs/>
        </w:rPr>
      </w:pPr>
      <w:r w:rsidRPr="009C7DC2">
        <w:rPr>
          <w:rFonts w:ascii="Times New Roman" w:hAnsi="Times New Roman" w:cs="Times New Roman"/>
          <w:b/>
          <w:bCs/>
        </w:rPr>
        <w:t>Regression Coefficients</w:t>
      </w:r>
    </w:p>
    <w:p w14:paraId="357727B4" w14:textId="18495D8E" w:rsidR="009C7DC2" w:rsidRDefault="009C7DC2" w:rsidP="009C7DC2">
      <w:pPr>
        <w:jc w:val="both"/>
        <w:rPr>
          <w:rFonts w:ascii="Times New Roman" w:hAnsi="Times New Roman" w:cs="Times New Roman"/>
        </w:rPr>
      </w:pPr>
      <w:r w:rsidRPr="009C7DC2">
        <w:rPr>
          <w:rFonts w:ascii="Times New Roman" w:hAnsi="Times New Roman" w:cs="Times New Roman"/>
        </w:rPr>
        <w:t xml:space="preserve">This subsection presents the regression coefficients for the multiple linear model that examines how civil society strategies predict women’s political participation. The coefficients table </w:t>
      </w:r>
      <w:r w:rsidR="00F5530B">
        <w:rPr>
          <w:rFonts w:ascii="Times New Roman" w:hAnsi="Times New Roman" w:cs="Times New Roman"/>
        </w:rPr>
        <w:t xml:space="preserve">below </w:t>
      </w:r>
      <w:r w:rsidRPr="009C7DC2">
        <w:rPr>
          <w:rFonts w:ascii="Times New Roman" w:hAnsi="Times New Roman" w:cs="Times New Roman"/>
        </w:rPr>
        <w:t>reports the unstandardized and standardized effects of Capacity Building on Women’s Political Participation factor score, together with their standard errors, values, and significance levels.</w:t>
      </w:r>
    </w:p>
    <w:p w14:paraId="2A6359B4" w14:textId="77777777" w:rsidR="00C43173" w:rsidRDefault="00C43173" w:rsidP="009C7DC2">
      <w:pPr>
        <w:jc w:val="both"/>
        <w:rPr>
          <w:rFonts w:ascii="Times New Roman" w:hAnsi="Times New Roman" w:cs="Times New Roman"/>
          <w:b/>
          <w:bCs/>
          <w:iCs/>
        </w:rPr>
      </w:pPr>
    </w:p>
    <w:p w14:paraId="64766C13" w14:textId="77777777" w:rsidR="00C43173" w:rsidRDefault="00C43173" w:rsidP="009C7DC2">
      <w:pPr>
        <w:jc w:val="both"/>
        <w:rPr>
          <w:rFonts w:ascii="Times New Roman" w:hAnsi="Times New Roman" w:cs="Times New Roman"/>
          <w:b/>
          <w:bCs/>
          <w:iCs/>
        </w:rPr>
      </w:pPr>
    </w:p>
    <w:p w14:paraId="1B4FE4C7" w14:textId="40750610" w:rsidR="009C7DC2" w:rsidRPr="009C7DC2" w:rsidRDefault="003159DC" w:rsidP="009C7DC2">
      <w:pPr>
        <w:jc w:val="both"/>
        <w:rPr>
          <w:rFonts w:ascii="Times New Roman" w:hAnsi="Times New Roman" w:cs="Times New Roman"/>
          <w:b/>
          <w:bCs/>
          <w:iCs/>
          <w:lang w:val="en-GB"/>
        </w:rPr>
      </w:pPr>
      <w:r>
        <w:rPr>
          <w:rFonts w:ascii="Times New Roman" w:hAnsi="Times New Roman" w:cs="Times New Roman"/>
          <w:b/>
          <w:bCs/>
          <w:iCs/>
        </w:rPr>
        <w:lastRenderedPageBreak/>
        <w:t xml:space="preserve">Table </w:t>
      </w:r>
      <w:r w:rsidR="00C43173">
        <w:rPr>
          <w:rFonts w:ascii="Times New Roman" w:hAnsi="Times New Roman" w:cs="Times New Roman"/>
          <w:b/>
          <w:bCs/>
          <w:iCs/>
        </w:rPr>
        <w:t>4</w:t>
      </w:r>
      <w:r>
        <w:rPr>
          <w:rFonts w:ascii="Times New Roman" w:hAnsi="Times New Roman" w:cs="Times New Roman"/>
          <w:b/>
          <w:bCs/>
          <w:iCs/>
        </w:rPr>
        <w:t xml:space="preserve">: </w:t>
      </w:r>
      <w:r w:rsidR="009C7DC2" w:rsidRPr="009C7DC2">
        <w:rPr>
          <w:rFonts w:ascii="Times New Roman" w:hAnsi="Times New Roman" w:cs="Times New Roman"/>
          <w:b/>
          <w:bCs/>
          <w:iCs/>
        </w:rPr>
        <w:t>Regression Coefficients</w:t>
      </w:r>
    </w:p>
    <w:tbl>
      <w:tblPr>
        <w:tblW w:w="5192" w:type="pct"/>
        <w:tblBorders>
          <w:top w:val="single" w:sz="4" w:space="0" w:color="auto"/>
        </w:tblBorders>
        <w:tblLayout w:type="fixed"/>
        <w:tblLook w:val="04A0" w:firstRow="1" w:lastRow="0" w:firstColumn="1" w:lastColumn="0" w:noHBand="0" w:noVBand="1"/>
      </w:tblPr>
      <w:tblGrid>
        <w:gridCol w:w="236"/>
        <w:gridCol w:w="785"/>
        <w:gridCol w:w="1747"/>
        <w:gridCol w:w="1160"/>
        <w:gridCol w:w="1631"/>
        <w:gridCol w:w="2531"/>
        <w:gridCol w:w="733"/>
        <w:gridCol w:w="896"/>
      </w:tblGrid>
      <w:tr w:rsidR="009C7DC2" w:rsidRPr="009C7DC2" w14:paraId="5F9269D2" w14:textId="77777777" w:rsidTr="009C7DC2">
        <w:trPr>
          <w:trHeight w:val="300"/>
        </w:trPr>
        <w:tc>
          <w:tcPr>
            <w:tcW w:w="121" w:type="pct"/>
            <w:tcBorders>
              <w:top w:val="single" w:sz="4" w:space="0" w:color="auto"/>
              <w:left w:val="nil"/>
              <w:bottom w:val="nil"/>
              <w:right w:val="nil"/>
            </w:tcBorders>
            <w:noWrap/>
            <w:hideMark/>
          </w:tcPr>
          <w:p w14:paraId="63085E56" w14:textId="77777777" w:rsidR="009C7DC2" w:rsidRPr="009C7DC2" w:rsidRDefault="009C7DC2" w:rsidP="009C7DC2">
            <w:pPr>
              <w:jc w:val="both"/>
              <w:rPr>
                <w:rFonts w:ascii="Times New Roman" w:hAnsi="Times New Roman" w:cs="Times New Roman"/>
                <w:b/>
                <w:bCs/>
                <w:iCs/>
                <w:lang w:val="en-GB"/>
              </w:rPr>
            </w:pPr>
          </w:p>
        </w:tc>
        <w:tc>
          <w:tcPr>
            <w:tcW w:w="404" w:type="pct"/>
            <w:tcBorders>
              <w:top w:val="single" w:sz="4" w:space="0" w:color="auto"/>
              <w:left w:val="nil"/>
              <w:bottom w:val="nil"/>
              <w:right w:val="nil"/>
            </w:tcBorders>
            <w:noWrap/>
            <w:hideMark/>
          </w:tcPr>
          <w:p w14:paraId="53180459" w14:textId="78C23B2F" w:rsidR="009C7DC2" w:rsidRPr="009C7DC2" w:rsidRDefault="009C7DC2" w:rsidP="009C7DC2">
            <w:pPr>
              <w:jc w:val="both"/>
              <w:rPr>
                <w:rFonts w:ascii="Times New Roman" w:hAnsi="Times New Roman" w:cs="Times New Roman"/>
                <w:b/>
                <w:lang w:val="en-GB"/>
              </w:rPr>
            </w:pPr>
            <w:r w:rsidRPr="009C7DC2">
              <w:rPr>
                <w:rFonts w:ascii="Times New Roman" w:hAnsi="Times New Roman" w:cs="Times New Roman"/>
                <w:b/>
                <w:lang w:val="en-GB"/>
              </w:rPr>
              <w:t>Mo</w:t>
            </w:r>
            <w:r w:rsidR="00F5540B">
              <w:rPr>
                <w:rFonts w:ascii="Times New Roman" w:hAnsi="Times New Roman" w:cs="Times New Roman"/>
                <w:b/>
                <w:lang w:val="en-GB"/>
              </w:rPr>
              <w:t>d</w:t>
            </w:r>
            <w:r w:rsidRPr="009C7DC2">
              <w:rPr>
                <w:rFonts w:ascii="Times New Roman" w:hAnsi="Times New Roman" w:cs="Times New Roman"/>
                <w:b/>
                <w:lang w:val="en-GB"/>
              </w:rPr>
              <w:t>el</w:t>
            </w:r>
          </w:p>
        </w:tc>
        <w:tc>
          <w:tcPr>
            <w:tcW w:w="899" w:type="pct"/>
            <w:tcBorders>
              <w:top w:val="single" w:sz="4" w:space="0" w:color="auto"/>
              <w:left w:val="nil"/>
              <w:bottom w:val="nil"/>
              <w:right w:val="nil"/>
            </w:tcBorders>
            <w:noWrap/>
            <w:hideMark/>
          </w:tcPr>
          <w:p w14:paraId="5B6BB4E1" w14:textId="77777777" w:rsidR="009C7DC2" w:rsidRPr="009C7DC2" w:rsidRDefault="009C7DC2" w:rsidP="009C7DC2">
            <w:pPr>
              <w:jc w:val="both"/>
              <w:rPr>
                <w:rFonts w:ascii="Times New Roman" w:hAnsi="Times New Roman" w:cs="Times New Roman"/>
                <w:b/>
                <w:lang w:val="en-GB"/>
              </w:rPr>
            </w:pPr>
          </w:p>
        </w:tc>
        <w:tc>
          <w:tcPr>
            <w:tcW w:w="1436" w:type="pct"/>
            <w:gridSpan w:val="2"/>
            <w:tcBorders>
              <w:top w:val="single" w:sz="4" w:space="0" w:color="auto"/>
              <w:left w:val="nil"/>
              <w:bottom w:val="nil"/>
              <w:right w:val="nil"/>
            </w:tcBorders>
            <w:noWrap/>
            <w:hideMark/>
          </w:tcPr>
          <w:p w14:paraId="4E0700D1" w14:textId="77777777" w:rsidR="009C7DC2" w:rsidRPr="009C7DC2" w:rsidRDefault="009C7DC2" w:rsidP="009C7DC2">
            <w:pPr>
              <w:jc w:val="both"/>
              <w:rPr>
                <w:rFonts w:ascii="Times New Roman" w:hAnsi="Times New Roman" w:cs="Times New Roman"/>
                <w:b/>
                <w:lang w:val="en-GB"/>
              </w:rPr>
            </w:pPr>
            <w:r w:rsidRPr="009C7DC2">
              <w:rPr>
                <w:rFonts w:ascii="Times New Roman" w:hAnsi="Times New Roman" w:cs="Times New Roman"/>
                <w:b/>
                <w:lang w:val="en-GB"/>
              </w:rPr>
              <w:t>Unstandardized Coefficients</w:t>
            </w:r>
          </w:p>
        </w:tc>
        <w:tc>
          <w:tcPr>
            <w:tcW w:w="1302" w:type="pct"/>
            <w:tcBorders>
              <w:top w:val="single" w:sz="4" w:space="0" w:color="auto"/>
              <w:left w:val="nil"/>
              <w:bottom w:val="nil"/>
              <w:right w:val="nil"/>
            </w:tcBorders>
            <w:noWrap/>
            <w:hideMark/>
          </w:tcPr>
          <w:p w14:paraId="7DB72D09" w14:textId="77777777" w:rsidR="009C7DC2" w:rsidRPr="009C7DC2" w:rsidRDefault="009C7DC2" w:rsidP="009C7DC2">
            <w:pPr>
              <w:jc w:val="both"/>
              <w:rPr>
                <w:rFonts w:ascii="Times New Roman" w:hAnsi="Times New Roman" w:cs="Times New Roman"/>
                <w:b/>
                <w:lang w:val="en-GB"/>
              </w:rPr>
            </w:pPr>
            <w:r w:rsidRPr="009C7DC2">
              <w:rPr>
                <w:rFonts w:ascii="Times New Roman" w:hAnsi="Times New Roman" w:cs="Times New Roman"/>
                <w:b/>
                <w:lang w:val="en-GB"/>
              </w:rPr>
              <w:t>Standardized Coefficients</w:t>
            </w:r>
          </w:p>
        </w:tc>
        <w:tc>
          <w:tcPr>
            <w:tcW w:w="377" w:type="pct"/>
            <w:tcBorders>
              <w:top w:val="single" w:sz="4" w:space="0" w:color="auto"/>
              <w:left w:val="nil"/>
              <w:bottom w:val="nil"/>
              <w:right w:val="nil"/>
            </w:tcBorders>
            <w:noWrap/>
            <w:hideMark/>
          </w:tcPr>
          <w:p w14:paraId="7747ADAC" w14:textId="77777777" w:rsidR="009C7DC2" w:rsidRPr="009C7DC2" w:rsidRDefault="009C7DC2" w:rsidP="009C7DC2">
            <w:pPr>
              <w:jc w:val="both"/>
              <w:rPr>
                <w:rFonts w:ascii="Times New Roman" w:hAnsi="Times New Roman" w:cs="Times New Roman"/>
                <w:b/>
                <w:lang w:val="en-GB"/>
              </w:rPr>
            </w:pPr>
            <w:r w:rsidRPr="009C7DC2">
              <w:rPr>
                <w:rFonts w:ascii="Times New Roman" w:hAnsi="Times New Roman" w:cs="Times New Roman"/>
                <w:b/>
                <w:lang w:val="en-GB"/>
              </w:rPr>
              <w:t>t</w:t>
            </w:r>
          </w:p>
        </w:tc>
        <w:tc>
          <w:tcPr>
            <w:tcW w:w="461" w:type="pct"/>
            <w:tcBorders>
              <w:top w:val="single" w:sz="4" w:space="0" w:color="auto"/>
              <w:left w:val="nil"/>
              <w:bottom w:val="nil"/>
              <w:right w:val="nil"/>
            </w:tcBorders>
            <w:noWrap/>
            <w:hideMark/>
          </w:tcPr>
          <w:p w14:paraId="13DEA5FC" w14:textId="77777777" w:rsidR="009C7DC2" w:rsidRPr="009C7DC2" w:rsidRDefault="009C7DC2" w:rsidP="009C7DC2">
            <w:pPr>
              <w:jc w:val="both"/>
              <w:rPr>
                <w:rFonts w:ascii="Times New Roman" w:hAnsi="Times New Roman" w:cs="Times New Roman"/>
                <w:b/>
                <w:lang w:val="en-GB"/>
              </w:rPr>
            </w:pPr>
            <w:r w:rsidRPr="009C7DC2">
              <w:rPr>
                <w:rFonts w:ascii="Times New Roman" w:hAnsi="Times New Roman" w:cs="Times New Roman"/>
                <w:b/>
                <w:lang w:val="en-GB"/>
              </w:rPr>
              <w:t>Sig.</w:t>
            </w:r>
          </w:p>
        </w:tc>
      </w:tr>
      <w:tr w:rsidR="009C7DC2" w:rsidRPr="009C7DC2" w14:paraId="75BBDB03" w14:textId="77777777" w:rsidTr="00F5540B">
        <w:trPr>
          <w:trHeight w:val="80"/>
        </w:trPr>
        <w:tc>
          <w:tcPr>
            <w:tcW w:w="121" w:type="pct"/>
            <w:tcBorders>
              <w:top w:val="nil"/>
              <w:left w:val="nil"/>
              <w:bottom w:val="nil"/>
              <w:right w:val="nil"/>
            </w:tcBorders>
            <w:noWrap/>
            <w:hideMark/>
          </w:tcPr>
          <w:p w14:paraId="0EF27CC0" w14:textId="77777777" w:rsidR="009C7DC2" w:rsidRPr="009C7DC2" w:rsidRDefault="009C7DC2" w:rsidP="009C7DC2">
            <w:pPr>
              <w:jc w:val="both"/>
              <w:rPr>
                <w:rFonts w:ascii="Times New Roman" w:hAnsi="Times New Roman" w:cs="Times New Roman"/>
                <w:b/>
                <w:lang w:val="en-GB"/>
              </w:rPr>
            </w:pPr>
          </w:p>
        </w:tc>
        <w:tc>
          <w:tcPr>
            <w:tcW w:w="404" w:type="pct"/>
            <w:tcBorders>
              <w:top w:val="nil"/>
              <w:left w:val="nil"/>
              <w:bottom w:val="single" w:sz="4" w:space="0" w:color="auto"/>
              <w:right w:val="nil"/>
            </w:tcBorders>
            <w:noWrap/>
            <w:hideMark/>
          </w:tcPr>
          <w:p w14:paraId="07A894F7" w14:textId="77777777" w:rsidR="009C7DC2" w:rsidRPr="009C7DC2" w:rsidRDefault="009C7DC2" w:rsidP="009C7DC2">
            <w:pPr>
              <w:jc w:val="both"/>
              <w:rPr>
                <w:rFonts w:ascii="Times New Roman" w:hAnsi="Times New Roman" w:cs="Times New Roman"/>
              </w:rPr>
            </w:pPr>
          </w:p>
        </w:tc>
        <w:tc>
          <w:tcPr>
            <w:tcW w:w="899" w:type="pct"/>
            <w:tcBorders>
              <w:top w:val="nil"/>
              <w:left w:val="nil"/>
              <w:bottom w:val="single" w:sz="4" w:space="0" w:color="auto"/>
              <w:right w:val="nil"/>
            </w:tcBorders>
            <w:noWrap/>
            <w:hideMark/>
          </w:tcPr>
          <w:p w14:paraId="69677895" w14:textId="77777777" w:rsidR="009C7DC2" w:rsidRPr="009C7DC2" w:rsidRDefault="009C7DC2" w:rsidP="009C7DC2">
            <w:pPr>
              <w:jc w:val="both"/>
              <w:rPr>
                <w:rFonts w:ascii="Times New Roman" w:hAnsi="Times New Roman" w:cs="Times New Roman"/>
              </w:rPr>
            </w:pPr>
          </w:p>
        </w:tc>
        <w:tc>
          <w:tcPr>
            <w:tcW w:w="597" w:type="pct"/>
            <w:tcBorders>
              <w:top w:val="nil"/>
              <w:left w:val="nil"/>
              <w:bottom w:val="single" w:sz="4" w:space="0" w:color="auto"/>
              <w:right w:val="nil"/>
            </w:tcBorders>
            <w:noWrap/>
            <w:hideMark/>
          </w:tcPr>
          <w:p w14:paraId="4189D674" w14:textId="77777777" w:rsidR="009C7DC2" w:rsidRPr="009C7DC2" w:rsidRDefault="009C7DC2" w:rsidP="009C7DC2">
            <w:pPr>
              <w:jc w:val="both"/>
              <w:rPr>
                <w:rFonts w:ascii="Times New Roman" w:hAnsi="Times New Roman" w:cs="Times New Roman"/>
                <w:b/>
                <w:lang w:val="en-GB"/>
              </w:rPr>
            </w:pPr>
            <w:r w:rsidRPr="009C7DC2">
              <w:rPr>
                <w:rFonts w:ascii="Times New Roman" w:hAnsi="Times New Roman" w:cs="Times New Roman"/>
                <w:b/>
                <w:lang w:val="en-GB"/>
              </w:rPr>
              <w:t>B</w:t>
            </w:r>
          </w:p>
        </w:tc>
        <w:tc>
          <w:tcPr>
            <w:tcW w:w="839" w:type="pct"/>
            <w:tcBorders>
              <w:top w:val="nil"/>
              <w:left w:val="nil"/>
              <w:bottom w:val="single" w:sz="4" w:space="0" w:color="auto"/>
              <w:right w:val="nil"/>
            </w:tcBorders>
            <w:noWrap/>
            <w:hideMark/>
          </w:tcPr>
          <w:p w14:paraId="5FF4F050" w14:textId="77777777" w:rsidR="009C7DC2" w:rsidRPr="009C7DC2" w:rsidRDefault="009C7DC2" w:rsidP="009C7DC2">
            <w:pPr>
              <w:jc w:val="both"/>
              <w:rPr>
                <w:rFonts w:ascii="Times New Roman" w:hAnsi="Times New Roman" w:cs="Times New Roman"/>
                <w:b/>
                <w:lang w:val="en-GB"/>
              </w:rPr>
            </w:pPr>
            <w:r w:rsidRPr="009C7DC2">
              <w:rPr>
                <w:rFonts w:ascii="Times New Roman" w:hAnsi="Times New Roman" w:cs="Times New Roman"/>
                <w:b/>
                <w:lang w:val="en-GB"/>
              </w:rPr>
              <w:t>Std. Error</w:t>
            </w:r>
          </w:p>
        </w:tc>
        <w:tc>
          <w:tcPr>
            <w:tcW w:w="1302" w:type="pct"/>
            <w:tcBorders>
              <w:top w:val="nil"/>
              <w:left w:val="nil"/>
              <w:bottom w:val="single" w:sz="4" w:space="0" w:color="auto"/>
              <w:right w:val="nil"/>
            </w:tcBorders>
            <w:noWrap/>
            <w:hideMark/>
          </w:tcPr>
          <w:p w14:paraId="52B4148A" w14:textId="77777777" w:rsidR="009C7DC2" w:rsidRPr="009C7DC2" w:rsidRDefault="009C7DC2" w:rsidP="009C7DC2">
            <w:pPr>
              <w:jc w:val="both"/>
              <w:rPr>
                <w:rFonts w:ascii="Times New Roman" w:hAnsi="Times New Roman" w:cs="Times New Roman"/>
                <w:b/>
                <w:lang w:val="en-GB"/>
              </w:rPr>
            </w:pPr>
            <w:r w:rsidRPr="009C7DC2">
              <w:rPr>
                <w:rFonts w:ascii="Times New Roman" w:hAnsi="Times New Roman" w:cs="Times New Roman"/>
                <w:b/>
                <w:lang w:val="en-GB"/>
              </w:rPr>
              <w:t>Beta</w:t>
            </w:r>
          </w:p>
        </w:tc>
        <w:tc>
          <w:tcPr>
            <w:tcW w:w="377" w:type="pct"/>
            <w:tcBorders>
              <w:top w:val="nil"/>
              <w:left w:val="nil"/>
              <w:bottom w:val="single" w:sz="4" w:space="0" w:color="auto"/>
              <w:right w:val="nil"/>
            </w:tcBorders>
            <w:noWrap/>
            <w:hideMark/>
          </w:tcPr>
          <w:p w14:paraId="6184C60D" w14:textId="77777777" w:rsidR="009C7DC2" w:rsidRPr="009C7DC2" w:rsidRDefault="009C7DC2" w:rsidP="009C7DC2">
            <w:pPr>
              <w:jc w:val="both"/>
              <w:rPr>
                <w:rFonts w:ascii="Times New Roman" w:hAnsi="Times New Roman" w:cs="Times New Roman"/>
                <w:b/>
                <w:lang w:val="en-GB"/>
              </w:rPr>
            </w:pPr>
          </w:p>
        </w:tc>
        <w:tc>
          <w:tcPr>
            <w:tcW w:w="461" w:type="pct"/>
            <w:tcBorders>
              <w:top w:val="nil"/>
              <w:left w:val="nil"/>
              <w:bottom w:val="single" w:sz="4" w:space="0" w:color="auto"/>
              <w:right w:val="nil"/>
            </w:tcBorders>
            <w:noWrap/>
            <w:hideMark/>
          </w:tcPr>
          <w:p w14:paraId="3DAECB59" w14:textId="77777777" w:rsidR="009C7DC2" w:rsidRPr="009C7DC2" w:rsidRDefault="009C7DC2" w:rsidP="009C7DC2">
            <w:pPr>
              <w:jc w:val="both"/>
              <w:rPr>
                <w:rFonts w:ascii="Times New Roman" w:hAnsi="Times New Roman" w:cs="Times New Roman"/>
              </w:rPr>
            </w:pPr>
          </w:p>
        </w:tc>
      </w:tr>
      <w:tr w:rsidR="009C7DC2" w:rsidRPr="009C7DC2" w14:paraId="587AAE9A" w14:textId="77777777" w:rsidTr="009C7DC2">
        <w:trPr>
          <w:trHeight w:val="300"/>
        </w:trPr>
        <w:tc>
          <w:tcPr>
            <w:tcW w:w="121" w:type="pct"/>
            <w:tcBorders>
              <w:top w:val="nil"/>
              <w:left w:val="nil"/>
              <w:bottom w:val="nil"/>
              <w:right w:val="nil"/>
            </w:tcBorders>
            <w:noWrap/>
            <w:hideMark/>
          </w:tcPr>
          <w:p w14:paraId="42CDFF72" w14:textId="77777777" w:rsidR="009C7DC2" w:rsidRPr="009C7DC2" w:rsidRDefault="009C7DC2" w:rsidP="009C7DC2">
            <w:pPr>
              <w:jc w:val="both"/>
              <w:rPr>
                <w:rFonts w:ascii="Times New Roman" w:hAnsi="Times New Roman" w:cs="Times New Roman"/>
              </w:rPr>
            </w:pPr>
          </w:p>
        </w:tc>
        <w:tc>
          <w:tcPr>
            <w:tcW w:w="404" w:type="pct"/>
            <w:tcBorders>
              <w:top w:val="single" w:sz="4" w:space="0" w:color="auto"/>
              <w:left w:val="nil"/>
              <w:bottom w:val="nil"/>
              <w:right w:val="nil"/>
            </w:tcBorders>
            <w:noWrap/>
            <w:hideMark/>
          </w:tcPr>
          <w:p w14:paraId="73CD8DE8" w14:textId="77777777"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lang w:val="en-GB"/>
              </w:rPr>
              <w:t>1</w:t>
            </w:r>
          </w:p>
        </w:tc>
        <w:tc>
          <w:tcPr>
            <w:tcW w:w="899" w:type="pct"/>
            <w:tcBorders>
              <w:top w:val="nil"/>
              <w:left w:val="nil"/>
              <w:bottom w:val="nil"/>
              <w:right w:val="nil"/>
            </w:tcBorders>
            <w:noWrap/>
            <w:vAlign w:val="center"/>
            <w:hideMark/>
          </w:tcPr>
          <w:p w14:paraId="2FC9E0CA" w14:textId="77777777"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(Constant)</w:t>
            </w:r>
          </w:p>
        </w:tc>
        <w:tc>
          <w:tcPr>
            <w:tcW w:w="597" w:type="pct"/>
            <w:tcBorders>
              <w:top w:val="nil"/>
              <w:left w:val="nil"/>
              <w:bottom w:val="nil"/>
              <w:right w:val="nil"/>
            </w:tcBorders>
            <w:noWrap/>
            <w:vAlign w:val="center"/>
            <w:hideMark/>
          </w:tcPr>
          <w:p w14:paraId="6EC1613F" w14:textId="77777777"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0.215</w:t>
            </w:r>
          </w:p>
        </w:tc>
        <w:tc>
          <w:tcPr>
            <w:tcW w:w="839" w:type="pct"/>
            <w:tcBorders>
              <w:top w:val="nil"/>
              <w:left w:val="nil"/>
              <w:bottom w:val="nil"/>
              <w:right w:val="nil"/>
            </w:tcBorders>
            <w:noWrap/>
            <w:vAlign w:val="center"/>
            <w:hideMark/>
          </w:tcPr>
          <w:p w14:paraId="0BBCB31D" w14:textId="77777777"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0.092</w:t>
            </w:r>
          </w:p>
        </w:tc>
        <w:tc>
          <w:tcPr>
            <w:tcW w:w="1302" w:type="pct"/>
            <w:tcBorders>
              <w:top w:val="nil"/>
              <w:left w:val="nil"/>
              <w:bottom w:val="nil"/>
              <w:right w:val="nil"/>
            </w:tcBorders>
            <w:noWrap/>
            <w:vAlign w:val="center"/>
            <w:hideMark/>
          </w:tcPr>
          <w:p w14:paraId="61301183" w14:textId="77777777"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w:t>
            </w:r>
          </w:p>
        </w:tc>
        <w:tc>
          <w:tcPr>
            <w:tcW w:w="377" w:type="pct"/>
            <w:tcBorders>
              <w:top w:val="nil"/>
              <w:left w:val="nil"/>
              <w:bottom w:val="nil"/>
              <w:right w:val="nil"/>
            </w:tcBorders>
            <w:noWrap/>
            <w:vAlign w:val="center"/>
            <w:hideMark/>
          </w:tcPr>
          <w:p w14:paraId="0C1CAE5A" w14:textId="3985CE10"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2.</w:t>
            </w:r>
            <w:r>
              <w:rPr>
                <w:rFonts w:ascii="Times New Roman" w:hAnsi="Times New Roman" w:cs="Times New Roman"/>
              </w:rPr>
              <w:t>3</w:t>
            </w:r>
            <w:r w:rsidRPr="009C7DC2">
              <w:rPr>
                <w:rFonts w:ascii="Times New Roman" w:hAnsi="Times New Roman" w:cs="Times New Roman"/>
              </w:rPr>
              <w:t>4</w:t>
            </w:r>
          </w:p>
        </w:tc>
        <w:tc>
          <w:tcPr>
            <w:tcW w:w="461" w:type="pct"/>
            <w:tcBorders>
              <w:top w:val="nil"/>
              <w:left w:val="nil"/>
              <w:bottom w:val="nil"/>
              <w:right w:val="nil"/>
            </w:tcBorders>
            <w:noWrap/>
            <w:vAlign w:val="center"/>
            <w:hideMark/>
          </w:tcPr>
          <w:p w14:paraId="43596B6B" w14:textId="77777777"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0.020</w:t>
            </w:r>
          </w:p>
        </w:tc>
      </w:tr>
      <w:tr w:rsidR="009C7DC2" w:rsidRPr="009C7DC2" w14:paraId="32ADC144" w14:textId="77777777" w:rsidTr="009C7DC2">
        <w:trPr>
          <w:trHeight w:val="300"/>
        </w:trPr>
        <w:tc>
          <w:tcPr>
            <w:tcW w:w="121" w:type="pct"/>
            <w:tcBorders>
              <w:top w:val="nil"/>
              <w:left w:val="nil"/>
              <w:bottom w:val="nil"/>
              <w:right w:val="nil"/>
            </w:tcBorders>
            <w:noWrap/>
            <w:hideMark/>
          </w:tcPr>
          <w:p w14:paraId="00095AF4" w14:textId="77777777" w:rsidR="009C7DC2" w:rsidRPr="009C7DC2" w:rsidRDefault="009C7DC2" w:rsidP="009C7DC2">
            <w:pPr>
              <w:jc w:val="both"/>
              <w:rPr>
                <w:rFonts w:ascii="Times New Roman" w:hAnsi="Times New Roman" w:cs="Times New Roman"/>
                <w:lang w:val="en-GB"/>
              </w:rPr>
            </w:pPr>
          </w:p>
        </w:tc>
        <w:tc>
          <w:tcPr>
            <w:tcW w:w="404" w:type="pct"/>
            <w:tcBorders>
              <w:top w:val="nil"/>
              <w:left w:val="nil"/>
              <w:bottom w:val="nil"/>
              <w:right w:val="nil"/>
            </w:tcBorders>
            <w:noWrap/>
            <w:hideMark/>
          </w:tcPr>
          <w:p w14:paraId="01F3033C" w14:textId="77777777" w:rsidR="009C7DC2" w:rsidRPr="009C7DC2" w:rsidRDefault="009C7DC2" w:rsidP="009C7DC2">
            <w:pPr>
              <w:jc w:val="both"/>
              <w:rPr>
                <w:rFonts w:ascii="Times New Roman" w:hAnsi="Times New Roman" w:cs="Times New Roman"/>
              </w:rPr>
            </w:pPr>
          </w:p>
        </w:tc>
        <w:tc>
          <w:tcPr>
            <w:tcW w:w="899" w:type="pct"/>
            <w:tcBorders>
              <w:top w:val="nil"/>
              <w:left w:val="nil"/>
              <w:bottom w:val="nil"/>
              <w:right w:val="nil"/>
            </w:tcBorders>
            <w:noWrap/>
            <w:vAlign w:val="center"/>
            <w:hideMark/>
          </w:tcPr>
          <w:p w14:paraId="62CFB7F0" w14:textId="77777777"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Capacity Building</w:t>
            </w:r>
          </w:p>
        </w:tc>
        <w:tc>
          <w:tcPr>
            <w:tcW w:w="597" w:type="pct"/>
            <w:tcBorders>
              <w:top w:val="nil"/>
              <w:left w:val="nil"/>
              <w:bottom w:val="nil"/>
              <w:right w:val="nil"/>
            </w:tcBorders>
            <w:noWrap/>
            <w:vAlign w:val="center"/>
            <w:hideMark/>
          </w:tcPr>
          <w:p w14:paraId="55D060F3" w14:textId="77777777"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0.276</w:t>
            </w:r>
          </w:p>
        </w:tc>
        <w:tc>
          <w:tcPr>
            <w:tcW w:w="839" w:type="pct"/>
            <w:tcBorders>
              <w:top w:val="nil"/>
              <w:left w:val="nil"/>
              <w:bottom w:val="nil"/>
              <w:right w:val="nil"/>
            </w:tcBorders>
            <w:noWrap/>
            <w:vAlign w:val="center"/>
            <w:hideMark/>
          </w:tcPr>
          <w:p w14:paraId="36242E15" w14:textId="77777777"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0.052</w:t>
            </w:r>
          </w:p>
        </w:tc>
        <w:tc>
          <w:tcPr>
            <w:tcW w:w="1302" w:type="pct"/>
            <w:tcBorders>
              <w:top w:val="nil"/>
              <w:left w:val="nil"/>
              <w:bottom w:val="nil"/>
              <w:right w:val="nil"/>
            </w:tcBorders>
            <w:noWrap/>
            <w:vAlign w:val="center"/>
            <w:hideMark/>
          </w:tcPr>
          <w:p w14:paraId="2508B35F" w14:textId="77777777"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0.282</w:t>
            </w:r>
          </w:p>
        </w:tc>
        <w:tc>
          <w:tcPr>
            <w:tcW w:w="377" w:type="pct"/>
            <w:tcBorders>
              <w:top w:val="nil"/>
              <w:left w:val="nil"/>
              <w:bottom w:val="nil"/>
              <w:right w:val="nil"/>
            </w:tcBorders>
            <w:noWrap/>
            <w:vAlign w:val="center"/>
            <w:hideMark/>
          </w:tcPr>
          <w:p w14:paraId="59D611E3" w14:textId="6DD29A41"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5.3</w:t>
            </w:r>
            <w:r>
              <w:rPr>
                <w:rFonts w:ascii="Times New Roman" w:hAnsi="Times New Roman" w:cs="Times New Roman"/>
              </w:rPr>
              <w:t>1</w:t>
            </w:r>
          </w:p>
        </w:tc>
        <w:tc>
          <w:tcPr>
            <w:tcW w:w="461" w:type="pct"/>
            <w:tcBorders>
              <w:top w:val="nil"/>
              <w:left w:val="nil"/>
              <w:bottom w:val="nil"/>
              <w:right w:val="nil"/>
            </w:tcBorders>
            <w:noWrap/>
            <w:vAlign w:val="center"/>
            <w:hideMark/>
          </w:tcPr>
          <w:p w14:paraId="04790B28" w14:textId="77777777" w:rsidR="009C7DC2" w:rsidRPr="009C7DC2" w:rsidRDefault="009C7DC2" w:rsidP="009C7DC2">
            <w:pPr>
              <w:jc w:val="both"/>
              <w:rPr>
                <w:rFonts w:ascii="Times New Roman" w:hAnsi="Times New Roman" w:cs="Times New Roman"/>
                <w:lang w:val="en-GB"/>
              </w:rPr>
            </w:pPr>
            <w:r w:rsidRPr="009C7DC2">
              <w:rPr>
                <w:rFonts w:ascii="Times New Roman" w:hAnsi="Times New Roman" w:cs="Times New Roman"/>
              </w:rPr>
              <w:t>0.000</w:t>
            </w:r>
          </w:p>
        </w:tc>
      </w:tr>
      <w:tr w:rsidR="009C7DC2" w:rsidRPr="009C7DC2" w14:paraId="37EAA5D4" w14:textId="77777777" w:rsidTr="009C7DC2">
        <w:trPr>
          <w:trHeight w:val="300"/>
        </w:trPr>
        <w:tc>
          <w:tcPr>
            <w:tcW w:w="121" w:type="pct"/>
            <w:tcBorders>
              <w:top w:val="single" w:sz="4" w:space="0" w:color="auto"/>
              <w:left w:val="nil"/>
              <w:bottom w:val="nil"/>
              <w:right w:val="nil"/>
            </w:tcBorders>
            <w:noWrap/>
            <w:hideMark/>
          </w:tcPr>
          <w:p w14:paraId="41B0FD25" w14:textId="77777777" w:rsidR="009C7DC2" w:rsidRPr="009C7DC2" w:rsidRDefault="009C7DC2" w:rsidP="009C7DC2">
            <w:pPr>
              <w:jc w:val="both"/>
              <w:rPr>
                <w:rFonts w:ascii="Times New Roman" w:hAnsi="Times New Roman" w:cs="Times New Roman"/>
                <w:lang w:val="en-GB"/>
              </w:rPr>
            </w:pPr>
          </w:p>
        </w:tc>
        <w:tc>
          <w:tcPr>
            <w:tcW w:w="4041" w:type="pct"/>
            <w:gridSpan w:val="5"/>
            <w:tcBorders>
              <w:top w:val="single" w:sz="4" w:space="0" w:color="auto"/>
              <w:left w:val="nil"/>
              <w:bottom w:val="nil"/>
              <w:right w:val="nil"/>
            </w:tcBorders>
            <w:noWrap/>
            <w:hideMark/>
          </w:tcPr>
          <w:p w14:paraId="55845775" w14:textId="77777777" w:rsidR="00F5540B" w:rsidRDefault="009C7DC2" w:rsidP="00F5540B">
            <w:pPr>
              <w:jc w:val="both"/>
              <w:rPr>
                <w:rFonts w:ascii="Times New Roman" w:hAnsi="Times New Roman" w:cs="Times New Roman"/>
                <w:lang w:val="en-GB"/>
              </w:rPr>
            </w:pPr>
            <w:r w:rsidRPr="009C7DC2">
              <w:rPr>
                <w:rFonts w:ascii="Times New Roman" w:hAnsi="Times New Roman" w:cs="Times New Roman"/>
                <w:lang w:val="en-GB"/>
              </w:rPr>
              <w:t>a Dependent Variable: Women’s political participation in Nairobi City County, Kenya</w:t>
            </w:r>
          </w:p>
          <w:p w14:paraId="6D806727" w14:textId="418A439B"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b/>
                <w:iCs/>
                <w:lang w:val="en-GB"/>
              </w:rPr>
              <w:t xml:space="preserve"> </w:t>
            </w:r>
            <w:r w:rsidR="003159DC">
              <w:rPr>
                <w:rFonts w:ascii="Times New Roman" w:hAnsi="Times New Roman" w:cs="Times New Roman"/>
                <w:b/>
                <w:iCs/>
                <w:lang w:val="en-GB"/>
              </w:rPr>
              <w:t xml:space="preserve">Table </w:t>
            </w:r>
            <w:r w:rsidR="00C43173">
              <w:rPr>
                <w:rFonts w:ascii="Times New Roman" w:hAnsi="Times New Roman" w:cs="Times New Roman"/>
                <w:b/>
                <w:iCs/>
                <w:lang w:val="en-GB"/>
              </w:rPr>
              <w:t>5</w:t>
            </w:r>
            <w:r w:rsidR="003159DC">
              <w:rPr>
                <w:rFonts w:ascii="Times New Roman" w:hAnsi="Times New Roman" w:cs="Times New Roman"/>
                <w:b/>
                <w:iCs/>
                <w:lang w:val="en-GB"/>
              </w:rPr>
              <w:t xml:space="preserve">: </w:t>
            </w:r>
            <w:r w:rsidRPr="00F5540B">
              <w:rPr>
                <w:rFonts w:ascii="Times New Roman" w:hAnsi="Times New Roman" w:cs="Times New Roman"/>
                <w:b/>
                <w:iCs/>
                <w:lang w:val="en-GB"/>
              </w:rPr>
              <w:t>Analysis of Variance</w:t>
            </w:r>
          </w:p>
          <w:tbl>
            <w:tblPr>
              <w:tblW w:w="5000" w:type="pct"/>
              <w:tblBorders>
                <w:top w:val="single" w:sz="4" w:space="0" w:color="auto"/>
              </w:tblBorders>
              <w:tblLayout w:type="fixed"/>
              <w:tblCellMar>
                <w:left w:w="0" w:type="dxa"/>
                <w:right w:w="0" w:type="dxa"/>
              </w:tblCellMar>
              <w:tblLook w:val="04A0" w:firstRow="1" w:lastRow="0" w:firstColumn="1" w:lastColumn="0" w:noHBand="0" w:noVBand="1"/>
            </w:tblPr>
            <w:tblGrid>
              <w:gridCol w:w="323"/>
              <w:gridCol w:w="1503"/>
              <w:gridCol w:w="1748"/>
              <w:gridCol w:w="622"/>
              <w:gridCol w:w="1486"/>
              <w:gridCol w:w="1146"/>
              <w:gridCol w:w="810"/>
            </w:tblGrid>
            <w:tr w:rsidR="00F5540B" w:rsidRPr="00F5540B" w14:paraId="64A3148E" w14:textId="77777777">
              <w:trPr>
                <w:cantSplit/>
              </w:trPr>
              <w:tc>
                <w:tcPr>
                  <w:tcW w:w="1196" w:type="pct"/>
                  <w:gridSpan w:val="2"/>
                  <w:tcBorders>
                    <w:top w:val="single" w:sz="4" w:space="0" w:color="auto"/>
                    <w:left w:val="nil"/>
                    <w:bottom w:val="nil"/>
                    <w:right w:val="nil"/>
                  </w:tcBorders>
                  <w:shd w:val="clear" w:color="auto" w:fill="FFFFFF"/>
                  <w:hideMark/>
                </w:tcPr>
                <w:p w14:paraId="72022F83" w14:textId="77777777" w:rsidR="00F5540B" w:rsidRPr="00F5540B" w:rsidRDefault="00F5540B" w:rsidP="00F5540B">
                  <w:pPr>
                    <w:jc w:val="both"/>
                    <w:rPr>
                      <w:rFonts w:ascii="Times New Roman" w:hAnsi="Times New Roman" w:cs="Times New Roman"/>
                      <w:b/>
                      <w:lang w:val="en-GB"/>
                    </w:rPr>
                  </w:pPr>
                  <w:r w:rsidRPr="00F5540B">
                    <w:rPr>
                      <w:rFonts w:ascii="Times New Roman" w:hAnsi="Times New Roman" w:cs="Times New Roman"/>
                      <w:b/>
                      <w:lang w:val="en-GB"/>
                    </w:rPr>
                    <w:t>Model</w:t>
                  </w:r>
                </w:p>
              </w:tc>
              <w:tc>
                <w:tcPr>
                  <w:tcW w:w="1144" w:type="pct"/>
                  <w:tcBorders>
                    <w:top w:val="single" w:sz="4" w:space="0" w:color="auto"/>
                    <w:left w:val="nil"/>
                    <w:bottom w:val="nil"/>
                    <w:right w:val="nil"/>
                  </w:tcBorders>
                  <w:shd w:val="clear" w:color="auto" w:fill="FFFFFF"/>
                  <w:hideMark/>
                </w:tcPr>
                <w:p w14:paraId="58E5A79B" w14:textId="77777777" w:rsidR="00F5540B" w:rsidRPr="00F5540B" w:rsidRDefault="00F5540B" w:rsidP="00F5540B">
                  <w:pPr>
                    <w:jc w:val="both"/>
                    <w:rPr>
                      <w:rFonts w:ascii="Times New Roman" w:hAnsi="Times New Roman" w:cs="Times New Roman"/>
                      <w:b/>
                      <w:lang w:val="en-GB"/>
                    </w:rPr>
                  </w:pPr>
                  <w:r w:rsidRPr="00F5540B">
                    <w:rPr>
                      <w:rFonts w:ascii="Times New Roman" w:hAnsi="Times New Roman" w:cs="Times New Roman"/>
                      <w:b/>
                      <w:lang w:val="en-GB"/>
                    </w:rPr>
                    <w:t>Sum of Squares</w:t>
                  </w:r>
                </w:p>
              </w:tc>
              <w:tc>
                <w:tcPr>
                  <w:tcW w:w="407" w:type="pct"/>
                  <w:tcBorders>
                    <w:top w:val="single" w:sz="4" w:space="0" w:color="auto"/>
                    <w:left w:val="nil"/>
                    <w:bottom w:val="nil"/>
                    <w:right w:val="nil"/>
                  </w:tcBorders>
                  <w:shd w:val="clear" w:color="auto" w:fill="FFFFFF"/>
                  <w:hideMark/>
                </w:tcPr>
                <w:p w14:paraId="7D5BB840" w14:textId="77777777" w:rsidR="00F5540B" w:rsidRPr="00F5540B" w:rsidRDefault="00F5540B" w:rsidP="00F5540B">
                  <w:pPr>
                    <w:jc w:val="both"/>
                    <w:rPr>
                      <w:rFonts w:ascii="Times New Roman" w:hAnsi="Times New Roman" w:cs="Times New Roman"/>
                      <w:b/>
                      <w:lang w:val="en-GB"/>
                    </w:rPr>
                  </w:pPr>
                  <w:proofErr w:type="spellStart"/>
                  <w:r w:rsidRPr="00F5540B">
                    <w:rPr>
                      <w:rFonts w:ascii="Times New Roman" w:hAnsi="Times New Roman" w:cs="Times New Roman"/>
                      <w:b/>
                      <w:lang w:val="en-GB"/>
                    </w:rPr>
                    <w:t>df</w:t>
                  </w:r>
                  <w:proofErr w:type="spellEnd"/>
                </w:p>
              </w:tc>
              <w:tc>
                <w:tcPr>
                  <w:tcW w:w="973" w:type="pct"/>
                  <w:tcBorders>
                    <w:top w:val="single" w:sz="4" w:space="0" w:color="auto"/>
                    <w:left w:val="nil"/>
                    <w:bottom w:val="nil"/>
                    <w:right w:val="nil"/>
                  </w:tcBorders>
                  <w:shd w:val="clear" w:color="auto" w:fill="FFFFFF"/>
                  <w:hideMark/>
                </w:tcPr>
                <w:p w14:paraId="42B87260" w14:textId="77777777" w:rsidR="00F5540B" w:rsidRPr="00F5540B" w:rsidRDefault="00F5540B" w:rsidP="00F5540B">
                  <w:pPr>
                    <w:jc w:val="both"/>
                    <w:rPr>
                      <w:rFonts w:ascii="Times New Roman" w:hAnsi="Times New Roman" w:cs="Times New Roman"/>
                      <w:b/>
                      <w:lang w:val="en-GB"/>
                    </w:rPr>
                  </w:pPr>
                  <w:r w:rsidRPr="00F5540B">
                    <w:rPr>
                      <w:rFonts w:ascii="Times New Roman" w:hAnsi="Times New Roman" w:cs="Times New Roman"/>
                      <w:b/>
                      <w:lang w:val="en-GB"/>
                    </w:rPr>
                    <w:t>Mean Square</w:t>
                  </w:r>
                </w:p>
              </w:tc>
              <w:tc>
                <w:tcPr>
                  <w:tcW w:w="750" w:type="pct"/>
                  <w:tcBorders>
                    <w:top w:val="single" w:sz="4" w:space="0" w:color="auto"/>
                    <w:left w:val="nil"/>
                    <w:bottom w:val="nil"/>
                    <w:right w:val="nil"/>
                  </w:tcBorders>
                  <w:shd w:val="clear" w:color="auto" w:fill="FFFFFF"/>
                  <w:hideMark/>
                </w:tcPr>
                <w:p w14:paraId="3908A1EB" w14:textId="77777777" w:rsidR="00F5540B" w:rsidRPr="00F5540B" w:rsidRDefault="00F5540B" w:rsidP="00F5540B">
                  <w:pPr>
                    <w:jc w:val="both"/>
                    <w:rPr>
                      <w:rFonts w:ascii="Times New Roman" w:hAnsi="Times New Roman" w:cs="Times New Roman"/>
                      <w:b/>
                      <w:lang w:val="en-GB"/>
                    </w:rPr>
                  </w:pPr>
                  <w:r w:rsidRPr="00F5540B">
                    <w:rPr>
                      <w:rFonts w:ascii="Times New Roman" w:hAnsi="Times New Roman" w:cs="Times New Roman"/>
                      <w:b/>
                      <w:lang w:val="en-GB"/>
                    </w:rPr>
                    <w:t>F</w:t>
                  </w:r>
                </w:p>
              </w:tc>
              <w:tc>
                <w:tcPr>
                  <w:tcW w:w="530" w:type="pct"/>
                  <w:tcBorders>
                    <w:top w:val="single" w:sz="4" w:space="0" w:color="auto"/>
                    <w:left w:val="nil"/>
                    <w:bottom w:val="nil"/>
                    <w:right w:val="nil"/>
                  </w:tcBorders>
                  <w:shd w:val="clear" w:color="auto" w:fill="FFFFFF"/>
                  <w:hideMark/>
                </w:tcPr>
                <w:p w14:paraId="1B38946F" w14:textId="77777777" w:rsidR="00F5540B" w:rsidRPr="00F5540B" w:rsidRDefault="00F5540B" w:rsidP="00F5540B">
                  <w:pPr>
                    <w:jc w:val="both"/>
                    <w:rPr>
                      <w:rFonts w:ascii="Times New Roman" w:hAnsi="Times New Roman" w:cs="Times New Roman"/>
                      <w:b/>
                      <w:lang w:val="en-GB"/>
                    </w:rPr>
                  </w:pPr>
                  <w:r w:rsidRPr="00F5540B">
                    <w:rPr>
                      <w:rFonts w:ascii="Times New Roman" w:hAnsi="Times New Roman" w:cs="Times New Roman"/>
                      <w:b/>
                      <w:lang w:val="en-GB"/>
                    </w:rPr>
                    <w:t>Sig.</w:t>
                  </w:r>
                </w:p>
              </w:tc>
            </w:tr>
            <w:tr w:rsidR="00F5540B" w:rsidRPr="00F5540B" w14:paraId="78412080" w14:textId="77777777">
              <w:trPr>
                <w:cantSplit/>
              </w:trPr>
              <w:tc>
                <w:tcPr>
                  <w:tcW w:w="212" w:type="pct"/>
                  <w:vMerge w:val="restart"/>
                  <w:tcBorders>
                    <w:top w:val="nil"/>
                    <w:left w:val="nil"/>
                    <w:bottom w:val="single" w:sz="4" w:space="0" w:color="auto"/>
                    <w:right w:val="nil"/>
                  </w:tcBorders>
                  <w:shd w:val="clear" w:color="auto" w:fill="FFFFFF"/>
                  <w:hideMark/>
                </w:tcPr>
                <w:p w14:paraId="5F586832" w14:textId="511C0057" w:rsidR="00F5540B" w:rsidRPr="00F5540B" w:rsidRDefault="00F5540B" w:rsidP="00F5540B">
                  <w:pPr>
                    <w:jc w:val="both"/>
                    <w:rPr>
                      <w:rFonts w:ascii="Times New Roman" w:hAnsi="Times New Roman" w:cs="Times New Roman"/>
                      <w:lang w:val="en-GB"/>
                    </w:rPr>
                  </w:pPr>
                </w:p>
              </w:tc>
              <w:tc>
                <w:tcPr>
                  <w:tcW w:w="984" w:type="pct"/>
                  <w:tcBorders>
                    <w:top w:val="nil"/>
                    <w:left w:val="nil"/>
                    <w:bottom w:val="nil"/>
                    <w:right w:val="nil"/>
                  </w:tcBorders>
                  <w:shd w:val="clear" w:color="auto" w:fill="FFFFFF"/>
                  <w:hideMark/>
                </w:tcPr>
                <w:p w14:paraId="5DA2337C"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lang w:val="en-GB"/>
                    </w:rPr>
                    <w:t>Regression</w:t>
                  </w:r>
                </w:p>
              </w:tc>
              <w:tc>
                <w:tcPr>
                  <w:tcW w:w="1144" w:type="pct"/>
                  <w:tcBorders>
                    <w:top w:val="nil"/>
                    <w:left w:val="nil"/>
                    <w:bottom w:val="nil"/>
                    <w:right w:val="nil"/>
                  </w:tcBorders>
                  <w:shd w:val="clear" w:color="auto" w:fill="FFFFFF"/>
                  <w:vAlign w:val="center"/>
                  <w:hideMark/>
                </w:tcPr>
                <w:p w14:paraId="329DF669"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rPr>
                    <w:t>96.42</w:t>
                  </w:r>
                </w:p>
              </w:tc>
              <w:tc>
                <w:tcPr>
                  <w:tcW w:w="407" w:type="pct"/>
                  <w:tcBorders>
                    <w:top w:val="nil"/>
                    <w:left w:val="nil"/>
                    <w:bottom w:val="nil"/>
                    <w:right w:val="nil"/>
                  </w:tcBorders>
                  <w:shd w:val="clear" w:color="auto" w:fill="FFFFFF"/>
                  <w:vAlign w:val="center"/>
                  <w:hideMark/>
                </w:tcPr>
                <w:p w14:paraId="7102F63B"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rPr>
                    <w:t>4</w:t>
                  </w:r>
                </w:p>
              </w:tc>
              <w:tc>
                <w:tcPr>
                  <w:tcW w:w="973" w:type="pct"/>
                  <w:tcBorders>
                    <w:top w:val="nil"/>
                    <w:left w:val="nil"/>
                    <w:bottom w:val="nil"/>
                    <w:right w:val="nil"/>
                  </w:tcBorders>
                  <w:shd w:val="clear" w:color="auto" w:fill="FFFFFF"/>
                  <w:vAlign w:val="center"/>
                  <w:hideMark/>
                </w:tcPr>
                <w:p w14:paraId="19AD1857"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rPr>
                    <w:t>24.11</w:t>
                  </w:r>
                </w:p>
              </w:tc>
              <w:tc>
                <w:tcPr>
                  <w:tcW w:w="750" w:type="pct"/>
                  <w:tcBorders>
                    <w:top w:val="nil"/>
                    <w:left w:val="nil"/>
                    <w:bottom w:val="nil"/>
                    <w:right w:val="nil"/>
                  </w:tcBorders>
                  <w:shd w:val="clear" w:color="auto" w:fill="FFFFFF"/>
                  <w:vAlign w:val="center"/>
                  <w:hideMark/>
                </w:tcPr>
                <w:p w14:paraId="208B9275"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rPr>
                    <w:t>141.37</w:t>
                  </w:r>
                </w:p>
              </w:tc>
              <w:tc>
                <w:tcPr>
                  <w:tcW w:w="530" w:type="pct"/>
                  <w:tcBorders>
                    <w:top w:val="nil"/>
                    <w:left w:val="nil"/>
                    <w:bottom w:val="nil"/>
                    <w:right w:val="nil"/>
                  </w:tcBorders>
                  <w:shd w:val="clear" w:color="auto" w:fill="FFFFFF"/>
                  <w:vAlign w:val="center"/>
                  <w:hideMark/>
                </w:tcPr>
                <w:p w14:paraId="257E459B"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rPr>
                    <w:t>0.000</w:t>
                  </w:r>
                </w:p>
              </w:tc>
            </w:tr>
            <w:tr w:rsidR="00F5540B" w:rsidRPr="00F5540B" w14:paraId="6C77CCC3" w14:textId="77777777">
              <w:trPr>
                <w:cantSplit/>
              </w:trPr>
              <w:tc>
                <w:tcPr>
                  <w:tcW w:w="397" w:type="dxa"/>
                  <w:vMerge/>
                  <w:tcBorders>
                    <w:top w:val="nil"/>
                    <w:left w:val="nil"/>
                    <w:bottom w:val="single" w:sz="4" w:space="0" w:color="auto"/>
                    <w:right w:val="nil"/>
                  </w:tcBorders>
                  <w:vAlign w:val="center"/>
                  <w:hideMark/>
                </w:tcPr>
                <w:p w14:paraId="7588BC7E" w14:textId="77777777" w:rsidR="00F5540B" w:rsidRPr="00F5540B" w:rsidRDefault="00F5540B" w:rsidP="00F5540B">
                  <w:pPr>
                    <w:jc w:val="both"/>
                    <w:rPr>
                      <w:rFonts w:ascii="Times New Roman" w:hAnsi="Times New Roman" w:cs="Times New Roman"/>
                      <w:lang w:val="en-GB"/>
                    </w:rPr>
                  </w:pPr>
                </w:p>
              </w:tc>
              <w:tc>
                <w:tcPr>
                  <w:tcW w:w="984" w:type="pct"/>
                  <w:tcBorders>
                    <w:top w:val="nil"/>
                    <w:left w:val="nil"/>
                    <w:bottom w:val="nil"/>
                    <w:right w:val="nil"/>
                  </w:tcBorders>
                  <w:shd w:val="clear" w:color="auto" w:fill="FFFFFF"/>
                  <w:hideMark/>
                </w:tcPr>
                <w:p w14:paraId="19B4207E"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lang w:val="en-GB"/>
                    </w:rPr>
                    <w:t>Residual</w:t>
                  </w:r>
                </w:p>
              </w:tc>
              <w:tc>
                <w:tcPr>
                  <w:tcW w:w="1144" w:type="pct"/>
                  <w:tcBorders>
                    <w:top w:val="nil"/>
                    <w:left w:val="nil"/>
                    <w:bottom w:val="nil"/>
                    <w:right w:val="nil"/>
                  </w:tcBorders>
                  <w:shd w:val="clear" w:color="auto" w:fill="FFFFFF"/>
                  <w:vAlign w:val="center"/>
                  <w:hideMark/>
                </w:tcPr>
                <w:p w14:paraId="2E4F38D9"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rPr>
                    <w:t>39.69</w:t>
                  </w:r>
                </w:p>
              </w:tc>
              <w:tc>
                <w:tcPr>
                  <w:tcW w:w="407" w:type="pct"/>
                  <w:tcBorders>
                    <w:top w:val="nil"/>
                    <w:left w:val="nil"/>
                    <w:bottom w:val="nil"/>
                    <w:right w:val="nil"/>
                  </w:tcBorders>
                  <w:shd w:val="clear" w:color="auto" w:fill="FFFFFF"/>
                  <w:vAlign w:val="center"/>
                  <w:hideMark/>
                </w:tcPr>
                <w:p w14:paraId="3044A3B7"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rPr>
                    <w:t>233</w:t>
                  </w:r>
                </w:p>
              </w:tc>
              <w:tc>
                <w:tcPr>
                  <w:tcW w:w="973" w:type="pct"/>
                  <w:tcBorders>
                    <w:top w:val="nil"/>
                    <w:left w:val="nil"/>
                    <w:bottom w:val="nil"/>
                    <w:right w:val="nil"/>
                  </w:tcBorders>
                  <w:shd w:val="clear" w:color="auto" w:fill="FFFFFF"/>
                  <w:vAlign w:val="center"/>
                  <w:hideMark/>
                </w:tcPr>
                <w:p w14:paraId="544976E0"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rPr>
                    <w:t>0.17</w:t>
                  </w:r>
                </w:p>
              </w:tc>
              <w:tc>
                <w:tcPr>
                  <w:tcW w:w="750" w:type="pct"/>
                  <w:tcBorders>
                    <w:top w:val="nil"/>
                    <w:left w:val="nil"/>
                    <w:bottom w:val="nil"/>
                    <w:right w:val="nil"/>
                  </w:tcBorders>
                  <w:shd w:val="clear" w:color="auto" w:fill="FFFFFF"/>
                  <w:vAlign w:val="center"/>
                </w:tcPr>
                <w:p w14:paraId="21624F96" w14:textId="77777777" w:rsidR="00F5540B" w:rsidRPr="00F5540B" w:rsidRDefault="00F5540B" w:rsidP="00F5540B">
                  <w:pPr>
                    <w:jc w:val="both"/>
                    <w:rPr>
                      <w:rFonts w:ascii="Times New Roman" w:hAnsi="Times New Roman" w:cs="Times New Roman"/>
                      <w:lang w:val="en-GB"/>
                    </w:rPr>
                  </w:pPr>
                </w:p>
              </w:tc>
              <w:tc>
                <w:tcPr>
                  <w:tcW w:w="530" w:type="pct"/>
                  <w:tcBorders>
                    <w:top w:val="nil"/>
                    <w:left w:val="nil"/>
                    <w:bottom w:val="nil"/>
                    <w:right w:val="nil"/>
                  </w:tcBorders>
                  <w:shd w:val="clear" w:color="auto" w:fill="FFFFFF"/>
                  <w:vAlign w:val="center"/>
                </w:tcPr>
                <w:p w14:paraId="5393E9A9" w14:textId="77777777" w:rsidR="00F5540B" w:rsidRPr="00F5540B" w:rsidRDefault="00F5540B" w:rsidP="00F5540B">
                  <w:pPr>
                    <w:jc w:val="both"/>
                    <w:rPr>
                      <w:rFonts w:ascii="Times New Roman" w:hAnsi="Times New Roman" w:cs="Times New Roman"/>
                      <w:lang w:val="en-GB"/>
                    </w:rPr>
                  </w:pPr>
                </w:p>
              </w:tc>
            </w:tr>
            <w:tr w:rsidR="00F5540B" w:rsidRPr="00F5540B" w14:paraId="7EC8A8D9" w14:textId="77777777">
              <w:trPr>
                <w:cantSplit/>
              </w:trPr>
              <w:tc>
                <w:tcPr>
                  <w:tcW w:w="397" w:type="dxa"/>
                  <w:vMerge/>
                  <w:tcBorders>
                    <w:top w:val="nil"/>
                    <w:left w:val="nil"/>
                    <w:bottom w:val="single" w:sz="4" w:space="0" w:color="auto"/>
                    <w:right w:val="nil"/>
                  </w:tcBorders>
                  <w:vAlign w:val="center"/>
                  <w:hideMark/>
                </w:tcPr>
                <w:p w14:paraId="4AF742E9" w14:textId="77777777" w:rsidR="00F5540B" w:rsidRPr="00F5540B" w:rsidRDefault="00F5540B" w:rsidP="00F5540B">
                  <w:pPr>
                    <w:jc w:val="both"/>
                    <w:rPr>
                      <w:rFonts w:ascii="Times New Roman" w:hAnsi="Times New Roman" w:cs="Times New Roman"/>
                      <w:lang w:val="en-GB"/>
                    </w:rPr>
                  </w:pPr>
                </w:p>
              </w:tc>
              <w:tc>
                <w:tcPr>
                  <w:tcW w:w="984" w:type="pct"/>
                  <w:tcBorders>
                    <w:top w:val="nil"/>
                    <w:left w:val="nil"/>
                    <w:bottom w:val="single" w:sz="4" w:space="0" w:color="auto"/>
                    <w:right w:val="nil"/>
                  </w:tcBorders>
                  <w:shd w:val="clear" w:color="auto" w:fill="FFFFFF"/>
                  <w:hideMark/>
                </w:tcPr>
                <w:p w14:paraId="0ACEB80B"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lang w:val="en-GB"/>
                    </w:rPr>
                    <w:t>Total</w:t>
                  </w:r>
                </w:p>
              </w:tc>
              <w:tc>
                <w:tcPr>
                  <w:tcW w:w="1144" w:type="pct"/>
                  <w:tcBorders>
                    <w:top w:val="nil"/>
                    <w:left w:val="nil"/>
                    <w:bottom w:val="single" w:sz="4" w:space="0" w:color="auto"/>
                    <w:right w:val="nil"/>
                  </w:tcBorders>
                  <w:shd w:val="clear" w:color="auto" w:fill="FFFFFF"/>
                  <w:vAlign w:val="center"/>
                  <w:hideMark/>
                </w:tcPr>
                <w:p w14:paraId="377737D7"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rPr>
                    <w:t>136.11</w:t>
                  </w:r>
                </w:p>
              </w:tc>
              <w:tc>
                <w:tcPr>
                  <w:tcW w:w="407" w:type="pct"/>
                  <w:tcBorders>
                    <w:top w:val="nil"/>
                    <w:left w:val="nil"/>
                    <w:bottom w:val="single" w:sz="4" w:space="0" w:color="auto"/>
                    <w:right w:val="nil"/>
                  </w:tcBorders>
                  <w:shd w:val="clear" w:color="auto" w:fill="FFFFFF"/>
                  <w:vAlign w:val="center"/>
                  <w:hideMark/>
                </w:tcPr>
                <w:p w14:paraId="73A615A2" w14:textId="77777777" w:rsidR="00F5540B" w:rsidRPr="00F5540B" w:rsidRDefault="00F5540B" w:rsidP="00F5540B">
                  <w:pPr>
                    <w:jc w:val="both"/>
                    <w:rPr>
                      <w:rFonts w:ascii="Times New Roman" w:hAnsi="Times New Roman" w:cs="Times New Roman"/>
                      <w:lang w:val="en-GB"/>
                    </w:rPr>
                  </w:pPr>
                  <w:r w:rsidRPr="00F5540B">
                    <w:rPr>
                      <w:rFonts w:ascii="Times New Roman" w:hAnsi="Times New Roman" w:cs="Times New Roman"/>
                    </w:rPr>
                    <w:t>237</w:t>
                  </w:r>
                </w:p>
              </w:tc>
              <w:tc>
                <w:tcPr>
                  <w:tcW w:w="973" w:type="pct"/>
                  <w:tcBorders>
                    <w:top w:val="nil"/>
                    <w:left w:val="nil"/>
                    <w:bottom w:val="single" w:sz="4" w:space="0" w:color="auto"/>
                    <w:right w:val="nil"/>
                  </w:tcBorders>
                  <w:shd w:val="clear" w:color="auto" w:fill="FFFFFF"/>
                  <w:vAlign w:val="center"/>
                </w:tcPr>
                <w:p w14:paraId="4598E296" w14:textId="77777777" w:rsidR="00F5540B" w:rsidRPr="00F5540B" w:rsidRDefault="00F5540B" w:rsidP="00F5540B">
                  <w:pPr>
                    <w:jc w:val="both"/>
                    <w:rPr>
                      <w:rFonts w:ascii="Times New Roman" w:hAnsi="Times New Roman" w:cs="Times New Roman"/>
                      <w:lang w:val="en-GB"/>
                    </w:rPr>
                  </w:pPr>
                </w:p>
              </w:tc>
              <w:tc>
                <w:tcPr>
                  <w:tcW w:w="750" w:type="pct"/>
                  <w:tcBorders>
                    <w:top w:val="nil"/>
                    <w:left w:val="nil"/>
                    <w:bottom w:val="single" w:sz="4" w:space="0" w:color="auto"/>
                    <w:right w:val="nil"/>
                  </w:tcBorders>
                  <w:shd w:val="clear" w:color="auto" w:fill="FFFFFF"/>
                  <w:vAlign w:val="center"/>
                </w:tcPr>
                <w:p w14:paraId="15395C5A" w14:textId="77777777" w:rsidR="00F5540B" w:rsidRPr="00F5540B" w:rsidRDefault="00F5540B" w:rsidP="00F5540B">
                  <w:pPr>
                    <w:jc w:val="both"/>
                    <w:rPr>
                      <w:rFonts w:ascii="Times New Roman" w:hAnsi="Times New Roman" w:cs="Times New Roman"/>
                      <w:lang w:val="en-GB"/>
                    </w:rPr>
                  </w:pPr>
                </w:p>
              </w:tc>
              <w:tc>
                <w:tcPr>
                  <w:tcW w:w="530" w:type="pct"/>
                  <w:tcBorders>
                    <w:top w:val="nil"/>
                    <w:left w:val="nil"/>
                    <w:bottom w:val="single" w:sz="4" w:space="0" w:color="auto"/>
                    <w:right w:val="nil"/>
                  </w:tcBorders>
                  <w:shd w:val="clear" w:color="auto" w:fill="FFFFFF"/>
                  <w:vAlign w:val="center"/>
                </w:tcPr>
                <w:p w14:paraId="5498A397" w14:textId="77777777" w:rsidR="00F5540B" w:rsidRPr="00F5540B" w:rsidRDefault="00F5540B" w:rsidP="00F5540B">
                  <w:pPr>
                    <w:jc w:val="both"/>
                    <w:rPr>
                      <w:rFonts w:ascii="Times New Roman" w:hAnsi="Times New Roman" w:cs="Times New Roman"/>
                      <w:lang w:val="en-GB"/>
                    </w:rPr>
                  </w:pPr>
                </w:p>
              </w:tc>
            </w:tr>
          </w:tbl>
          <w:p w14:paraId="3DEC4969" w14:textId="77777777" w:rsidR="00F5540B" w:rsidRPr="009C7DC2" w:rsidRDefault="00F5540B" w:rsidP="009C7DC2">
            <w:pPr>
              <w:jc w:val="both"/>
              <w:rPr>
                <w:rFonts w:ascii="Times New Roman" w:hAnsi="Times New Roman" w:cs="Times New Roman"/>
                <w:lang w:val="en-GB"/>
              </w:rPr>
            </w:pPr>
          </w:p>
        </w:tc>
        <w:tc>
          <w:tcPr>
            <w:tcW w:w="377" w:type="pct"/>
            <w:tcBorders>
              <w:top w:val="single" w:sz="4" w:space="0" w:color="auto"/>
              <w:left w:val="nil"/>
              <w:bottom w:val="nil"/>
              <w:right w:val="nil"/>
            </w:tcBorders>
            <w:noWrap/>
            <w:hideMark/>
          </w:tcPr>
          <w:p w14:paraId="2CC91A3C" w14:textId="77777777" w:rsidR="009C7DC2" w:rsidRPr="009C7DC2" w:rsidRDefault="009C7DC2" w:rsidP="009C7DC2">
            <w:pPr>
              <w:jc w:val="both"/>
              <w:rPr>
                <w:rFonts w:ascii="Times New Roman" w:hAnsi="Times New Roman" w:cs="Times New Roman"/>
                <w:lang w:val="en-GB"/>
              </w:rPr>
            </w:pPr>
          </w:p>
        </w:tc>
        <w:tc>
          <w:tcPr>
            <w:tcW w:w="461" w:type="pct"/>
            <w:tcBorders>
              <w:top w:val="single" w:sz="4" w:space="0" w:color="auto"/>
              <w:left w:val="nil"/>
              <w:bottom w:val="nil"/>
              <w:right w:val="nil"/>
            </w:tcBorders>
            <w:noWrap/>
            <w:hideMark/>
          </w:tcPr>
          <w:p w14:paraId="3A004883" w14:textId="77777777" w:rsidR="009C7DC2" w:rsidRPr="009C7DC2" w:rsidRDefault="009C7DC2" w:rsidP="009C7DC2">
            <w:pPr>
              <w:jc w:val="both"/>
              <w:rPr>
                <w:rFonts w:ascii="Times New Roman" w:hAnsi="Times New Roman" w:cs="Times New Roman"/>
              </w:rPr>
            </w:pPr>
          </w:p>
        </w:tc>
      </w:tr>
    </w:tbl>
    <w:p w14:paraId="0D45FB4B" w14:textId="278AAA63" w:rsidR="00F5540B" w:rsidRPr="00F5540B" w:rsidRDefault="003159DC" w:rsidP="00F5540B">
      <w:pPr>
        <w:suppressAutoHyphens/>
        <w:spacing w:before="120" w:after="120" w:line="360" w:lineRule="auto"/>
        <w:jc w:val="both"/>
        <w:rPr>
          <w:rFonts w:ascii="Times New Roman" w:eastAsia="Calibri" w:hAnsi="Times New Roman" w:cs="Calibri"/>
          <w:b/>
          <w:bCs/>
          <w:kern w:val="0"/>
          <w:szCs w:val="22"/>
          <w:lang w:val="en-GB" w:eastAsia="hi-IN" w:bidi="hi-IN"/>
          <w14:ligatures w14:val="none"/>
        </w:rPr>
      </w:pPr>
      <w:r>
        <w:rPr>
          <w:rFonts w:ascii="Times New Roman" w:eastAsia="Calibri" w:hAnsi="Times New Roman" w:cs="Calibri"/>
          <w:b/>
          <w:bCs/>
          <w:kern w:val="0"/>
          <w:szCs w:val="22"/>
          <w:lang w:val="en-GB" w:eastAsia="hi-IN" w:bidi="hi-IN"/>
          <w14:ligatures w14:val="none"/>
        </w:rPr>
        <w:t xml:space="preserve"> Table </w:t>
      </w:r>
      <w:r w:rsidR="00C43173">
        <w:rPr>
          <w:rFonts w:ascii="Times New Roman" w:eastAsia="Calibri" w:hAnsi="Times New Roman" w:cs="Calibri"/>
          <w:b/>
          <w:bCs/>
          <w:kern w:val="0"/>
          <w:szCs w:val="22"/>
          <w:lang w:val="en-GB" w:eastAsia="hi-IN" w:bidi="hi-IN"/>
          <w14:ligatures w14:val="none"/>
        </w:rPr>
        <w:t>6</w:t>
      </w:r>
      <w:r>
        <w:rPr>
          <w:rFonts w:ascii="Times New Roman" w:eastAsia="Calibri" w:hAnsi="Times New Roman" w:cs="Calibri"/>
          <w:b/>
          <w:bCs/>
          <w:kern w:val="0"/>
          <w:szCs w:val="22"/>
          <w:lang w:val="en-GB" w:eastAsia="hi-IN" w:bidi="hi-IN"/>
          <w14:ligatures w14:val="none"/>
        </w:rPr>
        <w:t xml:space="preserve">: </w:t>
      </w:r>
      <w:r w:rsidR="00F5540B" w:rsidRPr="00F5540B">
        <w:rPr>
          <w:rFonts w:ascii="Times New Roman" w:eastAsia="Calibri" w:hAnsi="Times New Roman" w:cs="Calibri"/>
          <w:b/>
          <w:bCs/>
          <w:kern w:val="0"/>
          <w:szCs w:val="22"/>
          <w:lang w:val="en-GB" w:eastAsia="hi-IN" w:bidi="hi-IN"/>
          <w14:ligatures w14:val="none"/>
        </w:rPr>
        <w:t>Model Summary</w:t>
      </w:r>
    </w:p>
    <w:tbl>
      <w:tblPr>
        <w:tblW w:w="4978" w:type="pct"/>
        <w:tblInd w:w="20" w:type="dxa"/>
        <w:tblBorders>
          <w:top w:val="single" w:sz="4" w:space="0" w:color="auto"/>
        </w:tblBorders>
        <w:tblCellMar>
          <w:left w:w="0" w:type="dxa"/>
          <w:right w:w="0" w:type="dxa"/>
        </w:tblCellMar>
        <w:tblLook w:val="04A0" w:firstRow="1" w:lastRow="0" w:firstColumn="1" w:lastColumn="0" w:noHBand="0" w:noVBand="1"/>
      </w:tblPr>
      <w:tblGrid>
        <w:gridCol w:w="1087"/>
        <w:gridCol w:w="947"/>
        <w:gridCol w:w="1457"/>
        <w:gridCol w:w="2546"/>
        <w:gridCol w:w="3282"/>
      </w:tblGrid>
      <w:tr w:rsidR="00F5540B" w:rsidRPr="00F5540B" w14:paraId="3D9DB516" w14:textId="77777777">
        <w:trPr>
          <w:cantSplit/>
        </w:trPr>
        <w:tc>
          <w:tcPr>
            <w:tcW w:w="583" w:type="pct"/>
            <w:tcBorders>
              <w:top w:val="single" w:sz="4" w:space="0" w:color="auto"/>
              <w:left w:val="nil"/>
              <w:bottom w:val="single" w:sz="4" w:space="0" w:color="auto"/>
              <w:right w:val="nil"/>
            </w:tcBorders>
            <w:shd w:val="clear" w:color="auto" w:fill="FFFFFF"/>
            <w:hideMark/>
          </w:tcPr>
          <w:p w14:paraId="50C61FDF" w14:textId="77777777" w:rsidR="00F5540B" w:rsidRPr="00F5540B" w:rsidRDefault="00F5540B" w:rsidP="00F5540B">
            <w:pPr>
              <w:suppressAutoHyphens/>
              <w:spacing w:before="120" w:after="120" w:line="360" w:lineRule="auto"/>
              <w:jc w:val="both"/>
              <w:rPr>
                <w:rFonts w:ascii="Times New Roman" w:eastAsia="Calibri" w:hAnsi="Times New Roman" w:cs="Calibri"/>
                <w:b/>
                <w:kern w:val="0"/>
                <w:szCs w:val="22"/>
                <w:lang w:val="en-GB" w:eastAsia="hi-IN" w:bidi="hi-IN"/>
                <w14:ligatures w14:val="none"/>
              </w:rPr>
            </w:pPr>
            <w:r w:rsidRPr="00F5540B">
              <w:rPr>
                <w:rFonts w:ascii="Times New Roman" w:eastAsia="Calibri" w:hAnsi="Times New Roman" w:cs="Calibri"/>
                <w:b/>
                <w:kern w:val="0"/>
                <w:szCs w:val="22"/>
                <w:lang w:val="en-GB" w:eastAsia="hi-IN" w:bidi="hi-IN"/>
                <w14:ligatures w14:val="none"/>
              </w:rPr>
              <w:t>Model</w:t>
            </w:r>
          </w:p>
        </w:tc>
        <w:tc>
          <w:tcPr>
            <w:tcW w:w="508" w:type="pct"/>
            <w:tcBorders>
              <w:top w:val="single" w:sz="4" w:space="0" w:color="auto"/>
              <w:left w:val="nil"/>
              <w:bottom w:val="single" w:sz="4" w:space="0" w:color="auto"/>
              <w:right w:val="nil"/>
            </w:tcBorders>
            <w:shd w:val="clear" w:color="auto" w:fill="FFFFFF"/>
            <w:hideMark/>
          </w:tcPr>
          <w:p w14:paraId="5BC18D9E" w14:textId="77777777" w:rsidR="00F5540B" w:rsidRPr="00F5540B" w:rsidRDefault="00F5540B" w:rsidP="00F5540B">
            <w:pPr>
              <w:suppressAutoHyphens/>
              <w:spacing w:before="120" w:after="120" w:line="360" w:lineRule="auto"/>
              <w:jc w:val="both"/>
              <w:rPr>
                <w:rFonts w:ascii="Times New Roman" w:eastAsia="Calibri" w:hAnsi="Times New Roman" w:cs="Calibri"/>
                <w:b/>
                <w:kern w:val="0"/>
                <w:szCs w:val="22"/>
                <w:lang w:val="en-GB" w:eastAsia="hi-IN" w:bidi="hi-IN"/>
                <w14:ligatures w14:val="none"/>
              </w:rPr>
            </w:pPr>
            <w:r w:rsidRPr="00F5540B">
              <w:rPr>
                <w:rFonts w:ascii="Times New Roman" w:eastAsia="Calibri" w:hAnsi="Times New Roman" w:cs="Calibri"/>
                <w:b/>
                <w:kern w:val="0"/>
                <w:szCs w:val="22"/>
                <w:lang w:val="en-GB" w:eastAsia="hi-IN" w:bidi="hi-IN"/>
                <w14:ligatures w14:val="none"/>
              </w:rPr>
              <w:t>R</w:t>
            </w:r>
          </w:p>
        </w:tc>
        <w:tc>
          <w:tcPr>
            <w:tcW w:w="782" w:type="pct"/>
            <w:tcBorders>
              <w:top w:val="single" w:sz="4" w:space="0" w:color="auto"/>
              <w:left w:val="nil"/>
              <w:bottom w:val="single" w:sz="4" w:space="0" w:color="auto"/>
              <w:right w:val="nil"/>
            </w:tcBorders>
            <w:shd w:val="clear" w:color="auto" w:fill="FFFFFF"/>
            <w:hideMark/>
          </w:tcPr>
          <w:p w14:paraId="2B62DDE9" w14:textId="77777777" w:rsidR="00F5540B" w:rsidRPr="00F5540B" w:rsidRDefault="00F5540B" w:rsidP="00F5540B">
            <w:pPr>
              <w:suppressAutoHyphens/>
              <w:spacing w:before="120" w:after="120" w:line="360" w:lineRule="auto"/>
              <w:jc w:val="both"/>
              <w:rPr>
                <w:rFonts w:ascii="Times New Roman" w:eastAsia="Calibri" w:hAnsi="Times New Roman" w:cs="Calibri"/>
                <w:b/>
                <w:kern w:val="0"/>
                <w:szCs w:val="22"/>
                <w:lang w:val="en-GB" w:eastAsia="hi-IN" w:bidi="hi-IN"/>
                <w14:ligatures w14:val="none"/>
              </w:rPr>
            </w:pPr>
            <w:r w:rsidRPr="00F5540B">
              <w:rPr>
                <w:rFonts w:ascii="Times New Roman" w:eastAsia="Calibri" w:hAnsi="Times New Roman" w:cs="Calibri"/>
                <w:b/>
                <w:kern w:val="0"/>
                <w:szCs w:val="22"/>
                <w:lang w:val="en-GB" w:eastAsia="hi-IN" w:bidi="hi-IN"/>
                <w14:ligatures w14:val="none"/>
              </w:rPr>
              <w:t>R Square</w:t>
            </w:r>
          </w:p>
        </w:tc>
        <w:tc>
          <w:tcPr>
            <w:tcW w:w="1366" w:type="pct"/>
            <w:tcBorders>
              <w:top w:val="single" w:sz="4" w:space="0" w:color="auto"/>
              <w:left w:val="nil"/>
              <w:bottom w:val="single" w:sz="4" w:space="0" w:color="auto"/>
              <w:right w:val="nil"/>
            </w:tcBorders>
            <w:shd w:val="clear" w:color="auto" w:fill="FFFFFF"/>
            <w:hideMark/>
          </w:tcPr>
          <w:p w14:paraId="0AE8029F" w14:textId="77777777" w:rsidR="00F5540B" w:rsidRPr="00F5540B" w:rsidRDefault="00F5540B" w:rsidP="00F5540B">
            <w:pPr>
              <w:suppressAutoHyphens/>
              <w:spacing w:before="120" w:after="120" w:line="360" w:lineRule="auto"/>
              <w:jc w:val="both"/>
              <w:rPr>
                <w:rFonts w:ascii="Times New Roman" w:eastAsia="Calibri" w:hAnsi="Times New Roman" w:cs="Calibri"/>
                <w:b/>
                <w:kern w:val="0"/>
                <w:szCs w:val="22"/>
                <w:lang w:val="en-GB" w:eastAsia="hi-IN" w:bidi="hi-IN"/>
                <w14:ligatures w14:val="none"/>
              </w:rPr>
            </w:pPr>
            <w:r w:rsidRPr="00F5540B">
              <w:rPr>
                <w:rFonts w:ascii="Times New Roman" w:eastAsia="Calibri" w:hAnsi="Times New Roman" w:cs="Calibri"/>
                <w:b/>
                <w:kern w:val="0"/>
                <w:szCs w:val="22"/>
                <w:lang w:val="en-GB" w:eastAsia="hi-IN" w:bidi="hi-IN"/>
                <w14:ligatures w14:val="none"/>
              </w:rPr>
              <w:t>Adjusted R Square</w:t>
            </w:r>
          </w:p>
        </w:tc>
        <w:tc>
          <w:tcPr>
            <w:tcW w:w="1761" w:type="pct"/>
            <w:tcBorders>
              <w:top w:val="single" w:sz="4" w:space="0" w:color="auto"/>
              <w:left w:val="nil"/>
              <w:bottom w:val="single" w:sz="4" w:space="0" w:color="auto"/>
              <w:right w:val="nil"/>
            </w:tcBorders>
            <w:shd w:val="clear" w:color="auto" w:fill="FFFFFF"/>
            <w:hideMark/>
          </w:tcPr>
          <w:p w14:paraId="01B9527A" w14:textId="77777777" w:rsidR="00F5540B" w:rsidRPr="00F5540B" w:rsidRDefault="00F5540B" w:rsidP="00F5540B">
            <w:pPr>
              <w:suppressAutoHyphens/>
              <w:spacing w:before="120" w:after="120" w:line="360" w:lineRule="auto"/>
              <w:jc w:val="both"/>
              <w:rPr>
                <w:rFonts w:ascii="Times New Roman" w:eastAsia="Calibri" w:hAnsi="Times New Roman" w:cs="Calibri"/>
                <w:b/>
                <w:kern w:val="0"/>
                <w:szCs w:val="22"/>
                <w:lang w:val="en-GB" w:eastAsia="hi-IN" w:bidi="hi-IN"/>
                <w14:ligatures w14:val="none"/>
              </w:rPr>
            </w:pPr>
            <w:r w:rsidRPr="00F5540B">
              <w:rPr>
                <w:rFonts w:ascii="Times New Roman" w:eastAsia="Calibri" w:hAnsi="Times New Roman" w:cs="Calibri"/>
                <w:b/>
                <w:kern w:val="0"/>
                <w:szCs w:val="22"/>
                <w:lang w:val="en-GB" w:eastAsia="hi-IN" w:bidi="hi-IN"/>
                <w14:ligatures w14:val="none"/>
              </w:rPr>
              <w:t>Std. Error of the Estimate</w:t>
            </w:r>
          </w:p>
        </w:tc>
      </w:tr>
      <w:tr w:rsidR="00F5540B" w:rsidRPr="00F5540B" w14:paraId="6FBBFD01" w14:textId="77777777">
        <w:trPr>
          <w:cantSplit/>
        </w:trPr>
        <w:tc>
          <w:tcPr>
            <w:tcW w:w="583" w:type="pct"/>
            <w:tcBorders>
              <w:top w:val="single" w:sz="4" w:space="0" w:color="auto"/>
              <w:left w:val="nil"/>
              <w:bottom w:val="single" w:sz="4" w:space="0" w:color="auto"/>
              <w:right w:val="nil"/>
            </w:tcBorders>
            <w:shd w:val="clear" w:color="auto" w:fill="FFFFFF"/>
            <w:vAlign w:val="center"/>
            <w:hideMark/>
          </w:tcPr>
          <w:p w14:paraId="6638F19F" w14:textId="77777777" w:rsidR="00F5540B" w:rsidRPr="00F5540B" w:rsidRDefault="00F5540B" w:rsidP="00F5540B">
            <w:pPr>
              <w:suppressAutoHyphens/>
              <w:spacing w:before="120" w:after="120" w:line="360" w:lineRule="auto"/>
              <w:jc w:val="both"/>
              <w:rPr>
                <w:rFonts w:ascii="Times New Roman" w:eastAsia="Calibri" w:hAnsi="Times New Roman" w:cs="Calibri"/>
                <w:kern w:val="0"/>
                <w:szCs w:val="22"/>
                <w:lang w:val="en-GB" w:eastAsia="hi-IN" w:bidi="hi-IN"/>
                <w14:ligatures w14:val="none"/>
              </w:rPr>
            </w:pPr>
            <w:r w:rsidRPr="00F5540B">
              <w:rPr>
                <w:rFonts w:ascii="Times New Roman" w:eastAsia="Calibri" w:hAnsi="Times New Roman" w:cs="Calibri"/>
                <w:kern w:val="0"/>
                <w:szCs w:val="22"/>
                <w:lang w:val="en-GB" w:eastAsia="hi-IN" w:bidi="hi-IN"/>
                <w14:ligatures w14:val="none"/>
              </w:rPr>
              <w:t>1</w:t>
            </w:r>
          </w:p>
        </w:tc>
        <w:tc>
          <w:tcPr>
            <w:tcW w:w="508" w:type="pct"/>
            <w:tcBorders>
              <w:top w:val="single" w:sz="4" w:space="0" w:color="auto"/>
              <w:left w:val="nil"/>
              <w:bottom w:val="single" w:sz="4" w:space="0" w:color="auto"/>
              <w:right w:val="nil"/>
            </w:tcBorders>
            <w:shd w:val="clear" w:color="auto" w:fill="FFFFFF"/>
            <w:hideMark/>
          </w:tcPr>
          <w:p w14:paraId="319A4F6F" w14:textId="77777777" w:rsidR="00F5540B" w:rsidRPr="00F5540B" w:rsidRDefault="00F5540B" w:rsidP="00F5540B">
            <w:pPr>
              <w:suppressAutoHyphens/>
              <w:spacing w:before="120" w:after="120" w:line="360" w:lineRule="auto"/>
              <w:jc w:val="both"/>
              <w:rPr>
                <w:rFonts w:ascii="Times New Roman" w:eastAsia="Calibri" w:hAnsi="Times New Roman" w:cs="Calibri"/>
                <w:kern w:val="0"/>
                <w:szCs w:val="22"/>
                <w:lang w:val="en-GB" w:eastAsia="hi-IN" w:bidi="hi-IN"/>
                <w14:ligatures w14:val="none"/>
              </w:rPr>
            </w:pPr>
            <w:r w:rsidRPr="00F5540B">
              <w:rPr>
                <w:rFonts w:ascii="Times New Roman" w:eastAsia="Calibri" w:hAnsi="Times New Roman" w:cs="Calibri"/>
                <w:kern w:val="0"/>
                <w:szCs w:val="22"/>
                <w:lang w:val="en-GB" w:eastAsia="hi-IN" w:bidi="hi-IN"/>
                <w14:ligatures w14:val="none"/>
              </w:rPr>
              <w:t>.842</w:t>
            </w:r>
          </w:p>
        </w:tc>
        <w:tc>
          <w:tcPr>
            <w:tcW w:w="782" w:type="pct"/>
            <w:tcBorders>
              <w:top w:val="single" w:sz="4" w:space="0" w:color="auto"/>
              <w:left w:val="nil"/>
              <w:bottom w:val="single" w:sz="4" w:space="0" w:color="auto"/>
              <w:right w:val="nil"/>
            </w:tcBorders>
            <w:shd w:val="clear" w:color="auto" w:fill="FFFFFF"/>
            <w:hideMark/>
          </w:tcPr>
          <w:p w14:paraId="07E613AB" w14:textId="77777777" w:rsidR="00F5540B" w:rsidRPr="00F5540B" w:rsidRDefault="00F5540B" w:rsidP="00F5540B">
            <w:pPr>
              <w:suppressAutoHyphens/>
              <w:spacing w:before="120" w:after="120" w:line="360" w:lineRule="auto"/>
              <w:jc w:val="both"/>
              <w:rPr>
                <w:rFonts w:ascii="Times New Roman" w:eastAsia="Calibri" w:hAnsi="Times New Roman" w:cs="Calibri"/>
                <w:kern w:val="0"/>
                <w:szCs w:val="22"/>
                <w:lang w:val="en-GB" w:eastAsia="hi-IN" w:bidi="hi-IN"/>
                <w14:ligatures w14:val="none"/>
              </w:rPr>
            </w:pPr>
            <w:r w:rsidRPr="00F5540B">
              <w:rPr>
                <w:rFonts w:ascii="Times New Roman" w:eastAsia="Calibri" w:hAnsi="Times New Roman" w:cs="Calibri"/>
                <w:kern w:val="0"/>
                <w:szCs w:val="22"/>
                <w:lang w:val="en-GB" w:eastAsia="hi-IN" w:bidi="hi-IN"/>
                <w14:ligatures w14:val="none"/>
              </w:rPr>
              <w:t>.709</w:t>
            </w:r>
          </w:p>
        </w:tc>
        <w:tc>
          <w:tcPr>
            <w:tcW w:w="1366" w:type="pct"/>
            <w:tcBorders>
              <w:top w:val="single" w:sz="4" w:space="0" w:color="auto"/>
              <w:left w:val="nil"/>
              <w:bottom w:val="single" w:sz="4" w:space="0" w:color="auto"/>
              <w:right w:val="nil"/>
            </w:tcBorders>
            <w:shd w:val="clear" w:color="auto" w:fill="FFFFFF"/>
            <w:hideMark/>
          </w:tcPr>
          <w:p w14:paraId="208D3F65" w14:textId="77777777" w:rsidR="00F5540B" w:rsidRPr="00F5540B" w:rsidRDefault="00F5540B" w:rsidP="00F5540B">
            <w:pPr>
              <w:suppressAutoHyphens/>
              <w:spacing w:before="120" w:after="120" w:line="360" w:lineRule="auto"/>
              <w:jc w:val="both"/>
              <w:rPr>
                <w:rFonts w:ascii="Times New Roman" w:eastAsia="Calibri" w:hAnsi="Times New Roman" w:cs="Calibri"/>
                <w:kern w:val="0"/>
                <w:szCs w:val="22"/>
                <w:lang w:val="en-GB" w:eastAsia="hi-IN" w:bidi="hi-IN"/>
                <w14:ligatures w14:val="none"/>
              </w:rPr>
            </w:pPr>
            <w:r w:rsidRPr="00F5540B">
              <w:rPr>
                <w:rFonts w:ascii="Times New Roman" w:eastAsia="Calibri" w:hAnsi="Times New Roman" w:cs="Calibri"/>
                <w:kern w:val="0"/>
                <w:szCs w:val="22"/>
                <w:lang w:val="en-GB" w:eastAsia="hi-IN" w:bidi="hi-IN"/>
                <w14:ligatures w14:val="none"/>
              </w:rPr>
              <w:t>.703</w:t>
            </w:r>
          </w:p>
        </w:tc>
        <w:tc>
          <w:tcPr>
            <w:tcW w:w="1761" w:type="pct"/>
            <w:tcBorders>
              <w:top w:val="single" w:sz="4" w:space="0" w:color="auto"/>
              <w:left w:val="nil"/>
              <w:bottom w:val="single" w:sz="4" w:space="0" w:color="auto"/>
              <w:right w:val="nil"/>
            </w:tcBorders>
            <w:shd w:val="clear" w:color="auto" w:fill="FFFFFF"/>
            <w:hideMark/>
          </w:tcPr>
          <w:p w14:paraId="65C5C8FA" w14:textId="77777777" w:rsidR="00F5540B" w:rsidRPr="00F5540B" w:rsidRDefault="00F5540B" w:rsidP="00F5540B">
            <w:pPr>
              <w:suppressAutoHyphens/>
              <w:spacing w:before="120" w:after="120" w:line="360" w:lineRule="auto"/>
              <w:jc w:val="both"/>
              <w:rPr>
                <w:rFonts w:ascii="Times New Roman" w:eastAsia="Calibri" w:hAnsi="Times New Roman" w:cs="Calibri"/>
                <w:kern w:val="0"/>
                <w:szCs w:val="22"/>
                <w:lang w:val="en-GB" w:eastAsia="hi-IN" w:bidi="hi-IN"/>
                <w14:ligatures w14:val="none"/>
              </w:rPr>
            </w:pPr>
            <w:r w:rsidRPr="00F5540B">
              <w:rPr>
                <w:rFonts w:ascii="Times New Roman" w:eastAsia="Calibri" w:hAnsi="Times New Roman" w:cs="Calibri"/>
                <w:kern w:val="0"/>
                <w:szCs w:val="22"/>
                <w:lang w:val="en-GB" w:eastAsia="hi-IN" w:bidi="hi-IN"/>
                <w14:ligatures w14:val="none"/>
              </w:rPr>
              <w:t>.412</w:t>
            </w:r>
          </w:p>
        </w:tc>
      </w:tr>
    </w:tbl>
    <w:p w14:paraId="2680FA99" w14:textId="77777777" w:rsidR="00F5540B" w:rsidRDefault="00F5540B" w:rsidP="009C7DC2">
      <w:pPr>
        <w:suppressAutoHyphens/>
        <w:spacing w:before="120" w:after="120" w:line="360" w:lineRule="auto"/>
        <w:jc w:val="both"/>
        <w:rPr>
          <w:rFonts w:ascii="Times New Roman" w:eastAsia="Calibri" w:hAnsi="Times New Roman" w:cs="Calibri"/>
          <w:kern w:val="0"/>
          <w:szCs w:val="22"/>
          <w:lang w:val="en-GB" w:eastAsia="hi-IN" w:bidi="hi-IN"/>
          <w14:ligatures w14:val="none"/>
        </w:rPr>
      </w:pPr>
    </w:p>
    <w:p w14:paraId="79EADA48" w14:textId="4FC13296" w:rsidR="009C7DC2" w:rsidRDefault="009C7DC2" w:rsidP="009C7DC2">
      <w:pPr>
        <w:suppressAutoHyphens/>
        <w:spacing w:before="120" w:after="120" w:line="360" w:lineRule="auto"/>
        <w:jc w:val="both"/>
        <w:rPr>
          <w:rFonts w:ascii="Times New Roman" w:eastAsia="Calibri" w:hAnsi="Times New Roman" w:cs="Calibri"/>
          <w:kern w:val="0"/>
          <w:szCs w:val="22"/>
          <w14:ligatures w14:val="none"/>
        </w:rPr>
      </w:pPr>
      <w:r>
        <w:rPr>
          <w:rFonts w:ascii="Times New Roman" w:eastAsia="Calibri" w:hAnsi="Times New Roman" w:cs="Calibri"/>
          <w:kern w:val="0"/>
          <w:szCs w:val="22"/>
          <w:lang w:val="en-GB" w:eastAsia="hi-IN" w:bidi="hi-IN"/>
          <w14:ligatures w14:val="none"/>
        </w:rPr>
        <w:t>T</w:t>
      </w:r>
      <w:r w:rsidRPr="009C7DC2">
        <w:rPr>
          <w:rFonts w:ascii="Times New Roman" w:eastAsia="Calibri" w:hAnsi="Times New Roman" w:cs="Calibri"/>
          <w:kern w:val="0"/>
          <w:szCs w:val="22"/>
          <w:lang w:val="en-GB" w:eastAsia="hi-IN" w:bidi="hi-IN"/>
          <w14:ligatures w14:val="none"/>
        </w:rPr>
        <w:t>he results</w:t>
      </w:r>
      <w:r w:rsidR="003159DC">
        <w:rPr>
          <w:rFonts w:ascii="Times New Roman" w:eastAsia="Calibri" w:hAnsi="Times New Roman" w:cs="Calibri"/>
          <w:kern w:val="0"/>
          <w:szCs w:val="22"/>
          <w:lang w:val="en-GB" w:eastAsia="hi-IN" w:bidi="hi-IN"/>
          <w14:ligatures w14:val="none"/>
        </w:rPr>
        <w:t xml:space="preserve"> in Table </w:t>
      </w:r>
      <w:r w:rsidR="00C43173">
        <w:rPr>
          <w:rFonts w:ascii="Times New Roman" w:eastAsia="Calibri" w:hAnsi="Times New Roman" w:cs="Calibri"/>
          <w:kern w:val="0"/>
          <w:szCs w:val="22"/>
          <w:lang w:val="en-GB" w:eastAsia="hi-IN" w:bidi="hi-IN"/>
          <w14:ligatures w14:val="none"/>
        </w:rPr>
        <w:t>4</w:t>
      </w:r>
      <w:r w:rsidRPr="009C7DC2">
        <w:rPr>
          <w:rFonts w:ascii="Times New Roman" w:eastAsia="Calibri" w:hAnsi="Times New Roman" w:cs="Calibri"/>
          <w:kern w:val="0"/>
          <w:szCs w:val="22"/>
          <w:lang w:val="en-GB" w:eastAsia="hi-IN" w:bidi="hi-IN"/>
          <w14:ligatures w14:val="none"/>
        </w:rPr>
        <w:t xml:space="preserve"> revealed that capacity building has a significant effect on women’s political participation in Nairobi City County, Kenya β1=0.276, p value= 0.000). The relationship was considered significant since the p value 0.000 was less than the significant level of 0.05. These findings align with studies conducted by Nzomo (202</w:t>
      </w:r>
      <w:r w:rsidR="00471577">
        <w:rPr>
          <w:rFonts w:ascii="Times New Roman" w:eastAsia="Calibri" w:hAnsi="Times New Roman" w:cs="Calibri"/>
          <w:kern w:val="0"/>
          <w:szCs w:val="22"/>
          <w:lang w:val="en-GB" w:eastAsia="hi-IN" w:bidi="hi-IN"/>
          <w14:ligatures w14:val="none"/>
        </w:rPr>
        <w:t>1</w:t>
      </w:r>
      <w:r w:rsidRPr="009C7DC2">
        <w:rPr>
          <w:rFonts w:ascii="Times New Roman" w:eastAsia="Calibri" w:hAnsi="Times New Roman" w:cs="Calibri"/>
          <w:kern w:val="0"/>
          <w:szCs w:val="22"/>
          <w:lang w:val="en-GB" w:eastAsia="hi-IN" w:bidi="hi-IN"/>
          <w14:ligatures w14:val="none"/>
        </w:rPr>
        <w:t xml:space="preserve">) and </w:t>
      </w:r>
      <w:r w:rsidR="00507280">
        <w:rPr>
          <w:rFonts w:ascii="Times New Roman" w:eastAsia="Calibri" w:hAnsi="Times New Roman" w:cs="Calibri"/>
          <w:kern w:val="0"/>
          <w:szCs w:val="22"/>
          <w:lang w:val="en-GB" w:eastAsia="hi-IN" w:bidi="hi-IN"/>
          <w14:ligatures w14:val="none"/>
        </w:rPr>
        <w:t xml:space="preserve">Ugwu </w:t>
      </w:r>
      <w:r w:rsidR="00507280" w:rsidRPr="00507280">
        <w:rPr>
          <w:rFonts w:ascii="Times New Roman" w:eastAsia="Calibri" w:hAnsi="Times New Roman" w:cs="Calibri"/>
          <w:i/>
          <w:iCs/>
          <w:kern w:val="0"/>
          <w:szCs w:val="22"/>
          <w:lang w:val="en-GB" w:eastAsia="hi-IN" w:bidi="hi-IN"/>
          <w14:ligatures w14:val="none"/>
        </w:rPr>
        <w:t>et al.,</w:t>
      </w:r>
      <w:r w:rsidRPr="009C7DC2">
        <w:rPr>
          <w:rFonts w:ascii="Times New Roman" w:eastAsia="Calibri" w:hAnsi="Times New Roman" w:cs="Calibri"/>
          <w:kern w:val="0"/>
          <w:szCs w:val="22"/>
          <w:lang w:val="en-GB" w:eastAsia="hi-IN" w:bidi="hi-IN"/>
          <w14:ligatures w14:val="none"/>
        </w:rPr>
        <w:t xml:space="preserve"> (202</w:t>
      </w:r>
      <w:r w:rsidR="00507280">
        <w:rPr>
          <w:rFonts w:ascii="Times New Roman" w:eastAsia="Calibri" w:hAnsi="Times New Roman" w:cs="Calibri"/>
          <w:kern w:val="0"/>
          <w:szCs w:val="22"/>
          <w:lang w:val="en-GB" w:eastAsia="hi-IN" w:bidi="hi-IN"/>
          <w14:ligatures w14:val="none"/>
        </w:rPr>
        <w:t>3</w:t>
      </w:r>
      <w:r w:rsidRPr="009C7DC2">
        <w:rPr>
          <w:rFonts w:ascii="Times New Roman" w:eastAsia="Calibri" w:hAnsi="Times New Roman" w:cs="Calibri"/>
          <w:kern w:val="0"/>
          <w:szCs w:val="22"/>
          <w:lang w:val="en-GB" w:eastAsia="hi-IN" w:bidi="hi-IN"/>
          <w14:ligatures w14:val="none"/>
        </w:rPr>
        <w:t xml:space="preserve">). In Kenya, Women Empowerment Link </w:t>
      </w:r>
      <w:r w:rsidRPr="009C7DC2">
        <w:rPr>
          <w:rFonts w:ascii="Times New Roman" w:eastAsia="Calibri" w:hAnsi="Times New Roman" w:cs="Calibri"/>
          <w:kern w:val="0"/>
          <w:szCs w:val="22"/>
          <w14:ligatures w14:val="none"/>
        </w:rPr>
        <w:t>provides leadership and campaign training to aspiring female leaders while FIDA Kenya offers political mentorship to guide women into navigating the political terrains and establishing political networks.</w:t>
      </w:r>
    </w:p>
    <w:p w14:paraId="366B6060" w14:textId="61E15DD8" w:rsidR="008C2B99" w:rsidRDefault="00F2663C" w:rsidP="009C7DC2">
      <w:pPr>
        <w:suppressAutoHyphens/>
        <w:spacing w:before="120" w:after="120" w:line="360" w:lineRule="auto"/>
        <w:jc w:val="both"/>
        <w:rPr>
          <w:rFonts w:ascii="Times New Roman" w:eastAsia="Calibri" w:hAnsi="Times New Roman" w:cs="Calibri"/>
          <w:kern w:val="0"/>
          <w:szCs w:val="22"/>
          <w14:ligatures w14:val="none"/>
        </w:rPr>
      </w:pPr>
      <w:r>
        <w:rPr>
          <w:rFonts w:ascii="Times New Roman" w:eastAsia="Calibri" w:hAnsi="Times New Roman" w:cs="Calibri"/>
          <w:kern w:val="0"/>
          <w:szCs w:val="22"/>
          <w14:ligatures w14:val="none"/>
        </w:rPr>
        <w:t xml:space="preserve">The statistical model for these being </w:t>
      </w:r>
      <w:r w:rsidR="009D39ED">
        <w:rPr>
          <w:rFonts w:ascii="Times New Roman" w:eastAsia="Calibri" w:hAnsi="Times New Roman" w:cs="Calibri"/>
          <w:kern w:val="0"/>
          <w:szCs w:val="22"/>
          <w14:ligatures w14:val="none"/>
        </w:rPr>
        <w:t xml:space="preserve">  Y=</w:t>
      </w:r>
      <w:r w:rsidR="003130AC">
        <w:rPr>
          <w:rFonts w:ascii="Times New Roman" w:eastAsia="Calibri" w:hAnsi="Times New Roman" w:cs="Calibri"/>
          <w:kern w:val="0"/>
          <w:szCs w:val="22"/>
          <w14:ligatures w14:val="none"/>
        </w:rPr>
        <w:t xml:space="preserve">  0.275 + </w:t>
      </w:r>
      <w:r w:rsidR="009D39ED">
        <w:rPr>
          <w:rFonts w:ascii="Times New Roman" w:eastAsia="Calibri" w:hAnsi="Times New Roman" w:cs="Calibri"/>
          <w:kern w:val="0"/>
          <w:szCs w:val="22"/>
          <w14:ligatures w14:val="none"/>
        </w:rPr>
        <w:t>0.276</w:t>
      </w:r>
      <w:r w:rsidR="0031274D">
        <w:rPr>
          <w:rFonts w:ascii="Times New Roman" w:eastAsia="Calibri" w:hAnsi="Times New Roman" w:cs="Calibri"/>
          <w:kern w:val="0"/>
          <w:szCs w:val="22"/>
          <w14:ligatures w14:val="none"/>
        </w:rPr>
        <w:t>X</w:t>
      </w:r>
      <w:r w:rsidR="003130AC" w:rsidRPr="003130AC">
        <w:rPr>
          <w:rFonts w:ascii="Times New Roman" w:eastAsia="Calibri" w:hAnsi="Times New Roman" w:cs="Calibri"/>
          <w:kern w:val="0"/>
          <w:szCs w:val="22"/>
          <w:lang w:val="en-GB" w:eastAsia="hi-IN" w:bidi="hi-IN"/>
          <w14:ligatures w14:val="none"/>
        </w:rPr>
        <w:t xml:space="preserve"> </w:t>
      </w:r>
      <w:r w:rsidR="003130AC" w:rsidRPr="009C7DC2">
        <w:rPr>
          <w:rFonts w:ascii="Times New Roman" w:eastAsia="Calibri" w:hAnsi="Times New Roman" w:cs="Calibri"/>
          <w:kern w:val="0"/>
          <w:szCs w:val="22"/>
          <w:lang w:val="en-GB" w:eastAsia="hi-IN" w:bidi="hi-IN"/>
          <w14:ligatures w14:val="none"/>
        </w:rPr>
        <w:t>β</w:t>
      </w:r>
      <w:r w:rsidR="003130AC" w:rsidRPr="003130AC">
        <w:rPr>
          <w:rFonts w:ascii="Times New Roman" w:eastAsia="Calibri" w:hAnsi="Times New Roman" w:cs="Calibri"/>
          <w:kern w:val="0"/>
          <w:szCs w:val="22"/>
          <w:vertAlign w:val="subscript"/>
          <w:lang w:val="en-GB" w:eastAsia="hi-IN" w:bidi="hi-IN"/>
          <w14:ligatures w14:val="none"/>
        </w:rPr>
        <w:t>1</w:t>
      </w:r>
      <w:r w:rsidR="009D39ED">
        <w:rPr>
          <w:rFonts w:ascii="Times New Roman" w:eastAsia="Calibri" w:hAnsi="Times New Roman" w:cs="Calibri"/>
          <w:kern w:val="0"/>
          <w:szCs w:val="22"/>
          <w14:ligatures w14:val="none"/>
        </w:rPr>
        <w:t xml:space="preserve"> </w:t>
      </w:r>
      <w:r w:rsidR="0031274D">
        <w:rPr>
          <w:rFonts w:ascii="Times New Roman" w:eastAsia="Calibri" w:hAnsi="Times New Roman" w:cs="Calibri"/>
          <w:kern w:val="0"/>
          <w:szCs w:val="22"/>
          <w14:ligatures w14:val="none"/>
        </w:rPr>
        <w:t>–</w:t>
      </w:r>
      <w:r w:rsidR="003634C0">
        <w:rPr>
          <w:rFonts w:ascii="Times New Roman" w:eastAsia="Calibri" w:hAnsi="Times New Roman" w:cs="Calibri"/>
          <w:kern w:val="0"/>
          <w:szCs w:val="22"/>
          <w14:ligatures w14:val="none"/>
        </w:rPr>
        <w:t xml:space="preserve"> </w:t>
      </w:r>
      <w:r w:rsidR="0031274D">
        <w:rPr>
          <w:rFonts w:ascii="Times New Roman" w:eastAsia="Calibri" w:hAnsi="Times New Roman" w:cs="Calibri"/>
          <w:kern w:val="0"/>
          <w:szCs w:val="22"/>
          <w14:ligatures w14:val="none"/>
        </w:rPr>
        <w:t xml:space="preserve">meaning that: </w:t>
      </w:r>
      <w:r w:rsidR="0031274D" w:rsidRPr="0031274D">
        <w:rPr>
          <w:rFonts w:ascii="Times New Roman" w:eastAsia="Calibri" w:hAnsi="Times New Roman" w:cs="Calibri"/>
          <w:kern w:val="0"/>
          <w:szCs w:val="22"/>
          <w14:ligatures w14:val="none"/>
        </w:rPr>
        <w:t>On average, a one‑unit increase in X</w:t>
      </w:r>
      <w:r w:rsidR="00A55714">
        <w:rPr>
          <w:rFonts w:ascii="Times New Roman" w:eastAsia="Calibri" w:hAnsi="Times New Roman" w:cs="Calibri"/>
          <w:kern w:val="0"/>
          <w:szCs w:val="22"/>
          <w14:ligatures w14:val="none"/>
        </w:rPr>
        <w:t xml:space="preserve">-(Capacity </w:t>
      </w:r>
      <w:r w:rsidR="00FC25CE">
        <w:rPr>
          <w:rFonts w:ascii="Times New Roman" w:eastAsia="Calibri" w:hAnsi="Times New Roman" w:cs="Calibri"/>
          <w:kern w:val="0"/>
          <w:szCs w:val="22"/>
          <w14:ligatures w14:val="none"/>
        </w:rPr>
        <w:t>Building</w:t>
      </w:r>
      <w:r w:rsidR="00A55714">
        <w:rPr>
          <w:rFonts w:ascii="Times New Roman" w:eastAsia="Calibri" w:hAnsi="Times New Roman" w:cs="Calibri"/>
          <w:kern w:val="0"/>
          <w:szCs w:val="22"/>
          <w14:ligatures w14:val="none"/>
        </w:rPr>
        <w:t>)</w:t>
      </w:r>
      <w:r w:rsidR="0031274D" w:rsidRPr="0031274D">
        <w:rPr>
          <w:rFonts w:ascii="Times New Roman" w:eastAsia="Calibri" w:hAnsi="Times New Roman" w:cs="Calibri"/>
          <w:kern w:val="0"/>
          <w:szCs w:val="22"/>
          <w14:ligatures w14:val="none"/>
        </w:rPr>
        <w:t xml:space="preserve"> is associated with a 0.276 increase in Y</w:t>
      </w:r>
      <w:r w:rsidR="00FC25CE">
        <w:rPr>
          <w:rFonts w:ascii="Times New Roman" w:eastAsia="Calibri" w:hAnsi="Times New Roman" w:cs="Calibri"/>
          <w:kern w:val="0"/>
          <w:szCs w:val="22"/>
          <w14:ligatures w14:val="none"/>
        </w:rPr>
        <w:t>-</w:t>
      </w:r>
      <w:r w:rsidR="000A5C64" w:rsidRPr="000A5C64">
        <w:rPr>
          <w:rFonts w:ascii="Times New Roman" w:hAnsi="Times New Roman" w:cs="Times New Roman"/>
          <w:b/>
          <w:bCs/>
          <w:shd w:val="clear" w:color="auto" w:fill="FFFFFF"/>
        </w:rPr>
        <w:t xml:space="preserve"> </w:t>
      </w:r>
      <w:r w:rsidR="000A5C64" w:rsidRPr="000A5C64">
        <w:rPr>
          <w:rFonts w:ascii="Times New Roman" w:hAnsi="Times New Roman" w:cs="Times New Roman"/>
          <w:shd w:val="clear" w:color="auto" w:fill="FFFFFF"/>
        </w:rPr>
        <w:t xml:space="preserve">Women’s </w:t>
      </w:r>
      <w:r w:rsidR="000A5C64" w:rsidRPr="000A5C64">
        <w:rPr>
          <w:rFonts w:ascii="Times New Roman" w:hAnsi="Times New Roman" w:cs="Times New Roman"/>
          <w:shd w:val="clear" w:color="auto" w:fill="FFFFFF"/>
        </w:rPr>
        <w:lastRenderedPageBreak/>
        <w:t>Political Participation</w:t>
      </w:r>
      <w:r w:rsidR="000A5C64" w:rsidRPr="0031274D">
        <w:rPr>
          <w:rFonts w:ascii="Times New Roman" w:eastAsia="Calibri" w:hAnsi="Times New Roman" w:cs="Calibri"/>
          <w:kern w:val="0"/>
          <w:szCs w:val="22"/>
          <w14:ligatures w14:val="none"/>
        </w:rPr>
        <w:t xml:space="preserve"> </w:t>
      </w:r>
      <w:r w:rsidR="0031274D" w:rsidRPr="0031274D">
        <w:rPr>
          <w:rFonts w:ascii="Times New Roman" w:eastAsia="Calibri" w:hAnsi="Times New Roman" w:cs="Calibri"/>
          <w:kern w:val="0"/>
          <w:szCs w:val="22"/>
          <w14:ligatures w14:val="none"/>
        </w:rPr>
        <w:t>with 0.275 being the expected value of Y</w:t>
      </w:r>
      <w:r w:rsidR="000A5C64">
        <w:rPr>
          <w:rFonts w:ascii="Times New Roman" w:eastAsia="Calibri" w:hAnsi="Times New Roman" w:cs="Calibri"/>
          <w:kern w:val="0"/>
          <w:szCs w:val="22"/>
          <w14:ligatures w14:val="none"/>
        </w:rPr>
        <w:t xml:space="preserve">- </w:t>
      </w:r>
      <w:r w:rsidR="000A5C64" w:rsidRPr="000A5C64">
        <w:rPr>
          <w:rFonts w:ascii="Times New Roman" w:hAnsi="Times New Roman" w:cs="Times New Roman"/>
          <w:shd w:val="clear" w:color="auto" w:fill="FFFFFF"/>
        </w:rPr>
        <w:t>Women’s Political Participation</w:t>
      </w:r>
      <w:r w:rsidR="0031274D" w:rsidRPr="0031274D">
        <w:rPr>
          <w:rFonts w:ascii="Times New Roman" w:eastAsia="Calibri" w:hAnsi="Times New Roman" w:cs="Calibri"/>
          <w:kern w:val="0"/>
          <w:szCs w:val="22"/>
          <w14:ligatures w14:val="none"/>
        </w:rPr>
        <w:t xml:space="preserve"> when X=0.</w:t>
      </w:r>
    </w:p>
    <w:p w14:paraId="498EA32C" w14:textId="46DE5393" w:rsidR="00AB5AB2" w:rsidRDefault="00AB5AB2" w:rsidP="00AB5AB2">
      <w:pPr>
        <w:suppressAutoHyphens/>
        <w:spacing w:before="120" w:after="120" w:line="360" w:lineRule="auto"/>
        <w:jc w:val="both"/>
        <w:rPr>
          <w:rFonts w:ascii="Times New Roman" w:eastAsia="Calibri" w:hAnsi="Times New Roman" w:cs="Calibri"/>
          <w:kern w:val="0"/>
          <w:szCs w:val="22"/>
          <w:lang w:val="en-GB"/>
          <w14:ligatures w14:val="none"/>
        </w:rPr>
      </w:pPr>
      <w:r w:rsidRPr="00AB5AB2">
        <w:rPr>
          <w:rFonts w:ascii="Times New Roman" w:eastAsia="Calibri" w:hAnsi="Times New Roman" w:cs="Calibri"/>
          <w:kern w:val="0"/>
          <w:szCs w:val="22"/>
          <w:lang w:val="en-GB"/>
          <w14:ligatures w14:val="none"/>
        </w:rPr>
        <w:t xml:space="preserve">The ANOVA </w:t>
      </w:r>
      <w:r w:rsidR="003159DC">
        <w:rPr>
          <w:rFonts w:ascii="Times New Roman" w:eastAsia="Calibri" w:hAnsi="Times New Roman" w:cs="Calibri"/>
          <w:kern w:val="0"/>
          <w:szCs w:val="22"/>
          <w:lang w:val="en-GB"/>
          <w14:ligatures w14:val="none"/>
        </w:rPr>
        <w:t xml:space="preserve">in Table </w:t>
      </w:r>
      <w:r w:rsidR="00C43173">
        <w:rPr>
          <w:rFonts w:ascii="Times New Roman" w:eastAsia="Calibri" w:hAnsi="Times New Roman" w:cs="Calibri"/>
          <w:kern w:val="0"/>
          <w:szCs w:val="22"/>
          <w:lang w:val="en-GB"/>
          <w14:ligatures w14:val="none"/>
        </w:rPr>
        <w:t>5</w:t>
      </w:r>
      <w:r w:rsidR="003159DC">
        <w:rPr>
          <w:rFonts w:ascii="Times New Roman" w:eastAsia="Calibri" w:hAnsi="Times New Roman" w:cs="Calibri"/>
          <w:kern w:val="0"/>
          <w:szCs w:val="22"/>
          <w:lang w:val="en-GB"/>
          <w14:ligatures w14:val="none"/>
        </w:rPr>
        <w:t xml:space="preserve"> </w:t>
      </w:r>
      <w:r w:rsidRPr="00AB5AB2">
        <w:rPr>
          <w:rFonts w:ascii="Times New Roman" w:eastAsia="Calibri" w:hAnsi="Times New Roman" w:cs="Calibri"/>
          <w:kern w:val="0"/>
          <w:szCs w:val="22"/>
          <w:lang w:val="en-GB"/>
          <w14:ligatures w14:val="none"/>
        </w:rPr>
        <w:t>was used to determine whether the model was a good fit for the data. Since the F statistic was 141.37 and the p value was 0.000 which is less than 0.05, the model was considered as a good fit for the data. The regression sum of squares (96.42) is much larger than the residual sum of squares (39.69), implying that most of the variability in participation is accounted for by the CSO social inclusion strategy variable rather than unexplained error. Therefore, the model can be used to predict the influence of capacity building on women’s political participation in Nairobi City County, Kenya.</w:t>
      </w:r>
    </w:p>
    <w:p w14:paraId="4BFE8DA6" w14:textId="17D896D3" w:rsidR="00471577" w:rsidRDefault="00AB5AB2" w:rsidP="009C7DC2">
      <w:pPr>
        <w:suppressAutoHyphens/>
        <w:spacing w:before="120" w:after="120" w:line="360" w:lineRule="auto"/>
        <w:jc w:val="both"/>
        <w:rPr>
          <w:rFonts w:ascii="Times New Roman" w:eastAsia="Calibri" w:hAnsi="Times New Roman" w:cs="Calibri"/>
          <w:b/>
          <w:bCs/>
          <w:kern w:val="0"/>
          <w:szCs w:val="22"/>
          <w14:ligatures w14:val="none"/>
        </w:rPr>
      </w:pPr>
      <w:r>
        <w:rPr>
          <w:rFonts w:ascii="Times New Roman" w:eastAsia="Calibri" w:hAnsi="Times New Roman" w:cs="Calibri"/>
          <w:kern w:val="0"/>
          <w:szCs w:val="22"/>
          <w:lang w:val="en-GB"/>
          <w14:ligatures w14:val="none"/>
        </w:rPr>
        <w:t xml:space="preserve"> </w:t>
      </w:r>
      <w:r w:rsidRPr="00AB5AB2">
        <w:rPr>
          <w:rFonts w:ascii="Times New Roman" w:eastAsia="Calibri" w:hAnsi="Times New Roman" w:cs="Calibri"/>
          <w:kern w:val="0"/>
          <w:szCs w:val="22"/>
          <w:lang w:val="en-GB"/>
          <w14:ligatures w14:val="none"/>
        </w:rPr>
        <w:t>The model summary</w:t>
      </w:r>
      <w:r w:rsidR="003159DC">
        <w:rPr>
          <w:rFonts w:ascii="Times New Roman" w:eastAsia="Calibri" w:hAnsi="Times New Roman" w:cs="Calibri"/>
          <w:kern w:val="0"/>
          <w:szCs w:val="22"/>
          <w:lang w:val="en-GB"/>
          <w14:ligatures w14:val="none"/>
        </w:rPr>
        <w:t xml:space="preserve"> in Table </w:t>
      </w:r>
      <w:r w:rsidR="00C43173">
        <w:rPr>
          <w:rFonts w:ascii="Times New Roman" w:eastAsia="Calibri" w:hAnsi="Times New Roman" w:cs="Calibri"/>
          <w:kern w:val="0"/>
          <w:szCs w:val="22"/>
          <w:lang w:val="en-GB"/>
          <w14:ligatures w14:val="none"/>
        </w:rPr>
        <w:t>6</w:t>
      </w:r>
      <w:r w:rsidRPr="00AB5AB2">
        <w:rPr>
          <w:rFonts w:ascii="Times New Roman" w:eastAsia="Calibri" w:hAnsi="Times New Roman" w:cs="Calibri"/>
          <w:kern w:val="0"/>
          <w:szCs w:val="22"/>
          <w:lang w:val="en-GB"/>
          <w14:ligatures w14:val="none"/>
        </w:rPr>
        <w:t xml:space="preserve"> was used to explain the variation in the dependent variable that could be explained by the independent variables. An R value of 0.842 shows a strong positive linear relationship between capacity building</w:t>
      </w:r>
      <w:r>
        <w:rPr>
          <w:rFonts w:ascii="Times New Roman" w:eastAsia="Calibri" w:hAnsi="Times New Roman" w:cs="Calibri"/>
          <w:kern w:val="0"/>
          <w:szCs w:val="22"/>
          <w:lang w:val="en-GB"/>
          <w14:ligatures w14:val="none"/>
        </w:rPr>
        <w:t xml:space="preserve"> </w:t>
      </w:r>
      <w:r w:rsidRPr="00AB5AB2">
        <w:rPr>
          <w:rFonts w:ascii="Times New Roman" w:eastAsia="Calibri" w:hAnsi="Times New Roman" w:cs="Calibri"/>
          <w:kern w:val="0"/>
          <w:szCs w:val="22"/>
          <w:lang w:val="en-GB"/>
          <w14:ligatures w14:val="none"/>
        </w:rPr>
        <w:t>and the women’s political participation factor score. The r-square for the relationship between the independent variable and the dependent variable was 0.709. This implied that 70.9% of the variation in the dependent variable (women’s political participation in Nairobi City County, Kenya) could be explained by independent</w:t>
      </w:r>
      <w:r>
        <w:rPr>
          <w:rFonts w:ascii="Times New Roman" w:eastAsia="Calibri" w:hAnsi="Times New Roman" w:cs="Calibri"/>
          <w:kern w:val="0"/>
          <w:szCs w:val="22"/>
          <w:lang w:val="en-GB"/>
          <w14:ligatures w14:val="none"/>
        </w:rPr>
        <w:t xml:space="preserve"> </w:t>
      </w:r>
      <w:r w:rsidRPr="00AB5AB2">
        <w:rPr>
          <w:rFonts w:ascii="Times New Roman" w:eastAsia="Calibri" w:hAnsi="Times New Roman" w:cs="Calibri"/>
          <w:kern w:val="0"/>
          <w:szCs w:val="22"/>
          <w:lang w:val="en-GB"/>
          <w14:ligatures w14:val="none"/>
        </w:rPr>
        <w:t>variable</w:t>
      </w:r>
      <w:r>
        <w:rPr>
          <w:rFonts w:ascii="Times New Roman" w:eastAsia="Calibri" w:hAnsi="Times New Roman" w:cs="Calibri"/>
          <w:kern w:val="0"/>
          <w:szCs w:val="22"/>
          <w:lang w:val="en-GB"/>
          <w14:ligatures w14:val="none"/>
        </w:rPr>
        <w:t xml:space="preserve"> </w:t>
      </w:r>
      <w:r w:rsidRPr="00AB5AB2">
        <w:rPr>
          <w:rFonts w:ascii="Times New Roman" w:eastAsia="Calibri" w:hAnsi="Times New Roman" w:cs="Calibri"/>
          <w:kern w:val="0"/>
          <w:szCs w:val="22"/>
          <w:lang w:val="en-GB"/>
          <w14:ligatures w14:val="none"/>
        </w:rPr>
        <w:t>(capacity building)</w:t>
      </w:r>
      <w:r w:rsidR="00AF5038">
        <w:rPr>
          <w:rFonts w:ascii="Times New Roman" w:eastAsia="Calibri" w:hAnsi="Times New Roman" w:cs="Calibri"/>
          <w:kern w:val="0"/>
          <w:szCs w:val="22"/>
          <w:lang w:val="en-GB"/>
          <w14:ligatures w14:val="none"/>
        </w:rPr>
        <w:t>; while 29.1%</w:t>
      </w:r>
      <w:r w:rsidR="00C63453">
        <w:rPr>
          <w:rFonts w:ascii="Times New Roman" w:eastAsia="Calibri" w:hAnsi="Times New Roman" w:cs="Calibri"/>
          <w:kern w:val="0"/>
          <w:szCs w:val="22"/>
          <w:lang w:val="en-GB"/>
          <w14:ligatures w14:val="none"/>
        </w:rPr>
        <w:t xml:space="preserve"> of the variation is explained by other variables that are not the subject of the study.</w:t>
      </w:r>
    </w:p>
    <w:p w14:paraId="32333CEF" w14:textId="254B1202" w:rsidR="009221DF" w:rsidRPr="009221DF" w:rsidRDefault="009221DF" w:rsidP="009C7DC2">
      <w:pPr>
        <w:suppressAutoHyphens/>
        <w:spacing w:before="120" w:after="120" w:line="360" w:lineRule="auto"/>
        <w:jc w:val="both"/>
        <w:rPr>
          <w:rFonts w:ascii="Times New Roman" w:eastAsia="Calibri" w:hAnsi="Times New Roman" w:cs="Calibri"/>
          <w:b/>
          <w:bCs/>
          <w:kern w:val="0"/>
          <w:szCs w:val="22"/>
          <w14:ligatures w14:val="none"/>
        </w:rPr>
      </w:pPr>
      <w:r w:rsidRPr="009221DF">
        <w:rPr>
          <w:rFonts w:ascii="Times New Roman" w:eastAsia="Calibri" w:hAnsi="Times New Roman" w:cs="Calibri"/>
          <w:b/>
          <w:bCs/>
          <w:kern w:val="0"/>
          <w:szCs w:val="22"/>
          <w14:ligatures w14:val="none"/>
        </w:rPr>
        <w:t>CONCLUSIONS AND RECOMMENDATIONS</w:t>
      </w:r>
    </w:p>
    <w:p w14:paraId="0440F133" w14:textId="71B00F5C" w:rsidR="009221DF" w:rsidRPr="009221DF" w:rsidRDefault="009221DF" w:rsidP="009221DF">
      <w:pPr>
        <w:suppressAutoHyphens/>
        <w:spacing w:before="120" w:after="120" w:line="360" w:lineRule="auto"/>
        <w:jc w:val="both"/>
        <w:rPr>
          <w:rFonts w:ascii="Times New Roman" w:eastAsia="Calibri" w:hAnsi="Times New Roman" w:cs="Calibri"/>
          <w:kern w:val="0"/>
          <w:szCs w:val="22"/>
          <w:lang w:eastAsia="hi-IN" w:bidi="hi-IN"/>
          <w14:ligatures w14:val="none"/>
        </w:rPr>
      </w:pPr>
      <w:r w:rsidRPr="009221DF">
        <w:rPr>
          <w:rFonts w:ascii="Times New Roman" w:eastAsia="Calibri" w:hAnsi="Times New Roman" w:cs="Calibri"/>
          <w:kern w:val="0"/>
          <w:szCs w:val="22"/>
          <w:lang w:eastAsia="hi-IN" w:bidi="hi-IN"/>
          <w14:ligatures w14:val="none"/>
        </w:rPr>
        <w:t>Th</w:t>
      </w:r>
      <w:r>
        <w:rPr>
          <w:rFonts w:ascii="Times New Roman" w:eastAsia="Calibri" w:hAnsi="Times New Roman" w:cs="Calibri"/>
          <w:kern w:val="0"/>
          <w:szCs w:val="22"/>
          <w:lang w:eastAsia="hi-IN" w:bidi="hi-IN"/>
          <w14:ligatures w14:val="none"/>
        </w:rPr>
        <w:t>is study concludes</w:t>
      </w:r>
      <w:r w:rsidRPr="009221DF">
        <w:rPr>
          <w:rFonts w:ascii="Times New Roman" w:eastAsia="Calibri" w:hAnsi="Times New Roman" w:cs="Calibri"/>
          <w:kern w:val="0"/>
          <w:szCs w:val="22"/>
          <w:lang w:eastAsia="hi-IN" w:bidi="hi-IN"/>
          <w14:ligatures w14:val="none"/>
        </w:rPr>
        <w:t xml:space="preserve"> that capacity building significantly affects women’s political participation. This indicates that training, mentorship, and civic education equip women with the necessary confidence, knowledge, and technical competence to engage effectively in politics. Participation increases when individuals acquire knowledge, confidence, and control over resources. Thus, capacity-building initiatives by CSOs are instrumental in nurturing women’s political agency and leadership capacity.</w:t>
      </w:r>
    </w:p>
    <w:p w14:paraId="1965B747" w14:textId="45D1538A" w:rsidR="004212C7" w:rsidRPr="004212C7" w:rsidRDefault="0041144B" w:rsidP="004212C7">
      <w:pPr>
        <w:suppressAutoHyphens/>
        <w:spacing w:before="120" w:after="120" w:line="360" w:lineRule="auto"/>
        <w:jc w:val="both"/>
        <w:rPr>
          <w:rFonts w:ascii="Times New Roman" w:eastAsia="Calibri" w:hAnsi="Times New Roman" w:cs="Calibri"/>
          <w:kern w:val="0"/>
          <w:szCs w:val="22"/>
          <w:lang w:eastAsia="hi-IN" w:bidi="hi-IN"/>
          <w14:ligatures w14:val="none"/>
        </w:rPr>
      </w:pPr>
      <w:r w:rsidRPr="0041144B">
        <w:rPr>
          <w:rFonts w:ascii="Times New Roman" w:eastAsia="Calibri" w:hAnsi="Times New Roman" w:cs="Calibri"/>
          <w:kern w:val="0"/>
          <w:szCs w:val="22"/>
          <w:lang w:val="en-GB" w:eastAsia="hi-IN" w:bidi="hi-IN"/>
          <w14:ligatures w14:val="none"/>
        </w:rPr>
        <w:t>The study further recommends that</w:t>
      </w:r>
      <w:r w:rsidR="004212C7" w:rsidRPr="0041144B">
        <w:rPr>
          <w:rFonts w:ascii="Times New Roman" w:eastAsia="Calibri" w:hAnsi="Times New Roman" w:cs="Calibri"/>
          <w:kern w:val="0"/>
          <w:szCs w:val="22"/>
          <w:lang w:eastAsia="hi-IN" w:bidi="hi-IN"/>
          <w14:ligatures w14:val="none"/>
        </w:rPr>
        <w:t>,</w:t>
      </w:r>
      <w:r w:rsidR="004212C7" w:rsidRPr="004212C7">
        <w:rPr>
          <w:rFonts w:ascii="Times New Roman" w:eastAsia="Calibri" w:hAnsi="Times New Roman" w:cs="Calibri"/>
          <w:kern w:val="0"/>
          <w:szCs w:val="22"/>
          <w:lang w:eastAsia="hi-IN" w:bidi="hi-IN"/>
          <w14:ligatures w14:val="none"/>
        </w:rPr>
        <w:t xml:space="preserve"> there is a need for CSOs to establish long-term, strategic support systems that extend beyond short-term, election-related projects. Most interventions are project-based and end once elections are over, leaving women without continued support. CSOs should therefore adopt sustainable frameworks that ensure ongoing mentorship, post-election engagement, and consistent monitoring of women who have contested in political races. This will help maintain their political visibility and influence beyond electoral periods.</w:t>
      </w:r>
    </w:p>
    <w:p w14:paraId="0E65C063" w14:textId="77777777" w:rsidR="004212C7" w:rsidRPr="004212C7" w:rsidRDefault="004212C7" w:rsidP="004212C7">
      <w:pPr>
        <w:suppressAutoHyphens/>
        <w:spacing w:before="120" w:after="120" w:line="360" w:lineRule="auto"/>
        <w:jc w:val="both"/>
        <w:rPr>
          <w:rFonts w:ascii="Times New Roman" w:eastAsia="Calibri" w:hAnsi="Times New Roman" w:cs="Calibri"/>
          <w:kern w:val="0"/>
          <w:szCs w:val="22"/>
          <w:lang w:eastAsia="hi-IN" w:bidi="hi-IN"/>
          <w14:ligatures w14:val="none"/>
        </w:rPr>
      </w:pPr>
      <w:r w:rsidRPr="004212C7">
        <w:rPr>
          <w:rFonts w:ascii="Times New Roman" w:eastAsia="Calibri" w:hAnsi="Times New Roman" w:cs="Calibri"/>
          <w:kern w:val="0"/>
          <w:szCs w:val="22"/>
          <w:lang w:eastAsia="hi-IN" w:bidi="hi-IN"/>
          <w14:ligatures w14:val="none"/>
        </w:rPr>
        <w:lastRenderedPageBreak/>
        <w:t>In addition, there is a strong need to enhance capacity building beyond conventional training sessions. While most CSOs offer leadership and campaign trainings, they often lack follow-up mechanisms and post-training support. Therefore, capacity building should be continuous, incorporating practical exposure, peer mentorship, and personalized coaching. Introducing post-training tracking systems would allow CSOs to assess progress and provide targeted assistance to women pursuing political leadership.</w:t>
      </w:r>
    </w:p>
    <w:p w14:paraId="25B8FA3A" w14:textId="27267D83" w:rsidR="009221DF" w:rsidRPr="004212C7" w:rsidRDefault="004212C7" w:rsidP="009221DF">
      <w:pPr>
        <w:suppressAutoHyphens/>
        <w:spacing w:before="120" w:after="120" w:line="360" w:lineRule="auto"/>
        <w:jc w:val="both"/>
        <w:rPr>
          <w:rFonts w:ascii="Times New Roman" w:eastAsia="Calibri" w:hAnsi="Times New Roman" w:cs="Calibri"/>
          <w:kern w:val="0"/>
          <w:szCs w:val="22"/>
          <w:lang w:eastAsia="hi-IN" w:bidi="hi-IN"/>
          <w14:ligatures w14:val="none"/>
        </w:rPr>
      </w:pPr>
      <w:r w:rsidRPr="004212C7">
        <w:rPr>
          <w:rFonts w:ascii="Times New Roman" w:eastAsia="Calibri" w:hAnsi="Times New Roman" w:cs="Calibri"/>
          <w:kern w:val="0"/>
          <w:szCs w:val="22"/>
          <w:lang w:eastAsia="hi-IN" w:bidi="hi-IN"/>
          <w14:ligatures w14:val="none"/>
        </w:rPr>
        <w:t>Another key recommendation is the strengthening of CSO institutional capacity. Some organizations face internal limitations such as inadequate staffing, weak coordination, and donor dependence. CSOs should therefore invest in staff development, partnership-building, and improved data management systems to enhance their operational efficiency and advocacy impact. In addition, cooperation among organizations should be encouraged to prevent competition and duplication of efforts. Through collaboration, CSOs can pool resources, harmonize activities, and build stronger collective influence</w:t>
      </w:r>
      <w:r w:rsidR="009221DF" w:rsidRPr="004212C7">
        <w:rPr>
          <w:rFonts w:ascii="Times New Roman" w:eastAsia="Times New Roman" w:hAnsi="Times New Roman" w:cs="Times New Roman"/>
        </w:rPr>
        <w:t>.</w:t>
      </w:r>
    </w:p>
    <w:p w14:paraId="5C160288" w14:textId="3059B07B" w:rsidR="009221DF" w:rsidRPr="004212C7" w:rsidRDefault="009221DF" w:rsidP="009C7DC2">
      <w:pPr>
        <w:suppressAutoHyphens/>
        <w:spacing w:before="120" w:after="120" w:line="360" w:lineRule="auto"/>
        <w:jc w:val="both"/>
        <w:rPr>
          <w:rFonts w:ascii="Times New Roman" w:eastAsia="Calibri" w:hAnsi="Times New Roman" w:cs="Calibri"/>
          <w:kern w:val="0"/>
          <w:szCs w:val="22"/>
          <w:lang w:val="en-GB" w:eastAsia="hi-IN" w:bidi="hi-IN"/>
          <w14:ligatures w14:val="none"/>
        </w:rPr>
      </w:pPr>
    </w:p>
    <w:p w14:paraId="6300DBED" w14:textId="77777777" w:rsidR="009221DF" w:rsidRPr="009C7DC2" w:rsidRDefault="009221DF" w:rsidP="009C7DC2">
      <w:pPr>
        <w:suppressAutoHyphens/>
        <w:spacing w:before="120" w:after="120" w:line="360" w:lineRule="auto"/>
        <w:jc w:val="both"/>
        <w:rPr>
          <w:rFonts w:ascii="Times New Roman" w:eastAsia="Calibri" w:hAnsi="Times New Roman" w:cs="Calibri"/>
          <w:kern w:val="0"/>
          <w:szCs w:val="22"/>
          <w:lang w:val="en-GB" w:eastAsia="hi-IN" w:bidi="hi-IN"/>
          <w14:ligatures w14:val="none"/>
        </w:rPr>
      </w:pPr>
    </w:p>
    <w:p w14:paraId="7ACA9AA1" w14:textId="77777777" w:rsidR="009C7DC2" w:rsidRPr="009C7DC2" w:rsidRDefault="009C7DC2" w:rsidP="009C7DC2">
      <w:pPr>
        <w:jc w:val="both"/>
        <w:rPr>
          <w:rFonts w:ascii="Times New Roman" w:hAnsi="Times New Roman" w:cs="Times New Roman"/>
        </w:rPr>
      </w:pPr>
    </w:p>
    <w:p w14:paraId="5312E6A9" w14:textId="77777777" w:rsidR="00952C0F" w:rsidRDefault="00952C0F" w:rsidP="00DD14AE">
      <w:pPr>
        <w:jc w:val="both"/>
        <w:rPr>
          <w:rFonts w:ascii="Times New Roman" w:hAnsi="Times New Roman" w:cs="Times New Roman"/>
          <w:b/>
          <w:bCs/>
        </w:rPr>
      </w:pPr>
    </w:p>
    <w:p w14:paraId="60C3C043" w14:textId="77777777" w:rsidR="004B0C30" w:rsidRDefault="004B0C30" w:rsidP="00DD14AE">
      <w:pPr>
        <w:jc w:val="both"/>
        <w:rPr>
          <w:rFonts w:ascii="Times New Roman" w:hAnsi="Times New Roman" w:cs="Times New Roman"/>
          <w:b/>
          <w:bCs/>
        </w:rPr>
      </w:pPr>
    </w:p>
    <w:p w14:paraId="2FE3EFFE" w14:textId="77777777" w:rsidR="004B0C30" w:rsidRDefault="004B0C30" w:rsidP="00DD14AE">
      <w:pPr>
        <w:jc w:val="both"/>
        <w:rPr>
          <w:rFonts w:ascii="Times New Roman" w:hAnsi="Times New Roman" w:cs="Times New Roman"/>
          <w:b/>
          <w:bCs/>
        </w:rPr>
      </w:pPr>
    </w:p>
    <w:p w14:paraId="26EA54E8" w14:textId="77777777" w:rsidR="004B0C30" w:rsidRPr="00DD14AE" w:rsidRDefault="004B0C30" w:rsidP="00DD14AE">
      <w:pPr>
        <w:jc w:val="both"/>
        <w:rPr>
          <w:rFonts w:ascii="Times New Roman" w:hAnsi="Times New Roman" w:cs="Times New Roman"/>
          <w:b/>
          <w:bCs/>
        </w:rPr>
      </w:pPr>
    </w:p>
    <w:p w14:paraId="7ED53836" w14:textId="77777777" w:rsidR="00DD14AE" w:rsidRDefault="00DD14AE" w:rsidP="00902A51">
      <w:pPr>
        <w:jc w:val="both"/>
        <w:rPr>
          <w:rFonts w:ascii="Times New Roman" w:hAnsi="Times New Roman" w:cs="Times New Roman"/>
          <w:b/>
          <w:bCs/>
        </w:rPr>
      </w:pPr>
    </w:p>
    <w:p w14:paraId="5E2A7AAC" w14:textId="77777777" w:rsidR="00471577" w:rsidRDefault="00471577" w:rsidP="00902A51">
      <w:pPr>
        <w:jc w:val="both"/>
        <w:rPr>
          <w:rFonts w:ascii="Times New Roman" w:hAnsi="Times New Roman" w:cs="Times New Roman"/>
          <w:b/>
          <w:bCs/>
        </w:rPr>
      </w:pPr>
    </w:p>
    <w:p w14:paraId="0627A200" w14:textId="77777777" w:rsidR="00471577" w:rsidRDefault="00471577" w:rsidP="00902A51">
      <w:pPr>
        <w:jc w:val="both"/>
        <w:rPr>
          <w:rFonts w:ascii="Times New Roman" w:hAnsi="Times New Roman" w:cs="Times New Roman"/>
          <w:b/>
          <w:bCs/>
        </w:rPr>
      </w:pPr>
    </w:p>
    <w:p w14:paraId="46039EA2" w14:textId="77777777" w:rsidR="00471577" w:rsidRPr="00902A51" w:rsidRDefault="00471577" w:rsidP="00902A51">
      <w:pPr>
        <w:jc w:val="both"/>
        <w:rPr>
          <w:rFonts w:ascii="Times New Roman" w:hAnsi="Times New Roman" w:cs="Times New Roman"/>
          <w:b/>
          <w:bCs/>
        </w:rPr>
      </w:pPr>
    </w:p>
    <w:p w14:paraId="4045E758" w14:textId="77777777" w:rsidR="00A43F97" w:rsidRDefault="00A43F97" w:rsidP="00EC078F">
      <w:pPr>
        <w:jc w:val="both"/>
        <w:rPr>
          <w:rFonts w:ascii="Times New Roman" w:hAnsi="Times New Roman" w:cs="Times New Roman"/>
          <w:b/>
          <w:bCs/>
        </w:rPr>
      </w:pPr>
    </w:p>
    <w:p w14:paraId="6E79B64C" w14:textId="77777777" w:rsidR="004212C7" w:rsidRDefault="004212C7" w:rsidP="00EC078F">
      <w:pPr>
        <w:jc w:val="both"/>
        <w:rPr>
          <w:rFonts w:ascii="Times New Roman" w:hAnsi="Times New Roman" w:cs="Times New Roman"/>
          <w:b/>
          <w:bCs/>
        </w:rPr>
      </w:pPr>
    </w:p>
    <w:p w14:paraId="6F54C9AB" w14:textId="77777777" w:rsidR="004212C7" w:rsidRDefault="004212C7" w:rsidP="00EC078F">
      <w:pPr>
        <w:jc w:val="both"/>
        <w:rPr>
          <w:rFonts w:ascii="Times New Roman" w:hAnsi="Times New Roman" w:cs="Times New Roman"/>
          <w:b/>
          <w:bCs/>
        </w:rPr>
      </w:pPr>
    </w:p>
    <w:p w14:paraId="5BF94A12" w14:textId="77777777" w:rsidR="004212C7" w:rsidRDefault="004212C7" w:rsidP="00EC078F">
      <w:pPr>
        <w:jc w:val="both"/>
        <w:rPr>
          <w:rFonts w:ascii="Times New Roman" w:hAnsi="Times New Roman" w:cs="Times New Roman"/>
          <w:b/>
          <w:bCs/>
        </w:rPr>
      </w:pPr>
    </w:p>
    <w:p w14:paraId="182040B3" w14:textId="55CD5F24" w:rsidR="007D3737" w:rsidRPr="007D3737" w:rsidRDefault="00471577" w:rsidP="007D3737">
      <w:pPr>
        <w:jc w:val="both"/>
        <w:rPr>
          <w:rFonts w:ascii="Times New Roman" w:hAnsi="Times New Roman" w:cs="Times New Roman"/>
          <w:b/>
          <w:bCs/>
        </w:rPr>
      </w:pPr>
      <w:r>
        <w:rPr>
          <w:rFonts w:ascii="Times New Roman" w:hAnsi="Times New Roman" w:cs="Times New Roman"/>
          <w:b/>
          <w:bCs/>
        </w:rPr>
        <w:lastRenderedPageBreak/>
        <w:t>REFERENCES</w:t>
      </w:r>
    </w:p>
    <w:p w14:paraId="285ED4AB" w14:textId="77777777" w:rsidR="007D3737" w:rsidRPr="00A43F97" w:rsidRDefault="007D3737" w:rsidP="00AD54C8">
      <w:pPr>
        <w:rPr>
          <w:rFonts w:ascii="Times New Roman" w:hAnsi="Times New Roman" w:cs="Times New Roman"/>
        </w:rPr>
      </w:pPr>
      <w:r w:rsidRPr="00A43F97">
        <w:rPr>
          <w:rFonts w:ascii="Times New Roman" w:hAnsi="Times New Roman" w:cs="Times New Roman"/>
        </w:rPr>
        <w:t xml:space="preserve">Azmi, Z. (2020). Discoursing women’s political participation towards achieving sustainable development: The case of women in Parti Islam Se-Malaysia (PAS). </w:t>
      </w:r>
      <w:r w:rsidRPr="00A43F97">
        <w:rPr>
          <w:rFonts w:ascii="Times New Roman" w:hAnsi="Times New Roman" w:cs="Times New Roman"/>
          <w:i/>
          <w:iCs/>
        </w:rPr>
        <w:t>Kajian Malaysia: Journal of Malaysian Studies, 38</w:t>
      </w:r>
      <w:r w:rsidRPr="00A43F97">
        <w:rPr>
          <w:rFonts w:ascii="Times New Roman" w:hAnsi="Times New Roman" w:cs="Times New Roman"/>
        </w:rPr>
        <w:t>(0), 67–88.</w:t>
      </w:r>
    </w:p>
    <w:p w14:paraId="59115C17" w14:textId="77777777" w:rsidR="007D3737" w:rsidRDefault="007D3737" w:rsidP="00A43F97">
      <w:pPr>
        <w:rPr>
          <w:rFonts w:ascii="Times New Roman" w:hAnsi="Times New Roman" w:cs="Times New Roman"/>
        </w:rPr>
      </w:pPr>
      <w:proofErr w:type="spellStart"/>
      <w:r w:rsidRPr="00A43F97">
        <w:rPr>
          <w:rFonts w:ascii="Times New Roman" w:hAnsi="Times New Roman" w:cs="Times New Roman"/>
        </w:rPr>
        <w:t>Batliwala</w:t>
      </w:r>
      <w:proofErr w:type="spellEnd"/>
      <w:r w:rsidRPr="00A43F97">
        <w:rPr>
          <w:rFonts w:ascii="Times New Roman" w:hAnsi="Times New Roman" w:cs="Times New Roman"/>
        </w:rPr>
        <w:t xml:space="preserve">, S. (2007). </w:t>
      </w:r>
      <w:r w:rsidRPr="00A43F97">
        <w:rPr>
          <w:rFonts w:ascii="Times New Roman" w:hAnsi="Times New Roman" w:cs="Times New Roman"/>
          <w:i/>
          <w:iCs/>
        </w:rPr>
        <w:t>Taking the power out of empowerment – an experiential account</w:t>
      </w:r>
      <w:r w:rsidRPr="00A43F97">
        <w:rPr>
          <w:rFonts w:ascii="Times New Roman" w:hAnsi="Times New Roman" w:cs="Times New Roman"/>
        </w:rPr>
        <w:t>. Development in Practice, 17(4-5), 557-565.</w:t>
      </w:r>
    </w:p>
    <w:p w14:paraId="0A06D27F" w14:textId="77777777" w:rsidR="007D3737" w:rsidRPr="00A43F97" w:rsidRDefault="007D3737" w:rsidP="00A43F97">
      <w:pPr>
        <w:rPr>
          <w:rFonts w:ascii="Times New Roman" w:hAnsi="Times New Roman" w:cs="Times New Roman"/>
        </w:rPr>
      </w:pPr>
      <w:r w:rsidRPr="00C43173">
        <w:rPr>
          <w:rFonts w:ascii="Times New Roman" w:hAnsi="Times New Roman" w:cs="Times New Roman"/>
        </w:rPr>
        <w:t xml:space="preserve">Bhardwaj, P. (2019). Types of sampling in research. </w:t>
      </w:r>
      <w:r w:rsidRPr="00C43173">
        <w:rPr>
          <w:rFonts w:ascii="Times New Roman" w:hAnsi="Times New Roman" w:cs="Times New Roman"/>
          <w:i/>
          <w:iCs/>
        </w:rPr>
        <w:t>Journal of the Practice of Cardiovascular Sciences, 5</w:t>
      </w:r>
      <w:r w:rsidRPr="00C43173">
        <w:rPr>
          <w:rFonts w:ascii="Times New Roman" w:hAnsi="Times New Roman" w:cs="Times New Roman"/>
        </w:rPr>
        <w:t>(3), 157.</w:t>
      </w:r>
    </w:p>
    <w:p w14:paraId="42C61A71"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Cargill, M., &amp; O'Connor, P. (2021). </w:t>
      </w:r>
      <w:r w:rsidRPr="00A43F97">
        <w:rPr>
          <w:rFonts w:ascii="Times New Roman" w:hAnsi="Times New Roman" w:cs="Times New Roman"/>
          <w:i/>
          <w:iCs/>
        </w:rPr>
        <w:t>Writing scientific research articles: Strategy and steps</w:t>
      </w:r>
      <w:r w:rsidRPr="00A43F97">
        <w:rPr>
          <w:rFonts w:ascii="Times New Roman" w:hAnsi="Times New Roman" w:cs="Times New Roman"/>
        </w:rPr>
        <w:t>. John Wiley &amp; Sons.</w:t>
      </w:r>
    </w:p>
    <w:p w14:paraId="44F145C1" w14:textId="77777777" w:rsidR="007D3737" w:rsidRPr="00A43F97" w:rsidRDefault="007D3737" w:rsidP="00F6384A">
      <w:pPr>
        <w:rPr>
          <w:rFonts w:ascii="Times New Roman" w:hAnsi="Times New Roman" w:cs="Times New Roman"/>
        </w:rPr>
      </w:pPr>
      <w:r w:rsidRPr="00A43F97">
        <w:rPr>
          <w:rFonts w:ascii="Times New Roman" w:hAnsi="Times New Roman" w:cs="Times New Roman"/>
        </w:rPr>
        <w:t xml:space="preserve">Carson, S. A. (2022). The new girls' clubs: Candidate training programs and the women changing the face of United States politics. </w:t>
      </w:r>
      <w:r w:rsidRPr="00A43F97">
        <w:rPr>
          <w:rFonts w:ascii="Times New Roman" w:hAnsi="Times New Roman" w:cs="Times New Roman"/>
          <w:i/>
          <w:iCs/>
        </w:rPr>
        <w:t>Open Anthropological Research, 2</w:t>
      </w:r>
      <w:r w:rsidRPr="00A43F97">
        <w:rPr>
          <w:rFonts w:ascii="Times New Roman" w:hAnsi="Times New Roman" w:cs="Times New Roman"/>
        </w:rPr>
        <w:t xml:space="preserve">(1), 59–75. </w:t>
      </w:r>
      <w:hyperlink r:id="rId8" w:history="1">
        <w:r w:rsidRPr="00A43F97">
          <w:rPr>
            <w:rStyle w:val="Hyperlink"/>
            <w:rFonts w:ascii="Times New Roman" w:hAnsi="Times New Roman" w:cs="Times New Roman"/>
          </w:rPr>
          <w:t>https://doi.org/10.1515/opan-2022-0121</w:t>
        </w:r>
      </w:hyperlink>
    </w:p>
    <w:p w14:paraId="770DDBBF"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Cervone, D., &amp; Pervin, L. A. (2022). </w:t>
      </w:r>
      <w:r w:rsidRPr="00A43F97">
        <w:rPr>
          <w:rFonts w:ascii="Times New Roman" w:hAnsi="Times New Roman" w:cs="Times New Roman"/>
          <w:i/>
          <w:iCs/>
        </w:rPr>
        <w:t>Personality: Theory and research</w:t>
      </w:r>
      <w:r w:rsidRPr="00A43F97">
        <w:rPr>
          <w:rFonts w:ascii="Times New Roman" w:hAnsi="Times New Roman" w:cs="Times New Roman"/>
        </w:rPr>
        <w:t>. John Wiley &amp; Sons.</w:t>
      </w:r>
    </w:p>
    <w:p w14:paraId="69B41809"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Cooper, D. R., &amp; Schindler, P. S. (2018). </w:t>
      </w:r>
      <w:r w:rsidRPr="00A43F97">
        <w:rPr>
          <w:rFonts w:ascii="Times New Roman" w:hAnsi="Times New Roman" w:cs="Times New Roman"/>
          <w:i/>
          <w:iCs/>
        </w:rPr>
        <w:t>Business research methods</w:t>
      </w:r>
      <w:r w:rsidRPr="00A43F97">
        <w:rPr>
          <w:rFonts w:ascii="Times New Roman" w:hAnsi="Times New Roman" w:cs="Times New Roman"/>
        </w:rPr>
        <w:t xml:space="preserve"> (13th ed.). McGraw-Hill Education.</w:t>
      </w:r>
    </w:p>
    <w:p w14:paraId="3D0AEF9B"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Cornwall, A. (2016). </w:t>
      </w:r>
      <w:r w:rsidRPr="00A43F97">
        <w:rPr>
          <w:rFonts w:ascii="Times New Roman" w:hAnsi="Times New Roman" w:cs="Times New Roman"/>
          <w:i/>
          <w:iCs/>
        </w:rPr>
        <w:t xml:space="preserve">Women's empowerment: What </w:t>
      </w:r>
      <w:proofErr w:type="gramStart"/>
      <w:r w:rsidRPr="00A43F97">
        <w:rPr>
          <w:rFonts w:ascii="Times New Roman" w:hAnsi="Times New Roman" w:cs="Times New Roman"/>
          <w:i/>
          <w:iCs/>
        </w:rPr>
        <w:t>works?</w:t>
      </w:r>
      <w:r w:rsidRPr="00A43F97">
        <w:rPr>
          <w:rFonts w:ascii="Times New Roman" w:hAnsi="Times New Roman" w:cs="Times New Roman"/>
        </w:rPr>
        <w:t>.</w:t>
      </w:r>
      <w:proofErr w:type="gramEnd"/>
      <w:r w:rsidRPr="00A43F97">
        <w:rPr>
          <w:rFonts w:ascii="Times New Roman" w:hAnsi="Times New Roman" w:cs="Times New Roman"/>
        </w:rPr>
        <w:t xml:space="preserve"> Journal of International Development, 28(3), 342-359.</w:t>
      </w:r>
    </w:p>
    <w:p w14:paraId="6796DB15" w14:textId="77777777" w:rsidR="007D3737" w:rsidRPr="00A43F97" w:rsidRDefault="007D3737" w:rsidP="00F6384A">
      <w:pPr>
        <w:rPr>
          <w:rFonts w:ascii="Times New Roman" w:hAnsi="Times New Roman" w:cs="Times New Roman"/>
        </w:rPr>
      </w:pPr>
      <w:r w:rsidRPr="00A43F97">
        <w:rPr>
          <w:rFonts w:ascii="Times New Roman" w:hAnsi="Times New Roman" w:cs="Times New Roman"/>
        </w:rPr>
        <w:t xml:space="preserve">CREAW. (2023). </w:t>
      </w:r>
      <w:r w:rsidRPr="00A43F97">
        <w:rPr>
          <w:rFonts w:ascii="Times New Roman" w:hAnsi="Times New Roman" w:cs="Times New Roman"/>
          <w:i/>
          <w:iCs/>
        </w:rPr>
        <w:t>Promoting effective participation of women and girls</w:t>
      </w:r>
      <w:r w:rsidRPr="00A43F97">
        <w:rPr>
          <w:rFonts w:ascii="Times New Roman" w:hAnsi="Times New Roman" w:cs="Times New Roman"/>
        </w:rPr>
        <w:t xml:space="preserve">. Centre for Rights Education and Awareness. </w:t>
      </w:r>
      <w:hyperlink r:id="rId9" w:history="1">
        <w:r w:rsidRPr="00A43F97">
          <w:rPr>
            <w:rStyle w:val="Hyperlink"/>
            <w:rFonts w:ascii="Times New Roman" w:hAnsi="Times New Roman" w:cs="Times New Roman"/>
          </w:rPr>
          <w:t>https://home.creaw.org/leadership-and-governance/</w:t>
        </w:r>
      </w:hyperlink>
      <w:r w:rsidRPr="00A43F97">
        <w:rPr>
          <w:rFonts w:ascii="Times New Roman" w:hAnsi="Times New Roman" w:cs="Times New Roman"/>
        </w:rPr>
        <w:t>.</w:t>
      </w:r>
    </w:p>
    <w:p w14:paraId="215FA34D" w14:textId="77777777" w:rsidR="007D3737" w:rsidRPr="00A43F97" w:rsidRDefault="007D3737">
      <w:pPr>
        <w:rPr>
          <w:rFonts w:ascii="Times New Roman" w:hAnsi="Times New Roman" w:cs="Times New Roman"/>
        </w:rPr>
      </w:pPr>
      <w:r w:rsidRPr="00A43F97">
        <w:rPr>
          <w:rFonts w:ascii="Times New Roman" w:hAnsi="Times New Roman" w:cs="Times New Roman"/>
        </w:rPr>
        <w:t xml:space="preserve">Dahl, R. A. (1998). </w:t>
      </w:r>
      <w:r w:rsidRPr="00A43F97">
        <w:rPr>
          <w:rFonts w:ascii="Times New Roman" w:hAnsi="Times New Roman" w:cs="Times New Roman"/>
          <w:i/>
          <w:iCs/>
        </w:rPr>
        <w:t>On democracy</w:t>
      </w:r>
      <w:r w:rsidRPr="00A43F97">
        <w:rPr>
          <w:rFonts w:ascii="Times New Roman" w:hAnsi="Times New Roman" w:cs="Times New Roman"/>
        </w:rPr>
        <w:t>. Yale University Press.</w:t>
      </w:r>
    </w:p>
    <w:p w14:paraId="6D087F50" w14:textId="77777777" w:rsidR="007D3737" w:rsidRPr="00A43F97" w:rsidRDefault="007D3737" w:rsidP="00A43F97">
      <w:pPr>
        <w:rPr>
          <w:rFonts w:ascii="Times New Roman" w:hAnsi="Times New Roman" w:cs="Times New Roman"/>
        </w:rPr>
      </w:pPr>
      <w:r w:rsidRPr="0093553D">
        <w:rPr>
          <w:rFonts w:ascii="Times New Roman" w:hAnsi="Times New Roman" w:cs="Times New Roman"/>
        </w:rPr>
        <w:t>Dykema, J., Schaeffer, N. C., Garbarski, D., Assad, N., &amp; Blixt, S. (2022)</w:t>
      </w:r>
      <w:r w:rsidRPr="00A43F97">
        <w:rPr>
          <w:rFonts w:ascii="Times New Roman" w:hAnsi="Times New Roman" w:cs="Times New Roman"/>
        </w:rPr>
        <w:t xml:space="preserve"> </w:t>
      </w:r>
      <w:r w:rsidRPr="00A43F97">
        <w:rPr>
          <w:rFonts w:ascii="Times New Roman" w:hAnsi="Times New Roman" w:cs="Times New Roman"/>
          <w:i/>
          <w:iCs/>
        </w:rPr>
        <w:t>Towards a reconsideration of the use of agree-disagree questions in measuring subjective evaluations</w:t>
      </w:r>
      <w:r w:rsidRPr="00A43F97">
        <w:rPr>
          <w:rFonts w:ascii="Times New Roman" w:hAnsi="Times New Roman" w:cs="Times New Roman"/>
        </w:rPr>
        <w:t xml:space="preserve">. </w:t>
      </w:r>
      <w:r w:rsidRPr="00A43F97">
        <w:rPr>
          <w:rFonts w:ascii="Times New Roman" w:hAnsi="Times New Roman" w:cs="Times New Roman"/>
          <w:i/>
          <w:iCs/>
        </w:rPr>
        <w:t>Research in Social and Administrative Pharmacy, 18</w:t>
      </w:r>
      <w:r w:rsidRPr="00A43F97">
        <w:rPr>
          <w:rFonts w:ascii="Times New Roman" w:hAnsi="Times New Roman" w:cs="Times New Roman"/>
        </w:rPr>
        <w:t>(2), 2335–2344. https://doi.org/10.1016/j.sapharm.2021.06.014.</w:t>
      </w:r>
    </w:p>
    <w:p w14:paraId="7A08FEB2" w14:textId="77777777" w:rsidR="007D3737" w:rsidRPr="00A43F97" w:rsidRDefault="007D3737" w:rsidP="00AD54C8">
      <w:pPr>
        <w:rPr>
          <w:rFonts w:ascii="Times New Roman" w:hAnsi="Times New Roman" w:cs="Times New Roman"/>
        </w:rPr>
      </w:pPr>
      <w:proofErr w:type="spellStart"/>
      <w:r w:rsidRPr="00A43F97">
        <w:rPr>
          <w:rFonts w:ascii="Times New Roman" w:hAnsi="Times New Roman" w:cs="Times New Roman"/>
        </w:rPr>
        <w:t>Fashagba</w:t>
      </w:r>
      <w:proofErr w:type="spellEnd"/>
      <w:r w:rsidRPr="00A43F97">
        <w:rPr>
          <w:rFonts w:ascii="Times New Roman" w:hAnsi="Times New Roman" w:cs="Times New Roman"/>
        </w:rPr>
        <w:t xml:space="preserve">, J. Y., Ajayi, O. R. M., &amp; </w:t>
      </w:r>
      <w:proofErr w:type="spellStart"/>
      <w:r w:rsidRPr="00A43F97">
        <w:rPr>
          <w:rFonts w:ascii="Times New Roman" w:hAnsi="Times New Roman" w:cs="Times New Roman"/>
        </w:rPr>
        <w:t>Nwankwor</w:t>
      </w:r>
      <w:proofErr w:type="spellEnd"/>
      <w:r w:rsidRPr="00A43F97">
        <w:rPr>
          <w:rFonts w:ascii="Times New Roman" w:hAnsi="Times New Roman" w:cs="Times New Roman"/>
        </w:rPr>
        <w:t xml:space="preserve">, C. (Eds.). (2019). </w:t>
      </w:r>
      <w:r w:rsidRPr="00A43F97">
        <w:rPr>
          <w:rFonts w:ascii="Times New Roman" w:hAnsi="Times New Roman" w:cs="Times New Roman"/>
          <w:i/>
          <w:iCs/>
        </w:rPr>
        <w:t>The Nigerian National Assembly</w:t>
      </w:r>
      <w:r w:rsidRPr="00A43F97">
        <w:rPr>
          <w:rFonts w:ascii="Times New Roman" w:hAnsi="Times New Roman" w:cs="Times New Roman"/>
        </w:rPr>
        <w:t xml:space="preserve">. Springer, Cham. </w:t>
      </w:r>
      <w:hyperlink r:id="rId10" w:tgtFrame="_new" w:history="1">
        <w:r w:rsidRPr="00A43F97">
          <w:rPr>
            <w:rStyle w:val="Hyperlink"/>
            <w:rFonts w:ascii="Times New Roman" w:hAnsi="Times New Roman" w:cs="Times New Roman"/>
          </w:rPr>
          <w:t>https://doi.org/10.1007/978-3-030-11905-8</w:t>
        </w:r>
      </w:hyperlink>
      <w:r w:rsidRPr="00A43F97">
        <w:rPr>
          <w:rFonts w:ascii="Times New Roman" w:hAnsi="Times New Roman" w:cs="Times New Roman"/>
        </w:rPr>
        <w:t>.</w:t>
      </w:r>
    </w:p>
    <w:p w14:paraId="461FDC63"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Freire, P. (1970). </w:t>
      </w:r>
      <w:r w:rsidRPr="00A43F97">
        <w:rPr>
          <w:rFonts w:ascii="Times New Roman" w:hAnsi="Times New Roman" w:cs="Times New Roman"/>
          <w:i/>
          <w:iCs/>
        </w:rPr>
        <w:t>Pedagogy of the oppressed</w:t>
      </w:r>
      <w:r w:rsidRPr="00A43F97">
        <w:rPr>
          <w:rFonts w:ascii="Times New Roman" w:hAnsi="Times New Roman" w:cs="Times New Roman"/>
        </w:rPr>
        <w:t xml:space="preserve"> (M. B. Ramos, Trans.). Herder and Herder</w:t>
      </w:r>
      <w:r w:rsidRPr="00A43F97">
        <w:rPr>
          <w:rFonts w:ascii="Times New Roman" w:hAnsi="Times New Roman" w:cs="Times New Roman"/>
          <w:b/>
          <w:bCs/>
        </w:rPr>
        <w:t>.</w:t>
      </w:r>
    </w:p>
    <w:p w14:paraId="4F56A731"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Gichuhi, J. W., &amp; Kinyua, G. (2023). Influence of capacity building on performance of women in political leadership in Kenya. </w:t>
      </w:r>
      <w:r w:rsidRPr="00A43F97">
        <w:rPr>
          <w:rFonts w:ascii="Times New Roman" w:hAnsi="Times New Roman" w:cs="Times New Roman"/>
          <w:i/>
          <w:iCs/>
        </w:rPr>
        <w:t>International Journal of Social Sciences and Information Technology, 9</w:t>
      </w:r>
      <w:r w:rsidRPr="00A43F97">
        <w:rPr>
          <w:rFonts w:ascii="Times New Roman" w:hAnsi="Times New Roman" w:cs="Times New Roman"/>
        </w:rPr>
        <w:t>(2), 45-58.</w:t>
      </w:r>
    </w:p>
    <w:p w14:paraId="4A58EBDA" w14:textId="77777777" w:rsidR="007D3737" w:rsidRPr="00A43F97" w:rsidRDefault="007D3737" w:rsidP="00A43F97">
      <w:pPr>
        <w:rPr>
          <w:rFonts w:ascii="Times New Roman" w:hAnsi="Times New Roman" w:cs="Times New Roman"/>
        </w:rPr>
      </w:pPr>
      <w:proofErr w:type="spellStart"/>
      <w:r w:rsidRPr="0093553D">
        <w:rPr>
          <w:rFonts w:ascii="Times New Roman" w:hAnsi="Times New Roman" w:cs="Times New Roman"/>
        </w:rPr>
        <w:lastRenderedPageBreak/>
        <w:t>Githae</w:t>
      </w:r>
      <w:proofErr w:type="spellEnd"/>
      <w:r w:rsidRPr="0093553D">
        <w:rPr>
          <w:rFonts w:ascii="Times New Roman" w:hAnsi="Times New Roman" w:cs="Times New Roman"/>
        </w:rPr>
        <w:t xml:space="preserve">, C. N., Galiano, E., </w:t>
      </w:r>
      <w:proofErr w:type="spellStart"/>
      <w:r w:rsidRPr="0093553D">
        <w:rPr>
          <w:rFonts w:ascii="Times New Roman" w:hAnsi="Times New Roman" w:cs="Times New Roman"/>
        </w:rPr>
        <w:t>Nyagah</w:t>
      </w:r>
      <w:proofErr w:type="spellEnd"/>
      <w:r w:rsidRPr="0093553D">
        <w:rPr>
          <w:rFonts w:ascii="Times New Roman" w:hAnsi="Times New Roman" w:cs="Times New Roman"/>
        </w:rPr>
        <w:t xml:space="preserve">, F. J. K., &amp; </w:t>
      </w:r>
      <w:proofErr w:type="spellStart"/>
      <w:r w:rsidRPr="0093553D">
        <w:rPr>
          <w:rFonts w:ascii="Times New Roman" w:hAnsi="Times New Roman" w:cs="Times New Roman"/>
        </w:rPr>
        <w:t>Recavarren</w:t>
      </w:r>
      <w:proofErr w:type="spellEnd"/>
      <w:r w:rsidRPr="0093553D">
        <w:rPr>
          <w:rFonts w:ascii="Times New Roman" w:hAnsi="Times New Roman" w:cs="Times New Roman"/>
        </w:rPr>
        <w:t xml:space="preserve">, I. S. (2022). </w:t>
      </w:r>
      <w:r w:rsidRPr="0093553D">
        <w:rPr>
          <w:rFonts w:ascii="Times New Roman" w:hAnsi="Times New Roman" w:cs="Times New Roman"/>
          <w:i/>
          <w:iCs/>
        </w:rPr>
        <w:t>Key ingredients to women's legal rights in Kenya</w:t>
      </w:r>
      <w:r w:rsidRPr="0093553D">
        <w:rPr>
          <w:rFonts w:ascii="Times New Roman" w:hAnsi="Times New Roman" w:cs="Times New Roman"/>
        </w:rPr>
        <w:t xml:space="preserve"> (Global Indicators Briefs, No. 5). World Bank. </w:t>
      </w:r>
      <w:hyperlink r:id="rId11" w:history="1">
        <w:r w:rsidRPr="0093553D">
          <w:rPr>
            <w:rStyle w:val="Hyperlink"/>
            <w:rFonts w:ascii="Times New Roman" w:hAnsi="Times New Roman" w:cs="Times New Roman"/>
          </w:rPr>
          <w:t>http://hdl.handle.net/10986/37815</w:t>
        </w:r>
      </w:hyperlink>
      <w:r w:rsidRPr="00A43F97">
        <w:rPr>
          <w:rFonts w:ascii="Times New Roman" w:hAnsi="Times New Roman" w:cs="Times New Roman"/>
        </w:rPr>
        <w:t>.</w:t>
      </w:r>
    </w:p>
    <w:p w14:paraId="505CD6FF" w14:textId="77777777" w:rsidR="007D3737" w:rsidRDefault="007D3737" w:rsidP="00A43F97">
      <w:pPr>
        <w:rPr>
          <w:rFonts w:ascii="Times New Roman" w:hAnsi="Times New Roman" w:cs="Times New Roman"/>
        </w:rPr>
      </w:pPr>
      <w:r w:rsidRPr="00A43F97">
        <w:rPr>
          <w:rFonts w:ascii="Times New Roman" w:hAnsi="Times New Roman" w:cs="Times New Roman"/>
        </w:rPr>
        <w:t xml:space="preserve">Greene, H.W. (2003). </w:t>
      </w:r>
      <w:r w:rsidRPr="00A43F97">
        <w:rPr>
          <w:rFonts w:ascii="Times New Roman" w:hAnsi="Times New Roman" w:cs="Times New Roman"/>
          <w:i/>
          <w:iCs/>
        </w:rPr>
        <w:t>Econometric Analysis</w:t>
      </w:r>
      <w:r w:rsidRPr="00A43F97">
        <w:rPr>
          <w:rFonts w:ascii="Times New Roman" w:hAnsi="Times New Roman" w:cs="Times New Roman"/>
        </w:rPr>
        <w:t>. Upper Saddle River, NJ: Prentice Hal</w:t>
      </w:r>
      <w:r>
        <w:rPr>
          <w:rFonts w:ascii="Times New Roman" w:hAnsi="Times New Roman" w:cs="Times New Roman"/>
        </w:rPr>
        <w:t>.</w:t>
      </w:r>
    </w:p>
    <w:p w14:paraId="14B0D572"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Hoerl, R. W., &amp; Snee, R. D. (2020). </w:t>
      </w:r>
      <w:r w:rsidRPr="00A43F97">
        <w:rPr>
          <w:rFonts w:ascii="Times New Roman" w:hAnsi="Times New Roman" w:cs="Times New Roman"/>
          <w:i/>
          <w:iCs/>
        </w:rPr>
        <w:t>Statistical thinking: Improving business performance</w:t>
      </w:r>
      <w:r w:rsidRPr="00A43F97">
        <w:rPr>
          <w:rFonts w:ascii="Times New Roman" w:hAnsi="Times New Roman" w:cs="Times New Roman"/>
        </w:rPr>
        <w:t xml:space="preserve"> (3rd ed.). John Wiley &amp; Sons.</w:t>
      </w:r>
    </w:p>
    <w:p w14:paraId="5EF943F7"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Kabeer, N. (1999). Resources, agency, achievements: Reflections on the measurement of women's empowerment. </w:t>
      </w:r>
      <w:r w:rsidRPr="00A43F97">
        <w:rPr>
          <w:rFonts w:ascii="Times New Roman" w:hAnsi="Times New Roman" w:cs="Times New Roman"/>
          <w:i/>
          <w:iCs/>
        </w:rPr>
        <w:t>Development and Change, 30</w:t>
      </w:r>
      <w:r w:rsidRPr="00A43F97">
        <w:rPr>
          <w:rFonts w:ascii="Times New Roman" w:hAnsi="Times New Roman" w:cs="Times New Roman"/>
        </w:rPr>
        <w:t xml:space="preserve">(3), 435–464. </w:t>
      </w:r>
      <w:hyperlink r:id="rId12" w:history="1">
        <w:r w:rsidRPr="00A43F97">
          <w:rPr>
            <w:rStyle w:val="Hyperlink"/>
            <w:rFonts w:ascii="Times New Roman" w:hAnsi="Times New Roman" w:cs="Times New Roman"/>
          </w:rPr>
          <w:t>https://doi.org/10.1111/1467-7660.00125</w:t>
        </w:r>
      </w:hyperlink>
      <w:r w:rsidRPr="00A43F97">
        <w:rPr>
          <w:rFonts w:ascii="Times New Roman" w:hAnsi="Times New Roman" w:cs="Times New Roman"/>
        </w:rPr>
        <w:t>.</w:t>
      </w:r>
    </w:p>
    <w:p w14:paraId="1BB1347F" w14:textId="77777777" w:rsidR="007D3737" w:rsidRPr="00A43F97" w:rsidRDefault="007D3737" w:rsidP="00EC078F">
      <w:pPr>
        <w:jc w:val="both"/>
        <w:rPr>
          <w:rFonts w:ascii="Times New Roman" w:hAnsi="Times New Roman" w:cs="Times New Roman"/>
        </w:rPr>
      </w:pPr>
      <w:r w:rsidRPr="00A43F97">
        <w:rPr>
          <w:rFonts w:ascii="Times New Roman" w:hAnsi="Times New Roman" w:cs="Times New Roman"/>
        </w:rPr>
        <w:t xml:space="preserve">Kenyatta, G. N. (2023). The political participation of women in Kenya. </w:t>
      </w:r>
      <w:r w:rsidRPr="00A43F97">
        <w:rPr>
          <w:rFonts w:ascii="Times New Roman" w:hAnsi="Times New Roman" w:cs="Times New Roman"/>
          <w:i/>
          <w:iCs/>
        </w:rPr>
        <w:t>Journal of International Women's Studies, 25</w:t>
      </w:r>
      <w:r w:rsidRPr="00A43F97">
        <w:rPr>
          <w:rFonts w:ascii="Times New Roman" w:hAnsi="Times New Roman" w:cs="Times New Roman"/>
        </w:rPr>
        <w:t xml:space="preserve">(2), Article 5. </w:t>
      </w:r>
      <w:hyperlink r:id="rId13" w:history="1">
        <w:r w:rsidRPr="00A43F97">
          <w:rPr>
            <w:rStyle w:val="Hyperlink"/>
            <w:rFonts w:ascii="Times New Roman" w:hAnsi="Times New Roman" w:cs="Times New Roman"/>
          </w:rPr>
          <w:t>https://vc.bridgew.edu/jiws/vol25/iss2/5</w:t>
        </w:r>
      </w:hyperlink>
    </w:p>
    <w:p w14:paraId="7837B6D6" w14:textId="77777777" w:rsidR="007D3737" w:rsidRPr="00A43F97" w:rsidRDefault="007D3737">
      <w:pPr>
        <w:rPr>
          <w:rFonts w:ascii="Times New Roman" w:hAnsi="Times New Roman" w:cs="Times New Roman"/>
        </w:rPr>
      </w:pPr>
      <w:proofErr w:type="spellStart"/>
      <w:r w:rsidRPr="00A43F97">
        <w:rPr>
          <w:rFonts w:ascii="Times New Roman" w:hAnsi="Times New Roman" w:cs="Times New Roman"/>
        </w:rPr>
        <w:t>Kilimo</w:t>
      </w:r>
      <w:proofErr w:type="spellEnd"/>
      <w:r w:rsidRPr="00A43F97">
        <w:rPr>
          <w:rFonts w:ascii="Times New Roman" w:hAnsi="Times New Roman" w:cs="Times New Roman"/>
        </w:rPr>
        <w:t xml:space="preserve">, M. J. (2022). 'You can't do politics without money': female politicians, matronage, and the limits of gender quotas in Kenya. </w:t>
      </w:r>
      <w:r w:rsidRPr="00A43F97">
        <w:rPr>
          <w:rFonts w:ascii="Times New Roman" w:hAnsi="Times New Roman" w:cs="Times New Roman"/>
          <w:i/>
          <w:iCs/>
        </w:rPr>
        <w:t>Africa</w:t>
      </w:r>
      <w:r w:rsidRPr="00A43F97">
        <w:rPr>
          <w:rFonts w:ascii="Times New Roman" w:hAnsi="Times New Roman" w:cs="Times New Roman"/>
        </w:rPr>
        <w:t>, 92(2), 210–229.</w:t>
      </w:r>
    </w:p>
    <w:p w14:paraId="0C6E339F" w14:textId="77777777" w:rsidR="007D3737" w:rsidRPr="00A43F97" w:rsidRDefault="007D3737">
      <w:pPr>
        <w:rPr>
          <w:rFonts w:ascii="Times New Roman" w:hAnsi="Times New Roman" w:cs="Times New Roman"/>
        </w:rPr>
      </w:pPr>
      <w:r w:rsidRPr="00A43F97">
        <w:rPr>
          <w:rFonts w:ascii="Times New Roman" w:hAnsi="Times New Roman" w:cs="Times New Roman"/>
        </w:rPr>
        <w:t xml:space="preserve">Kiplimo, G., &amp; </w:t>
      </w:r>
      <w:proofErr w:type="spellStart"/>
      <w:r w:rsidRPr="00A43F97">
        <w:rPr>
          <w:rFonts w:ascii="Times New Roman" w:hAnsi="Times New Roman" w:cs="Times New Roman"/>
        </w:rPr>
        <w:t>Amunga</w:t>
      </w:r>
      <w:proofErr w:type="spellEnd"/>
      <w:r w:rsidRPr="00A43F97">
        <w:rPr>
          <w:rFonts w:ascii="Times New Roman" w:hAnsi="Times New Roman" w:cs="Times New Roman"/>
        </w:rPr>
        <w:t xml:space="preserve">, H. (2021). </w:t>
      </w:r>
      <w:r w:rsidRPr="00A43F97">
        <w:rPr>
          <w:rFonts w:ascii="Times New Roman" w:hAnsi="Times New Roman" w:cs="Times New Roman"/>
          <w:i/>
          <w:iCs/>
        </w:rPr>
        <w:t>Women's participation in governance and political processes in Kenya: Threats and proposed remedies</w:t>
      </w:r>
      <w:r w:rsidRPr="00A43F97">
        <w:rPr>
          <w:rFonts w:ascii="Times New Roman" w:hAnsi="Times New Roman" w:cs="Times New Roman"/>
        </w:rPr>
        <w:t xml:space="preserve">. </w:t>
      </w:r>
      <w:r w:rsidRPr="00A43F97">
        <w:rPr>
          <w:rFonts w:ascii="Times New Roman" w:hAnsi="Times New Roman" w:cs="Times New Roman"/>
          <w:i/>
          <w:iCs/>
        </w:rPr>
        <w:t>IARS' International Research Journal, 11</w:t>
      </w:r>
      <w:r w:rsidRPr="00A43F97">
        <w:rPr>
          <w:rFonts w:ascii="Times New Roman" w:hAnsi="Times New Roman" w:cs="Times New Roman"/>
        </w:rPr>
        <w:t>(2), 46–54.</w:t>
      </w:r>
    </w:p>
    <w:p w14:paraId="7ABF023F"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Kotler, P., &amp; Armstrong, G. (2018). </w:t>
      </w:r>
      <w:r w:rsidRPr="00A43F97">
        <w:rPr>
          <w:rFonts w:ascii="Times New Roman" w:hAnsi="Times New Roman" w:cs="Times New Roman"/>
          <w:i/>
          <w:iCs/>
        </w:rPr>
        <w:t>Principles of marketing</w:t>
      </w:r>
      <w:r w:rsidRPr="00A43F97">
        <w:rPr>
          <w:rFonts w:ascii="Times New Roman" w:hAnsi="Times New Roman" w:cs="Times New Roman"/>
        </w:rPr>
        <w:t xml:space="preserve"> (11th ed.). Prentice Hall.</w:t>
      </w:r>
    </w:p>
    <w:p w14:paraId="0CC62087" w14:textId="77777777" w:rsidR="007D3737" w:rsidRPr="00A43F97" w:rsidRDefault="007D3737" w:rsidP="00AD54C8">
      <w:pPr>
        <w:rPr>
          <w:rFonts w:ascii="Times New Roman" w:hAnsi="Times New Roman" w:cs="Times New Roman"/>
        </w:rPr>
      </w:pPr>
      <w:r w:rsidRPr="00A43F97">
        <w:rPr>
          <w:rFonts w:ascii="Times New Roman" w:hAnsi="Times New Roman" w:cs="Times New Roman"/>
        </w:rPr>
        <w:t xml:space="preserve">Kumar, I. (2020). Political participation of women in India. </w:t>
      </w:r>
      <w:r w:rsidRPr="00A43F97">
        <w:rPr>
          <w:rFonts w:ascii="Times New Roman" w:hAnsi="Times New Roman" w:cs="Times New Roman"/>
          <w:i/>
          <w:iCs/>
        </w:rPr>
        <w:t>IOSR Journal of Humanities and Social Science, 25</w:t>
      </w:r>
      <w:r w:rsidRPr="00A43F97">
        <w:rPr>
          <w:rFonts w:ascii="Times New Roman" w:hAnsi="Times New Roman" w:cs="Times New Roman"/>
        </w:rPr>
        <w:t xml:space="preserve">(10), 31–36. </w:t>
      </w:r>
      <w:hyperlink r:id="rId14" w:tgtFrame="_new" w:history="1">
        <w:r w:rsidRPr="00A43F97">
          <w:rPr>
            <w:rStyle w:val="Hyperlink"/>
            <w:rFonts w:ascii="Times New Roman" w:hAnsi="Times New Roman" w:cs="Times New Roman"/>
          </w:rPr>
          <w:t>https://doi.org/10.9790/0837-2510043136</w:t>
        </w:r>
      </w:hyperlink>
      <w:r w:rsidRPr="00A43F97">
        <w:rPr>
          <w:rFonts w:ascii="Times New Roman" w:hAnsi="Times New Roman" w:cs="Times New Roman"/>
        </w:rPr>
        <w:t>.</w:t>
      </w:r>
    </w:p>
    <w:p w14:paraId="27DA956A" w14:textId="77777777" w:rsidR="007D3737" w:rsidRPr="00A43F97" w:rsidRDefault="007D3737">
      <w:pPr>
        <w:rPr>
          <w:rFonts w:ascii="Times New Roman" w:hAnsi="Times New Roman" w:cs="Times New Roman"/>
        </w:rPr>
      </w:pPr>
      <w:r w:rsidRPr="0011301C">
        <w:rPr>
          <w:rFonts w:ascii="Times New Roman" w:hAnsi="Times New Roman" w:cs="Times New Roman"/>
        </w:rPr>
        <w:t xml:space="preserve">Miles, M. B., Huberman, A. M., &amp; Saldaña, J. (2019). </w:t>
      </w:r>
      <w:r w:rsidRPr="0011301C">
        <w:rPr>
          <w:rFonts w:ascii="Times New Roman" w:hAnsi="Times New Roman" w:cs="Times New Roman"/>
          <w:i/>
          <w:iCs/>
        </w:rPr>
        <w:t>Qualitative data analysis: A methods sourcebook</w:t>
      </w:r>
      <w:r w:rsidRPr="0011301C">
        <w:rPr>
          <w:rFonts w:ascii="Times New Roman" w:hAnsi="Times New Roman" w:cs="Times New Roman"/>
        </w:rPr>
        <w:t xml:space="preserve"> (4th ed.). SAGE Publications.</w:t>
      </w:r>
    </w:p>
    <w:p w14:paraId="07A2CA18"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Mohanty, C. T. (1988). </w:t>
      </w:r>
      <w:r w:rsidRPr="00A43F97">
        <w:rPr>
          <w:rFonts w:ascii="Times New Roman" w:hAnsi="Times New Roman" w:cs="Times New Roman"/>
          <w:i/>
          <w:iCs/>
        </w:rPr>
        <w:t>Under Western Eyes: Feminist Scholarship and Colonial Discourses</w:t>
      </w:r>
      <w:r w:rsidRPr="00A43F97">
        <w:rPr>
          <w:rFonts w:ascii="Times New Roman" w:hAnsi="Times New Roman" w:cs="Times New Roman"/>
        </w:rPr>
        <w:t>. Feminist Review, 30, 61-88.</w:t>
      </w:r>
    </w:p>
    <w:p w14:paraId="0B2FB23F" w14:textId="77777777" w:rsidR="007D3737" w:rsidRPr="00A43F97" w:rsidRDefault="007D3737">
      <w:pPr>
        <w:rPr>
          <w:rFonts w:ascii="Times New Roman" w:hAnsi="Times New Roman" w:cs="Times New Roman"/>
        </w:rPr>
      </w:pPr>
      <w:r w:rsidRPr="00A43F97">
        <w:rPr>
          <w:rFonts w:ascii="Times New Roman" w:hAnsi="Times New Roman" w:cs="Times New Roman"/>
        </w:rPr>
        <w:t xml:space="preserve">Mugenda, O. M., &amp; Mugenda, A. G. (2003). </w:t>
      </w:r>
      <w:r w:rsidRPr="00A43F97">
        <w:rPr>
          <w:rFonts w:ascii="Times New Roman" w:hAnsi="Times New Roman" w:cs="Times New Roman"/>
          <w:i/>
          <w:iCs/>
        </w:rPr>
        <w:t>Research methods: Quantitative and qualitative approaches.</w:t>
      </w:r>
      <w:r w:rsidRPr="00A43F97">
        <w:rPr>
          <w:rFonts w:ascii="Times New Roman" w:hAnsi="Times New Roman" w:cs="Times New Roman"/>
        </w:rPr>
        <w:t xml:space="preserve"> African Centre for Technology Studies (ACTS) Press.</w:t>
      </w:r>
    </w:p>
    <w:p w14:paraId="3FD5BEDA" w14:textId="77777777" w:rsidR="007D3737" w:rsidRPr="00A43F97" w:rsidRDefault="007D3737" w:rsidP="00F6384A">
      <w:pPr>
        <w:rPr>
          <w:rFonts w:ascii="Times New Roman" w:hAnsi="Times New Roman" w:cs="Times New Roman"/>
        </w:rPr>
      </w:pPr>
      <w:r w:rsidRPr="00A43F97">
        <w:rPr>
          <w:rFonts w:ascii="Times New Roman" w:hAnsi="Times New Roman" w:cs="Times New Roman"/>
        </w:rPr>
        <w:t xml:space="preserve">Mukhwana, L. N., &amp; Mukhwana, E. S. (2023). Contextual factors influencing women's participation in political leadership in Kakamega County, Kenya. </w:t>
      </w:r>
      <w:r w:rsidRPr="00A43F97">
        <w:rPr>
          <w:rFonts w:ascii="Times New Roman" w:hAnsi="Times New Roman" w:cs="Times New Roman"/>
          <w:i/>
          <w:iCs/>
        </w:rPr>
        <w:t>International Journal of Research and Innovation in Social Science, 7</w:t>
      </w:r>
      <w:r w:rsidRPr="00A43F97">
        <w:rPr>
          <w:rFonts w:ascii="Times New Roman" w:hAnsi="Times New Roman" w:cs="Times New Roman"/>
        </w:rPr>
        <w:t>(6), 509–529.</w:t>
      </w:r>
    </w:p>
    <w:p w14:paraId="0607923B" w14:textId="77777777" w:rsidR="007D3737" w:rsidRDefault="007D3737" w:rsidP="00A43F97">
      <w:pPr>
        <w:rPr>
          <w:rFonts w:ascii="Times New Roman" w:hAnsi="Times New Roman" w:cs="Times New Roman"/>
        </w:rPr>
      </w:pPr>
      <w:r w:rsidRPr="00A43F97">
        <w:rPr>
          <w:rFonts w:ascii="Times New Roman" w:hAnsi="Times New Roman" w:cs="Times New Roman"/>
        </w:rPr>
        <w:t xml:space="preserve">Narayan, D., &amp; Cassidy, M. F. (2001). A dimensional approach to measuring social capital: Development and validation of a social capital inventory. </w:t>
      </w:r>
      <w:r w:rsidRPr="00A43F97">
        <w:rPr>
          <w:rFonts w:ascii="Times New Roman" w:hAnsi="Times New Roman" w:cs="Times New Roman"/>
          <w:i/>
          <w:iCs/>
        </w:rPr>
        <w:t>Current Sociology, 49</w:t>
      </w:r>
      <w:r w:rsidRPr="00A43F97">
        <w:rPr>
          <w:rFonts w:ascii="Times New Roman" w:hAnsi="Times New Roman" w:cs="Times New Roman"/>
        </w:rPr>
        <w:t>(2), 59–102.</w:t>
      </w:r>
    </w:p>
    <w:p w14:paraId="6B819D86" w14:textId="77777777" w:rsidR="007D3737" w:rsidRPr="00A43F97" w:rsidRDefault="007D3737" w:rsidP="00A43F97">
      <w:pPr>
        <w:rPr>
          <w:rFonts w:ascii="Times New Roman" w:hAnsi="Times New Roman" w:cs="Times New Roman"/>
        </w:rPr>
      </w:pPr>
      <w:r w:rsidRPr="00863D68">
        <w:rPr>
          <w:rFonts w:ascii="Times New Roman" w:hAnsi="Times New Roman" w:cs="Times New Roman"/>
        </w:rPr>
        <w:t xml:space="preserve">National Democratic Institute. (2021). </w:t>
      </w:r>
      <w:r w:rsidRPr="00863D68">
        <w:rPr>
          <w:rFonts w:ascii="Times New Roman" w:hAnsi="Times New Roman" w:cs="Times New Roman"/>
          <w:i/>
          <w:iCs/>
        </w:rPr>
        <w:t>Women’s political participation at the national level</w:t>
      </w:r>
      <w:r w:rsidRPr="00863D68">
        <w:rPr>
          <w:rFonts w:ascii="Times New Roman" w:hAnsi="Times New Roman" w:cs="Times New Roman"/>
        </w:rPr>
        <w:t xml:space="preserve">. National Democratic Institute. Retrieved from </w:t>
      </w:r>
      <w:hyperlink r:id="rId15" w:history="1">
        <w:r w:rsidRPr="00863D68">
          <w:rPr>
            <w:rStyle w:val="Hyperlink"/>
            <w:rFonts w:ascii="Times New Roman" w:hAnsi="Times New Roman" w:cs="Times New Roman"/>
          </w:rPr>
          <w:t>https://canwach.ca/project/womens-political-participation-at-the-national-level/</w:t>
        </w:r>
      </w:hyperlink>
    </w:p>
    <w:p w14:paraId="66851171" w14:textId="77777777" w:rsidR="007D3737" w:rsidRPr="00A43F97" w:rsidRDefault="007D3737" w:rsidP="00F6384A">
      <w:pPr>
        <w:rPr>
          <w:rFonts w:ascii="Times New Roman" w:hAnsi="Times New Roman" w:cs="Times New Roman"/>
        </w:rPr>
      </w:pPr>
      <w:r w:rsidRPr="00A43F97">
        <w:rPr>
          <w:rFonts w:ascii="Times New Roman" w:hAnsi="Times New Roman" w:cs="Times New Roman"/>
        </w:rPr>
        <w:lastRenderedPageBreak/>
        <w:t xml:space="preserve">Norris, P., &amp; Lovenduski, J. (1995). </w:t>
      </w:r>
      <w:r w:rsidRPr="00A43F97">
        <w:rPr>
          <w:rFonts w:ascii="Times New Roman" w:hAnsi="Times New Roman" w:cs="Times New Roman"/>
          <w:i/>
          <w:iCs/>
        </w:rPr>
        <w:t>Political recruitment: Gender, race and class in the British Parliament</w:t>
      </w:r>
      <w:r w:rsidRPr="00A43F97">
        <w:rPr>
          <w:rFonts w:ascii="Times New Roman" w:hAnsi="Times New Roman" w:cs="Times New Roman"/>
        </w:rPr>
        <w:t>. Cambridge University Press.</w:t>
      </w:r>
    </w:p>
    <w:p w14:paraId="19FB0E52" w14:textId="77777777" w:rsidR="007D3737" w:rsidRPr="00A43F97" w:rsidRDefault="007D3737" w:rsidP="00F6384A">
      <w:pPr>
        <w:rPr>
          <w:rFonts w:ascii="Times New Roman" w:hAnsi="Times New Roman" w:cs="Times New Roman"/>
        </w:rPr>
      </w:pPr>
      <w:r w:rsidRPr="00A43F97">
        <w:rPr>
          <w:rFonts w:ascii="Times New Roman" w:hAnsi="Times New Roman" w:cs="Times New Roman"/>
        </w:rPr>
        <w:t xml:space="preserve">Nzomo, M. (2021). Women in political leadership in Kenya: Access, agenda setting &amp; accountability. In </w:t>
      </w:r>
      <w:r w:rsidRPr="00A43F97">
        <w:rPr>
          <w:rFonts w:ascii="Times New Roman" w:hAnsi="Times New Roman" w:cs="Times New Roman"/>
          <w:i/>
          <w:iCs/>
        </w:rPr>
        <w:t>A Training Manual for Women in Political Leadership</w:t>
      </w:r>
      <w:r w:rsidRPr="00A43F97">
        <w:rPr>
          <w:rFonts w:ascii="Times New Roman" w:hAnsi="Times New Roman" w:cs="Times New Roman"/>
        </w:rPr>
        <w:t xml:space="preserve">. </w:t>
      </w:r>
      <w:proofErr w:type="spellStart"/>
      <w:r w:rsidRPr="00A43F97">
        <w:rPr>
          <w:rFonts w:ascii="Times New Roman" w:hAnsi="Times New Roman" w:cs="Times New Roman"/>
        </w:rPr>
        <w:t>iKNOW</w:t>
      </w:r>
      <w:proofErr w:type="spellEnd"/>
      <w:r w:rsidRPr="00A43F97">
        <w:rPr>
          <w:rFonts w:ascii="Times New Roman" w:hAnsi="Times New Roman" w:cs="Times New Roman"/>
        </w:rPr>
        <w:t xml:space="preserve"> Politics / KAS. </w:t>
      </w:r>
      <w:hyperlink r:id="rId16" w:history="1">
        <w:r w:rsidRPr="00A43F97">
          <w:rPr>
            <w:rStyle w:val="Hyperlink"/>
            <w:rFonts w:ascii="Times New Roman" w:hAnsi="Times New Roman" w:cs="Times New Roman"/>
          </w:rPr>
          <w:t>https://iknowpolitics.org/sites/default/files/kas.pdf</w:t>
        </w:r>
      </w:hyperlink>
      <w:r w:rsidRPr="00A43F97">
        <w:rPr>
          <w:rFonts w:ascii="Times New Roman" w:hAnsi="Times New Roman" w:cs="Times New Roman"/>
        </w:rPr>
        <w:t xml:space="preserve"> </w:t>
      </w:r>
    </w:p>
    <w:p w14:paraId="4F611357" w14:textId="77777777" w:rsidR="007D3737" w:rsidRPr="00A43F97" w:rsidRDefault="007D3737" w:rsidP="00B93FFB">
      <w:pPr>
        <w:rPr>
          <w:rFonts w:ascii="Times New Roman" w:hAnsi="Times New Roman" w:cs="Times New Roman"/>
        </w:rPr>
      </w:pPr>
      <w:r w:rsidRPr="00A43F97">
        <w:rPr>
          <w:rFonts w:ascii="Times New Roman" w:hAnsi="Times New Roman" w:cs="Times New Roman"/>
        </w:rPr>
        <w:t xml:space="preserve">Ochieng, O., &amp; </w:t>
      </w:r>
      <w:proofErr w:type="spellStart"/>
      <w:r w:rsidRPr="00A43F97">
        <w:rPr>
          <w:rFonts w:ascii="Times New Roman" w:hAnsi="Times New Roman" w:cs="Times New Roman"/>
        </w:rPr>
        <w:t>Jattani</w:t>
      </w:r>
      <w:proofErr w:type="spellEnd"/>
      <w:r w:rsidRPr="00A43F97">
        <w:rPr>
          <w:rFonts w:ascii="Times New Roman" w:hAnsi="Times New Roman" w:cs="Times New Roman"/>
        </w:rPr>
        <w:t xml:space="preserve">, D. (2022, April 7). </w:t>
      </w:r>
      <w:r w:rsidRPr="00A43F97">
        <w:rPr>
          <w:rFonts w:ascii="Times New Roman" w:hAnsi="Times New Roman" w:cs="Times New Roman"/>
          <w:i/>
          <w:iCs/>
        </w:rPr>
        <w:t>The role of education in women's political participation in Kenya</w:t>
      </w:r>
      <w:r w:rsidRPr="00A43F97">
        <w:rPr>
          <w:rFonts w:ascii="Times New Roman" w:hAnsi="Times New Roman" w:cs="Times New Roman"/>
        </w:rPr>
        <w:t xml:space="preserve">. Democracy in Africa. </w:t>
      </w:r>
      <w:hyperlink r:id="rId17" w:history="1">
        <w:r w:rsidRPr="00A43F97">
          <w:rPr>
            <w:rStyle w:val="Hyperlink"/>
            <w:rFonts w:ascii="Times New Roman" w:hAnsi="Times New Roman" w:cs="Times New Roman"/>
          </w:rPr>
          <w:t>https://democracyinafrica.org/the-role-of-education-in-womens-political-participation-in-kenya/</w:t>
        </w:r>
      </w:hyperlink>
    </w:p>
    <w:p w14:paraId="5A2FC93F" w14:textId="77777777" w:rsidR="007D3737" w:rsidRDefault="007D3737" w:rsidP="0093553D">
      <w:pPr>
        <w:spacing w:after="180" w:line="360" w:lineRule="auto"/>
        <w:ind w:left="720" w:hanging="720"/>
        <w:jc w:val="both"/>
        <w:rPr>
          <w:rFonts w:ascii="Times New Roman" w:hAnsi="Times New Roman" w:cs="Times New Roman"/>
        </w:rPr>
      </w:pPr>
      <w:r w:rsidRPr="0093553D">
        <w:rPr>
          <w:rFonts w:ascii="Times New Roman" w:hAnsi="Times New Roman" w:cs="Times New Roman"/>
        </w:rPr>
        <w:t xml:space="preserve">Olatunji, O. R., &amp; </w:t>
      </w:r>
      <w:proofErr w:type="spellStart"/>
      <w:r w:rsidRPr="0093553D">
        <w:rPr>
          <w:rFonts w:ascii="Times New Roman" w:hAnsi="Times New Roman" w:cs="Times New Roman"/>
        </w:rPr>
        <w:t>Ojakorotu</w:t>
      </w:r>
      <w:proofErr w:type="spellEnd"/>
      <w:r w:rsidRPr="0093553D">
        <w:rPr>
          <w:rFonts w:ascii="Times New Roman" w:hAnsi="Times New Roman" w:cs="Times New Roman"/>
        </w:rPr>
        <w:t xml:space="preserve">, V. (2022). Elections and electoral violence in Nigeria. </w:t>
      </w:r>
      <w:r w:rsidRPr="0093553D">
        <w:rPr>
          <w:rFonts w:ascii="Times New Roman" w:hAnsi="Times New Roman" w:cs="Times New Roman"/>
          <w:i/>
          <w:iCs/>
        </w:rPr>
        <w:t>Journal of Political Science and International Relations</w:t>
      </w:r>
      <w:r w:rsidRPr="0093553D">
        <w:rPr>
          <w:rFonts w:ascii="Times New Roman" w:hAnsi="Times New Roman" w:cs="Times New Roman"/>
        </w:rPr>
        <w:t>, 7(4), 177-194.</w:t>
      </w:r>
    </w:p>
    <w:p w14:paraId="76484B27" w14:textId="77777777" w:rsidR="007D3737" w:rsidRPr="00A43F97" w:rsidRDefault="007D3737" w:rsidP="00EC078F">
      <w:pPr>
        <w:jc w:val="both"/>
        <w:rPr>
          <w:rFonts w:ascii="Times New Roman" w:hAnsi="Times New Roman" w:cs="Times New Roman"/>
        </w:rPr>
      </w:pPr>
      <w:proofErr w:type="spellStart"/>
      <w:r w:rsidRPr="00A43F97">
        <w:rPr>
          <w:rFonts w:ascii="Times New Roman" w:hAnsi="Times New Roman" w:cs="Times New Roman"/>
        </w:rPr>
        <w:t>Onamu</w:t>
      </w:r>
      <w:proofErr w:type="spellEnd"/>
      <w:r w:rsidRPr="00A43F97">
        <w:rPr>
          <w:rFonts w:ascii="Times New Roman" w:hAnsi="Times New Roman" w:cs="Times New Roman"/>
        </w:rPr>
        <w:t xml:space="preserve">, B. A., Matanga, F. K., &amp; Odhiambo, E. O. S. (2024). Women's political participation opportunities in the Nakuru and Narok Counties of Kenya. </w:t>
      </w:r>
      <w:r w:rsidRPr="00A43F97">
        <w:rPr>
          <w:rFonts w:ascii="Times New Roman" w:hAnsi="Times New Roman" w:cs="Times New Roman"/>
          <w:i/>
          <w:iCs/>
        </w:rPr>
        <w:t>African Journal of Empirical Research, 5</w:t>
      </w:r>
      <w:r w:rsidRPr="00A43F97">
        <w:rPr>
          <w:rFonts w:ascii="Times New Roman" w:hAnsi="Times New Roman" w:cs="Times New Roman"/>
        </w:rPr>
        <w:t xml:space="preserve">(4). </w:t>
      </w:r>
      <w:hyperlink r:id="rId18" w:history="1">
        <w:r w:rsidRPr="00A43F97">
          <w:rPr>
            <w:rStyle w:val="Hyperlink"/>
            <w:rFonts w:ascii="Times New Roman" w:hAnsi="Times New Roman" w:cs="Times New Roman"/>
          </w:rPr>
          <w:t>https://ajernet.net/ojs/index.php/ajernet/article/view/863</w:t>
        </w:r>
      </w:hyperlink>
    </w:p>
    <w:p w14:paraId="4E780C21" w14:textId="77777777" w:rsidR="007D3737" w:rsidRPr="00A43F97" w:rsidRDefault="007D3737" w:rsidP="00A43F97">
      <w:pPr>
        <w:rPr>
          <w:rFonts w:ascii="Times New Roman" w:hAnsi="Times New Roman" w:cs="Times New Roman"/>
        </w:rPr>
      </w:pPr>
      <w:proofErr w:type="spellStart"/>
      <w:r w:rsidRPr="00A43F97">
        <w:rPr>
          <w:rFonts w:ascii="Times New Roman" w:hAnsi="Times New Roman" w:cs="Times New Roman"/>
        </w:rPr>
        <w:t>Oshewolo</w:t>
      </w:r>
      <w:proofErr w:type="spellEnd"/>
      <w:r w:rsidRPr="00A43F97">
        <w:rPr>
          <w:rFonts w:ascii="Times New Roman" w:hAnsi="Times New Roman" w:cs="Times New Roman"/>
        </w:rPr>
        <w:t xml:space="preserve">, S., &amp; </w:t>
      </w:r>
      <w:proofErr w:type="spellStart"/>
      <w:r w:rsidRPr="00A43F97">
        <w:rPr>
          <w:rFonts w:ascii="Times New Roman" w:hAnsi="Times New Roman" w:cs="Times New Roman"/>
        </w:rPr>
        <w:t>Adedire</w:t>
      </w:r>
      <w:proofErr w:type="spellEnd"/>
      <w:r w:rsidRPr="00A43F97">
        <w:rPr>
          <w:rFonts w:ascii="Times New Roman" w:hAnsi="Times New Roman" w:cs="Times New Roman"/>
        </w:rPr>
        <w:t xml:space="preserve">, S. (2019). Gender representation in Nigeria’s national assembly under the fourth republic. In J. Y. </w:t>
      </w:r>
      <w:proofErr w:type="spellStart"/>
      <w:r w:rsidRPr="00A43F97">
        <w:rPr>
          <w:rFonts w:ascii="Times New Roman" w:hAnsi="Times New Roman" w:cs="Times New Roman"/>
        </w:rPr>
        <w:t>Fashagba</w:t>
      </w:r>
      <w:proofErr w:type="spellEnd"/>
      <w:r w:rsidRPr="00A43F97">
        <w:rPr>
          <w:rFonts w:ascii="Times New Roman" w:hAnsi="Times New Roman" w:cs="Times New Roman"/>
        </w:rPr>
        <w:t xml:space="preserve">, O. R. M. Ajayi, &amp; C. </w:t>
      </w:r>
      <w:proofErr w:type="spellStart"/>
      <w:r w:rsidRPr="00A43F97">
        <w:rPr>
          <w:rFonts w:ascii="Times New Roman" w:hAnsi="Times New Roman" w:cs="Times New Roman"/>
        </w:rPr>
        <w:t>Nwankwor</w:t>
      </w:r>
      <w:proofErr w:type="spellEnd"/>
      <w:r w:rsidRPr="00A43F97">
        <w:rPr>
          <w:rFonts w:ascii="Times New Roman" w:hAnsi="Times New Roman" w:cs="Times New Roman"/>
        </w:rPr>
        <w:t xml:space="preserve"> (Eds.), </w:t>
      </w:r>
      <w:r w:rsidRPr="00A43F97">
        <w:rPr>
          <w:rFonts w:ascii="Times New Roman" w:hAnsi="Times New Roman" w:cs="Times New Roman"/>
          <w:i/>
          <w:iCs/>
        </w:rPr>
        <w:t>The Nigerian National Assembly</w:t>
      </w:r>
      <w:r w:rsidRPr="00A43F97">
        <w:rPr>
          <w:rFonts w:ascii="Times New Roman" w:hAnsi="Times New Roman" w:cs="Times New Roman"/>
        </w:rPr>
        <w:t xml:space="preserve"> (pp. 189–198). Springer. </w:t>
      </w:r>
      <w:hyperlink r:id="rId19" w:tgtFrame="_new" w:history="1">
        <w:r w:rsidRPr="00A43F97">
          <w:rPr>
            <w:rStyle w:val="Hyperlink"/>
            <w:rFonts w:ascii="Times New Roman" w:hAnsi="Times New Roman" w:cs="Times New Roman"/>
          </w:rPr>
          <w:t>https://doi.org/10.1007/978-3-030-11905-8</w:t>
        </w:r>
      </w:hyperlink>
      <w:r w:rsidRPr="00A43F97">
        <w:rPr>
          <w:rFonts w:ascii="Times New Roman" w:hAnsi="Times New Roman" w:cs="Times New Roman"/>
        </w:rPr>
        <w:t>.</w:t>
      </w:r>
    </w:p>
    <w:p w14:paraId="6E763CA8" w14:textId="77777777" w:rsidR="007D3737" w:rsidRPr="00A43F97" w:rsidRDefault="007D3737" w:rsidP="00D61F6F">
      <w:pPr>
        <w:spacing w:after="200" w:line="360" w:lineRule="auto"/>
        <w:ind w:left="720" w:hanging="720"/>
        <w:jc w:val="both"/>
        <w:rPr>
          <w:rFonts w:ascii="Times New Roman" w:hAnsi="Times New Roman" w:cs="Times New Roman"/>
        </w:rPr>
      </w:pPr>
      <w:r w:rsidRPr="00A43F97">
        <w:rPr>
          <w:rFonts w:ascii="Times New Roman" w:hAnsi="Times New Roman" w:cs="Times New Roman"/>
        </w:rPr>
        <w:t>Ouko, R. A. (2024). Women and political participation at county government in Kenya. Daystar University Repository.</w:t>
      </w:r>
    </w:p>
    <w:p w14:paraId="4901DDBC"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Pallant, J. (2020). </w:t>
      </w:r>
      <w:r w:rsidRPr="00A43F97">
        <w:rPr>
          <w:rFonts w:ascii="Times New Roman" w:hAnsi="Times New Roman" w:cs="Times New Roman"/>
          <w:i/>
          <w:iCs/>
        </w:rPr>
        <w:t xml:space="preserve">SPSS survival manual: A </w:t>
      </w:r>
      <w:proofErr w:type="gramStart"/>
      <w:r w:rsidRPr="00A43F97">
        <w:rPr>
          <w:rFonts w:ascii="Times New Roman" w:hAnsi="Times New Roman" w:cs="Times New Roman"/>
          <w:i/>
          <w:iCs/>
        </w:rPr>
        <w:t>step by step</w:t>
      </w:r>
      <w:proofErr w:type="gramEnd"/>
      <w:r w:rsidRPr="00A43F97">
        <w:rPr>
          <w:rFonts w:ascii="Times New Roman" w:hAnsi="Times New Roman" w:cs="Times New Roman"/>
          <w:i/>
          <w:iCs/>
        </w:rPr>
        <w:t xml:space="preserve"> guide to data analysis using IBM SPSS</w:t>
      </w:r>
      <w:r w:rsidRPr="00A43F97">
        <w:rPr>
          <w:rFonts w:ascii="Times New Roman" w:hAnsi="Times New Roman" w:cs="Times New Roman"/>
        </w:rPr>
        <w:t xml:space="preserve"> (7th ed.). McGraw-Hill Education.</w:t>
      </w:r>
    </w:p>
    <w:p w14:paraId="67A453EE" w14:textId="77777777" w:rsidR="007D3737" w:rsidRPr="007D3737" w:rsidRDefault="007D3737" w:rsidP="007D3737">
      <w:pPr>
        <w:ind w:left="720" w:hanging="720"/>
        <w:rPr>
          <w:rFonts w:eastAsia="Times New Roman" w:cs="Times New Roman"/>
        </w:rPr>
      </w:pPr>
      <w:r w:rsidRPr="007D3737">
        <w:rPr>
          <w:rFonts w:ascii="Times New Roman" w:eastAsia="Times New Roman" w:hAnsi="Times New Roman" w:cs="Times New Roman"/>
        </w:rPr>
        <w:t xml:space="preserve">Parpart, J. L., Rai, S. M., &amp; Staudt, K. (2002). </w:t>
      </w:r>
      <w:r w:rsidRPr="007D3737">
        <w:rPr>
          <w:rFonts w:ascii="Times New Roman" w:eastAsia="Times New Roman" w:hAnsi="Times New Roman" w:cs="Times New Roman"/>
          <w:i/>
          <w:iCs/>
        </w:rPr>
        <w:t>Rethinking Empowerment: Gender and Development in a Global/Local World</w:t>
      </w:r>
      <w:r w:rsidRPr="007D3737">
        <w:rPr>
          <w:rFonts w:ascii="Times New Roman" w:eastAsia="Times New Roman" w:hAnsi="Times New Roman" w:cs="Times New Roman"/>
        </w:rPr>
        <w:t>. Routledge</w:t>
      </w:r>
      <w:r w:rsidRPr="00ED4567">
        <w:rPr>
          <w:rFonts w:eastAsia="Times New Roman" w:cs="Times New Roman"/>
        </w:rPr>
        <w:t>.</w:t>
      </w:r>
    </w:p>
    <w:p w14:paraId="2634BB1D"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Putnam, R. D. (2000). </w:t>
      </w:r>
      <w:r w:rsidRPr="00A43F97">
        <w:rPr>
          <w:rFonts w:ascii="Times New Roman" w:hAnsi="Times New Roman" w:cs="Times New Roman"/>
          <w:i/>
          <w:iCs/>
        </w:rPr>
        <w:t>Bowling alone: The collapse and revival of American community.</w:t>
      </w:r>
      <w:r w:rsidRPr="00A43F97">
        <w:rPr>
          <w:rFonts w:ascii="Times New Roman" w:hAnsi="Times New Roman" w:cs="Times New Roman"/>
        </w:rPr>
        <w:t xml:space="preserve"> Simon &amp; Schuster.</w:t>
      </w:r>
    </w:p>
    <w:p w14:paraId="4FFAFF5B"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Putnam, R. D., Leonardi, R., &amp; </w:t>
      </w:r>
      <w:proofErr w:type="spellStart"/>
      <w:r w:rsidRPr="00A43F97">
        <w:rPr>
          <w:rFonts w:ascii="Times New Roman" w:hAnsi="Times New Roman" w:cs="Times New Roman"/>
        </w:rPr>
        <w:t>Nanetti</w:t>
      </w:r>
      <w:proofErr w:type="spellEnd"/>
      <w:r w:rsidRPr="00A43F97">
        <w:rPr>
          <w:rFonts w:ascii="Times New Roman" w:hAnsi="Times New Roman" w:cs="Times New Roman"/>
        </w:rPr>
        <w:t xml:space="preserve">, R. Y. (1993). </w:t>
      </w:r>
      <w:r w:rsidRPr="00A43F97">
        <w:rPr>
          <w:rFonts w:ascii="Times New Roman" w:hAnsi="Times New Roman" w:cs="Times New Roman"/>
          <w:i/>
          <w:iCs/>
        </w:rPr>
        <w:t>Making democracy work: Civic traditions in modern Italy.</w:t>
      </w:r>
      <w:r w:rsidRPr="00A43F97">
        <w:rPr>
          <w:rFonts w:ascii="Times New Roman" w:hAnsi="Times New Roman" w:cs="Times New Roman"/>
        </w:rPr>
        <w:t xml:space="preserve"> Princeton University Press.</w:t>
      </w:r>
    </w:p>
    <w:p w14:paraId="6B232C42" w14:textId="0ABAE614" w:rsidR="007D3737" w:rsidRDefault="007D3737" w:rsidP="00D61F6F">
      <w:pPr>
        <w:spacing w:after="180" w:line="360" w:lineRule="auto"/>
        <w:ind w:left="720" w:hanging="720"/>
        <w:jc w:val="both"/>
        <w:rPr>
          <w:rFonts w:ascii="Times New Roman" w:eastAsia="Times New Roman" w:hAnsi="Times New Roman" w:cs="Times New Roman"/>
        </w:rPr>
      </w:pPr>
      <w:r w:rsidRPr="00A43F97">
        <w:rPr>
          <w:rFonts w:ascii="Times New Roman" w:eastAsia="Times New Roman" w:hAnsi="Times New Roman" w:cs="Times New Roman"/>
        </w:rPr>
        <w:t xml:space="preserve">Ranta, E. (2024). Intersecting inequalities in women’s political inclusion in Kenya. </w:t>
      </w:r>
      <w:r w:rsidRPr="00A43F97">
        <w:rPr>
          <w:rFonts w:ascii="Times New Roman" w:eastAsia="Times New Roman" w:hAnsi="Times New Roman" w:cs="Times New Roman"/>
          <w:i/>
          <w:iCs/>
        </w:rPr>
        <w:t>International</w:t>
      </w:r>
      <w:r w:rsidR="00C53CC4">
        <w:rPr>
          <w:rFonts w:ascii="Times New Roman" w:eastAsia="Times New Roman" w:hAnsi="Times New Roman" w:cs="Times New Roman"/>
          <w:i/>
          <w:iCs/>
        </w:rPr>
        <w:t xml:space="preserve"> </w:t>
      </w:r>
      <w:r w:rsidRPr="00A43F97">
        <w:rPr>
          <w:rFonts w:ascii="Times New Roman" w:eastAsia="Times New Roman" w:hAnsi="Times New Roman" w:cs="Times New Roman"/>
          <w:i/>
          <w:iCs/>
        </w:rPr>
        <w:t>Feminist</w:t>
      </w:r>
      <w:r w:rsidR="00C53CC4">
        <w:rPr>
          <w:rFonts w:ascii="Times New Roman" w:eastAsia="Times New Roman" w:hAnsi="Times New Roman" w:cs="Times New Roman"/>
          <w:i/>
          <w:iCs/>
        </w:rPr>
        <w:t xml:space="preserve"> </w:t>
      </w:r>
      <w:r w:rsidRPr="00A43F97">
        <w:rPr>
          <w:rFonts w:ascii="Times New Roman" w:eastAsia="Times New Roman" w:hAnsi="Times New Roman" w:cs="Times New Roman"/>
          <w:i/>
          <w:iCs/>
        </w:rPr>
        <w:t>Journal of Politics</w:t>
      </w:r>
      <w:r w:rsidRPr="00A43F97">
        <w:rPr>
          <w:rFonts w:ascii="Times New Roman" w:eastAsia="Times New Roman" w:hAnsi="Times New Roman" w:cs="Times New Roman"/>
        </w:rPr>
        <w:t xml:space="preserve">, </w:t>
      </w:r>
      <w:r w:rsidRPr="00A43F97">
        <w:rPr>
          <w:rFonts w:ascii="Times New Roman" w:eastAsia="Times New Roman" w:hAnsi="Times New Roman" w:cs="Times New Roman"/>
          <w:i/>
          <w:iCs/>
        </w:rPr>
        <w:t>26</w:t>
      </w:r>
      <w:r w:rsidRPr="00A43F97">
        <w:rPr>
          <w:rFonts w:ascii="Times New Roman" w:eastAsia="Times New Roman" w:hAnsi="Times New Roman" w:cs="Times New Roman"/>
        </w:rPr>
        <w:t xml:space="preserve">(4), 881–902. </w:t>
      </w:r>
      <w:hyperlink r:id="rId20" w:history="1">
        <w:r w:rsidR="00C53CC4" w:rsidRPr="001B20DA">
          <w:rPr>
            <w:rStyle w:val="Hyperlink"/>
            <w:rFonts w:ascii="Times New Roman" w:eastAsia="Times New Roman" w:hAnsi="Times New Roman" w:cs="Times New Roman"/>
          </w:rPr>
          <w:t>https://doi.org/10.1080/14616742.2024.2368215</w:t>
        </w:r>
      </w:hyperlink>
      <w:r w:rsidR="00C53CC4">
        <w:rPr>
          <w:rFonts w:ascii="Times New Roman" w:eastAsia="Times New Roman" w:hAnsi="Times New Roman" w:cs="Times New Roman"/>
        </w:rPr>
        <w:t>.</w:t>
      </w:r>
    </w:p>
    <w:p w14:paraId="41232C3D" w14:textId="77777777" w:rsidR="00C53CC4" w:rsidRPr="00A43F97" w:rsidRDefault="00C53CC4" w:rsidP="00D61F6F">
      <w:pPr>
        <w:spacing w:after="180" w:line="360" w:lineRule="auto"/>
        <w:ind w:left="720" w:hanging="720"/>
        <w:jc w:val="both"/>
        <w:rPr>
          <w:rFonts w:ascii="Times New Roman" w:hAnsi="Times New Roman" w:cs="Times New Roman"/>
        </w:rPr>
      </w:pPr>
    </w:p>
    <w:p w14:paraId="3F65D6E3" w14:textId="77777777" w:rsidR="007D3737" w:rsidRPr="00A43F97" w:rsidRDefault="007D3737">
      <w:pPr>
        <w:rPr>
          <w:rFonts w:ascii="Times New Roman" w:hAnsi="Times New Roman" w:cs="Times New Roman"/>
        </w:rPr>
      </w:pPr>
      <w:proofErr w:type="spellStart"/>
      <w:r w:rsidRPr="00A43F97">
        <w:rPr>
          <w:rFonts w:ascii="Times New Roman" w:hAnsi="Times New Roman" w:cs="Times New Roman"/>
        </w:rPr>
        <w:lastRenderedPageBreak/>
        <w:t>Rusfiana</w:t>
      </w:r>
      <w:proofErr w:type="spellEnd"/>
      <w:r w:rsidRPr="00A43F97">
        <w:rPr>
          <w:rFonts w:ascii="Times New Roman" w:hAnsi="Times New Roman" w:cs="Times New Roman"/>
        </w:rPr>
        <w:t xml:space="preserve">, Y., &amp; Kurniasih, D. (2024). The role of civil society organizations in promoting social and political change in Indonesia. </w:t>
      </w:r>
      <w:r w:rsidRPr="00A43F97">
        <w:rPr>
          <w:rFonts w:ascii="Times New Roman" w:hAnsi="Times New Roman" w:cs="Times New Roman"/>
          <w:i/>
          <w:iCs/>
        </w:rPr>
        <w:t>Journal of Ethnic and Cultural Studies, 11</w:t>
      </w:r>
      <w:r w:rsidRPr="00A43F97">
        <w:rPr>
          <w:rFonts w:ascii="Times New Roman" w:hAnsi="Times New Roman" w:cs="Times New Roman"/>
        </w:rPr>
        <w:t xml:space="preserve">(3), 187–206. </w:t>
      </w:r>
      <w:hyperlink r:id="rId21" w:history="1">
        <w:r w:rsidRPr="00A43F97">
          <w:rPr>
            <w:rStyle w:val="Hyperlink"/>
            <w:rFonts w:ascii="Times New Roman" w:hAnsi="Times New Roman" w:cs="Times New Roman"/>
          </w:rPr>
          <w:t>https://doi.org/10.29333/ejecs/2154</w:t>
        </w:r>
      </w:hyperlink>
    </w:p>
    <w:p w14:paraId="40F1A67F"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Sachin, N., &amp; Rajesh, R. (2022). An empirical study of supply chain sustainability with financial performances of Indian firms. </w:t>
      </w:r>
      <w:r w:rsidRPr="00A43F97">
        <w:rPr>
          <w:rFonts w:ascii="Times New Roman" w:hAnsi="Times New Roman" w:cs="Times New Roman"/>
          <w:i/>
          <w:iCs/>
        </w:rPr>
        <w:t>Environment, Development and Sustainability, 24(5),</w:t>
      </w:r>
      <w:r w:rsidRPr="00A43F97">
        <w:rPr>
          <w:rFonts w:ascii="Times New Roman" w:hAnsi="Times New Roman" w:cs="Times New Roman"/>
        </w:rPr>
        <w:t xml:space="preserve"> 6577–6601. </w:t>
      </w:r>
      <w:hyperlink r:id="rId22" w:tgtFrame="_new" w:history="1">
        <w:r w:rsidRPr="00A43F97">
          <w:rPr>
            <w:rStyle w:val="Hyperlink"/>
            <w:rFonts w:ascii="Times New Roman" w:hAnsi="Times New Roman" w:cs="Times New Roman"/>
          </w:rPr>
          <w:t>https://doi.org/10.1007/s10668-021-01718-8</w:t>
        </w:r>
      </w:hyperlink>
      <w:r w:rsidRPr="00A43F97">
        <w:rPr>
          <w:rFonts w:ascii="Times New Roman" w:hAnsi="Times New Roman" w:cs="Times New Roman"/>
        </w:rPr>
        <w:t>.</w:t>
      </w:r>
    </w:p>
    <w:p w14:paraId="118D1C6C" w14:textId="77777777" w:rsidR="007D3737" w:rsidRPr="00A43F97" w:rsidRDefault="007D3737" w:rsidP="00F6384A">
      <w:pPr>
        <w:rPr>
          <w:rFonts w:ascii="Times New Roman" w:hAnsi="Times New Roman" w:cs="Times New Roman"/>
        </w:rPr>
      </w:pPr>
      <w:proofErr w:type="spellStart"/>
      <w:r w:rsidRPr="00A43F97">
        <w:rPr>
          <w:rFonts w:ascii="Times New Roman" w:hAnsi="Times New Roman" w:cs="Times New Roman"/>
        </w:rPr>
        <w:t>Sanbonmatsu</w:t>
      </w:r>
      <w:proofErr w:type="spellEnd"/>
      <w:r w:rsidRPr="00A43F97">
        <w:rPr>
          <w:rFonts w:ascii="Times New Roman" w:hAnsi="Times New Roman" w:cs="Times New Roman"/>
        </w:rPr>
        <w:t xml:space="preserve">, K., &amp; Dittmar, K. (2020). Are you ready to run? Campaign trainings and women's candidacies in New Jersey. In S. L. Shames, R. I. Bernhard, M. R. Holman, &amp; D. L. Teele (Eds.), </w:t>
      </w:r>
      <w:r w:rsidRPr="00A43F97">
        <w:rPr>
          <w:rFonts w:ascii="Times New Roman" w:hAnsi="Times New Roman" w:cs="Times New Roman"/>
          <w:i/>
          <w:iCs/>
        </w:rPr>
        <w:t>Good reasons to run: Women and political candidacy</w:t>
      </w:r>
      <w:r w:rsidRPr="00A43F97">
        <w:rPr>
          <w:rFonts w:ascii="Times New Roman" w:hAnsi="Times New Roman" w:cs="Times New Roman"/>
        </w:rPr>
        <w:t xml:space="preserve"> (pp. 193–202). Temple University Press.</w:t>
      </w:r>
    </w:p>
    <w:p w14:paraId="6D881D3E"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Sen, A. (1999). </w:t>
      </w:r>
      <w:r w:rsidRPr="00A43F97">
        <w:rPr>
          <w:rFonts w:ascii="Times New Roman" w:hAnsi="Times New Roman" w:cs="Times New Roman"/>
          <w:i/>
          <w:iCs/>
        </w:rPr>
        <w:t>Development as freedom.</w:t>
      </w:r>
      <w:r w:rsidRPr="00A43F97">
        <w:rPr>
          <w:rFonts w:ascii="Times New Roman" w:hAnsi="Times New Roman" w:cs="Times New Roman"/>
        </w:rPr>
        <w:t xml:space="preserve"> Alfred A. Knopf.</w:t>
      </w:r>
    </w:p>
    <w:p w14:paraId="19D6D4B4" w14:textId="77777777" w:rsidR="007D3737" w:rsidRDefault="007D3737" w:rsidP="00D61F6F">
      <w:pPr>
        <w:spacing w:after="180" w:line="360" w:lineRule="auto"/>
        <w:ind w:left="720" w:hanging="720"/>
        <w:jc w:val="both"/>
        <w:rPr>
          <w:rFonts w:ascii="Times New Roman" w:eastAsia="Times New Roman" w:hAnsi="Times New Roman" w:cs="Times New Roman"/>
        </w:rPr>
      </w:pPr>
      <w:r w:rsidRPr="00A43F97">
        <w:rPr>
          <w:rFonts w:ascii="Times New Roman" w:eastAsia="Times New Roman" w:hAnsi="Times New Roman" w:cs="Times New Roman"/>
        </w:rPr>
        <w:t xml:space="preserve">Turay, A., &amp; Kamara, T. (2024). </w:t>
      </w:r>
      <w:r w:rsidRPr="00A43F97">
        <w:rPr>
          <w:rFonts w:ascii="Times New Roman" w:eastAsia="Times New Roman" w:hAnsi="Times New Roman" w:cs="Times New Roman"/>
          <w:i/>
          <w:iCs/>
        </w:rPr>
        <w:t>Civil society's efforts in addressing barriers to women's political participation</w:t>
      </w:r>
      <w:r w:rsidRPr="00A43F97">
        <w:rPr>
          <w:rFonts w:ascii="Times New Roman" w:eastAsia="Times New Roman" w:hAnsi="Times New Roman" w:cs="Times New Roman"/>
        </w:rPr>
        <w:t xml:space="preserve">. </w:t>
      </w:r>
      <w:r w:rsidRPr="00A43F97">
        <w:rPr>
          <w:rFonts w:ascii="Times New Roman" w:eastAsia="Times New Roman" w:hAnsi="Times New Roman" w:cs="Times New Roman"/>
          <w:i/>
          <w:iCs/>
        </w:rPr>
        <w:t>International Journal of Academic Management and Research, 8</w:t>
      </w:r>
      <w:r w:rsidRPr="00A43F97">
        <w:rPr>
          <w:rFonts w:ascii="Times New Roman" w:eastAsia="Times New Roman" w:hAnsi="Times New Roman" w:cs="Times New Roman"/>
        </w:rPr>
        <w:t xml:space="preserve">(7), 183–197 </w:t>
      </w:r>
      <w:r>
        <w:rPr>
          <w:rFonts w:ascii="Times New Roman" w:eastAsia="Times New Roman" w:hAnsi="Times New Roman" w:cs="Times New Roman"/>
        </w:rPr>
        <w:t>.</w:t>
      </w:r>
    </w:p>
    <w:p w14:paraId="61AAB68F" w14:textId="77777777" w:rsidR="007D3737" w:rsidRPr="00A43F97" w:rsidRDefault="007D3737" w:rsidP="00F6384A">
      <w:pPr>
        <w:rPr>
          <w:rFonts w:ascii="Times New Roman" w:hAnsi="Times New Roman" w:cs="Times New Roman"/>
        </w:rPr>
      </w:pPr>
      <w:r w:rsidRPr="00A43F97">
        <w:rPr>
          <w:rFonts w:ascii="Times New Roman" w:hAnsi="Times New Roman" w:cs="Times New Roman"/>
        </w:rPr>
        <w:t xml:space="preserve">Ugwu, J. N., Mbabazi, A., </w:t>
      </w:r>
      <w:proofErr w:type="spellStart"/>
      <w:r w:rsidRPr="00A43F97">
        <w:rPr>
          <w:rFonts w:ascii="Times New Roman" w:hAnsi="Times New Roman" w:cs="Times New Roman"/>
        </w:rPr>
        <w:t>Mulegi</w:t>
      </w:r>
      <w:proofErr w:type="spellEnd"/>
      <w:r w:rsidRPr="00A43F97">
        <w:rPr>
          <w:rFonts w:ascii="Times New Roman" w:hAnsi="Times New Roman" w:cs="Times New Roman"/>
        </w:rPr>
        <w:t xml:space="preserve">, T., Eze, C. E., </w:t>
      </w:r>
      <w:proofErr w:type="spellStart"/>
      <w:r w:rsidRPr="00A43F97">
        <w:rPr>
          <w:rFonts w:ascii="Times New Roman" w:hAnsi="Times New Roman" w:cs="Times New Roman"/>
        </w:rPr>
        <w:t>Aleke</w:t>
      </w:r>
      <w:proofErr w:type="spellEnd"/>
      <w:r w:rsidRPr="00A43F97">
        <w:rPr>
          <w:rFonts w:ascii="Times New Roman" w:hAnsi="Times New Roman" w:cs="Times New Roman"/>
        </w:rPr>
        <w:t xml:space="preserve">, J. U., Puche, R. O., &amp; </w:t>
      </w:r>
      <w:proofErr w:type="spellStart"/>
      <w:r w:rsidRPr="00A43F97">
        <w:rPr>
          <w:rFonts w:ascii="Times New Roman" w:hAnsi="Times New Roman" w:cs="Times New Roman"/>
        </w:rPr>
        <w:t>Mabonga</w:t>
      </w:r>
      <w:proofErr w:type="spellEnd"/>
      <w:r w:rsidRPr="00A43F97">
        <w:rPr>
          <w:rFonts w:ascii="Times New Roman" w:hAnsi="Times New Roman" w:cs="Times New Roman"/>
        </w:rPr>
        <w:t xml:space="preserve">, E. (2023). Mentorship and increased participation of women in politics: A review. </w:t>
      </w:r>
      <w:r w:rsidRPr="00A43F97">
        <w:rPr>
          <w:rFonts w:ascii="Times New Roman" w:hAnsi="Times New Roman" w:cs="Times New Roman"/>
          <w:i/>
          <w:iCs/>
        </w:rPr>
        <w:t>Newport International Journal of Current Research in Humanities and Social Sciences, 3</w:t>
      </w:r>
      <w:r w:rsidRPr="00A43F97">
        <w:rPr>
          <w:rFonts w:ascii="Times New Roman" w:hAnsi="Times New Roman" w:cs="Times New Roman"/>
        </w:rPr>
        <w:t>(2), 10–13</w:t>
      </w:r>
    </w:p>
    <w:p w14:paraId="6D2A7C7D" w14:textId="77777777" w:rsidR="007D3737" w:rsidRPr="00A43F97" w:rsidRDefault="007D3737" w:rsidP="00D61F6F">
      <w:pPr>
        <w:spacing w:after="200" w:line="360" w:lineRule="auto"/>
        <w:ind w:left="720" w:hanging="720"/>
        <w:jc w:val="both"/>
        <w:rPr>
          <w:rFonts w:ascii="Times New Roman" w:hAnsi="Times New Roman" w:cs="Times New Roman"/>
        </w:rPr>
      </w:pPr>
      <w:r w:rsidRPr="00A43F97">
        <w:rPr>
          <w:rFonts w:ascii="Times New Roman" w:eastAsia="Times New Roman" w:hAnsi="Times New Roman" w:cs="Times New Roman"/>
        </w:rPr>
        <w:t xml:space="preserve">UN Women. (2024). </w:t>
      </w:r>
      <w:r w:rsidRPr="00A43F97">
        <w:rPr>
          <w:rFonts w:ascii="Times New Roman" w:eastAsia="Times New Roman" w:hAnsi="Times New Roman" w:cs="Times New Roman"/>
          <w:i/>
          <w:iCs/>
        </w:rPr>
        <w:t>Corporate thematic evaluation of UN Women’s support to women’s political</w:t>
      </w:r>
      <w:r>
        <w:rPr>
          <w:rFonts w:ascii="Times New Roman" w:eastAsia="Times New Roman" w:hAnsi="Times New Roman" w:cs="Times New Roman"/>
          <w:i/>
          <w:iCs/>
        </w:rPr>
        <w:t xml:space="preserve"> </w:t>
      </w:r>
      <w:r w:rsidRPr="00A43F97">
        <w:rPr>
          <w:rFonts w:ascii="Times New Roman" w:eastAsia="Times New Roman" w:hAnsi="Times New Roman" w:cs="Times New Roman"/>
          <w:i/>
          <w:iCs/>
        </w:rPr>
        <w:t>participation: Insights from the field</w:t>
      </w:r>
      <w:r w:rsidRPr="00A43F97">
        <w:rPr>
          <w:rFonts w:ascii="Times New Roman" w:eastAsia="Times New Roman" w:hAnsi="Times New Roman" w:cs="Times New Roman"/>
        </w:rPr>
        <w:t>. United Nations Entity for Gender Equality and the Empowerment of Women. https://www.unwomen.org/en/digital-library/publications/2024/05/corporate-thematic-evaluation-of-un-womens-support-to-womens-political-participation-insights-from-the-field</w:t>
      </w:r>
    </w:p>
    <w:p w14:paraId="11F6C0DF" w14:textId="77777777" w:rsidR="007D3737" w:rsidRPr="00A43F97" w:rsidRDefault="007D3737" w:rsidP="00A43F97">
      <w:pPr>
        <w:rPr>
          <w:rFonts w:ascii="Times New Roman" w:hAnsi="Times New Roman" w:cs="Times New Roman"/>
        </w:rPr>
      </w:pPr>
      <w:r w:rsidRPr="00A43F97">
        <w:rPr>
          <w:rFonts w:ascii="Times New Roman" w:hAnsi="Times New Roman" w:cs="Times New Roman"/>
        </w:rPr>
        <w:t xml:space="preserve">Uwa, O. G., John, A. E., Dauda, B. O., &amp; Oyindamola, O. (2018). Political participation and gender inequality in Nigerian fourth republic. </w:t>
      </w:r>
      <w:r w:rsidRPr="00A43F97">
        <w:rPr>
          <w:rFonts w:ascii="Times New Roman" w:hAnsi="Times New Roman" w:cs="Times New Roman"/>
          <w:i/>
          <w:iCs/>
        </w:rPr>
        <w:t>Global Journal of Political Science and Administration, 6(5),</w:t>
      </w:r>
      <w:r w:rsidRPr="00A43F97">
        <w:rPr>
          <w:rFonts w:ascii="Times New Roman" w:hAnsi="Times New Roman" w:cs="Times New Roman"/>
        </w:rPr>
        <w:t xml:space="preserve"> 22–38.</w:t>
      </w:r>
    </w:p>
    <w:p w14:paraId="4251EF6C" w14:textId="77777777" w:rsidR="007D3737" w:rsidRPr="00A43F97" w:rsidRDefault="007D3737" w:rsidP="00EC078F">
      <w:pPr>
        <w:jc w:val="both"/>
        <w:rPr>
          <w:rFonts w:ascii="Times New Roman" w:hAnsi="Times New Roman" w:cs="Times New Roman"/>
        </w:rPr>
      </w:pPr>
      <w:r w:rsidRPr="00A43F97">
        <w:rPr>
          <w:rFonts w:ascii="Times New Roman" w:hAnsi="Times New Roman" w:cs="Times New Roman"/>
        </w:rPr>
        <w:t xml:space="preserve">Wainaina, A. K. (2013). </w:t>
      </w:r>
      <w:r w:rsidRPr="00A43F97">
        <w:rPr>
          <w:rFonts w:ascii="Times New Roman" w:hAnsi="Times New Roman" w:cs="Times New Roman"/>
          <w:i/>
          <w:iCs/>
        </w:rPr>
        <w:t xml:space="preserve">Effects of civic education on women’s political participation in </w:t>
      </w:r>
      <w:proofErr w:type="spellStart"/>
      <w:r w:rsidRPr="00A43F97">
        <w:rPr>
          <w:rFonts w:ascii="Times New Roman" w:hAnsi="Times New Roman" w:cs="Times New Roman"/>
          <w:i/>
          <w:iCs/>
        </w:rPr>
        <w:t>Gatanga</w:t>
      </w:r>
      <w:proofErr w:type="spellEnd"/>
      <w:r w:rsidRPr="00A43F97">
        <w:rPr>
          <w:rFonts w:ascii="Times New Roman" w:hAnsi="Times New Roman" w:cs="Times New Roman"/>
          <w:i/>
          <w:iCs/>
        </w:rPr>
        <w:t xml:space="preserve"> Ward in </w:t>
      </w:r>
      <w:proofErr w:type="spellStart"/>
      <w:r w:rsidRPr="00A43F97">
        <w:rPr>
          <w:rFonts w:ascii="Times New Roman" w:hAnsi="Times New Roman" w:cs="Times New Roman"/>
          <w:i/>
          <w:iCs/>
        </w:rPr>
        <w:t>Gatanga</w:t>
      </w:r>
      <w:proofErr w:type="spellEnd"/>
      <w:r w:rsidRPr="00A43F97">
        <w:rPr>
          <w:rFonts w:ascii="Times New Roman" w:hAnsi="Times New Roman" w:cs="Times New Roman"/>
          <w:i/>
          <w:iCs/>
        </w:rPr>
        <w:t xml:space="preserve"> Constituency, </w:t>
      </w:r>
      <w:proofErr w:type="spellStart"/>
      <w:r w:rsidRPr="00A43F97">
        <w:rPr>
          <w:rFonts w:ascii="Times New Roman" w:hAnsi="Times New Roman" w:cs="Times New Roman"/>
          <w:i/>
          <w:iCs/>
        </w:rPr>
        <w:t>Murang'a</w:t>
      </w:r>
      <w:proofErr w:type="spellEnd"/>
      <w:r w:rsidRPr="00A43F97">
        <w:rPr>
          <w:rFonts w:ascii="Times New Roman" w:hAnsi="Times New Roman" w:cs="Times New Roman"/>
          <w:i/>
          <w:iCs/>
        </w:rPr>
        <w:t xml:space="preserve"> County</w:t>
      </w:r>
      <w:r w:rsidRPr="00A43F97">
        <w:rPr>
          <w:rFonts w:ascii="Times New Roman" w:hAnsi="Times New Roman" w:cs="Times New Roman"/>
        </w:rPr>
        <w:t xml:space="preserve"> (Master's research project, University of Nairobi). University of Nairobi Repository. </w:t>
      </w:r>
      <w:hyperlink r:id="rId23" w:tgtFrame="_new" w:history="1">
        <w:r w:rsidRPr="00A43F97">
          <w:rPr>
            <w:rStyle w:val="Hyperlink"/>
            <w:rFonts w:ascii="Times New Roman" w:hAnsi="Times New Roman" w:cs="Times New Roman"/>
          </w:rPr>
          <w:t>https://erepository.uonbi.ac.ke/handle/11295/55769</w:t>
        </w:r>
      </w:hyperlink>
    </w:p>
    <w:p w14:paraId="5C5AD5DA" w14:textId="77777777" w:rsidR="007D3737" w:rsidRPr="00A43F97" w:rsidRDefault="007D3737" w:rsidP="00F6384A">
      <w:pPr>
        <w:rPr>
          <w:rFonts w:ascii="Times New Roman" w:hAnsi="Times New Roman" w:cs="Times New Roman"/>
        </w:rPr>
      </w:pPr>
      <w:r w:rsidRPr="00A43F97">
        <w:rPr>
          <w:rFonts w:ascii="Times New Roman" w:hAnsi="Times New Roman" w:cs="Times New Roman"/>
        </w:rPr>
        <w:t xml:space="preserve">Wainaina, W., </w:t>
      </w:r>
      <w:proofErr w:type="spellStart"/>
      <w:r w:rsidRPr="00A43F97">
        <w:rPr>
          <w:rFonts w:ascii="Times New Roman" w:hAnsi="Times New Roman" w:cs="Times New Roman"/>
        </w:rPr>
        <w:t>Iravo</w:t>
      </w:r>
      <w:proofErr w:type="spellEnd"/>
      <w:r w:rsidRPr="00A43F97">
        <w:rPr>
          <w:rFonts w:ascii="Times New Roman" w:hAnsi="Times New Roman" w:cs="Times New Roman"/>
        </w:rPr>
        <w:t xml:space="preserve">, M. A., &amp; Wanjala, M. Y. (2023). Capacity building and women leadership in Kenya political elective positions. </w:t>
      </w:r>
      <w:r w:rsidRPr="00A43F97">
        <w:rPr>
          <w:rFonts w:ascii="Times New Roman" w:hAnsi="Times New Roman" w:cs="Times New Roman"/>
          <w:i/>
          <w:iCs/>
        </w:rPr>
        <w:t>International Journal of Leadership and Governance, 3</w:t>
      </w:r>
      <w:r w:rsidRPr="00A43F97">
        <w:rPr>
          <w:rFonts w:ascii="Times New Roman" w:hAnsi="Times New Roman" w:cs="Times New Roman"/>
        </w:rPr>
        <w:t xml:space="preserve">(2), 43–54. </w:t>
      </w:r>
      <w:hyperlink r:id="rId24" w:history="1">
        <w:r w:rsidRPr="00A43F97">
          <w:rPr>
            <w:rStyle w:val="Hyperlink"/>
            <w:rFonts w:ascii="Times New Roman" w:hAnsi="Times New Roman" w:cs="Times New Roman"/>
          </w:rPr>
          <w:t>https://doi.org/10.47604/ijlg.2099</w:t>
        </w:r>
      </w:hyperlink>
      <w:r w:rsidRPr="00A43F97">
        <w:rPr>
          <w:rFonts w:ascii="Times New Roman" w:hAnsi="Times New Roman" w:cs="Times New Roman"/>
        </w:rPr>
        <w:t>.</w:t>
      </w:r>
    </w:p>
    <w:p w14:paraId="23CB014F" w14:textId="77777777" w:rsidR="007D3737" w:rsidRPr="00A43F97" w:rsidRDefault="007D3737" w:rsidP="00F6384A">
      <w:pPr>
        <w:rPr>
          <w:rFonts w:ascii="Times New Roman" w:hAnsi="Times New Roman" w:cs="Times New Roman"/>
        </w:rPr>
      </w:pPr>
      <w:r w:rsidRPr="00A43F97">
        <w:rPr>
          <w:rFonts w:ascii="Times New Roman" w:hAnsi="Times New Roman" w:cs="Times New Roman"/>
        </w:rPr>
        <w:t xml:space="preserve">World Bank. (2024). </w:t>
      </w:r>
      <w:r w:rsidRPr="00A43F97">
        <w:rPr>
          <w:rFonts w:ascii="Times New Roman" w:hAnsi="Times New Roman" w:cs="Times New Roman"/>
          <w:i/>
          <w:iCs/>
        </w:rPr>
        <w:t>Empowering change: Civil society and women's rights</w:t>
      </w:r>
      <w:r w:rsidRPr="00A43F97">
        <w:rPr>
          <w:rFonts w:ascii="Times New Roman" w:hAnsi="Times New Roman" w:cs="Times New Roman"/>
        </w:rPr>
        <w:t xml:space="preserve"> (Policy Research Working Paper No. 10788). World Bank Group.</w:t>
      </w:r>
    </w:p>
    <w:sectPr w:rsidR="007D3737" w:rsidRPr="00A43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C6D"/>
    <w:multiLevelType w:val="multilevel"/>
    <w:tmpl w:val="BC4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75A6"/>
    <w:multiLevelType w:val="multilevel"/>
    <w:tmpl w:val="6D88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822A0"/>
    <w:multiLevelType w:val="hybridMultilevel"/>
    <w:tmpl w:val="08806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B3445C"/>
    <w:multiLevelType w:val="hybridMultilevel"/>
    <w:tmpl w:val="93D49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AAB037C"/>
    <w:multiLevelType w:val="multilevel"/>
    <w:tmpl w:val="A3EA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618236">
    <w:abstractNumId w:val="1"/>
  </w:num>
  <w:num w:numId="2" w16cid:durableId="67729887">
    <w:abstractNumId w:val="0"/>
  </w:num>
  <w:num w:numId="3" w16cid:durableId="674960156">
    <w:abstractNumId w:val="4"/>
  </w:num>
  <w:num w:numId="4" w16cid:durableId="1957977442">
    <w:abstractNumId w:val="3"/>
  </w:num>
  <w:num w:numId="5" w16cid:durableId="742290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88"/>
    <w:rsid w:val="00011A6E"/>
    <w:rsid w:val="00011BDA"/>
    <w:rsid w:val="00016F36"/>
    <w:rsid w:val="000504D5"/>
    <w:rsid w:val="0005228C"/>
    <w:rsid w:val="000636B3"/>
    <w:rsid w:val="000663E0"/>
    <w:rsid w:val="000946B0"/>
    <w:rsid w:val="000A5C64"/>
    <w:rsid w:val="000D13B5"/>
    <w:rsid w:val="000D2EA1"/>
    <w:rsid w:val="000D47B2"/>
    <w:rsid w:val="000E26C5"/>
    <w:rsid w:val="000F5C7E"/>
    <w:rsid w:val="00104C13"/>
    <w:rsid w:val="0011301C"/>
    <w:rsid w:val="00115B02"/>
    <w:rsid w:val="001161D5"/>
    <w:rsid w:val="001216AE"/>
    <w:rsid w:val="001245EA"/>
    <w:rsid w:val="00127BFD"/>
    <w:rsid w:val="0014517B"/>
    <w:rsid w:val="00147169"/>
    <w:rsid w:val="00154487"/>
    <w:rsid w:val="001604F4"/>
    <w:rsid w:val="00167891"/>
    <w:rsid w:val="00174A19"/>
    <w:rsid w:val="00174B49"/>
    <w:rsid w:val="001804A4"/>
    <w:rsid w:val="001903FB"/>
    <w:rsid w:val="001B3BF9"/>
    <w:rsid w:val="001F5FFE"/>
    <w:rsid w:val="00225E46"/>
    <w:rsid w:val="00226070"/>
    <w:rsid w:val="00264DC7"/>
    <w:rsid w:val="002815FF"/>
    <w:rsid w:val="002B7CEB"/>
    <w:rsid w:val="002D7000"/>
    <w:rsid w:val="002D7069"/>
    <w:rsid w:val="0031274D"/>
    <w:rsid w:val="003130AC"/>
    <w:rsid w:val="003159DC"/>
    <w:rsid w:val="00326DBF"/>
    <w:rsid w:val="003340AB"/>
    <w:rsid w:val="00340DD5"/>
    <w:rsid w:val="00346431"/>
    <w:rsid w:val="003634C0"/>
    <w:rsid w:val="0038040C"/>
    <w:rsid w:val="00386BC0"/>
    <w:rsid w:val="0039760E"/>
    <w:rsid w:val="003A42D9"/>
    <w:rsid w:val="003A4D3E"/>
    <w:rsid w:val="003B286F"/>
    <w:rsid w:val="003D5BCA"/>
    <w:rsid w:val="00402DF1"/>
    <w:rsid w:val="00410D1F"/>
    <w:rsid w:val="0041144B"/>
    <w:rsid w:val="004212C7"/>
    <w:rsid w:val="00422FE1"/>
    <w:rsid w:val="004373C2"/>
    <w:rsid w:val="00437EB5"/>
    <w:rsid w:val="00453173"/>
    <w:rsid w:val="0046174C"/>
    <w:rsid w:val="00471577"/>
    <w:rsid w:val="00476860"/>
    <w:rsid w:val="0047797D"/>
    <w:rsid w:val="00480C89"/>
    <w:rsid w:val="0048486A"/>
    <w:rsid w:val="0048705C"/>
    <w:rsid w:val="004924A5"/>
    <w:rsid w:val="00493DE5"/>
    <w:rsid w:val="004A50BE"/>
    <w:rsid w:val="004B0C30"/>
    <w:rsid w:val="004B6E21"/>
    <w:rsid w:val="004D55D3"/>
    <w:rsid w:val="004F0A0C"/>
    <w:rsid w:val="00507280"/>
    <w:rsid w:val="00515F63"/>
    <w:rsid w:val="005219D0"/>
    <w:rsid w:val="00594C56"/>
    <w:rsid w:val="005A3DB9"/>
    <w:rsid w:val="005B450A"/>
    <w:rsid w:val="005F3E05"/>
    <w:rsid w:val="0063013A"/>
    <w:rsid w:val="00647292"/>
    <w:rsid w:val="00652438"/>
    <w:rsid w:val="00655B38"/>
    <w:rsid w:val="00670D72"/>
    <w:rsid w:val="00674CC9"/>
    <w:rsid w:val="00681A00"/>
    <w:rsid w:val="006A1E6F"/>
    <w:rsid w:val="006A3B6C"/>
    <w:rsid w:val="006D0E91"/>
    <w:rsid w:val="006E7EFD"/>
    <w:rsid w:val="006F5E55"/>
    <w:rsid w:val="00731FB2"/>
    <w:rsid w:val="00792596"/>
    <w:rsid w:val="007941A7"/>
    <w:rsid w:val="00795631"/>
    <w:rsid w:val="007B2D83"/>
    <w:rsid w:val="007C7C9D"/>
    <w:rsid w:val="007D1006"/>
    <w:rsid w:val="007D3737"/>
    <w:rsid w:val="00800099"/>
    <w:rsid w:val="008003F7"/>
    <w:rsid w:val="00806056"/>
    <w:rsid w:val="008105F4"/>
    <w:rsid w:val="008276FA"/>
    <w:rsid w:val="00830501"/>
    <w:rsid w:val="00832604"/>
    <w:rsid w:val="00840B89"/>
    <w:rsid w:val="00840EF0"/>
    <w:rsid w:val="00863D68"/>
    <w:rsid w:val="0086673D"/>
    <w:rsid w:val="00876670"/>
    <w:rsid w:val="008937DF"/>
    <w:rsid w:val="00893E09"/>
    <w:rsid w:val="008A0BDA"/>
    <w:rsid w:val="008C20A4"/>
    <w:rsid w:val="008C2B99"/>
    <w:rsid w:val="008C72A0"/>
    <w:rsid w:val="008D283A"/>
    <w:rsid w:val="008D7BD3"/>
    <w:rsid w:val="008E022F"/>
    <w:rsid w:val="008E33B6"/>
    <w:rsid w:val="008E383A"/>
    <w:rsid w:val="008E6C2F"/>
    <w:rsid w:val="00902A51"/>
    <w:rsid w:val="0090412B"/>
    <w:rsid w:val="009221DF"/>
    <w:rsid w:val="0093553D"/>
    <w:rsid w:val="009446D9"/>
    <w:rsid w:val="0094557B"/>
    <w:rsid w:val="00952C0F"/>
    <w:rsid w:val="0098281F"/>
    <w:rsid w:val="0098394A"/>
    <w:rsid w:val="009B5ACD"/>
    <w:rsid w:val="009C7DC2"/>
    <w:rsid w:val="009D01E3"/>
    <w:rsid w:val="009D3322"/>
    <w:rsid w:val="009D39ED"/>
    <w:rsid w:val="009D7D8C"/>
    <w:rsid w:val="009E1577"/>
    <w:rsid w:val="009F50A3"/>
    <w:rsid w:val="00A028B6"/>
    <w:rsid w:val="00A04047"/>
    <w:rsid w:val="00A2550C"/>
    <w:rsid w:val="00A263FA"/>
    <w:rsid w:val="00A43F97"/>
    <w:rsid w:val="00A547E0"/>
    <w:rsid w:val="00A55714"/>
    <w:rsid w:val="00A66629"/>
    <w:rsid w:val="00A6765A"/>
    <w:rsid w:val="00A863F3"/>
    <w:rsid w:val="00A86613"/>
    <w:rsid w:val="00A9258A"/>
    <w:rsid w:val="00AA3C6E"/>
    <w:rsid w:val="00AA3F62"/>
    <w:rsid w:val="00AB1DE1"/>
    <w:rsid w:val="00AB5AB2"/>
    <w:rsid w:val="00AD54C8"/>
    <w:rsid w:val="00AE13CC"/>
    <w:rsid w:val="00AE31DD"/>
    <w:rsid w:val="00AF5038"/>
    <w:rsid w:val="00B00331"/>
    <w:rsid w:val="00B0278B"/>
    <w:rsid w:val="00B202D3"/>
    <w:rsid w:val="00B220C6"/>
    <w:rsid w:val="00B262E8"/>
    <w:rsid w:val="00B431D4"/>
    <w:rsid w:val="00B606A7"/>
    <w:rsid w:val="00B93FFB"/>
    <w:rsid w:val="00B94358"/>
    <w:rsid w:val="00BA5324"/>
    <w:rsid w:val="00BB47AA"/>
    <w:rsid w:val="00BC690A"/>
    <w:rsid w:val="00BD7EBB"/>
    <w:rsid w:val="00BF12D8"/>
    <w:rsid w:val="00BF501A"/>
    <w:rsid w:val="00C10B68"/>
    <w:rsid w:val="00C11CF8"/>
    <w:rsid w:val="00C249D2"/>
    <w:rsid w:val="00C4068A"/>
    <w:rsid w:val="00C43173"/>
    <w:rsid w:val="00C43207"/>
    <w:rsid w:val="00C45FE4"/>
    <w:rsid w:val="00C5211F"/>
    <w:rsid w:val="00C53089"/>
    <w:rsid w:val="00C532A8"/>
    <w:rsid w:val="00C53CC4"/>
    <w:rsid w:val="00C53EAD"/>
    <w:rsid w:val="00C63453"/>
    <w:rsid w:val="00C64E45"/>
    <w:rsid w:val="00C70F6C"/>
    <w:rsid w:val="00C827A8"/>
    <w:rsid w:val="00C94D35"/>
    <w:rsid w:val="00CC3AB3"/>
    <w:rsid w:val="00CC4749"/>
    <w:rsid w:val="00CD0ED9"/>
    <w:rsid w:val="00CE4ACE"/>
    <w:rsid w:val="00D11188"/>
    <w:rsid w:val="00D153AB"/>
    <w:rsid w:val="00D24F28"/>
    <w:rsid w:val="00D34C05"/>
    <w:rsid w:val="00D41253"/>
    <w:rsid w:val="00D45247"/>
    <w:rsid w:val="00D61F6F"/>
    <w:rsid w:val="00D82369"/>
    <w:rsid w:val="00D90C2D"/>
    <w:rsid w:val="00D96E2A"/>
    <w:rsid w:val="00DA1474"/>
    <w:rsid w:val="00DA20BD"/>
    <w:rsid w:val="00DB14D5"/>
    <w:rsid w:val="00DC29A3"/>
    <w:rsid w:val="00DD14AE"/>
    <w:rsid w:val="00DD21ED"/>
    <w:rsid w:val="00DD2F35"/>
    <w:rsid w:val="00DD49DC"/>
    <w:rsid w:val="00DD60E3"/>
    <w:rsid w:val="00DD624D"/>
    <w:rsid w:val="00DD7ED3"/>
    <w:rsid w:val="00DF0BAC"/>
    <w:rsid w:val="00E025DE"/>
    <w:rsid w:val="00E05B61"/>
    <w:rsid w:val="00E3395F"/>
    <w:rsid w:val="00E40534"/>
    <w:rsid w:val="00E52D12"/>
    <w:rsid w:val="00E56883"/>
    <w:rsid w:val="00E60C3B"/>
    <w:rsid w:val="00E7054A"/>
    <w:rsid w:val="00E752E5"/>
    <w:rsid w:val="00E76CB7"/>
    <w:rsid w:val="00E778D2"/>
    <w:rsid w:val="00E8123F"/>
    <w:rsid w:val="00E92A93"/>
    <w:rsid w:val="00EA5864"/>
    <w:rsid w:val="00EC078F"/>
    <w:rsid w:val="00ED2B12"/>
    <w:rsid w:val="00EE4411"/>
    <w:rsid w:val="00EF79E2"/>
    <w:rsid w:val="00F2145D"/>
    <w:rsid w:val="00F22CFE"/>
    <w:rsid w:val="00F22E05"/>
    <w:rsid w:val="00F22EE0"/>
    <w:rsid w:val="00F2663C"/>
    <w:rsid w:val="00F37D45"/>
    <w:rsid w:val="00F5530B"/>
    <w:rsid w:val="00F5540B"/>
    <w:rsid w:val="00F6384A"/>
    <w:rsid w:val="00F80998"/>
    <w:rsid w:val="00F92BAE"/>
    <w:rsid w:val="00F947FF"/>
    <w:rsid w:val="00FC25CE"/>
    <w:rsid w:val="00FD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B41E"/>
  <w15:chartTrackingRefBased/>
  <w15:docId w15:val="{28EAE562-9BF4-460F-BCF4-C79A13B7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53"/>
  </w:style>
  <w:style w:type="paragraph" w:styleId="Heading1">
    <w:name w:val="heading 1"/>
    <w:basedOn w:val="Normal"/>
    <w:next w:val="Normal"/>
    <w:link w:val="Heading1Char"/>
    <w:uiPriority w:val="9"/>
    <w:qFormat/>
    <w:rsid w:val="00D11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188"/>
    <w:rPr>
      <w:rFonts w:eastAsiaTheme="majorEastAsia" w:cstheme="majorBidi"/>
      <w:color w:val="272727" w:themeColor="text1" w:themeTint="D8"/>
    </w:rPr>
  </w:style>
  <w:style w:type="paragraph" w:styleId="Title">
    <w:name w:val="Title"/>
    <w:basedOn w:val="Normal"/>
    <w:next w:val="Normal"/>
    <w:link w:val="TitleChar"/>
    <w:uiPriority w:val="10"/>
    <w:qFormat/>
    <w:rsid w:val="00D11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188"/>
    <w:pPr>
      <w:spacing w:before="160"/>
      <w:jc w:val="center"/>
    </w:pPr>
    <w:rPr>
      <w:i/>
      <w:iCs/>
      <w:color w:val="404040" w:themeColor="text1" w:themeTint="BF"/>
    </w:rPr>
  </w:style>
  <w:style w:type="character" w:customStyle="1" w:styleId="QuoteChar">
    <w:name w:val="Quote Char"/>
    <w:basedOn w:val="DefaultParagraphFont"/>
    <w:link w:val="Quote"/>
    <w:uiPriority w:val="29"/>
    <w:rsid w:val="00D11188"/>
    <w:rPr>
      <w:i/>
      <w:iCs/>
      <w:color w:val="404040" w:themeColor="text1" w:themeTint="BF"/>
    </w:rPr>
  </w:style>
  <w:style w:type="paragraph" w:styleId="ListParagraph">
    <w:name w:val="List Paragraph"/>
    <w:basedOn w:val="Normal"/>
    <w:uiPriority w:val="34"/>
    <w:qFormat/>
    <w:rsid w:val="00D11188"/>
    <w:pPr>
      <w:ind w:left="720"/>
      <w:contextualSpacing/>
    </w:pPr>
  </w:style>
  <w:style w:type="character" w:styleId="IntenseEmphasis">
    <w:name w:val="Intense Emphasis"/>
    <w:basedOn w:val="DefaultParagraphFont"/>
    <w:uiPriority w:val="21"/>
    <w:qFormat/>
    <w:rsid w:val="00D11188"/>
    <w:rPr>
      <w:i/>
      <w:iCs/>
      <w:color w:val="0F4761" w:themeColor="accent1" w:themeShade="BF"/>
    </w:rPr>
  </w:style>
  <w:style w:type="paragraph" w:styleId="IntenseQuote">
    <w:name w:val="Intense Quote"/>
    <w:basedOn w:val="Normal"/>
    <w:next w:val="Normal"/>
    <w:link w:val="IntenseQuoteChar"/>
    <w:uiPriority w:val="30"/>
    <w:qFormat/>
    <w:rsid w:val="00D11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188"/>
    <w:rPr>
      <w:i/>
      <w:iCs/>
      <w:color w:val="0F4761" w:themeColor="accent1" w:themeShade="BF"/>
    </w:rPr>
  </w:style>
  <w:style w:type="character" w:styleId="IntenseReference">
    <w:name w:val="Intense Reference"/>
    <w:basedOn w:val="DefaultParagraphFont"/>
    <w:uiPriority w:val="32"/>
    <w:qFormat/>
    <w:rsid w:val="00D11188"/>
    <w:rPr>
      <w:b/>
      <w:bCs/>
      <w:smallCaps/>
      <w:color w:val="0F4761" w:themeColor="accent1" w:themeShade="BF"/>
      <w:spacing w:val="5"/>
    </w:rPr>
  </w:style>
  <w:style w:type="character" w:styleId="Hyperlink">
    <w:name w:val="Hyperlink"/>
    <w:basedOn w:val="DefaultParagraphFont"/>
    <w:uiPriority w:val="99"/>
    <w:unhideWhenUsed/>
    <w:rsid w:val="00D11188"/>
    <w:rPr>
      <w:color w:val="467886" w:themeColor="hyperlink"/>
      <w:u w:val="single"/>
    </w:rPr>
  </w:style>
  <w:style w:type="character" w:styleId="UnresolvedMention">
    <w:name w:val="Unresolved Mention"/>
    <w:basedOn w:val="DefaultParagraphFont"/>
    <w:uiPriority w:val="99"/>
    <w:semiHidden/>
    <w:unhideWhenUsed/>
    <w:rsid w:val="00D11188"/>
    <w:rPr>
      <w:color w:val="605E5C"/>
      <w:shd w:val="clear" w:color="auto" w:fill="E1DFDD"/>
    </w:rPr>
  </w:style>
  <w:style w:type="character" w:styleId="CommentReference">
    <w:name w:val="annotation reference"/>
    <w:basedOn w:val="DefaultParagraphFont"/>
    <w:uiPriority w:val="99"/>
    <w:semiHidden/>
    <w:unhideWhenUsed/>
    <w:rsid w:val="0090412B"/>
    <w:rPr>
      <w:sz w:val="16"/>
      <w:szCs w:val="16"/>
    </w:rPr>
  </w:style>
  <w:style w:type="paragraph" w:styleId="CommentText">
    <w:name w:val="annotation text"/>
    <w:basedOn w:val="Normal"/>
    <w:link w:val="CommentTextChar"/>
    <w:uiPriority w:val="99"/>
    <w:semiHidden/>
    <w:unhideWhenUsed/>
    <w:rsid w:val="0090412B"/>
    <w:pPr>
      <w:spacing w:line="240" w:lineRule="auto"/>
    </w:pPr>
    <w:rPr>
      <w:sz w:val="20"/>
      <w:szCs w:val="20"/>
    </w:rPr>
  </w:style>
  <w:style w:type="character" w:customStyle="1" w:styleId="CommentTextChar">
    <w:name w:val="Comment Text Char"/>
    <w:basedOn w:val="DefaultParagraphFont"/>
    <w:link w:val="CommentText"/>
    <w:uiPriority w:val="99"/>
    <w:semiHidden/>
    <w:rsid w:val="0090412B"/>
    <w:rPr>
      <w:sz w:val="20"/>
      <w:szCs w:val="20"/>
    </w:rPr>
  </w:style>
  <w:style w:type="paragraph" w:styleId="CommentSubject">
    <w:name w:val="annotation subject"/>
    <w:basedOn w:val="CommentText"/>
    <w:next w:val="CommentText"/>
    <w:link w:val="CommentSubjectChar"/>
    <w:uiPriority w:val="99"/>
    <w:semiHidden/>
    <w:unhideWhenUsed/>
    <w:rsid w:val="0090412B"/>
    <w:rPr>
      <w:b/>
      <w:bCs/>
    </w:rPr>
  </w:style>
  <w:style w:type="character" w:customStyle="1" w:styleId="CommentSubjectChar">
    <w:name w:val="Comment Subject Char"/>
    <w:basedOn w:val="CommentTextChar"/>
    <w:link w:val="CommentSubject"/>
    <w:uiPriority w:val="99"/>
    <w:semiHidden/>
    <w:rsid w:val="009041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opan-2022-0121" TargetMode="External"/><Relationship Id="rId13" Type="http://schemas.openxmlformats.org/officeDocument/2006/relationships/hyperlink" Target="https://vc.bridgew.edu/jiws/vol25/iss2/5" TargetMode="External"/><Relationship Id="rId18" Type="http://schemas.openxmlformats.org/officeDocument/2006/relationships/hyperlink" Target="https://ajernet.net/ojs/index.php/ajernet/article/view/86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29333/ejecs/2154" TargetMode="External"/><Relationship Id="rId7" Type="http://schemas.openxmlformats.org/officeDocument/2006/relationships/chart" Target="charts/chart3.xml"/><Relationship Id="rId12" Type="http://schemas.openxmlformats.org/officeDocument/2006/relationships/hyperlink" Target="https://doi.org/10.1111/1467-7660.00125" TargetMode="External"/><Relationship Id="rId17" Type="http://schemas.openxmlformats.org/officeDocument/2006/relationships/hyperlink" Target="https://democracyinafrica.org/the-role-of-education-in-womens-political-participation-in-keny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knowpolitics.org/sites/default/files/kas.pdf" TargetMode="External"/><Relationship Id="rId20" Type="http://schemas.openxmlformats.org/officeDocument/2006/relationships/hyperlink" Target="https://doi.org/10.1080/14616742.2024.2368215"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hdl.handle.net/10986/37815" TargetMode="External"/><Relationship Id="rId24" Type="http://schemas.openxmlformats.org/officeDocument/2006/relationships/hyperlink" Target="https://doi.org/10.47604/ijlg.2099" TargetMode="External"/><Relationship Id="rId5" Type="http://schemas.openxmlformats.org/officeDocument/2006/relationships/chart" Target="charts/chart1.xml"/><Relationship Id="rId15" Type="http://schemas.openxmlformats.org/officeDocument/2006/relationships/hyperlink" Target="https://canwach.ca/project/womens-political-participation-at-the-national-level/" TargetMode="External"/><Relationship Id="rId23" Type="http://schemas.openxmlformats.org/officeDocument/2006/relationships/hyperlink" Target="https://erepository.uonbi.ac.ke/handle/11295/55769" TargetMode="External"/><Relationship Id="rId10" Type="http://schemas.openxmlformats.org/officeDocument/2006/relationships/hyperlink" Target="https://doi.org/10.1007/978-3-030-11905-8" TargetMode="External"/><Relationship Id="rId19" Type="http://schemas.openxmlformats.org/officeDocument/2006/relationships/hyperlink" Target="https://doi.org/10.1007/978-3-030-11905-8" TargetMode="External"/><Relationship Id="rId4" Type="http://schemas.openxmlformats.org/officeDocument/2006/relationships/webSettings" Target="webSettings.xml"/><Relationship Id="rId9" Type="http://schemas.openxmlformats.org/officeDocument/2006/relationships/hyperlink" Target="https://home.creaw.org/leadership-and-governance/" TargetMode="External"/><Relationship Id="rId14" Type="http://schemas.openxmlformats.org/officeDocument/2006/relationships/hyperlink" Target="https://doi.org/10.9790/0837-2510043136" TargetMode="External"/><Relationship Id="rId22" Type="http://schemas.openxmlformats.org/officeDocument/2006/relationships/hyperlink" Target="https://doi.org/10.1007/s10668-021-01718-8"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Sheet1!$C$17:$C$18</c:f>
              <c:strCache>
                <c:ptCount val="2"/>
                <c:pt idx="0">
                  <c:v>Yes</c:v>
                </c:pt>
                <c:pt idx="1">
                  <c:v>No</c:v>
                </c:pt>
              </c:strCache>
            </c:strRef>
          </c:cat>
          <c:val>
            <c:numRef>
              <c:f>Sheet1!$E$17:$E$18</c:f>
              <c:numCache>
                <c:formatCode>General</c:formatCode>
                <c:ptCount val="2"/>
                <c:pt idx="0">
                  <c:v>90.2</c:v>
                </c:pt>
                <c:pt idx="1">
                  <c:v>9.8000000000000007</c:v>
                </c:pt>
              </c:numCache>
            </c:numRef>
          </c:val>
          <c:extLst>
            <c:ext xmlns:c16="http://schemas.microsoft.com/office/drawing/2014/chart" uri="{C3380CC4-5D6E-409C-BE32-E72D297353CC}">
              <c16:uniqueId val="{00000000-698A-491A-A569-E6A01A0A414F}"/>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K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1.6666666666666666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75-4C4A-9909-23F3757572A5}"/>
                </c:ext>
              </c:extLst>
            </c:dLbl>
            <c:dLbl>
              <c:idx val="1"/>
              <c:layout>
                <c:manualLayout>
                  <c:x val="1.6666666666666666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75-4C4A-9909-23F3757572A5}"/>
                </c:ext>
              </c:extLst>
            </c:dLbl>
            <c:dLbl>
              <c:idx val="2"/>
              <c:layout>
                <c:manualLayout>
                  <c:x val="1.9444444444444445E-2"/>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75-4C4A-9909-23F3757572A5}"/>
                </c:ext>
              </c:extLst>
            </c:dLbl>
            <c:dLbl>
              <c:idx val="3"/>
              <c:layout>
                <c:manualLayout>
                  <c:x val="1.6666666666666566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75-4C4A-9909-23F3757572A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Sheet1!$D$6:$D$9</c:f>
              <c:strCache>
                <c:ptCount val="4"/>
                <c:pt idx="0">
                  <c:v>Less than 1 Year</c:v>
                </c:pt>
                <c:pt idx="1">
                  <c:v>1-3 Years</c:v>
                </c:pt>
                <c:pt idx="2">
                  <c:v>4-6 Years</c:v>
                </c:pt>
                <c:pt idx="3">
                  <c:v>Over 6 Years</c:v>
                </c:pt>
              </c:strCache>
            </c:strRef>
          </c:cat>
          <c:val>
            <c:numRef>
              <c:f>Sheet1!$J$6:$J$9</c:f>
              <c:numCache>
                <c:formatCode>General</c:formatCode>
                <c:ptCount val="4"/>
                <c:pt idx="0">
                  <c:v>10.8</c:v>
                </c:pt>
                <c:pt idx="1">
                  <c:v>17.600000000000001</c:v>
                </c:pt>
                <c:pt idx="2">
                  <c:v>23</c:v>
                </c:pt>
                <c:pt idx="3">
                  <c:v>48.6</c:v>
                </c:pt>
              </c:numCache>
            </c:numRef>
          </c:val>
          <c:extLst>
            <c:ext xmlns:c16="http://schemas.microsoft.com/office/drawing/2014/chart" uri="{C3380CC4-5D6E-409C-BE32-E72D297353CC}">
              <c16:uniqueId val="{00000004-AB75-4C4A-9909-23F3757572A5}"/>
            </c:ext>
          </c:extLst>
        </c:ser>
        <c:dLbls>
          <c:showLegendKey val="0"/>
          <c:showVal val="0"/>
          <c:showCatName val="0"/>
          <c:showSerName val="0"/>
          <c:showPercent val="0"/>
          <c:showBubbleSize val="0"/>
        </c:dLbls>
        <c:gapWidth val="150"/>
        <c:shape val="box"/>
        <c:axId val="327639808"/>
        <c:axId val="327641728"/>
        <c:axId val="0"/>
      </c:bar3DChart>
      <c:catAx>
        <c:axId val="327639808"/>
        <c:scaling>
          <c:orientation val="minMax"/>
        </c:scaling>
        <c:delete val="0"/>
        <c:axPos val="b"/>
        <c:title>
          <c:tx>
            <c:rich>
              <a:bodyPr/>
              <a:lstStyle/>
              <a:p>
                <a:pPr>
                  <a:defRPr/>
                </a:pPr>
                <a:r>
                  <a:rPr lang="en-US"/>
                  <a:t>Length of Participating in Political Activities</a:t>
                </a:r>
              </a:p>
            </c:rich>
          </c:tx>
          <c:overlay val="0"/>
        </c:title>
        <c:numFmt formatCode="General" sourceLinked="0"/>
        <c:majorTickMark val="out"/>
        <c:minorTickMark val="none"/>
        <c:tickLblPos val="nextTo"/>
        <c:crossAx val="327641728"/>
        <c:crosses val="autoZero"/>
        <c:auto val="1"/>
        <c:lblAlgn val="ctr"/>
        <c:lblOffset val="100"/>
        <c:noMultiLvlLbl val="0"/>
      </c:catAx>
      <c:valAx>
        <c:axId val="327641728"/>
        <c:scaling>
          <c:orientation val="minMax"/>
        </c:scaling>
        <c:delete val="0"/>
        <c:axPos val="l"/>
        <c:majorGridlines/>
        <c:title>
          <c:tx>
            <c:rich>
              <a:bodyPr rot="-5400000" vert="horz"/>
              <a:lstStyle/>
              <a:p>
                <a:pPr>
                  <a:defRPr/>
                </a:pPr>
                <a:r>
                  <a:rPr lang="en-US"/>
                  <a:t>Percent</a:t>
                </a:r>
              </a:p>
            </c:rich>
          </c:tx>
          <c:overlay val="0"/>
        </c:title>
        <c:numFmt formatCode="General" sourceLinked="1"/>
        <c:majorTickMark val="out"/>
        <c:minorTickMark val="none"/>
        <c:tickLblPos val="nextTo"/>
        <c:crossAx val="32763980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KE"/>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Sheet1!$D$19:$D$20</c:f>
              <c:strCache>
                <c:ptCount val="2"/>
                <c:pt idx="0">
                  <c:v>Yes</c:v>
                </c:pt>
                <c:pt idx="1">
                  <c:v>No</c:v>
                </c:pt>
              </c:strCache>
            </c:strRef>
          </c:cat>
          <c:val>
            <c:numRef>
              <c:f>Sheet1!$F$19:$F$20</c:f>
              <c:numCache>
                <c:formatCode>General</c:formatCode>
                <c:ptCount val="2"/>
                <c:pt idx="0">
                  <c:v>84.1</c:v>
                </c:pt>
                <c:pt idx="1">
                  <c:v>15.9</c:v>
                </c:pt>
              </c:numCache>
            </c:numRef>
          </c:val>
          <c:extLst>
            <c:ext xmlns:c16="http://schemas.microsoft.com/office/drawing/2014/chart" uri="{C3380CC4-5D6E-409C-BE32-E72D297353CC}">
              <c16:uniqueId val="{00000000-7A99-4D09-AD3D-D6A3B76AC928}"/>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KE"/>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23</Pages>
  <Words>7990</Words>
  <Characters>45546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2026-06-16T18:22:00Z</dcterms:created>
  <dcterms:modified xsi:type="dcterms:W3CDTF">2026-06-16T18:22:00Z</dcterms:modified>
</cp:coreProperties>
</file>