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6246" w14:textId="77777777" w:rsidR="00B41524" w:rsidRPr="00B41524" w:rsidRDefault="00B41524" w:rsidP="00B41524">
      <w:pPr>
        <w:pStyle w:val="Heading2"/>
        <w:spacing w:line="360" w:lineRule="auto"/>
        <w:rPr>
          <w:rFonts w:ascii="Times New Roman" w:hAnsi="Times New Roman" w:cs="Times New Roman"/>
          <w:b/>
          <w:bCs/>
          <w:color w:val="auto"/>
        </w:rPr>
      </w:pPr>
      <w:r w:rsidRPr="00B41524">
        <w:rPr>
          <w:rFonts w:ascii="Times New Roman" w:hAnsi="Times New Roman" w:cs="Times New Roman"/>
          <w:b/>
          <w:bCs/>
          <w:color w:val="auto"/>
        </w:rPr>
        <w:t>Digital Health and Personalized Dietetics: The Impact of Mobile Apps and AI-Driven Platforms on Dietary Behaviour Change</w:t>
      </w:r>
    </w:p>
    <w:p w14:paraId="4B4ACDFA" w14:textId="77777777" w:rsidR="00B41524" w:rsidRDefault="00B41524" w:rsidP="00B41524">
      <w:pPr>
        <w:rPr>
          <w:rFonts w:ascii="Times New Roman" w:hAnsi="Times New Roman" w:cs="Times New Roman"/>
          <w:sz w:val="24"/>
          <w:szCs w:val="24"/>
        </w:rPr>
      </w:pPr>
    </w:p>
    <w:p w14:paraId="0FCCD2A7" w14:textId="77777777" w:rsidR="00B41524" w:rsidRPr="003E6FE9" w:rsidRDefault="00B41524" w:rsidP="00B41524">
      <w:pPr>
        <w:rPr>
          <w:rFonts w:ascii="Times New Roman" w:hAnsi="Times New Roman" w:cs="Times New Roman"/>
          <w:sz w:val="24"/>
          <w:szCs w:val="24"/>
          <w:vertAlign w:val="superscript"/>
        </w:rPr>
      </w:pPr>
      <w:r w:rsidRPr="00DC4369">
        <w:rPr>
          <w:rFonts w:ascii="Times New Roman" w:hAnsi="Times New Roman" w:cs="Times New Roman"/>
          <w:sz w:val="24"/>
          <w:szCs w:val="24"/>
        </w:rPr>
        <w:t>K Khalilul Rahman</w:t>
      </w:r>
      <w:r>
        <w:rPr>
          <w:rFonts w:ascii="Times New Roman" w:hAnsi="Times New Roman" w:cs="Times New Roman"/>
          <w:sz w:val="24"/>
          <w:szCs w:val="24"/>
          <w:vertAlign w:val="superscript"/>
        </w:rPr>
        <w:t>1</w:t>
      </w:r>
      <w:r w:rsidRPr="00DC4369">
        <w:rPr>
          <w:rFonts w:ascii="Times New Roman" w:hAnsi="Times New Roman" w:cs="Times New Roman"/>
          <w:sz w:val="24"/>
          <w:szCs w:val="24"/>
        </w:rPr>
        <w:t>, Kusum Lata</w:t>
      </w:r>
      <w:r>
        <w:rPr>
          <w:rFonts w:ascii="Times New Roman" w:hAnsi="Times New Roman" w:cs="Times New Roman"/>
          <w:sz w:val="24"/>
          <w:szCs w:val="24"/>
          <w:vertAlign w:val="superscript"/>
        </w:rPr>
        <w:t>1*</w:t>
      </w:r>
    </w:p>
    <w:p w14:paraId="3FBA1A8C" w14:textId="77777777" w:rsidR="00B41524" w:rsidRDefault="00B41524" w:rsidP="00B41524">
      <w:pPr>
        <w:rPr>
          <w:rFonts w:ascii="Times New Roman" w:hAnsi="Times New Roman" w:cs="Times New Roman"/>
          <w:sz w:val="24"/>
          <w:szCs w:val="24"/>
          <w:vertAlign w:val="superscript"/>
        </w:rPr>
      </w:pPr>
    </w:p>
    <w:p w14:paraId="61994A71" w14:textId="77777777" w:rsidR="00B41524" w:rsidRPr="00DC4369" w:rsidRDefault="00B41524" w:rsidP="001975FE">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DC4369">
        <w:rPr>
          <w:rFonts w:ascii="Times New Roman" w:hAnsi="Times New Roman" w:cs="Times New Roman"/>
          <w:sz w:val="24"/>
          <w:szCs w:val="24"/>
        </w:rPr>
        <w:t>Department of Nutrition &amp; Dietetics</w:t>
      </w:r>
      <w:r>
        <w:rPr>
          <w:rFonts w:ascii="Times New Roman" w:hAnsi="Times New Roman" w:cs="Times New Roman"/>
          <w:sz w:val="24"/>
          <w:szCs w:val="24"/>
        </w:rPr>
        <w:t xml:space="preserve"> </w:t>
      </w:r>
      <w:r w:rsidRPr="00DC4369">
        <w:rPr>
          <w:rFonts w:ascii="Times New Roman" w:hAnsi="Times New Roman" w:cs="Times New Roman"/>
          <w:sz w:val="24"/>
          <w:szCs w:val="24"/>
        </w:rPr>
        <w:t>(UIAHS) Chandigarh University, Mohali, Punjab</w:t>
      </w:r>
    </w:p>
    <w:p w14:paraId="44F542CE" w14:textId="70C4BF72" w:rsidR="008C0357" w:rsidRPr="00DC4369" w:rsidRDefault="008C0357" w:rsidP="001975FE">
      <w:pPr>
        <w:pStyle w:val="Heading1"/>
        <w:spacing w:before="0" w:after="120" w:line="360" w:lineRule="auto"/>
        <w:jc w:val="both"/>
        <w:rPr>
          <w:rFonts w:ascii="Times New Roman" w:eastAsia="Google Sans" w:hAnsi="Times New Roman" w:cs="Times New Roman"/>
          <w:color w:val="1B1C1D"/>
          <w:sz w:val="24"/>
          <w:szCs w:val="24"/>
        </w:rPr>
      </w:pPr>
      <w:r w:rsidRPr="00DC4369">
        <w:rPr>
          <w:rFonts w:ascii="Times New Roman" w:eastAsia="Google Sans" w:hAnsi="Times New Roman" w:cs="Times New Roman"/>
          <w:color w:val="1B1C1D"/>
          <w:sz w:val="24"/>
          <w:szCs w:val="24"/>
        </w:rPr>
        <w:t xml:space="preserve"> </w:t>
      </w:r>
      <w:r w:rsidR="001975FE">
        <w:rPr>
          <w:rFonts w:ascii="Times New Roman" w:eastAsia="Google Sans" w:hAnsi="Times New Roman" w:cs="Times New Roman"/>
          <w:color w:val="1B1C1D"/>
          <w:sz w:val="24"/>
          <w:szCs w:val="24"/>
        </w:rPr>
        <w:tab/>
      </w:r>
      <w:r w:rsidR="001975FE">
        <w:rPr>
          <w:rFonts w:ascii="Times New Roman" w:eastAsia="Google Sans" w:hAnsi="Times New Roman" w:cs="Times New Roman"/>
          <w:color w:val="1B1C1D"/>
          <w:sz w:val="24"/>
          <w:szCs w:val="24"/>
        </w:rPr>
        <w:tab/>
      </w:r>
      <w:r w:rsidR="001975FE">
        <w:rPr>
          <w:rFonts w:ascii="Times New Roman" w:eastAsia="Google Sans" w:hAnsi="Times New Roman" w:cs="Times New Roman"/>
          <w:color w:val="1B1C1D"/>
          <w:sz w:val="24"/>
          <w:szCs w:val="24"/>
        </w:rPr>
        <w:tab/>
      </w:r>
      <w:r w:rsidR="001975FE">
        <w:rPr>
          <w:rFonts w:ascii="Times New Roman" w:eastAsia="Google Sans" w:hAnsi="Times New Roman" w:cs="Times New Roman"/>
          <w:color w:val="1B1C1D"/>
          <w:sz w:val="24"/>
          <w:szCs w:val="24"/>
        </w:rPr>
        <w:tab/>
      </w:r>
      <w:r w:rsidR="001975FE">
        <w:rPr>
          <w:rFonts w:ascii="Times New Roman" w:eastAsia="Google Sans" w:hAnsi="Times New Roman" w:cs="Times New Roman"/>
          <w:color w:val="1B1C1D"/>
          <w:sz w:val="24"/>
          <w:szCs w:val="24"/>
        </w:rPr>
        <w:tab/>
      </w:r>
      <w:r w:rsidRPr="008C0357">
        <w:rPr>
          <w:rFonts w:ascii="Times New Roman" w:eastAsia="Google Sans" w:hAnsi="Times New Roman" w:cs="Times New Roman"/>
          <w:b/>
          <w:bCs/>
          <w:color w:val="1B1C1D"/>
          <w:sz w:val="24"/>
          <w:szCs w:val="24"/>
        </w:rPr>
        <w:t xml:space="preserve">   Abstract</w:t>
      </w:r>
      <w:r w:rsidRPr="00DC4369">
        <w:rPr>
          <w:rFonts w:ascii="Times New Roman" w:eastAsia="Google Sans" w:hAnsi="Times New Roman" w:cs="Times New Roman"/>
          <w:color w:val="1B1C1D"/>
          <w:sz w:val="24"/>
          <w:szCs w:val="24"/>
        </w:rPr>
        <w:br/>
      </w:r>
      <w:r w:rsidRPr="00DC4369">
        <w:rPr>
          <w:rFonts w:ascii="Times New Roman" w:eastAsia="Google Sans Text" w:hAnsi="Times New Roman" w:cs="Times New Roman"/>
          <w:color w:val="1B1C1D"/>
          <w:sz w:val="24"/>
          <w:szCs w:val="24"/>
        </w:rPr>
        <w:t>In the evolving world of nutrition and dietetics, imagine a trusted companion that not only understands your unique lifestyle but also gently guides you towards healthier eating habits. This explores how mobile applications and sophisticated digital platforms powered by AI are transforming personalized nutrition by offering customized dietary interventions and immediate, relatable feedback. working on current studies, the discussion follows the journey of users who engage with these platforms, highlighting how their everyday choices are influenced by real-time data analysis, AI-driven techniques, and insights shared by others on similar paths. It also examines hurdles such as data security, unequal access to technology, and the digital divide, all of which can slow down the widespread adoption of these innovations. By reflecting on empirical research, this identifies the core elements that help shape successful behaviour change personalized guidance, engaging interactive features, and strong community support.</w:t>
      </w:r>
      <w:r w:rsidR="00064881">
        <w:rPr>
          <w:rFonts w:ascii="Times New Roman" w:eastAsia="Google Sans Text" w:hAnsi="Times New Roman" w:cs="Times New Roman"/>
          <w:color w:val="1B1C1D"/>
          <w:sz w:val="24"/>
          <w:szCs w:val="24"/>
        </w:rPr>
        <w:t xml:space="preserve"> The recent findings highlight </w:t>
      </w:r>
      <w:r w:rsidR="003829AA">
        <w:rPr>
          <w:rFonts w:ascii="Times New Roman" w:eastAsia="Google Sans Text" w:hAnsi="Times New Roman" w:cs="Times New Roman"/>
          <w:color w:val="1B1C1D"/>
          <w:sz w:val="24"/>
          <w:szCs w:val="24"/>
        </w:rPr>
        <w:t xml:space="preserve">the effectiveness of AI and digital tools in personalized nutrition. Image based AI </w:t>
      </w:r>
      <w:r w:rsidR="009A49D1">
        <w:rPr>
          <w:rFonts w:ascii="Times New Roman" w:eastAsia="Google Sans Text" w:hAnsi="Times New Roman" w:cs="Times New Roman"/>
          <w:color w:val="1B1C1D"/>
          <w:sz w:val="24"/>
          <w:szCs w:val="24"/>
        </w:rPr>
        <w:t>achieved high accuracy in estimating macronutrients (87%)</w:t>
      </w:r>
      <w:r w:rsidR="005254FF">
        <w:rPr>
          <w:rFonts w:ascii="Times New Roman" w:eastAsia="Google Sans Text" w:hAnsi="Times New Roman" w:cs="Times New Roman"/>
          <w:color w:val="1B1C1D"/>
          <w:sz w:val="24"/>
          <w:szCs w:val="24"/>
        </w:rPr>
        <w:t xml:space="preserve"> and energy intake (88.36%). Digital interventions improved </w:t>
      </w:r>
      <w:proofErr w:type="spellStart"/>
      <w:r w:rsidR="005254FF">
        <w:rPr>
          <w:rFonts w:ascii="Times New Roman" w:eastAsia="Google Sans Text" w:hAnsi="Times New Roman" w:cs="Times New Roman"/>
          <w:color w:val="1B1C1D"/>
          <w:sz w:val="24"/>
          <w:szCs w:val="24"/>
        </w:rPr>
        <w:t>glycemic</w:t>
      </w:r>
      <w:proofErr w:type="spellEnd"/>
      <w:r w:rsidR="005254FF">
        <w:rPr>
          <w:rFonts w:ascii="Times New Roman" w:eastAsia="Google Sans Text" w:hAnsi="Times New Roman" w:cs="Times New Roman"/>
          <w:color w:val="1B1C1D"/>
          <w:sz w:val="24"/>
          <w:szCs w:val="24"/>
        </w:rPr>
        <w:t xml:space="preserve"> control </w:t>
      </w:r>
      <w:r w:rsidR="00545112">
        <w:rPr>
          <w:rFonts w:ascii="Times New Roman" w:eastAsia="Google Sans Text" w:hAnsi="Times New Roman" w:cs="Times New Roman"/>
          <w:color w:val="1B1C1D"/>
          <w:sz w:val="24"/>
          <w:szCs w:val="24"/>
        </w:rPr>
        <w:t>in type 2 diabetes by 15.5%</w:t>
      </w:r>
      <w:r w:rsidR="00413D3F">
        <w:rPr>
          <w:rFonts w:ascii="Times New Roman" w:eastAsia="Google Sans Text" w:hAnsi="Times New Roman" w:cs="Times New Roman"/>
          <w:color w:val="1B1C1D"/>
          <w:sz w:val="24"/>
          <w:szCs w:val="24"/>
        </w:rPr>
        <w:t xml:space="preserve"> and supported short-term weight loss 1.5 kg over </w:t>
      </w:r>
      <w:r w:rsidR="00B005F6">
        <w:rPr>
          <w:rFonts w:ascii="Times New Roman" w:eastAsia="Google Sans Text" w:hAnsi="Times New Roman" w:cs="Times New Roman"/>
          <w:color w:val="1B1C1D"/>
          <w:sz w:val="24"/>
          <w:szCs w:val="24"/>
        </w:rPr>
        <w:t xml:space="preserve">33 days. </w:t>
      </w:r>
      <w:proofErr w:type="gramStart"/>
      <w:r w:rsidR="005E338B">
        <w:rPr>
          <w:rFonts w:ascii="Times New Roman" w:eastAsia="Google Sans Text" w:hAnsi="Times New Roman" w:cs="Times New Roman"/>
          <w:color w:val="1B1C1D"/>
          <w:sz w:val="24"/>
          <w:szCs w:val="24"/>
        </w:rPr>
        <w:t>Additionally</w:t>
      </w:r>
      <w:proofErr w:type="gramEnd"/>
      <w:r w:rsidR="005E338B">
        <w:rPr>
          <w:rFonts w:ascii="Times New Roman" w:eastAsia="Google Sans Text" w:hAnsi="Times New Roman" w:cs="Times New Roman"/>
          <w:color w:val="1B1C1D"/>
          <w:sz w:val="24"/>
          <w:szCs w:val="24"/>
        </w:rPr>
        <w:t xml:space="preserve"> 66.6% of studies on tailoring digital interventions reported successful weight loss outcomes, showcasing their potential in behaviour</w:t>
      </w:r>
      <w:r w:rsidR="001975FE">
        <w:rPr>
          <w:rFonts w:ascii="Times New Roman" w:eastAsia="Google Sans Text" w:hAnsi="Times New Roman" w:cs="Times New Roman"/>
          <w:color w:val="1B1C1D"/>
          <w:sz w:val="24"/>
          <w:szCs w:val="24"/>
        </w:rPr>
        <w:t xml:space="preserve"> change.</w:t>
      </w:r>
      <w:r w:rsidRPr="00DC4369">
        <w:rPr>
          <w:rFonts w:ascii="Times New Roman" w:eastAsia="Google Sans Text" w:hAnsi="Times New Roman" w:cs="Times New Roman"/>
          <w:color w:val="1B1C1D"/>
          <w:sz w:val="24"/>
          <w:szCs w:val="24"/>
        </w:rPr>
        <w:t xml:space="preserve"> Focusing on it considers the promising future of deeper integration between these digital tools and comprehensive healthcare systems, ultimately reaffirming the pivotal role of digital health in evolving modern dietetics and crafting effective, human-centred nutritional strategies.</w:t>
      </w:r>
      <w:r w:rsidR="00B1730D" w:rsidRPr="00B1730D">
        <w:rPr>
          <w:rFonts w:ascii="Times New Roman" w:eastAsia="Google Sans Text" w:hAnsi="Times New Roman" w:cs="Times New Roman"/>
          <w:color w:val="FF0000"/>
          <w:sz w:val="24"/>
          <w:szCs w:val="24"/>
        </w:rPr>
        <w:t xml:space="preserve"> </w:t>
      </w:r>
      <w:r w:rsidRPr="00B1730D">
        <w:rPr>
          <w:rFonts w:ascii="Times New Roman" w:eastAsia="Google Sans" w:hAnsi="Times New Roman" w:cs="Times New Roman"/>
          <w:color w:val="FF0000"/>
          <w:sz w:val="24"/>
          <w:szCs w:val="24"/>
        </w:rPr>
        <w:br/>
      </w:r>
      <w:r w:rsidRPr="00B1730D">
        <w:rPr>
          <w:rFonts w:ascii="Times New Roman" w:eastAsia="Google Sans" w:hAnsi="Times New Roman" w:cs="Times New Roman"/>
          <w:color w:val="FF0000"/>
          <w:sz w:val="24"/>
          <w:szCs w:val="24"/>
        </w:rPr>
        <w:br/>
      </w:r>
      <w:r w:rsidRPr="00B41524">
        <w:rPr>
          <w:rFonts w:ascii="Times New Roman" w:eastAsia="Google Sans" w:hAnsi="Times New Roman" w:cs="Times New Roman"/>
          <w:b/>
          <w:bCs/>
          <w:color w:val="1B1C1D"/>
          <w:sz w:val="24"/>
          <w:szCs w:val="24"/>
        </w:rPr>
        <w:t>Keywords</w:t>
      </w:r>
    </w:p>
    <w:p w14:paraId="1AFF087C" w14:textId="6C418167" w:rsidR="008C0357" w:rsidRPr="008C0357" w:rsidRDefault="008C0357" w:rsidP="008C0357">
      <w:pPr>
        <w:pStyle w:val="Heading1"/>
        <w:spacing w:before="0" w:after="120" w:line="360" w:lineRule="auto"/>
        <w:rPr>
          <w:rFonts w:ascii="Times New Roman" w:eastAsia="Google Sans" w:hAnsi="Times New Roman" w:cs="Times New Roman"/>
          <w:bCs/>
          <w:color w:val="1B1C1D"/>
          <w:sz w:val="24"/>
          <w:szCs w:val="24"/>
        </w:rPr>
      </w:pPr>
      <w:r w:rsidRPr="00DC4369">
        <w:rPr>
          <w:rFonts w:ascii="Times New Roman" w:eastAsia="Google Sans" w:hAnsi="Times New Roman" w:cs="Times New Roman"/>
          <w:bCs/>
          <w:color w:val="1B1C1D"/>
          <w:sz w:val="24"/>
          <w:szCs w:val="24"/>
        </w:rPr>
        <w:t>Digital Health, Personalized Dietetics, Mobile Apps, AI-Driven Platforms, Dietary Behaviour Change, Nutritional Interventions</w:t>
      </w:r>
    </w:p>
    <w:p w14:paraId="6B979C97" w14:textId="2C03707C"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Introduction</w:t>
      </w:r>
    </w:p>
    <w:p w14:paraId="325F4EC8" w14:textId="297A2A8A"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F34619">
        <w:rPr>
          <w:rFonts w:ascii="Times New Roman" w:eastAsia="Google Sans Text" w:hAnsi="Times New Roman" w:cs="Times New Roman"/>
          <w:color w:val="1B1C1D"/>
          <w:sz w:val="24"/>
          <w:szCs w:val="24"/>
        </w:rPr>
        <w:t xml:space="preserve">The fields of dietetics and nutrition are being revolutionized, with mobile apps and artificial </w:t>
      </w:r>
      <w:r w:rsidRPr="00F34619">
        <w:rPr>
          <w:rFonts w:ascii="Times New Roman" w:eastAsia="Google Sans Text" w:hAnsi="Times New Roman" w:cs="Times New Roman"/>
          <w:color w:val="1B1C1D"/>
          <w:sz w:val="24"/>
          <w:szCs w:val="24"/>
        </w:rPr>
        <w:lastRenderedPageBreak/>
        <w:t>intelligence-powered online platforms changing the face of personalized nutrition. Such platforms offer tailored dietary advice and instantaneous feedback, thereby impacting users' day-to-day decision-making. Such tools can be reliable companions to individuals, enabling them to enhance their meal patterns and lifestyles.</w:t>
      </w:r>
      <w:r w:rsidRPr="00DC4369">
        <w:rPr>
          <w:rFonts w:ascii="Times New Roman" w:eastAsia="Google Sans Text" w:hAnsi="Times New Roman" w:cs="Times New Roman"/>
          <w:color w:val="1B1C1D"/>
          <w:sz w:val="24"/>
          <w:szCs w:val="24"/>
        </w:rPr>
        <w:t xml:space="preserve"> [1]. </w:t>
      </w:r>
      <w:r w:rsidRPr="00F34619">
        <w:rPr>
          <w:rFonts w:ascii="Times New Roman" w:eastAsia="Google Sans Text" w:hAnsi="Times New Roman" w:cs="Times New Roman"/>
          <w:color w:val="1B1C1D"/>
          <w:sz w:val="24"/>
          <w:szCs w:val="24"/>
        </w:rPr>
        <w:t>This article discusses the potential of digital tools in healthcare, their potential but also the pitfalls like data protection, unequal access, and the digital divide. It highlights the necessity of personalized guidance, interactive features, and social support for effective behaviour change</w:t>
      </w:r>
      <w:r>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 xml:space="preserve">[2]. </w:t>
      </w:r>
      <w:r w:rsidR="0032207C" w:rsidRPr="0032207C">
        <w:rPr>
          <w:rFonts w:ascii="Times New Roman" w:eastAsia="Google Sans Text" w:hAnsi="Times New Roman" w:cs="Times New Roman"/>
          <w:color w:val="1B1C1D"/>
          <w:sz w:val="24"/>
          <w:szCs w:val="24"/>
        </w:rPr>
        <w:t xml:space="preserve">Personalized nutrition (PN) addresses individual response to diet through genetics, gut microbiome, lifestyle, and environment. PN aims to optimize health by tailoring dietary recommendations based on these parameters. PN integrates nutrition science, clinical practice, genomics, epigenetics, systems biology, medicine, and </w:t>
      </w:r>
      <w:proofErr w:type="spellStart"/>
      <w:r w:rsidR="0032207C" w:rsidRPr="0032207C">
        <w:rPr>
          <w:rFonts w:ascii="Times New Roman" w:eastAsia="Google Sans Text" w:hAnsi="Times New Roman" w:cs="Times New Roman"/>
          <w:color w:val="1B1C1D"/>
          <w:sz w:val="24"/>
          <w:szCs w:val="24"/>
        </w:rPr>
        <w:t>behavioral</w:t>
      </w:r>
      <w:proofErr w:type="spellEnd"/>
      <w:r w:rsidR="0032207C" w:rsidRPr="0032207C">
        <w:rPr>
          <w:rFonts w:ascii="Times New Roman" w:eastAsia="Google Sans Text" w:hAnsi="Times New Roman" w:cs="Times New Roman"/>
          <w:color w:val="1B1C1D"/>
          <w:sz w:val="24"/>
          <w:szCs w:val="24"/>
        </w:rPr>
        <w:t xml:space="preserve"> science. More studies need to be conducted to determine its benefits</w:t>
      </w:r>
      <w:r w:rsidRPr="00DC4369">
        <w:rPr>
          <w:rFonts w:ascii="Times New Roman" w:eastAsia="Google Sans Text" w:hAnsi="Times New Roman" w:cs="Times New Roman"/>
          <w:color w:val="1B1C1D"/>
          <w:sz w:val="24"/>
          <w:szCs w:val="24"/>
        </w:rPr>
        <w:t xml:space="preserve"> [3]. Digital health, defined loosely as the ensemble of measurement and intervention tools for the service of human health, is increasingly involved in enabling personalized nutrition. One of its aspects, mobile health (mHealth), refers to the use of wireless and mobile technologies such as cell phones and tablets by patients and health care providers to enhance health care services, promote improved health outcomes, and promote advances in health care research [4]. </w:t>
      </w:r>
    </w:p>
    <w:p w14:paraId="0D5E274D" w14:textId="77777777" w:rsidR="00F34619" w:rsidRPr="00DC4369" w:rsidRDefault="00F34619" w:rsidP="00F34619">
      <w:pPr>
        <w:spacing w:after="240" w:line="360" w:lineRule="auto"/>
        <w:jc w:val="both"/>
        <w:rPr>
          <w:rFonts w:ascii="Times New Roman" w:eastAsia="Google Sans Text" w:hAnsi="Times New Roman" w:cs="Times New Roman"/>
          <w:b/>
          <w:bCs/>
          <w:color w:val="1B1C1D"/>
          <w:sz w:val="24"/>
          <w:szCs w:val="24"/>
        </w:rPr>
      </w:pPr>
      <w:r w:rsidRPr="00DC4369">
        <w:rPr>
          <w:rFonts w:ascii="Times New Roman" w:eastAsia="Google Sans Text" w:hAnsi="Times New Roman" w:cs="Times New Roman"/>
          <w:b/>
          <w:bCs/>
          <w:color w:val="1B1C1D"/>
          <w:sz w:val="24"/>
          <w:szCs w:val="24"/>
        </w:rPr>
        <w:t>Review of literature</w:t>
      </w:r>
    </w:p>
    <w:p w14:paraId="701663E0" w14:textId="45B79801" w:rsidR="00F34619" w:rsidRPr="00DC4369" w:rsidRDefault="00C33F36" w:rsidP="00F34619">
      <w:pPr>
        <w:spacing w:after="240" w:line="360" w:lineRule="auto"/>
        <w:jc w:val="both"/>
        <w:rPr>
          <w:rFonts w:ascii="Times New Roman" w:eastAsia="Google Sans Text" w:hAnsi="Times New Roman" w:cs="Times New Roman"/>
          <w:color w:val="1B1C1D"/>
          <w:sz w:val="24"/>
          <w:szCs w:val="24"/>
        </w:rPr>
      </w:pPr>
      <w:r w:rsidRPr="00C33F36">
        <w:rPr>
          <w:rFonts w:ascii="Times New Roman" w:eastAsia="Google Sans Text" w:hAnsi="Times New Roman" w:cs="Times New Roman"/>
          <w:color w:val="1B1C1D"/>
          <w:sz w:val="24"/>
          <w:szCs w:val="24"/>
        </w:rPr>
        <w:t>Digital health interventions include a variety of tools ranging from patient apps, clinician support software, and patient-provider communication platforms. The review specifically addresses mobile apps and AI platforms that impact food intake patterns in personalized dietetics. The review elucidates how the technologies impact daily food intake by examining real-time data and applying AI insights, and discusses the barriers to their wide-scale adoption.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[5]. The intersection of personalized nutrition and digital health is a paradigm shift in dietetics, moving the focus away from generic advice towards personalized intervention enabled by technological progress [6]. Dietetic practice generally relies heavily on generic dietary advice. The digital health field provides practitioners with the means to gather and process data at the individual level, e.g., lifestyle information, biomarkers, and potentially genetic and microbiome data, which are crucial to the provision of really personalized nutritional guidance [7]. Artificial intelligence and mobile applications are the interfaces and analysis platforms that enable this shift. The success of personalized nutrition delivered through digital media is ultimately dependent upon the ability to transform complex data into actionable and </w:t>
      </w:r>
      <w:r w:rsidR="00F34619" w:rsidRPr="00DC4369">
        <w:rPr>
          <w:rFonts w:ascii="Times New Roman" w:eastAsia="Google Sans Text" w:hAnsi="Times New Roman" w:cs="Times New Roman"/>
          <w:color w:val="1B1C1D"/>
          <w:sz w:val="24"/>
          <w:szCs w:val="24"/>
        </w:rPr>
        <w:lastRenderedPageBreak/>
        <w:t xml:space="preserve">understandable advice to users [8]. </w:t>
      </w:r>
      <w:r w:rsidRPr="00C33F36">
        <w:rPr>
          <w:rFonts w:ascii="Times New Roman" w:eastAsia="Google Sans Text" w:hAnsi="Times New Roman" w:cs="Times New Roman"/>
          <w:color w:val="1B1C1D"/>
          <w:sz w:val="24"/>
          <w:szCs w:val="24"/>
        </w:rPr>
        <w:t>Although technology is best at handling big data, its success depends on providing access to information and making it user-</w:t>
      </w:r>
      <w:proofErr w:type="spellStart"/>
      <w:r w:rsidRPr="00C33F36">
        <w:rPr>
          <w:rFonts w:ascii="Times New Roman" w:eastAsia="Google Sans Text" w:hAnsi="Times New Roman" w:cs="Times New Roman"/>
          <w:color w:val="1B1C1D"/>
          <w:sz w:val="24"/>
          <w:szCs w:val="24"/>
        </w:rPr>
        <w:t>centered</w:t>
      </w:r>
      <w:proofErr w:type="spellEnd"/>
      <w:r w:rsidRPr="00C33F36">
        <w:rPr>
          <w:rFonts w:ascii="Times New Roman" w:eastAsia="Google Sans Text" w:hAnsi="Times New Roman" w:cs="Times New Roman"/>
          <w:color w:val="1B1C1D"/>
          <w:sz w:val="24"/>
          <w:szCs w:val="24"/>
        </w:rPr>
        <w:t>. This makes natural interfaces, tailored feedback, and integration into everyday life imperative. Widespread use of digital health technologies in individualized dietetics has the potential to improve prevention and management of diet-related chronic diseases, lower healthcare expenditures, and promote public health</w:t>
      </w:r>
      <w:r w:rsidR="00F34619" w:rsidRPr="00DC4369">
        <w:rPr>
          <w:rFonts w:ascii="Times New Roman" w:eastAsia="Google Sans Text" w:hAnsi="Times New Roman" w:cs="Times New Roman"/>
          <w:color w:val="1B1C1D"/>
          <w:sz w:val="24"/>
          <w:szCs w:val="24"/>
        </w:rPr>
        <w:t xml:space="preserve"> [9]. </w:t>
      </w:r>
      <w:r w:rsidR="00582547" w:rsidRPr="00582547">
        <w:rPr>
          <w:rFonts w:ascii="Times New Roman" w:eastAsia="Google Sans Text" w:hAnsi="Times New Roman" w:cs="Times New Roman"/>
          <w:color w:val="1B1C1D"/>
          <w:sz w:val="24"/>
          <w:szCs w:val="24"/>
        </w:rPr>
        <w:t>Personalized nutrition is transforming the dietetics profession, with mobile apps and artificial intelligence platforms providing personalized guidance and real-time feedback to steer individuals to healthier foods. This review highlights the effects on day-to-day decision-making by leveraging AI-based insights and crowd-sourced knowledge while overcoming barriers such as data privacy issues, data access limitations, and the digital divide that may hinder wider take-up</w:t>
      </w:r>
      <w:r w:rsidR="00582547">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[10]. </w:t>
      </w:r>
      <w:r w:rsidR="00582547" w:rsidRPr="00582547">
        <w:rPr>
          <w:rFonts w:ascii="Times New Roman" w:eastAsia="Google Sans Text" w:hAnsi="Times New Roman" w:cs="Times New Roman"/>
          <w:color w:val="1B1C1D"/>
          <w:sz w:val="24"/>
          <w:szCs w:val="24"/>
        </w:rPr>
        <w:t>The practice of dietetics is shifting towards individualized care, where mobile applications and artificial intelligence platforms are crucial in providing individualized dietary recommendations and instant feedback. These applications enable users to adopt healthier habits that suit their unique lifestyles. Their effects, user interaction, and challenges like data confidentiality, usability, and digital divide, which can act as barriers to large-scale adoption, are emphasized in this review</w:t>
      </w:r>
      <w:r w:rsidR="00582547">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[11].</w:t>
      </w:r>
    </w:p>
    <w:p w14:paraId="26027D57" w14:textId="7BB7753E" w:rsidR="00F34619" w:rsidRPr="00DC4369" w:rsidRDefault="00A4226D" w:rsidP="00F34619">
      <w:pPr>
        <w:spacing w:line="360" w:lineRule="auto"/>
        <w:jc w:val="both"/>
        <w:rPr>
          <w:rFonts w:ascii="Times New Roman" w:eastAsia="Google Sans Text" w:hAnsi="Times New Roman" w:cs="Times New Roman"/>
          <w:color w:val="1B1C1D"/>
          <w:sz w:val="24"/>
          <w:szCs w:val="24"/>
        </w:rPr>
      </w:pPr>
      <w:r w:rsidRPr="00A4226D">
        <w:rPr>
          <w:rFonts w:ascii="Times New Roman" w:eastAsia="Google Sans Text" w:hAnsi="Times New Roman" w:cs="Times New Roman"/>
          <w:color w:val="1B1C1D"/>
          <w:sz w:val="24"/>
          <w:szCs w:val="24"/>
        </w:rPr>
        <w:t>Digital health, in the form of an array of health measurement and intervention tools, is increasingly important within the personalized nutrition context. A central component of this area, mobile health (mHealth), is the use of mobile technology by patients and clinicians to enhance care delivery and outcomes. Devices linked to digital health include consumer applications, clinical software, and communication platforms. This review highlights the role of mobile applications and artificial intelligence-based platforms in the development of dietary habits within personalized dietetics via real-time analysis and insight, and discusses restrictions to their wider adoption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[12]. </w:t>
      </w:r>
      <w:r w:rsidRPr="00A4226D">
        <w:rPr>
          <w:rFonts w:ascii="Times New Roman" w:eastAsia="Google Sans Text" w:hAnsi="Times New Roman" w:cs="Times New Roman"/>
          <w:color w:val="1B1C1D"/>
          <w:sz w:val="24"/>
          <w:szCs w:val="24"/>
        </w:rPr>
        <w:t xml:space="preserve">The intersection of personalized nutrition and digital health is a paradigm shift in dietetics from universal advice to technology-enabled personalized interventions. Digital health allows the practitioner to collect and </w:t>
      </w:r>
      <w:proofErr w:type="spellStart"/>
      <w:r w:rsidRPr="00A4226D">
        <w:rPr>
          <w:rFonts w:ascii="Times New Roman" w:eastAsia="Google Sans Text" w:hAnsi="Times New Roman" w:cs="Times New Roman"/>
          <w:color w:val="1B1C1D"/>
          <w:sz w:val="24"/>
          <w:szCs w:val="24"/>
        </w:rPr>
        <w:t>analyze</w:t>
      </w:r>
      <w:proofErr w:type="spellEnd"/>
      <w:r w:rsidRPr="00A4226D">
        <w:rPr>
          <w:rFonts w:ascii="Times New Roman" w:eastAsia="Google Sans Text" w:hAnsi="Times New Roman" w:cs="Times New Roman"/>
          <w:color w:val="1B1C1D"/>
          <w:sz w:val="24"/>
          <w:szCs w:val="24"/>
        </w:rPr>
        <w:t xml:space="preserve"> individual data, such as lifestyle parameters, biomarkers, and even genetic and microbiome data, allowing the delivery of truly individualized dietetic advice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[13]. </w:t>
      </w:r>
      <w:r w:rsidRPr="00A4226D">
        <w:rPr>
          <w:rFonts w:ascii="Times New Roman" w:eastAsia="Google Sans Text" w:hAnsi="Times New Roman" w:cs="Times New Roman"/>
          <w:color w:val="1B1C1D"/>
          <w:sz w:val="24"/>
          <w:szCs w:val="24"/>
        </w:rPr>
        <w:t>Mobile applications and artificial intelligence are the key platforms that enable the shift to personalized nutrition. The success of the technologies relies on the capacity of the technologies to reduce complex data into simple, easily actionable advice. Technology is capable of managing large sets of data, but success lies in the ease of accessing and understanding the information. This suggests the requirement for intuitive interfaces, personalized feedback, and simple integration into daily routines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[14]. A </w:t>
      </w:r>
      <w:r w:rsidR="00F34619" w:rsidRPr="00DC4369">
        <w:rPr>
          <w:rFonts w:ascii="Times New Roman" w:eastAsia="Google Sans Text" w:hAnsi="Times New Roman" w:cs="Times New Roman"/>
          <w:color w:val="1B1C1D"/>
          <w:sz w:val="24"/>
          <w:szCs w:val="24"/>
        </w:rPr>
        <w:lastRenderedPageBreak/>
        <w:t>wider impact of the widespread use of digital health in personalized dietetics is the potential for improved prevention and control of diet-related chronic diseases, potentially leading to significant savings in healthcare costs and improved population health.</w:t>
      </w:r>
    </w:p>
    <w:p w14:paraId="488F3AE9"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The Global Challenge of Poor Dietary Habits and the Rise of Digital Health</w:t>
      </w:r>
    </w:p>
    <w:p w14:paraId="1078F1F8" w14:textId="2F4F47CA"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Unhealthy diet is a major global health burden and a leading cause of the global NCD burden, including cardiovascular disease, type 2 diabetes, and some cancers [15]. </w:t>
      </w:r>
      <w:r w:rsidR="00A4226D" w:rsidRPr="00A4226D">
        <w:rPr>
          <w:rFonts w:ascii="Times New Roman" w:eastAsia="Google Sans Text" w:hAnsi="Times New Roman" w:cs="Times New Roman"/>
          <w:color w:val="1B1C1D"/>
          <w:sz w:val="24"/>
          <w:szCs w:val="24"/>
        </w:rPr>
        <w:t>The rising rates of overweight and obesity globally underscore the need to address modifiable risk factors. Digital health interventions have been considered powerful means of improving health and preventing disease, with broad reach and scalability. The World Health Organization (WHO) recognizes the potential of digital health to improve well-being and promotes its strategic use to achieve global health goals and empower individuals to take control of their health</w:t>
      </w:r>
      <w:r w:rsidRPr="00DC4369">
        <w:rPr>
          <w:rFonts w:ascii="Times New Roman" w:eastAsia="Google Sans Text" w:hAnsi="Times New Roman" w:cs="Times New Roman"/>
          <w:color w:val="1B1C1D"/>
          <w:sz w:val="24"/>
          <w:szCs w:val="24"/>
        </w:rPr>
        <w:t xml:space="preserve"> [16]. </w:t>
      </w:r>
      <w:r w:rsidR="00582547" w:rsidRPr="00582547">
        <w:rPr>
          <w:rFonts w:ascii="Times New Roman" w:eastAsia="Google Sans Text" w:hAnsi="Times New Roman" w:cs="Times New Roman"/>
          <w:color w:val="1B1C1D"/>
          <w:sz w:val="24"/>
          <w:szCs w:val="24"/>
        </w:rPr>
        <w:t>Unhealthy diets are a leading cause of NCDs worldwide, including heart disease, diabetes, and cancer. Rising obesity levels emphasize the importance of addressing modifiable risks. Digital health solutions offer scalable, population-wide solutions for enabling healthier diets. WHO emphasizes their strategic use and the importance of research into how digital technologies can be used to improve dietary habits at the population level</w:t>
      </w:r>
      <w:r w:rsidRPr="00DC4369">
        <w:rPr>
          <w:rFonts w:ascii="Times New Roman" w:eastAsia="Google Sans Text" w:hAnsi="Times New Roman" w:cs="Times New Roman"/>
          <w:color w:val="1B1C1D"/>
          <w:sz w:val="24"/>
          <w:szCs w:val="24"/>
        </w:rPr>
        <w:t xml:space="preserve"> [17]. </w:t>
      </w:r>
      <w:r w:rsidR="00582547" w:rsidRPr="00582547">
        <w:rPr>
          <w:rFonts w:ascii="Times New Roman" w:eastAsia="Google Sans Text" w:hAnsi="Times New Roman" w:cs="Times New Roman"/>
          <w:color w:val="1B1C1D"/>
          <w:sz w:val="24"/>
          <w:szCs w:val="24"/>
        </w:rPr>
        <w:t>The WHO promotes the strategic application of digital health technologies to combat global health disorders such as poor eating habits leading to common diseases. Since there is increasing obesity and associated sickness, digital interventions provide scalable and efficient means to encourage healthier consumption and disease prevention</w:t>
      </w:r>
      <w:r w:rsidR="00582547">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[18].</w:t>
      </w:r>
    </w:p>
    <w:p w14:paraId="0AE77A62"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Mobile Applications and AI-Driven Platforms in Nutrition</w:t>
      </w:r>
    </w:p>
    <w:p w14:paraId="6D4EB96C" w14:textId="472B148C" w:rsidR="00F34619" w:rsidRPr="00DC4369" w:rsidRDefault="0020055F" w:rsidP="00F34619">
      <w:pPr>
        <w:spacing w:after="240" w:line="360" w:lineRule="auto"/>
        <w:jc w:val="both"/>
        <w:rPr>
          <w:rFonts w:ascii="Times New Roman" w:eastAsia="Google Sans Text" w:hAnsi="Times New Roman" w:cs="Times New Roman"/>
          <w:color w:val="1B1C1D"/>
          <w:sz w:val="24"/>
          <w:szCs w:val="24"/>
        </w:rPr>
      </w:pPr>
      <w:r w:rsidRPr="0020055F">
        <w:rPr>
          <w:rFonts w:ascii="Times New Roman" w:eastAsia="Google Sans Text" w:hAnsi="Times New Roman" w:cs="Times New Roman"/>
          <w:color w:val="1B1C1D"/>
          <w:sz w:val="24"/>
          <w:szCs w:val="24"/>
        </w:rPr>
        <w:t xml:space="preserve">Technological innovations in mobile and artificial intelligence have enabled the utilization of mHealth apps for diet care on a mass scale. Applications offer features such as nutrient tracking, recipes, and education. AI enables this by </w:t>
      </w:r>
      <w:proofErr w:type="spellStart"/>
      <w:r w:rsidRPr="0020055F">
        <w:rPr>
          <w:rFonts w:ascii="Times New Roman" w:eastAsia="Google Sans Text" w:hAnsi="Times New Roman" w:cs="Times New Roman"/>
          <w:color w:val="1B1C1D"/>
          <w:sz w:val="24"/>
          <w:szCs w:val="24"/>
        </w:rPr>
        <w:t>analyzing</w:t>
      </w:r>
      <w:proofErr w:type="spellEnd"/>
      <w:r w:rsidRPr="0020055F">
        <w:rPr>
          <w:rFonts w:ascii="Times New Roman" w:eastAsia="Google Sans Text" w:hAnsi="Times New Roman" w:cs="Times New Roman"/>
          <w:color w:val="1B1C1D"/>
          <w:sz w:val="24"/>
          <w:szCs w:val="24"/>
        </w:rPr>
        <w:t xml:space="preserve"> complicated data and creating personalized meal plans using machine learning. Other tools also include food image-based tracking and real-time feedback</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[19],[20]. Synergy between mobile technology and AI provides a new opportunity for the delivery of highly personalized and accessible dietary interventions to a large population.</w:t>
      </w:r>
    </w:p>
    <w:p w14:paraId="002C4A71"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Potential Benefits and Current State of Research</w:t>
      </w:r>
    </w:p>
    <w:p w14:paraId="156209D1" w14:textId="00D3D304"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Digital diet change interventions have several potential advantages over traditional approaches. Evidence suggests that the application of diet and nutrition apps has the potential to improve </w:t>
      </w:r>
      <w:r w:rsidRPr="00DC4369">
        <w:rPr>
          <w:rFonts w:ascii="Times New Roman" w:eastAsia="Google Sans Text" w:hAnsi="Times New Roman" w:cs="Times New Roman"/>
          <w:color w:val="1B1C1D"/>
          <w:sz w:val="24"/>
          <w:szCs w:val="24"/>
        </w:rPr>
        <w:lastRenderedPageBreak/>
        <w:t xml:space="preserve">the motivation of an individual towards healthy eating, their confidence in diet change, and their motivation towards adopting and accomplishing healthy eating goals [21]. </w:t>
      </w:r>
      <w:r w:rsidR="0020055F" w:rsidRPr="0020055F">
        <w:rPr>
          <w:rFonts w:ascii="Times New Roman" w:eastAsia="Google Sans Text" w:hAnsi="Times New Roman" w:cs="Times New Roman"/>
          <w:color w:val="1B1C1D"/>
          <w:sz w:val="24"/>
          <w:szCs w:val="24"/>
        </w:rPr>
        <w:t xml:space="preserve">Digital media can facilitate dietary interventions to be more accessible and affordable through expert advice at any time and location. They also give instant feedback and personalized guidance, which can enhance intervention efficacy. However, evidence for the long-term impact of mobile apps and AI platforms on changing dietary </w:t>
      </w:r>
      <w:proofErr w:type="spellStart"/>
      <w:r w:rsidR="0020055F" w:rsidRPr="0020055F">
        <w:rPr>
          <w:rFonts w:ascii="Times New Roman" w:eastAsia="Google Sans Text" w:hAnsi="Times New Roman" w:cs="Times New Roman"/>
          <w:color w:val="1B1C1D"/>
          <w:sz w:val="24"/>
          <w:szCs w:val="24"/>
        </w:rPr>
        <w:t>behavior</w:t>
      </w:r>
      <w:proofErr w:type="spellEnd"/>
      <w:r w:rsidR="0020055F" w:rsidRPr="0020055F">
        <w:rPr>
          <w:rFonts w:ascii="Times New Roman" w:eastAsia="Google Sans Text" w:hAnsi="Times New Roman" w:cs="Times New Roman"/>
          <w:color w:val="1B1C1D"/>
          <w:sz w:val="24"/>
          <w:szCs w:val="24"/>
        </w:rPr>
        <w:t xml:space="preserve"> is mixed, with some studies concluding significant change, others modest or variable effects. This is consistent with the challenge of maintaining dietary changes and the necessity for further studies in this evolving field</w:t>
      </w:r>
      <w:r w:rsidR="0020055F">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[22].</w:t>
      </w:r>
      <w:r w:rsidR="003E780F">
        <w:rPr>
          <w:rFonts w:ascii="Times New Roman" w:eastAsia="Google Sans Text" w:hAnsi="Times New Roman" w:cs="Times New Roman"/>
          <w:color w:val="1B1C1D"/>
          <w:sz w:val="24"/>
          <w:szCs w:val="24"/>
        </w:rPr>
        <w:t xml:space="preserve"> </w:t>
      </w:r>
      <w:r w:rsidR="0020055F" w:rsidRPr="0020055F">
        <w:rPr>
          <w:rFonts w:ascii="Times New Roman" w:eastAsia="Google Sans Text" w:hAnsi="Times New Roman" w:cs="Times New Roman"/>
          <w:color w:val="1B1C1D"/>
          <w:sz w:val="24"/>
          <w:szCs w:val="24"/>
        </w:rPr>
        <w:t xml:space="preserve">The review covers studies on smartphone applications and AI platforms that target dietary consumption and health </w:t>
      </w:r>
      <w:proofErr w:type="spellStart"/>
      <w:r w:rsidR="0020055F" w:rsidRPr="0020055F">
        <w:rPr>
          <w:rFonts w:ascii="Times New Roman" w:eastAsia="Google Sans Text" w:hAnsi="Times New Roman" w:cs="Times New Roman"/>
          <w:color w:val="1B1C1D"/>
          <w:sz w:val="24"/>
          <w:szCs w:val="24"/>
        </w:rPr>
        <w:t>behavior</w:t>
      </w:r>
      <w:proofErr w:type="spellEnd"/>
      <w:r w:rsidR="0020055F" w:rsidRPr="0020055F">
        <w:rPr>
          <w:rFonts w:ascii="Times New Roman" w:eastAsia="Google Sans Text" w:hAnsi="Times New Roman" w:cs="Times New Roman"/>
          <w:color w:val="1B1C1D"/>
          <w:sz w:val="24"/>
          <w:szCs w:val="24"/>
        </w:rPr>
        <w:t xml:space="preserve"> in healthy individuals and chronic disease patients</w:t>
      </w:r>
      <w:r w:rsidR="0020055F">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[23].</w:t>
      </w:r>
    </w:p>
    <w:p w14:paraId="6D1F5843"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Methodology</w:t>
      </w:r>
    </w:p>
    <w:p w14:paraId="6689EB2A" w14:textId="06B25778" w:rsidR="00F34619" w:rsidRPr="00DC4369" w:rsidRDefault="00073AE9"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073AE9">
        <w:rPr>
          <w:rFonts w:ascii="Times New Roman" w:eastAsia="Google Sans Text" w:hAnsi="Times New Roman" w:cs="Times New Roman"/>
          <w:color w:val="1B1C1D"/>
          <w:sz w:val="24"/>
          <w:szCs w:val="24"/>
        </w:rPr>
        <w:t xml:space="preserve">This review followed a systematic approach to find and incorporate studies on the influence of mobile apps and artificial intelligence platforms on diet </w:t>
      </w:r>
      <w:proofErr w:type="spellStart"/>
      <w:r w:rsidRPr="00073AE9">
        <w:rPr>
          <w:rFonts w:ascii="Times New Roman" w:eastAsia="Google Sans Text" w:hAnsi="Times New Roman" w:cs="Times New Roman"/>
          <w:color w:val="1B1C1D"/>
          <w:sz w:val="24"/>
          <w:szCs w:val="24"/>
        </w:rPr>
        <w:t>behavior</w:t>
      </w:r>
      <w:proofErr w:type="spellEnd"/>
      <w:r w:rsidRPr="00073AE9">
        <w:rPr>
          <w:rFonts w:ascii="Times New Roman" w:eastAsia="Google Sans Text" w:hAnsi="Times New Roman" w:cs="Times New Roman"/>
          <w:color w:val="1B1C1D"/>
          <w:sz w:val="24"/>
          <w:szCs w:val="24"/>
        </w:rPr>
        <w:t xml:space="preserve"> change in the realm of personalized dietetics. An extensive search of major databases</w:t>
      </w:r>
      <w:r>
        <w:rPr>
          <w:rFonts w:ascii="Times New Roman" w:eastAsia="Google Sans Text" w:hAnsi="Times New Roman" w:cs="Times New Roman"/>
          <w:color w:val="1B1C1D"/>
          <w:sz w:val="24"/>
          <w:szCs w:val="24"/>
        </w:rPr>
        <w:t xml:space="preserve"> </w:t>
      </w:r>
      <w:r w:rsidRPr="00073AE9">
        <w:rPr>
          <w:rFonts w:ascii="Times New Roman" w:eastAsia="Google Sans Text" w:hAnsi="Times New Roman" w:cs="Times New Roman"/>
          <w:color w:val="1B1C1D"/>
          <w:sz w:val="24"/>
          <w:szCs w:val="24"/>
        </w:rPr>
        <w:t>PubMed, Scopus, and Web of Science</w:t>
      </w:r>
      <w:r>
        <w:rPr>
          <w:rFonts w:ascii="Times New Roman" w:eastAsia="Google Sans Text" w:hAnsi="Times New Roman" w:cs="Times New Roman"/>
          <w:color w:val="1B1C1D"/>
          <w:sz w:val="24"/>
          <w:szCs w:val="24"/>
        </w:rPr>
        <w:t xml:space="preserve"> </w:t>
      </w:r>
      <w:r w:rsidRPr="00073AE9">
        <w:rPr>
          <w:rFonts w:ascii="Times New Roman" w:eastAsia="Google Sans Text" w:hAnsi="Times New Roman" w:cs="Times New Roman"/>
          <w:color w:val="1B1C1D"/>
          <w:sz w:val="24"/>
          <w:szCs w:val="24"/>
        </w:rPr>
        <w:t xml:space="preserve">was conducted employing keywords like "digital health," "personalized nutrition," "mobile apps," "artificial intelligence," and "dietary </w:t>
      </w:r>
      <w:proofErr w:type="spellStart"/>
      <w:r w:rsidRPr="00073AE9">
        <w:rPr>
          <w:rFonts w:ascii="Times New Roman" w:eastAsia="Google Sans Text" w:hAnsi="Times New Roman" w:cs="Times New Roman"/>
          <w:color w:val="1B1C1D"/>
          <w:sz w:val="24"/>
          <w:szCs w:val="24"/>
        </w:rPr>
        <w:t>behavior</w:t>
      </w:r>
      <w:proofErr w:type="spellEnd"/>
      <w:r w:rsidRPr="00073AE9">
        <w:rPr>
          <w:rFonts w:ascii="Times New Roman" w:eastAsia="Google Sans Text" w:hAnsi="Times New Roman" w:cs="Times New Roman"/>
          <w:color w:val="1B1C1D"/>
          <w:sz w:val="24"/>
          <w:szCs w:val="24"/>
        </w:rPr>
        <w:t xml:space="preserve"> change." The search was confined to the last five years to capture the most recent developments in this rapidly transforming field</w:t>
      </w:r>
      <w:r w:rsidR="00F34619" w:rsidRPr="00DC4369">
        <w:rPr>
          <w:rFonts w:ascii="Times New Roman" w:eastAsia="Google Sans Text" w:hAnsi="Times New Roman" w:cs="Times New Roman"/>
          <w:color w:val="1B1C1D"/>
          <w:sz w:val="24"/>
          <w:szCs w:val="24"/>
        </w:rPr>
        <w:t xml:space="preserve"> [24]. </w:t>
      </w:r>
      <w:r w:rsidR="007939D8" w:rsidRPr="007939D8">
        <w:rPr>
          <w:rFonts w:ascii="Times New Roman" w:eastAsia="Google Sans Text" w:hAnsi="Times New Roman" w:cs="Times New Roman"/>
          <w:color w:val="1B1C1D"/>
          <w:sz w:val="24"/>
          <w:szCs w:val="24"/>
        </w:rPr>
        <w:t xml:space="preserve">The review included peer-reviewed literature that evaluated or utilized mobile apps and AI platforms for individualized dietary interventions and </w:t>
      </w:r>
      <w:proofErr w:type="spellStart"/>
      <w:r w:rsidR="007939D8" w:rsidRPr="007939D8">
        <w:rPr>
          <w:rFonts w:ascii="Times New Roman" w:eastAsia="Google Sans Text" w:hAnsi="Times New Roman" w:cs="Times New Roman"/>
          <w:color w:val="1B1C1D"/>
          <w:sz w:val="24"/>
          <w:szCs w:val="24"/>
        </w:rPr>
        <w:t>behavior</w:t>
      </w:r>
      <w:proofErr w:type="spellEnd"/>
      <w:r w:rsidR="007939D8" w:rsidRPr="007939D8">
        <w:rPr>
          <w:rFonts w:ascii="Times New Roman" w:eastAsia="Google Sans Text" w:hAnsi="Times New Roman" w:cs="Times New Roman"/>
          <w:color w:val="1B1C1D"/>
          <w:sz w:val="24"/>
          <w:szCs w:val="24"/>
        </w:rPr>
        <w:t xml:space="preserve"> change in adult populations. Permissible study designs included randomized controlled trials, observational studies, systematic reviews, and meta-analyses. Excluded were studies that were entirely on specific disease groups with no general applicability to dietary </w:t>
      </w:r>
      <w:proofErr w:type="spellStart"/>
      <w:r w:rsidR="007939D8" w:rsidRPr="007939D8">
        <w:rPr>
          <w:rFonts w:ascii="Times New Roman" w:eastAsia="Google Sans Text" w:hAnsi="Times New Roman" w:cs="Times New Roman"/>
          <w:color w:val="1B1C1D"/>
          <w:sz w:val="24"/>
          <w:szCs w:val="24"/>
        </w:rPr>
        <w:t>behavior</w:t>
      </w:r>
      <w:proofErr w:type="spellEnd"/>
      <w:r w:rsidR="007939D8" w:rsidRPr="007939D8">
        <w:rPr>
          <w:rFonts w:ascii="Times New Roman" w:eastAsia="Google Sans Text" w:hAnsi="Times New Roman" w:cs="Times New Roman"/>
          <w:color w:val="1B1C1D"/>
          <w:sz w:val="24"/>
          <w:szCs w:val="24"/>
        </w:rPr>
        <w:t xml:space="preserve"> change, utilized digital formats other than apps (e.g., websites alone), or were not in English. The review followed PRISMA guidelines to ensure transparency and methodological rigor</w:t>
      </w:r>
      <w:r w:rsid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[25].</w:t>
      </w:r>
      <w:r w:rsidR="00F34619" w:rsidRPr="00DC4369">
        <w:rPr>
          <w:rFonts w:ascii="Times New Roman" w:eastAsia="Google Sans Text" w:hAnsi="Times New Roman" w:cs="Times New Roman"/>
          <w:color w:val="575B5F"/>
          <w:sz w:val="24"/>
          <w:szCs w:val="24"/>
          <w:vertAlign w:val="superscript"/>
        </w:rPr>
        <w:t xml:space="preserve"> </w:t>
      </w:r>
      <w:r w:rsidR="007939D8" w:rsidRPr="007939D8">
        <w:rPr>
          <w:rFonts w:ascii="Times New Roman" w:eastAsia="Google Sans Text" w:hAnsi="Times New Roman" w:cs="Times New Roman"/>
          <w:color w:val="1B1C1D"/>
          <w:sz w:val="24"/>
          <w:szCs w:val="24"/>
        </w:rPr>
        <w:t>Data extraction was the organized extraction of principal information from the included studies, including study design, intervention attributes (e.g., type of app, AI attributes, and personalization approaches), population of interest, outcome measures (e.g., dietary intake, adherence, weight change, health biomarkers), and principal findings. Extracted data were synthesized to determine common themes, trends, and gaps in literature on the effectiveness and challenges of mobile app and AI application in personalized dietetics</w:t>
      </w:r>
      <w:r w:rsidR="00F34619" w:rsidRPr="00DC4369">
        <w:rPr>
          <w:rFonts w:ascii="Times New Roman" w:eastAsia="Google Sans Text" w:hAnsi="Times New Roman" w:cs="Times New Roman"/>
          <w:color w:val="1B1C1D"/>
          <w:sz w:val="24"/>
          <w:szCs w:val="24"/>
        </w:rPr>
        <w:t xml:space="preserve"> [26]. </w:t>
      </w:r>
      <w:r w:rsidR="007939D8" w:rsidRPr="007939D8">
        <w:rPr>
          <w:rFonts w:ascii="Times New Roman" w:eastAsia="Google Sans Text" w:hAnsi="Times New Roman" w:cs="Times New Roman"/>
          <w:color w:val="1B1C1D"/>
          <w:sz w:val="24"/>
          <w:szCs w:val="24"/>
        </w:rPr>
        <w:t xml:space="preserve">The methodological quality of the studies included was assessed using the proper tools, e.g., the Cochrane Risk of Bias tool for randomized controlled trials, to determine the likelihood of bias. This ensured that the conclusions of the review are based on evidence from studies with sound </w:t>
      </w:r>
      <w:r w:rsidR="007939D8" w:rsidRPr="007939D8">
        <w:rPr>
          <w:rFonts w:ascii="Times New Roman" w:eastAsia="Google Sans Text" w:hAnsi="Times New Roman" w:cs="Times New Roman"/>
          <w:color w:val="1B1C1D"/>
          <w:sz w:val="24"/>
          <w:szCs w:val="24"/>
        </w:rPr>
        <w:lastRenderedPageBreak/>
        <w:t>and reliable methodological designs</w:t>
      </w:r>
      <w:r w:rsid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[27].</w:t>
      </w:r>
    </w:p>
    <w:p w14:paraId="540F8897" w14:textId="42EA0C64" w:rsidR="00F34619" w:rsidRPr="00DC4369" w:rsidRDefault="00955028" w:rsidP="007939D8">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955028">
        <w:rPr>
          <w:rFonts w:ascii="Times New Roman" w:eastAsia="Google Sans Text" w:hAnsi="Times New Roman" w:cs="Times New Roman"/>
          <w:color w:val="1B1C1D"/>
          <w:sz w:val="24"/>
          <w:szCs w:val="24"/>
        </w:rPr>
        <w:t xml:space="preserve">A graphical abstract was designed to visually encapsulate the key themes and results of the review, prioritizing clarity and visual appeal. It employed symbols for mobile apps, artificial intelligence, personalized nutrition, and shifts in dietary </w:t>
      </w:r>
      <w:proofErr w:type="spellStart"/>
      <w:r w:rsidRPr="00955028">
        <w:rPr>
          <w:rFonts w:ascii="Times New Roman" w:eastAsia="Google Sans Text" w:hAnsi="Times New Roman" w:cs="Times New Roman"/>
          <w:color w:val="1B1C1D"/>
          <w:sz w:val="24"/>
          <w:szCs w:val="24"/>
        </w:rPr>
        <w:t>behavior</w:t>
      </w:r>
      <w:proofErr w:type="spellEnd"/>
      <w:r w:rsidRPr="00955028">
        <w:rPr>
          <w:rFonts w:ascii="Times New Roman" w:eastAsia="Google Sans Text" w:hAnsi="Times New Roman" w:cs="Times New Roman"/>
          <w:color w:val="1B1C1D"/>
          <w:sz w:val="24"/>
          <w:szCs w:val="24"/>
        </w:rPr>
        <w:t xml:space="preserve">, emphasizing the revolution of dietetics through the implementation of digital health technologies. The design employed Calibri typefaces, balanced </w:t>
      </w:r>
      <w:proofErr w:type="spellStart"/>
      <w:r w:rsidRPr="00955028">
        <w:rPr>
          <w:rFonts w:ascii="Times New Roman" w:eastAsia="Google Sans Text" w:hAnsi="Times New Roman" w:cs="Times New Roman"/>
          <w:color w:val="1B1C1D"/>
          <w:sz w:val="24"/>
          <w:szCs w:val="24"/>
        </w:rPr>
        <w:t>color</w:t>
      </w:r>
      <w:proofErr w:type="spellEnd"/>
      <w:r w:rsidRPr="00955028">
        <w:rPr>
          <w:rFonts w:ascii="Times New Roman" w:eastAsia="Google Sans Text" w:hAnsi="Times New Roman" w:cs="Times New Roman"/>
          <w:color w:val="1B1C1D"/>
          <w:sz w:val="24"/>
          <w:szCs w:val="24"/>
        </w:rPr>
        <w:t xml:space="preserve"> schemes, minimalist iconography, and accessibility-enhancing features such as </w:t>
      </w:r>
      <w:proofErr w:type="spellStart"/>
      <w:r w:rsidRPr="00955028">
        <w:rPr>
          <w:rFonts w:ascii="Times New Roman" w:eastAsia="Google Sans Text" w:hAnsi="Times New Roman" w:cs="Times New Roman"/>
          <w:color w:val="1B1C1D"/>
          <w:sz w:val="24"/>
          <w:szCs w:val="24"/>
        </w:rPr>
        <w:t>color-blind</w:t>
      </w:r>
      <w:proofErr w:type="spellEnd"/>
      <w:r w:rsidRPr="00955028">
        <w:rPr>
          <w:rFonts w:ascii="Times New Roman" w:eastAsia="Google Sans Text" w:hAnsi="Times New Roman" w:cs="Times New Roman"/>
          <w:color w:val="1B1C1D"/>
          <w:sz w:val="24"/>
          <w:szCs w:val="24"/>
        </w:rPr>
        <w:t xml:space="preserve"> friendly palettes and alternative text descriptions. The review highlights the necessity of rigorous methodological designs, such as randomized controlled trials, to provide solid evidence on the efficacy of digital health interventions in the personalized dietetics domain</w:t>
      </w:r>
      <w:r w:rsidR="007939D8" w:rsidRP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[28]. A well-defined and transparent methodology enhances the credibility of this review, providing a robust foundation for the subsequent analysis of results and the formulation of conclusions.</w:t>
      </w:r>
    </w:p>
    <w:p w14:paraId="72F7FCFE"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Results and discussion</w:t>
      </w:r>
    </w:p>
    <w:p w14:paraId="2EB18AF2"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Evolving Landscape of Personalized Nutrition and the Role of Digital Platforms</w:t>
      </w:r>
    </w:p>
    <w:p w14:paraId="6C2C2454" w14:textId="43F54138" w:rsidR="00F34619" w:rsidRDefault="007939D8" w:rsidP="00F34619">
      <w:pPr>
        <w:spacing w:after="240" w:line="360" w:lineRule="auto"/>
        <w:jc w:val="both"/>
        <w:rPr>
          <w:rFonts w:ascii="Times New Roman" w:eastAsia="Google Sans Text" w:hAnsi="Times New Roman" w:cs="Times New Roman"/>
          <w:color w:val="1B1C1D"/>
          <w:sz w:val="24"/>
          <w:szCs w:val="24"/>
        </w:rPr>
      </w:pPr>
      <w:r w:rsidRPr="007939D8">
        <w:rPr>
          <w:rFonts w:ascii="Times New Roman" w:eastAsia="Google Sans Text" w:hAnsi="Times New Roman" w:cs="Times New Roman"/>
          <w:color w:val="1B1C1D"/>
          <w:sz w:val="24"/>
          <w:szCs w:val="24"/>
        </w:rPr>
        <w:t>Digital platforms lie at the heart of personalized nutrition as they allow the capture, integration, and analysis of diverse data needed to tailor diet advice. Digital platforms allow multimodal data to be collected, such as dietary intake, lifestyle, personal preferences, physiological signs, and omics-related data</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[29]. </w:t>
      </w:r>
      <w:r w:rsidRPr="007939D8">
        <w:rPr>
          <w:rFonts w:ascii="Times New Roman" w:eastAsia="Google Sans Text" w:hAnsi="Times New Roman" w:cs="Times New Roman"/>
          <w:color w:val="1B1C1D"/>
          <w:sz w:val="24"/>
          <w:szCs w:val="24"/>
        </w:rPr>
        <w:t xml:space="preserve">The extensive availability of social media and technology has significantly improved the ability to gather user data, such as lifestyle patterns, consumer </w:t>
      </w:r>
      <w:proofErr w:type="spellStart"/>
      <w:r w:rsidRPr="007939D8">
        <w:rPr>
          <w:rFonts w:ascii="Times New Roman" w:eastAsia="Google Sans Text" w:hAnsi="Times New Roman" w:cs="Times New Roman"/>
          <w:color w:val="1B1C1D"/>
          <w:sz w:val="24"/>
          <w:szCs w:val="24"/>
        </w:rPr>
        <w:t>behavior</w:t>
      </w:r>
      <w:proofErr w:type="spellEnd"/>
      <w:r w:rsidRPr="007939D8">
        <w:rPr>
          <w:rFonts w:ascii="Times New Roman" w:eastAsia="Google Sans Text" w:hAnsi="Times New Roman" w:cs="Times New Roman"/>
          <w:color w:val="1B1C1D"/>
          <w:sz w:val="24"/>
          <w:szCs w:val="24"/>
        </w:rPr>
        <w:t>, social pressures, and health status. One such recent innovation in this regard is the idea of "digital twins," which is a computer simulation of an individual's body and biological processes obtained through the integration of data from various sources like medical history, genetic profile, and wearable sensors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[30]. </w:t>
      </w:r>
      <w:r w:rsidRPr="007939D8">
        <w:rPr>
          <w:rFonts w:ascii="Times New Roman" w:eastAsia="Google Sans Text" w:hAnsi="Times New Roman" w:cs="Times New Roman"/>
          <w:color w:val="1B1C1D"/>
          <w:sz w:val="24"/>
          <w:szCs w:val="24"/>
        </w:rPr>
        <w:t>The digital twin can be used to model and forecast consequences, for example, the impact of a particular dietary intervention on blood glucose. Its capacity to combine real-time updates with new information allows dynamic and adaptive treatment, thereby allowing treatment or dietary intervention to be monitored by healthcare professionals and altered as needed. The new technology has immense potential for personalized management of chronic conditions such as type 2 diabetes, offering customized nutritional guidance based on ongoing data analysis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[31]. </w:t>
      </w:r>
      <w:r w:rsidRPr="007939D8">
        <w:rPr>
          <w:rFonts w:ascii="Times New Roman" w:eastAsia="Google Sans Text" w:hAnsi="Times New Roman" w:cs="Times New Roman"/>
          <w:color w:val="1B1C1D"/>
          <w:sz w:val="24"/>
          <w:szCs w:val="24"/>
        </w:rPr>
        <w:t xml:space="preserve">Personalized nutrition can be categorized into four levels based on the level of complexity of data employed. The first level comprises lifestyle, personal preference, cultural practices, and overall dietary habits. The second level comprises biomarkers and phenotypic characteristics, such as quantitative </w:t>
      </w:r>
      <w:r w:rsidRPr="007939D8">
        <w:rPr>
          <w:rFonts w:ascii="Times New Roman" w:eastAsia="Google Sans Text" w:hAnsi="Times New Roman" w:cs="Times New Roman"/>
          <w:color w:val="1B1C1D"/>
          <w:sz w:val="24"/>
          <w:szCs w:val="24"/>
        </w:rPr>
        <w:lastRenderedPageBreak/>
        <w:t>measures like blood pressure and cholesterol. A still more sophisticated level comprises omics data, such as fields like metabolomics, genetic information, and microbiome analysis</w:t>
      </w:r>
      <w:r w:rsidR="00F34619" w:rsidRPr="00DC4369">
        <w:rPr>
          <w:rFonts w:ascii="Times New Roman" w:eastAsia="Google Sans Text" w:hAnsi="Times New Roman" w:cs="Times New Roman"/>
          <w:color w:val="1B1C1D"/>
          <w:sz w:val="24"/>
          <w:szCs w:val="24"/>
        </w:rPr>
        <w:t xml:space="preserve"> [32]. The highest level is a systems approach, combining data from all the above levels to develop an overall and highly individualized nutrition plan [33]. To enable these levels of personalization, different methodologies are used by personalized nutrition interventions to gather individual-specific data, such as extensive questionnaires of lifestyle and health, analysis of biological samples such as saliva (for DNA), blood or urine (for metabolites), and stool (for microbiome), and inputs from healthcare professionals who provide advice based on their professional expertise.</w:t>
      </w:r>
    </w:p>
    <w:p w14:paraId="4669F02C"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 xml:space="preserve">Table 1: Levels of Personalized Nutrition Based on Data Complexity </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5"/>
        <w:gridCol w:w="4448"/>
        <w:gridCol w:w="4330"/>
      </w:tblGrid>
      <w:tr w:rsidR="008C0357" w:rsidRPr="00DC4369" w14:paraId="6F235D29" w14:textId="77777777" w:rsidTr="006602C9">
        <w:trPr>
          <w:trHeight w:val="367"/>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2FADCF"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Level</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2BD8A1"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22910C"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Examples of Data Sources</w:t>
            </w:r>
          </w:p>
        </w:tc>
      </w:tr>
      <w:tr w:rsidR="008C0357" w:rsidRPr="00DC4369" w14:paraId="3A5B0E4D" w14:textId="77777777" w:rsidTr="006602C9">
        <w:trPr>
          <w:trHeight w:val="720"/>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B9EC00"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1</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9F8A7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Lifestyle, Preferences, Culture, Dietary Patterns</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8F3E6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Questionnaires, Food Diaries, Cultural Background</w:t>
            </w:r>
          </w:p>
        </w:tc>
      </w:tr>
      <w:tr w:rsidR="008C0357" w:rsidRPr="00DC4369" w14:paraId="5E8842C3" w14:textId="77777777" w:rsidTr="006602C9">
        <w:trPr>
          <w:trHeight w:val="433"/>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4081FA"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2</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C7442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Biomarkers and Phenotypic Characteristics</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8DD74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Blood Pressure, Cholesterol Levels, BMI, Glucose Readings</w:t>
            </w:r>
          </w:p>
        </w:tc>
      </w:tr>
      <w:tr w:rsidR="008C0357" w:rsidRPr="00DC4369" w14:paraId="2C7DFC17" w14:textId="77777777" w:rsidTr="006602C9">
        <w:trPr>
          <w:trHeight w:val="486"/>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7624BB"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3</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6BF75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Omics Data</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FDBE6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Genetic Tests, Microbiome Analysis, Metabolomic Profiles</w:t>
            </w:r>
          </w:p>
        </w:tc>
      </w:tr>
      <w:tr w:rsidR="008C0357" w:rsidRPr="00DC4369" w14:paraId="41339DDE" w14:textId="77777777" w:rsidTr="006602C9">
        <w:trPr>
          <w:trHeight w:val="667"/>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3CB832"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4</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735F0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Systems Approach</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29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Integration of all data from Levels 1, 2, and </w:t>
            </w:r>
            <w:proofErr w:type="gramStart"/>
            <w:r w:rsidRPr="00DC4369">
              <w:rPr>
                <w:rFonts w:ascii="Times New Roman" w:eastAsia="Google Sans Text" w:hAnsi="Times New Roman" w:cs="Times New Roman"/>
                <w:color w:val="1B1C1D"/>
                <w:sz w:val="24"/>
                <w:szCs w:val="24"/>
              </w:rPr>
              <w:t>3  [</w:t>
            </w:r>
            <w:proofErr w:type="gramEnd"/>
            <w:r w:rsidRPr="00DC4369">
              <w:rPr>
                <w:rFonts w:ascii="Times New Roman" w:eastAsia="Google Sans Text" w:hAnsi="Times New Roman" w:cs="Times New Roman"/>
                <w:color w:val="1B1C1D"/>
                <w:sz w:val="24"/>
                <w:szCs w:val="24"/>
              </w:rPr>
              <w:t>34]</w:t>
            </w:r>
          </w:p>
        </w:tc>
      </w:tr>
    </w:tbl>
    <w:p w14:paraId="5E8692F5" w14:textId="00F0961F" w:rsidR="00F34619" w:rsidRPr="00DC4369" w:rsidRDefault="006D05E5" w:rsidP="00F34619">
      <w:pPr>
        <w:pBdr>
          <w:top w:val="nil"/>
          <w:left w:val="nil"/>
          <w:bottom w:val="nil"/>
          <w:right w:val="nil"/>
          <w:between w:val="nil"/>
        </w:pBdr>
        <w:spacing w:before="480" w:after="240" w:line="360" w:lineRule="auto"/>
        <w:jc w:val="both"/>
        <w:rPr>
          <w:rFonts w:ascii="Times New Roman" w:eastAsia="Google Sans Text" w:hAnsi="Times New Roman" w:cs="Times New Roman"/>
          <w:color w:val="1B1C1D"/>
          <w:sz w:val="24"/>
          <w:szCs w:val="24"/>
        </w:rPr>
      </w:pPr>
      <w:r w:rsidRPr="006D05E5">
        <w:rPr>
          <w:rFonts w:ascii="Times New Roman" w:eastAsia="Google Sans Text" w:hAnsi="Times New Roman" w:cs="Times New Roman"/>
          <w:color w:val="1B1C1D"/>
          <w:sz w:val="24"/>
          <w:szCs w:val="24"/>
        </w:rPr>
        <w:t>The coming together of online platforms is essential to facilitating new degrees of personalized nutrition. It would be impossible to handle and interpret the vast, intricate data sets created from numerous sources without the sophisticated technological resources. This move towards data-driven, personalized nutritional strategies, facilitated by online platforms, has profound implications for individuals seeking to enhance their health and for individuals with chronic diseases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[35].</w:t>
      </w:r>
    </w:p>
    <w:p w14:paraId="6BC0B67D"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Advancements and Applications of AI in Personalized Dietetics</w:t>
      </w:r>
    </w:p>
    <w:p w14:paraId="5B25D26B" w14:textId="26C62D18" w:rsidR="00F34619" w:rsidRPr="00DC4369" w:rsidRDefault="006D05E5"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6D05E5">
        <w:rPr>
          <w:rFonts w:ascii="Times New Roman" w:eastAsia="Google Sans Text" w:hAnsi="Times New Roman" w:cs="Times New Roman"/>
          <w:color w:val="1B1C1D"/>
          <w:sz w:val="24"/>
          <w:szCs w:val="24"/>
        </w:rPr>
        <w:t xml:space="preserve">The advances in artificial intelligence (AI) and machine learning (ML) have significantly speeded up the field of personalized dietetics by increasing the efficiency, scope, and complexity of analysing intricate nutrition data. Successful application of AI and ML in this </w:t>
      </w:r>
      <w:r w:rsidRPr="006D05E5">
        <w:rPr>
          <w:rFonts w:ascii="Times New Roman" w:eastAsia="Google Sans Text" w:hAnsi="Times New Roman" w:cs="Times New Roman"/>
          <w:color w:val="1B1C1D"/>
          <w:sz w:val="24"/>
          <w:szCs w:val="24"/>
        </w:rPr>
        <w:lastRenderedPageBreak/>
        <w:t>area requires interdisciplinary efforts to build accurate algorithms, models, and tools, as well as careful choice and structuring of relevant data sources for appropriate analysis. If properly applied, AI and ML can potentially greatly enhance the delivery of personalized nutritional advice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[36].</w:t>
      </w:r>
      <w:r w:rsidR="00F34619" w:rsidRPr="00DC4369">
        <w:rPr>
          <w:rFonts w:ascii="Times New Roman" w:eastAsia="Google Sans Text" w:hAnsi="Times New Roman" w:cs="Times New Roman"/>
          <w:color w:val="575B5F"/>
          <w:sz w:val="24"/>
          <w:szCs w:val="24"/>
          <w:vertAlign w:val="superscript"/>
        </w:rPr>
        <w:t xml:space="preserve"> </w:t>
      </w:r>
      <w:r w:rsidRPr="006D05E5">
        <w:rPr>
          <w:rFonts w:ascii="Times New Roman" w:eastAsia="Google Sans Text" w:hAnsi="Times New Roman" w:cs="Times New Roman"/>
          <w:color w:val="1B1C1D"/>
          <w:sz w:val="24"/>
          <w:szCs w:val="24"/>
        </w:rPr>
        <w:t>AI is playing a significant role in nutrigenomics, the science of how nutrients affect genes. The processing ability of AI and its machine learning capability enable scientists to rapidly and accurately examine a person's genetic composition. This enables the development of personalized nutritional advice based on one's own genetic composition, a departure from the centuries-long "one-size-fits-all" method. The accuracy of the advice, along with the convenience and speed of AI in interpreting genetic information, makes personalized nutrition available to a wider population</w:t>
      </w:r>
      <w:r w:rsidR="00F34619" w:rsidRPr="00DC4369">
        <w:rPr>
          <w:rFonts w:ascii="Times New Roman" w:eastAsia="Google Sans Text" w:hAnsi="Times New Roman" w:cs="Times New Roman"/>
          <w:color w:val="1B1C1D"/>
          <w:sz w:val="24"/>
          <w:szCs w:val="24"/>
        </w:rPr>
        <w:t xml:space="preserve"> [37].</w:t>
      </w:r>
    </w:p>
    <w:p w14:paraId="64F82C20" w14:textId="28923EBB" w:rsidR="00F34619" w:rsidRDefault="006D05E5"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6D05E5">
        <w:rPr>
          <w:rFonts w:ascii="Times New Roman" w:eastAsia="Google Sans Text" w:hAnsi="Times New Roman" w:cs="Times New Roman"/>
          <w:color w:val="1B1C1D"/>
          <w:sz w:val="24"/>
          <w:szCs w:val="24"/>
        </w:rPr>
        <w:t xml:space="preserve">Artificial intelligence plays a key role in gut microbiota analysis, which plays a pivotal role in health and food reaction. </w:t>
      </w:r>
      <w:proofErr w:type="spellStart"/>
      <w:r w:rsidRPr="006D05E5">
        <w:rPr>
          <w:rFonts w:ascii="Times New Roman" w:eastAsia="Google Sans Text" w:hAnsi="Times New Roman" w:cs="Times New Roman"/>
          <w:color w:val="1B1C1D"/>
          <w:sz w:val="24"/>
          <w:szCs w:val="24"/>
        </w:rPr>
        <w:t>Metabiota</w:t>
      </w:r>
      <w:proofErr w:type="spellEnd"/>
      <w:r w:rsidRPr="006D05E5">
        <w:rPr>
          <w:rFonts w:ascii="Times New Roman" w:eastAsia="Google Sans Text" w:hAnsi="Times New Roman" w:cs="Times New Roman"/>
          <w:color w:val="1B1C1D"/>
          <w:sz w:val="24"/>
          <w:szCs w:val="24"/>
        </w:rPr>
        <w:t xml:space="preserve">, </w:t>
      </w:r>
      <w:proofErr w:type="spellStart"/>
      <w:r w:rsidRPr="006D05E5">
        <w:rPr>
          <w:rFonts w:ascii="Times New Roman" w:eastAsia="Google Sans Text" w:hAnsi="Times New Roman" w:cs="Times New Roman"/>
          <w:color w:val="1B1C1D"/>
          <w:sz w:val="24"/>
          <w:szCs w:val="24"/>
        </w:rPr>
        <w:t>Viome</w:t>
      </w:r>
      <w:proofErr w:type="spellEnd"/>
      <w:r w:rsidRPr="006D05E5">
        <w:rPr>
          <w:rFonts w:ascii="Times New Roman" w:eastAsia="Google Sans Text" w:hAnsi="Times New Roman" w:cs="Times New Roman"/>
          <w:color w:val="1B1C1D"/>
          <w:sz w:val="24"/>
          <w:szCs w:val="24"/>
        </w:rPr>
        <w:t xml:space="preserve">, and Day-Two are some of the software programs that </w:t>
      </w:r>
      <w:proofErr w:type="spellStart"/>
      <w:r w:rsidRPr="006D05E5">
        <w:rPr>
          <w:rFonts w:ascii="Times New Roman" w:eastAsia="Google Sans Text" w:hAnsi="Times New Roman" w:cs="Times New Roman"/>
          <w:color w:val="1B1C1D"/>
          <w:sz w:val="24"/>
          <w:szCs w:val="24"/>
        </w:rPr>
        <w:t>analyze</w:t>
      </w:r>
      <w:proofErr w:type="spellEnd"/>
      <w:r w:rsidRPr="006D05E5">
        <w:rPr>
          <w:rFonts w:ascii="Times New Roman" w:eastAsia="Google Sans Text" w:hAnsi="Times New Roman" w:cs="Times New Roman"/>
          <w:color w:val="1B1C1D"/>
          <w:sz w:val="24"/>
          <w:szCs w:val="24"/>
        </w:rPr>
        <w:t xml:space="preserve"> large data to predict health outcomes resulting from gut microbiota alterations. Based on microbial, human, and mitochondrial gene expression analysis, these software programs provide personalized nutrition plans aimed at improving gut health and overall wellness, essentially acting as personal gut health advisors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[38].</w:t>
      </w:r>
      <w:r w:rsidR="00F34619" w:rsidRPr="00DC4369">
        <w:rPr>
          <w:rFonts w:ascii="Times New Roman" w:eastAsia="Google Sans Text" w:hAnsi="Times New Roman" w:cs="Times New Roman"/>
          <w:color w:val="575B5F"/>
          <w:sz w:val="24"/>
          <w:szCs w:val="24"/>
          <w:vertAlign w:val="superscript"/>
        </w:rPr>
        <w:t xml:space="preserve"> </w:t>
      </w:r>
      <w:r w:rsidR="00955028" w:rsidRPr="00955028">
        <w:rPr>
          <w:rFonts w:ascii="Times New Roman" w:eastAsia="Google Sans Text" w:hAnsi="Times New Roman" w:cs="Times New Roman"/>
          <w:color w:val="1B1C1D"/>
          <w:sz w:val="24"/>
          <w:szCs w:val="24"/>
        </w:rPr>
        <w:t xml:space="preserve">The market has seen an increase in artificial intelligence-based personalized nutrition applications that provide customized health solutions. The applications monitor dietary consumption, physical activity, and health markers using data-based insights and algorithms. Elements such as gamification, voice assistants, and chatbots are also important in enhancing user experience. Some of the best examples include </w:t>
      </w:r>
      <w:proofErr w:type="spellStart"/>
      <w:r w:rsidR="00955028" w:rsidRPr="00955028">
        <w:rPr>
          <w:rFonts w:ascii="Times New Roman" w:eastAsia="Google Sans Text" w:hAnsi="Times New Roman" w:cs="Times New Roman"/>
          <w:color w:val="1B1C1D"/>
          <w:sz w:val="24"/>
          <w:szCs w:val="24"/>
        </w:rPr>
        <w:t>Suggestic</w:t>
      </w:r>
      <w:proofErr w:type="spellEnd"/>
      <w:r w:rsidR="00955028" w:rsidRPr="00955028">
        <w:rPr>
          <w:rFonts w:ascii="Times New Roman" w:eastAsia="Google Sans Text" w:hAnsi="Times New Roman" w:cs="Times New Roman"/>
          <w:color w:val="1B1C1D"/>
          <w:sz w:val="24"/>
          <w:szCs w:val="24"/>
        </w:rPr>
        <w:t xml:space="preserve">, which provides personalized meal plans; EatLove, which offers customized meal preparation; Season Health, which manages chronic diseases; and </w:t>
      </w:r>
      <w:proofErr w:type="spellStart"/>
      <w:r w:rsidR="00955028" w:rsidRPr="00955028">
        <w:rPr>
          <w:rFonts w:ascii="Times New Roman" w:eastAsia="Google Sans Text" w:hAnsi="Times New Roman" w:cs="Times New Roman"/>
          <w:color w:val="1B1C1D"/>
          <w:sz w:val="24"/>
          <w:szCs w:val="24"/>
        </w:rPr>
        <w:t>BetterMeal</w:t>
      </w:r>
      <w:proofErr w:type="spellEnd"/>
      <w:r w:rsidR="00955028" w:rsidRPr="00955028">
        <w:rPr>
          <w:rFonts w:ascii="Times New Roman" w:eastAsia="Google Sans Text" w:hAnsi="Times New Roman" w:cs="Times New Roman"/>
          <w:color w:val="1B1C1D"/>
          <w:sz w:val="24"/>
          <w:szCs w:val="24"/>
        </w:rPr>
        <w:t xml:space="preserve"> AI, which makes recommendations for diabetes-appropriate meals. Artificial intelligence is also incorporated in supermarket apps that recommend foods based on dietary needs, with some apps applying nudging techniques to assist the user in adhering to health objectives</w:t>
      </w:r>
      <w:r w:rsidR="0095502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[39],[40].</w:t>
      </w:r>
    </w:p>
    <w:p w14:paraId="63E1DBE8" w14:textId="14C31B17" w:rsidR="00F34619" w:rsidRDefault="00955028"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955028">
        <w:rPr>
          <w:rFonts w:ascii="Times New Roman" w:eastAsia="Google Sans Text" w:hAnsi="Times New Roman" w:cs="Times New Roman"/>
          <w:color w:val="1B1C1D"/>
          <w:sz w:val="24"/>
          <w:szCs w:val="24"/>
        </w:rPr>
        <w:t>The use of artificial intelligence in personalized nutrition is revolutionizing the formulation and communication of dietary advice, allowing for more precise, simple, and efficient means of improving dietary habits and overall health. The increasing application of AI-based applications and platforms is an indication of a major shift towards the use of sophisticated technology to drive personalized nutritional interventions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[56].</w:t>
      </w:r>
    </w:p>
    <w:p w14:paraId="6AD07491"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Table 2: Examples of AI Tools and Startups in Personalized Nutrition</w:t>
      </w:r>
    </w:p>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1"/>
        <w:gridCol w:w="3402"/>
        <w:gridCol w:w="3969"/>
      </w:tblGrid>
      <w:tr w:rsidR="008C0357" w:rsidRPr="00DC4369" w14:paraId="31A89A9E"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14CE1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lastRenderedPageBreak/>
              <w:t>Tool/Startup Name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334C7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08E0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Key Features/Approach</w:t>
            </w:r>
          </w:p>
        </w:tc>
      </w:tr>
      <w:tr w:rsidR="008C0357" w:rsidRPr="00DC4369" w14:paraId="028D04FC" w14:textId="77777777" w:rsidTr="006602C9">
        <w:trPr>
          <w:trHeight w:val="1283"/>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4068A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Metabiota</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FCA76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for microbiota analysis</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AF5CE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gut microbiota data to predict health implications and aid in early disease prediction and prevention [41].</w:t>
            </w:r>
          </w:p>
        </w:tc>
      </w:tr>
      <w:tr w:rsidR="008C0357" w:rsidRPr="00DC4369" w14:paraId="7B0E22B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04E7F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Viome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433C2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providing in-depth insights into gut health</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67A41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microbial, human, and mitochondrial gene expression to create personalized nutritional plans for gut health improvement [42].</w:t>
            </w:r>
          </w:p>
        </w:tc>
      </w:tr>
      <w:tr w:rsidR="008C0357" w:rsidRPr="00DC4369" w14:paraId="56444338"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561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DayTwo</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B968B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offering personalized nutritional advice based on gut bacteria balance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F33B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the genetic composition of the gut microbiome and combines it with individual parameters to provide personalized dietary recommendations [43].</w:t>
            </w:r>
          </w:p>
        </w:tc>
      </w:tr>
      <w:tr w:rsidR="008C0357" w:rsidRPr="00DC4369" w14:paraId="2C4C8D51"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D3951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Suggestic</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0C1DE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Personalized nutrition platform</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E2F7E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Uses AI to generate hyper-personalized meal plans for weight loss, habit formation, and reaching nutrition goals, adjusting plans based on clinical lab tests or wearable device data [44].</w:t>
            </w:r>
          </w:p>
        </w:tc>
      </w:tr>
      <w:tr w:rsidR="008C0357" w:rsidRPr="00DC4369" w14:paraId="18C53E5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D62BB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EatLove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57529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Digital health startup specializing in personalized nutrition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0909A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Uses AI to provide dynamic meal recommendations, optimizing grocery lists for food waste and cost. Partners with restaurants and grocers for various meal options [45].</w:t>
            </w:r>
          </w:p>
        </w:tc>
      </w:tr>
      <w:tr w:rsidR="008C0357" w:rsidRPr="00DC4369" w14:paraId="72EBAF0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F5594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Season Health</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C6E280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Platform offering personalized nutrition and advice from registered dietitians</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02290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Helps manage chronic conditions like diabetes and kidney disease through personalized nutrition planning and dietitian support [46].</w:t>
            </w:r>
          </w:p>
        </w:tc>
      </w:tr>
      <w:tr w:rsidR="008C0357" w:rsidRPr="00DC4369" w14:paraId="32A88442"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A68B1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BetterMeal</w:t>
            </w:r>
            <w:proofErr w:type="spellEnd"/>
            <w:r w:rsidRPr="00DC4369">
              <w:rPr>
                <w:rFonts w:ascii="Times New Roman" w:eastAsia="Google Sans Text" w:hAnsi="Times New Roman" w:cs="Times New Roman"/>
                <w:color w:val="1B1C1D"/>
                <w:sz w:val="24"/>
                <w:szCs w:val="24"/>
              </w:rPr>
              <w:t xml:space="preserve">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31D7D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platform focused on the gut-food connection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1B2E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Identifies foods that work on a molecular level for gut health and addresses issues like thyroid problems and type 2 diabetes [47].</w:t>
            </w:r>
          </w:p>
        </w:tc>
      </w:tr>
      <w:tr w:rsidR="008C0357" w:rsidRPr="00DC4369" w14:paraId="65958A9A"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E6B0F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Heali</w:t>
            </w:r>
            <w:proofErr w:type="spellEnd"/>
            <w:r w:rsidRPr="00DC4369">
              <w:rPr>
                <w:rFonts w:ascii="Times New Roman" w:eastAsia="Google Sans Text" w:hAnsi="Times New Roman" w:cs="Times New Roman"/>
                <w:color w:val="1B1C1D"/>
                <w:sz w:val="24"/>
                <w:szCs w:val="24"/>
              </w:rPr>
              <w:t xml:space="preserve">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20D20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Platform for personalized nutrition using machine learning and a proprietary database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25EA2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Grants users access to personalized nutrition plans recommended by dietitians, tailored to their tastes, needs, and conditions [6].</w:t>
            </w:r>
          </w:p>
        </w:tc>
      </w:tr>
      <w:tr w:rsidR="008C0357" w:rsidRPr="00DC4369" w14:paraId="3BD1832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F3100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Smartwithfood</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BA034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1D945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Creates personal profiles and helps choose foods matching dietary preferences and goals through </w:t>
            </w:r>
            <w:r w:rsidRPr="00DC4369">
              <w:rPr>
                <w:rFonts w:ascii="Times New Roman" w:eastAsia="Google Sans Text" w:hAnsi="Times New Roman" w:cs="Times New Roman"/>
                <w:color w:val="1B1C1D"/>
                <w:sz w:val="24"/>
                <w:szCs w:val="24"/>
              </w:rPr>
              <w:lastRenderedPageBreak/>
              <w:t>barcode scanning and augmented reality [48].</w:t>
            </w:r>
          </w:p>
        </w:tc>
      </w:tr>
      <w:tr w:rsidR="008C0357" w:rsidRPr="00DC4369" w14:paraId="2A71669C"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A09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lastRenderedPageBreak/>
              <w:t>Verdify</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C9F6C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0E236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[49].</w:t>
            </w:r>
          </w:p>
        </w:tc>
      </w:tr>
      <w:tr w:rsidR="008C0357" w:rsidRPr="00DC4369" w14:paraId="752D44C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7A44F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Foodsmart</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B5815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2FC1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[50].</w:t>
            </w:r>
          </w:p>
        </w:tc>
      </w:tr>
      <w:tr w:rsidR="008C0357" w:rsidRPr="00DC4369" w14:paraId="75C6506F"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B46C0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Lifesum</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A1D59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8CA5E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[51].</w:t>
            </w:r>
          </w:p>
        </w:tc>
      </w:tr>
      <w:tr w:rsidR="008C0357" w:rsidRPr="00DC4369" w14:paraId="5D20DE1B"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089C5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Greenhabit</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62DD1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C7D41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[52].</w:t>
            </w:r>
          </w:p>
        </w:tc>
      </w:tr>
      <w:tr w:rsidR="008C0357" w:rsidRPr="00DC4369" w14:paraId="01334A8D"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F5AAE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Zoe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A9DB0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453C9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[53].</w:t>
            </w:r>
          </w:p>
        </w:tc>
      </w:tr>
      <w:tr w:rsidR="008C0357" w:rsidRPr="00DC4369" w14:paraId="00B073E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BFABD6" w14:textId="332BB89C" w:rsidR="008C0357" w:rsidRPr="00DC4369" w:rsidRDefault="0071469C"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w:t>
            </w:r>
            <w:r w:rsidR="008C0357" w:rsidRPr="00DC4369">
              <w:rPr>
                <w:rFonts w:ascii="Times New Roman" w:eastAsia="Google Sans Text" w:hAnsi="Times New Roman" w:cs="Times New Roman"/>
                <w:color w:val="1B1C1D"/>
                <w:sz w:val="24"/>
                <w:szCs w:val="24"/>
              </w:rPr>
              <w:t>itewell</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2FF57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E837C5"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[54].</w:t>
            </w:r>
          </w:p>
        </w:tc>
      </w:tr>
      <w:tr w:rsidR="008C0357" w:rsidRPr="00DC4369" w14:paraId="38518B6A"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5A6D9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January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29D33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9939F7"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and can provide dietary assessments [55].</w:t>
            </w:r>
          </w:p>
        </w:tc>
      </w:tr>
    </w:tbl>
    <w:p w14:paraId="6ABE3429"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lastRenderedPageBreak/>
        <w:t>Common Methodologies for Evaluating the Effectiveness of Mobile Apps and AI in Dietary Interventions</w:t>
      </w:r>
    </w:p>
    <w:p w14:paraId="6FC231F9" w14:textId="095D4B67" w:rsidR="00FE0CD6" w:rsidRDefault="00FE0CD6" w:rsidP="000977CE">
      <w:pPr>
        <w:pStyle w:val="Heading3"/>
        <w:spacing w:before="480" w:after="120" w:line="360" w:lineRule="auto"/>
        <w:jc w:val="both"/>
        <w:rPr>
          <w:rFonts w:ascii="Times New Roman" w:eastAsia="Google Sans Text" w:hAnsi="Times New Roman" w:cs="Times New Roman"/>
          <w:b/>
          <w:bCs/>
          <w:color w:val="1B1C1D"/>
          <w:sz w:val="24"/>
          <w:szCs w:val="24"/>
        </w:rPr>
      </w:pPr>
      <w:r w:rsidRPr="00FE0CD6">
        <w:rPr>
          <w:rFonts w:ascii="Times New Roman" w:eastAsia="Google Sans Text" w:hAnsi="Times New Roman" w:cs="Times New Roman"/>
          <w:color w:val="1B1C1D"/>
          <w:sz w:val="24"/>
          <w:szCs w:val="24"/>
        </w:rPr>
        <w:t xml:space="preserve">Assessment of mobile apps and AI platforms for dietary </w:t>
      </w:r>
      <w:proofErr w:type="spellStart"/>
      <w:r w:rsidRPr="00FE0CD6">
        <w:rPr>
          <w:rFonts w:ascii="Times New Roman" w:eastAsia="Google Sans Text" w:hAnsi="Times New Roman" w:cs="Times New Roman"/>
          <w:color w:val="1B1C1D"/>
          <w:sz w:val="24"/>
          <w:szCs w:val="24"/>
        </w:rPr>
        <w:t>behavior</w:t>
      </w:r>
      <w:proofErr w:type="spellEnd"/>
      <w:r w:rsidRPr="00FE0CD6">
        <w:rPr>
          <w:rFonts w:ascii="Times New Roman" w:eastAsia="Google Sans Text" w:hAnsi="Times New Roman" w:cs="Times New Roman"/>
          <w:color w:val="1B1C1D"/>
          <w:sz w:val="24"/>
          <w:szCs w:val="24"/>
        </w:rPr>
        <w:t xml:space="preserve"> change and personalized nutrition encompasses a range of methodologies</w:t>
      </w:r>
      <w:r>
        <w:rPr>
          <w:rFonts w:ascii="Times New Roman" w:eastAsia="Google Sans Text" w:hAnsi="Times New Roman" w:cs="Times New Roman"/>
          <w:color w:val="1B1C1D"/>
          <w:sz w:val="24"/>
          <w:szCs w:val="24"/>
        </w:rPr>
        <w:t xml:space="preserve"> [57]. </w:t>
      </w:r>
      <w:r w:rsidR="000977CE" w:rsidRPr="00FE0CD6">
        <w:rPr>
          <w:rFonts w:ascii="Times New Roman" w:eastAsia="Google Sans Text" w:hAnsi="Times New Roman" w:cs="Times New Roman"/>
          <w:color w:val="1B1C1D"/>
          <w:sz w:val="24"/>
          <w:szCs w:val="24"/>
        </w:rPr>
        <w:t>T</w:t>
      </w:r>
      <w:r w:rsidRPr="00FE0CD6">
        <w:rPr>
          <w:rFonts w:ascii="Times New Roman" w:eastAsia="Google Sans Text" w:hAnsi="Times New Roman" w:cs="Times New Roman"/>
          <w:color w:val="1B1C1D"/>
          <w:sz w:val="24"/>
          <w:szCs w:val="24"/>
        </w:rPr>
        <w:t>hese are used to map the extent of available literature and to identify research gaps. Researchers measure app quality through content analysis and usability testing, and examine their real-world impacts through observational studies and randomized controlled trials (RCTs)</w:t>
      </w:r>
      <w:r>
        <w:rPr>
          <w:rFonts w:ascii="Times New Roman" w:eastAsia="Google Sans Text" w:hAnsi="Times New Roman" w:cs="Times New Roman"/>
          <w:color w:val="1B1C1D"/>
          <w:sz w:val="24"/>
          <w:szCs w:val="24"/>
        </w:rPr>
        <w:t xml:space="preserve"> [58]. T</w:t>
      </w:r>
      <w:r w:rsidRPr="00FE0CD6">
        <w:rPr>
          <w:rFonts w:ascii="Times New Roman" w:eastAsia="Google Sans Text" w:hAnsi="Times New Roman" w:cs="Times New Roman"/>
          <w:color w:val="1B1C1D"/>
          <w:sz w:val="24"/>
          <w:szCs w:val="24"/>
        </w:rPr>
        <w:t>he latter serving as the standard to define causal relationships with respect to diet and health results. Network and meta-analyses are utilized for the intent of aggregating results across different interventions</w:t>
      </w:r>
      <w:r>
        <w:rPr>
          <w:rFonts w:ascii="Times New Roman" w:eastAsia="Google Sans Text" w:hAnsi="Times New Roman" w:cs="Times New Roman"/>
          <w:color w:val="1B1C1D"/>
          <w:sz w:val="24"/>
          <w:szCs w:val="24"/>
        </w:rPr>
        <w:t xml:space="preserve"> [59]</w:t>
      </w:r>
      <w:r w:rsidRPr="00FE0CD6">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 xml:space="preserve"> O</w:t>
      </w:r>
      <w:r w:rsidRPr="00FE0CD6">
        <w:rPr>
          <w:rFonts w:ascii="Times New Roman" w:eastAsia="Google Sans Text" w:hAnsi="Times New Roman" w:cs="Times New Roman"/>
          <w:color w:val="1B1C1D"/>
          <w:sz w:val="24"/>
          <w:szCs w:val="24"/>
        </w:rPr>
        <w:t>ffering comparative observations even where direct comparisons do not exist. The Behaviour Change Technique Taxonomy (BCTTv1)</w:t>
      </w:r>
      <w:r>
        <w:rPr>
          <w:rFonts w:ascii="Times New Roman" w:eastAsia="Google Sans Text" w:hAnsi="Times New Roman" w:cs="Times New Roman"/>
          <w:color w:val="1B1C1D"/>
          <w:sz w:val="24"/>
          <w:szCs w:val="24"/>
        </w:rPr>
        <w:t xml:space="preserve"> </w:t>
      </w:r>
      <w:r w:rsidRPr="00FE0CD6">
        <w:rPr>
          <w:rFonts w:ascii="Times New Roman" w:eastAsia="Google Sans Text" w:hAnsi="Times New Roman" w:cs="Times New Roman"/>
          <w:color w:val="1B1C1D"/>
          <w:sz w:val="24"/>
          <w:szCs w:val="24"/>
        </w:rPr>
        <w:t xml:space="preserve">is often used to identify effective </w:t>
      </w:r>
      <w:proofErr w:type="spellStart"/>
      <w:r w:rsidRPr="00FE0CD6">
        <w:rPr>
          <w:rFonts w:ascii="Times New Roman" w:eastAsia="Google Sans Text" w:hAnsi="Times New Roman" w:cs="Times New Roman"/>
          <w:color w:val="1B1C1D"/>
          <w:sz w:val="24"/>
          <w:szCs w:val="24"/>
        </w:rPr>
        <w:t>behavior</w:t>
      </w:r>
      <w:proofErr w:type="spellEnd"/>
      <w:r w:rsidRPr="00FE0CD6">
        <w:rPr>
          <w:rFonts w:ascii="Times New Roman" w:eastAsia="Google Sans Text" w:hAnsi="Times New Roman" w:cs="Times New Roman"/>
          <w:color w:val="1B1C1D"/>
          <w:sz w:val="24"/>
          <w:szCs w:val="24"/>
        </w:rPr>
        <w:t xml:space="preserve"> strategies used in these online treatments</w:t>
      </w:r>
      <w:r>
        <w:rPr>
          <w:rFonts w:ascii="Times New Roman" w:eastAsia="Google Sans Text" w:hAnsi="Times New Roman" w:cs="Times New Roman"/>
          <w:color w:val="1B1C1D"/>
          <w:sz w:val="24"/>
          <w:szCs w:val="24"/>
        </w:rPr>
        <w:t xml:space="preserve"> [60]</w:t>
      </w:r>
      <w:r w:rsidRPr="00FE0CD6">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 xml:space="preserve"> </w:t>
      </w:r>
      <w:r w:rsidRPr="00FE0CD6">
        <w:rPr>
          <w:rFonts w:ascii="Times New Roman" w:eastAsia="Google Sans Text" w:hAnsi="Times New Roman" w:cs="Times New Roman"/>
          <w:color w:val="1B1C1D"/>
          <w:sz w:val="24"/>
          <w:szCs w:val="24"/>
        </w:rPr>
        <w:t>Finally, a user-centric design approach ensures interventions are planned to address user needs using qualitative methods, and thus, increases engagement and efficacy.</w:t>
      </w:r>
      <w:r w:rsidRPr="00FE0CD6">
        <w:rPr>
          <w:rFonts w:ascii="Times New Roman" w:eastAsia="Google Sans Text" w:hAnsi="Times New Roman" w:cs="Times New Roman"/>
          <w:b/>
          <w:bCs/>
          <w:color w:val="1B1C1D"/>
          <w:sz w:val="24"/>
          <w:szCs w:val="24"/>
        </w:rPr>
        <w:t xml:space="preserve"> </w:t>
      </w:r>
    </w:p>
    <w:p w14:paraId="0E78D51B"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b/>
          <w:color w:val="1B1C1D"/>
          <w:sz w:val="24"/>
          <w:szCs w:val="24"/>
        </w:rPr>
        <w:t>Table 3: Common Methodologies Used in Evaluating Digital Dietary Interventions</w:t>
      </w:r>
    </w:p>
    <w:tbl>
      <w:tblPr>
        <w:tblW w:w="10348"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1"/>
        <w:gridCol w:w="3402"/>
        <w:gridCol w:w="3685"/>
      </w:tblGrid>
      <w:tr w:rsidR="008C0357" w:rsidRPr="00DC4369" w14:paraId="53DF6910" w14:textId="77777777" w:rsidTr="006602C9">
        <w:trPr>
          <w:trHeight w:val="561"/>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941BDD"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Methodology</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FDC9D2"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3463A4"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Key Applications in Digital Dietetics</w:t>
            </w:r>
          </w:p>
        </w:tc>
      </w:tr>
      <w:tr w:rsidR="008C0357" w:rsidRPr="00DC4369" w14:paraId="643CD022"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CE669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Scoping Review</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42E8F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Provides a broad overview of the literature, mapping key concepts and research gaps.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0A02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Understanding the landscape of mobile interventions for dietary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[62].</w:t>
            </w:r>
          </w:p>
        </w:tc>
      </w:tr>
      <w:tr w:rsidR="008C0357" w:rsidRPr="00DC4369" w14:paraId="78768489"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098BA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Content Analysis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3EAA2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Compares app features to clinical guidelines and evidence-based practices.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1388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Assessing the adherence of nutrition apps to established recommendations [63].</w:t>
            </w:r>
          </w:p>
        </w:tc>
      </w:tr>
      <w:tr w:rsidR="008C0357" w:rsidRPr="00DC4369" w14:paraId="4301660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C77E7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 Testing</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4AAC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Evaluates how well an app functions and meets user needs.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D65ED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Identifying and addressing issues related to the ease of use and effectiveness of nutrition apps [64].</w:t>
            </w:r>
          </w:p>
        </w:tc>
      </w:tr>
      <w:tr w:rsidR="008C0357" w:rsidRPr="00DC4369" w14:paraId="56E00945" w14:textId="77777777" w:rsidTr="006602C9">
        <w:trPr>
          <w:trHeight w:val="1000"/>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B3EC8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Observational Studies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86C2D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Explore associations between app usage and outcomes.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ECFE2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Examining the relationship between using a dietary app and changes in eating habits or health markers [65].</w:t>
            </w:r>
          </w:p>
        </w:tc>
      </w:tr>
      <w:tr w:rsidR="008C0357" w:rsidRPr="00DC4369" w14:paraId="60C1C10E"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D07EB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Randomized Controlled Trials (RCTs)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9B47B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Compare the effects of an intervention against a control group.</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1A372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Establishing the causal impact of a mobile app or AI platform on dietary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and </w:t>
            </w:r>
            <w:r w:rsidRPr="00DC4369">
              <w:rPr>
                <w:rFonts w:ascii="Times New Roman" w:eastAsia="Google Sans Text" w:hAnsi="Times New Roman" w:cs="Times New Roman"/>
                <w:color w:val="1B1C1D"/>
                <w:sz w:val="24"/>
                <w:szCs w:val="24"/>
              </w:rPr>
              <w:lastRenderedPageBreak/>
              <w:t>health outcomes [58].</w:t>
            </w:r>
          </w:p>
        </w:tc>
      </w:tr>
      <w:tr w:rsidR="008C0357" w:rsidRPr="00DC4369" w14:paraId="3BA6265D"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182E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lastRenderedPageBreak/>
              <w:t>Meta-analyses and Network Meta-analyses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C253B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Synthesize findings from multiple studies to provide a comprehensive understanding of intervention effectiveness.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139E2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Determining the overall impact of digital dietary interventions and comparing the effectiveness of different approaches [67].</w:t>
            </w:r>
          </w:p>
        </w:tc>
      </w:tr>
      <w:tr w:rsidR="008C0357" w:rsidRPr="00DC4369" w14:paraId="460CF17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1A979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 Taxonomy (BCTTv1)</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37A6C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Classifies and </w:t>
            </w: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used in interventions.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06B9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Identifying which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strategies are most effective in digital nutrition interventions [60].</w:t>
            </w:r>
          </w:p>
        </w:tc>
      </w:tr>
      <w:tr w:rsidR="008C0357" w:rsidRPr="00DC4369" w14:paraId="41B58358"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984C1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Person-</w:t>
            </w:r>
            <w:proofErr w:type="spellStart"/>
            <w:r w:rsidRPr="00DC4369">
              <w:rPr>
                <w:rFonts w:ascii="Times New Roman" w:eastAsia="Google Sans Text" w:hAnsi="Times New Roman" w:cs="Times New Roman"/>
                <w:color w:val="1B1C1D"/>
                <w:sz w:val="24"/>
                <w:szCs w:val="24"/>
              </w:rPr>
              <w:t>Centered</w:t>
            </w:r>
            <w:proofErr w:type="spellEnd"/>
            <w:r w:rsidRPr="00DC4369">
              <w:rPr>
                <w:rFonts w:ascii="Times New Roman" w:eastAsia="Google Sans Text" w:hAnsi="Times New Roman" w:cs="Times New Roman"/>
                <w:color w:val="1B1C1D"/>
                <w:sz w:val="24"/>
                <w:szCs w:val="24"/>
              </w:rPr>
              <w:t xml:space="preserve"> Approach</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AC748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Involves target users in the design and testing of interventions through qualitative research.</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FF859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Ensuring that digital tools are tailored to the needs and preferences of the intended users [61].</w:t>
            </w:r>
          </w:p>
        </w:tc>
      </w:tr>
    </w:tbl>
    <w:p w14:paraId="7F53D228" w14:textId="567208A3" w:rsidR="00F34619" w:rsidRPr="00F34619" w:rsidRDefault="00F34619" w:rsidP="00FE0CD6">
      <w:pPr>
        <w:pStyle w:val="Heading3"/>
        <w:spacing w:before="48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Impact of Personalized Guidance Delivered Through Digital Platforms</w:t>
      </w:r>
    </w:p>
    <w:p w14:paraId="4DB25073" w14:textId="526E27E8" w:rsidR="00F34619" w:rsidRPr="00DC436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CD1167">
        <w:rPr>
          <w:rFonts w:ascii="Times New Roman" w:eastAsia="Google Sans Text" w:hAnsi="Times New Roman" w:cs="Times New Roman"/>
          <w:color w:val="1B1C1D"/>
          <w:sz w:val="24"/>
          <w:szCs w:val="24"/>
        </w:rPr>
        <w:t xml:space="preserve">Personalized guidance through web sites has been more effective than general guidance in facilitating diet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Personalized systems nutrition (PSN) interventions employ a stepwise strategy of data collection, personalized advice, facilitation of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and evidence-monitored outcomes with benefit in terms of improved health and lifestyle choices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[68].</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 xml:space="preserve">Effective personalized nutrition is built on evaluating a person's motivation and desire to change. Web platforms are able to individualize advice in return, becoming </w:t>
      </w:r>
      <w:proofErr w:type="gramStart"/>
      <w:r w:rsidRPr="00CD1167">
        <w:rPr>
          <w:rFonts w:ascii="Times New Roman" w:eastAsia="Google Sans Text" w:hAnsi="Times New Roman" w:cs="Times New Roman"/>
          <w:color w:val="1B1C1D"/>
          <w:sz w:val="24"/>
          <w:szCs w:val="24"/>
        </w:rPr>
        <w:t>more timely and relevant</w:t>
      </w:r>
      <w:proofErr w:type="gramEnd"/>
      <w:r w:rsidRPr="00CD1167">
        <w:rPr>
          <w:rFonts w:ascii="Times New Roman" w:eastAsia="Google Sans Text" w:hAnsi="Times New Roman" w:cs="Times New Roman"/>
          <w:color w:val="1B1C1D"/>
          <w:sz w:val="24"/>
          <w:szCs w:val="24"/>
        </w:rPr>
        <w:t xml:space="preserve">. Outcomes include enhanced health (e.g., better </w:t>
      </w:r>
      <w:proofErr w:type="spellStart"/>
      <w:r w:rsidRPr="00CD1167">
        <w:rPr>
          <w:rFonts w:ascii="Times New Roman" w:eastAsia="Google Sans Text" w:hAnsi="Times New Roman" w:cs="Times New Roman"/>
          <w:color w:val="1B1C1D"/>
          <w:sz w:val="24"/>
          <w:szCs w:val="24"/>
        </w:rPr>
        <w:t>glycemic</w:t>
      </w:r>
      <w:proofErr w:type="spellEnd"/>
      <w:r w:rsidRPr="00CD1167">
        <w:rPr>
          <w:rFonts w:ascii="Times New Roman" w:eastAsia="Google Sans Text" w:hAnsi="Times New Roman" w:cs="Times New Roman"/>
          <w:color w:val="1B1C1D"/>
          <w:sz w:val="24"/>
          <w:szCs w:val="24"/>
        </w:rPr>
        <w:t xml:space="preserve"> control, reduced BMI), enhanced nutrition (e.g., increased </w:t>
      </w:r>
      <w:proofErr w:type="spellStart"/>
      <w:r w:rsidRPr="00CD1167">
        <w:rPr>
          <w:rFonts w:ascii="Times New Roman" w:eastAsia="Google Sans Text" w:hAnsi="Times New Roman" w:cs="Times New Roman"/>
          <w:color w:val="1B1C1D"/>
          <w:sz w:val="24"/>
          <w:szCs w:val="24"/>
        </w:rPr>
        <w:t>fiber</w:t>
      </w:r>
      <w:proofErr w:type="spellEnd"/>
      <w:r w:rsidRPr="00CD1167">
        <w:rPr>
          <w:rFonts w:ascii="Times New Roman" w:eastAsia="Google Sans Text" w:hAnsi="Times New Roman" w:cs="Times New Roman"/>
          <w:color w:val="1B1C1D"/>
          <w:sz w:val="24"/>
          <w:szCs w:val="24"/>
        </w:rPr>
        <w:t xml:space="preserve">, fruit, and vegetable consumption), and increased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(e.g., adherence, participation, and satisfaction)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[69].</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Digital platforms may provide personalized nutrition guidance with different degrees of specificity</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 xml:space="preserve">from simple feedback to in-depth, health-oriented guidance. Personalization based on individual preferences and providing actionable guidance assists in translating recommendations into practice. The platforms also provide simpler access to personalized guidance, particularly for those with poor access to conventional </w:t>
      </w:r>
      <w:proofErr w:type="spellStart"/>
      <w:r w:rsidRPr="00CD1167">
        <w:rPr>
          <w:rFonts w:ascii="Times New Roman" w:eastAsia="Google Sans Text" w:hAnsi="Times New Roman" w:cs="Times New Roman"/>
          <w:color w:val="1B1C1D"/>
          <w:sz w:val="24"/>
          <w:szCs w:val="24"/>
        </w:rPr>
        <w:t>counseling</w:t>
      </w:r>
      <w:proofErr w:type="spellEnd"/>
      <w:r w:rsidRPr="00CD1167">
        <w:rPr>
          <w:rFonts w:ascii="Times New Roman" w:eastAsia="Google Sans Text" w:hAnsi="Times New Roman" w:cs="Times New Roman"/>
          <w:color w:val="1B1C1D"/>
          <w:sz w:val="24"/>
          <w:szCs w:val="24"/>
        </w:rPr>
        <w:t xml:space="preserve">. The inclusion of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strategies also contributes to their potential to facilitate sustainable healthy eating </w:t>
      </w:r>
      <w:proofErr w:type="spellStart"/>
      <w:r w:rsidRPr="00CD1167">
        <w:rPr>
          <w:rFonts w:ascii="Times New Roman" w:eastAsia="Google Sans Text" w:hAnsi="Times New Roman" w:cs="Times New Roman"/>
          <w:color w:val="1B1C1D"/>
          <w:sz w:val="24"/>
          <w:szCs w:val="24"/>
        </w:rPr>
        <w:t>behavior</w:t>
      </w:r>
      <w:proofErr w:type="spellEnd"/>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[70].</w:t>
      </w:r>
    </w:p>
    <w:p w14:paraId="4CC538CC"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Effectiveness of Interactive Features in Promoting Dietary Behaviour Change</w:t>
      </w:r>
    </w:p>
    <w:p w14:paraId="7C7426D6" w14:textId="1237E4ED" w:rsidR="00F3461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CD1167">
        <w:rPr>
          <w:rFonts w:ascii="Times New Roman" w:eastAsia="Google Sans Text" w:hAnsi="Times New Roman" w:cs="Times New Roman"/>
          <w:color w:val="1B1C1D"/>
          <w:sz w:val="24"/>
          <w:szCs w:val="24"/>
        </w:rPr>
        <w:t xml:space="preserve">The integration of interactive features in diet apps significantly increases user interaction and healthy food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Features like food tracking</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using techniques like barcode scanning or image recognition</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 xml:space="preserve">calorie tracking, breakdown of nutrients, and meal planning enable better </w:t>
      </w:r>
      <w:r w:rsidRPr="00CD1167">
        <w:rPr>
          <w:rFonts w:ascii="Times New Roman" w:eastAsia="Google Sans Text" w:hAnsi="Times New Roman" w:cs="Times New Roman"/>
          <w:color w:val="1B1C1D"/>
          <w:sz w:val="24"/>
          <w:szCs w:val="24"/>
        </w:rPr>
        <w:lastRenderedPageBreak/>
        <w:t xml:space="preserve">comprehension and control of users' diets. These features significantly increase user interaction and make complex health-related information easier, thus enabling sustainable dietary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[71].</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 xml:space="preserve">Apps increase user engagement with clear presentation, gamification (challenges, badges, points), social aspects, and personalized reminders. Goal-setting and progress tracking are guaranteed to promote user motivation, and discussion and food logging motivate healthier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Evidence confirms that technology-delivered interventions enhance food choice and allow long-term change in dietary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emphasizing the value of carefully designed interactive aspects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[72].</w:t>
      </w:r>
    </w:p>
    <w:p w14:paraId="0C3664D7"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b/>
          <w:bCs/>
          <w:color w:val="1B1C1D"/>
          <w:sz w:val="24"/>
          <w:szCs w:val="24"/>
        </w:rPr>
      </w:pPr>
      <w:r w:rsidRPr="00DC4369">
        <w:rPr>
          <w:rFonts w:ascii="Times New Roman" w:eastAsia="Google Sans Text" w:hAnsi="Times New Roman" w:cs="Times New Roman"/>
          <w:b/>
          <w:bCs/>
          <w:color w:val="1B1C1D"/>
          <w:sz w:val="24"/>
          <w:szCs w:val="24"/>
        </w:rPr>
        <w:t>Table 4: Impact of AI digital health technologies on nutrition outcomes</w:t>
      </w:r>
    </w:p>
    <w:tbl>
      <w:tblPr>
        <w:tblStyle w:val="TableGrid"/>
        <w:tblW w:w="10474" w:type="dxa"/>
        <w:tblInd w:w="-624" w:type="dxa"/>
        <w:tblLook w:val="04A0" w:firstRow="1" w:lastRow="0" w:firstColumn="1" w:lastColumn="0" w:noHBand="0" w:noVBand="1"/>
      </w:tblPr>
      <w:tblGrid>
        <w:gridCol w:w="1531"/>
        <w:gridCol w:w="3240"/>
        <w:gridCol w:w="2860"/>
        <w:gridCol w:w="2843"/>
      </w:tblGrid>
      <w:tr w:rsidR="008C0357" w:rsidRPr="00DC4369" w14:paraId="5095CCA6" w14:textId="77777777" w:rsidTr="00B4621E">
        <w:trPr>
          <w:trHeight w:val="659"/>
        </w:trPr>
        <w:tc>
          <w:tcPr>
            <w:tcW w:w="1531" w:type="dxa"/>
          </w:tcPr>
          <w:p w14:paraId="1DC74846" w14:textId="77777777" w:rsidR="008C0357" w:rsidRPr="00DC4369" w:rsidRDefault="008C0357" w:rsidP="00B4621E">
            <w:pPr>
              <w:spacing w:before="240"/>
              <w:jc w:val="center"/>
              <w:rPr>
                <w:rFonts w:ascii="Times New Roman" w:eastAsia="Google Sans Text" w:hAnsi="Times New Roman" w:cs="Times New Roman"/>
                <w:b/>
                <w:bCs/>
                <w:sz w:val="24"/>
                <w:szCs w:val="24"/>
              </w:rPr>
            </w:pPr>
            <w:proofErr w:type="spellStart"/>
            <w:r w:rsidRPr="00DC4369">
              <w:rPr>
                <w:rFonts w:ascii="Times New Roman" w:eastAsia="Google Sans Text" w:hAnsi="Times New Roman" w:cs="Times New Roman"/>
                <w:b/>
                <w:bCs/>
                <w:sz w:val="24"/>
                <w:szCs w:val="24"/>
              </w:rPr>
              <w:t>Sl</w:t>
            </w:r>
            <w:proofErr w:type="spellEnd"/>
            <w:r w:rsidRPr="00DC4369">
              <w:rPr>
                <w:rFonts w:ascii="Times New Roman" w:eastAsia="Google Sans Text" w:hAnsi="Times New Roman" w:cs="Times New Roman"/>
                <w:b/>
                <w:bCs/>
                <w:sz w:val="24"/>
                <w:szCs w:val="24"/>
              </w:rPr>
              <w:t xml:space="preserve"> no</w:t>
            </w:r>
          </w:p>
        </w:tc>
        <w:tc>
          <w:tcPr>
            <w:tcW w:w="3240" w:type="dxa"/>
          </w:tcPr>
          <w:p w14:paraId="012C79CE"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Area impact</w:t>
            </w:r>
          </w:p>
        </w:tc>
        <w:tc>
          <w:tcPr>
            <w:tcW w:w="2860" w:type="dxa"/>
          </w:tcPr>
          <w:p w14:paraId="2249752E"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Reported outcome</w:t>
            </w:r>
          </w:p>
        </w:tc>
        <w:tc>
          <w:tcPr>
            <w:tcW w:w="2843" w:type="dxa"/>
          </w:tcPr>
          <w:p w14:paraId="77213908"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Impact/accuracy (%)</w:t>
            </w:r>
          </w:p>
        </w:tc>
      </w:tr>
      <w:tr w:rsidR="008C0357" w:rsidRPr="00DC4369" w14:paraId="512AE0C5" w14:textId="77777777" w:rsidTr="00B4621E">
        <w:trPr>
          <w:trHeight w:val="924"/>
        </w:trPr>
        <w:tc>
          <w:tcPr>
            <w:tcW w:w="1531" w:type="dxa"/>
          </w:tcPr>
          <w:p w14:paraId="1DD8CB5B"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1</w:t>
            </w:r>
          </w:p>
        </w:tc>
        <w:tc>
          <w:tcPr>
            <w:tcW w:w="3240" w:type="dxa"/>
          </w:tcPr>
          <w:p w14:paraId="20FE2DBD"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Ai macronutrients estimation accuracy</w:t>
            </w:r>
          </w:p>
        </w:tc>
        <w:tc>
          <w:tcPr>
            <w:tcW w:w="2860" w:type="dxa"/>
          </w:tcPr>
          <w:p w14:paraId="522D70AB"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Image-based food recognition</w:t>
            </w:r>
          </w:p>
        </w:tc>
        <w:tc>
          <w:tcPr>
            <w:tcW w:w="2843" w:type="dxa"/>
          </w:tcPr>
          <w:p w14:paraId="34483520"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 xml:space="preserve">87%             </w:t>
            </w:r>
            <w:proofErr w:type="gramStart"/>
            <w:r w:rsidRPr="00DC4369">
              <w:rPr>
                <w:rFonts w:ascii="Times New Roman" w:eastAsia="Google Sans Text" w:hAnsi="Times New Roman" w:cs="Times New Roman"/>
                <w:sz w:val="24"/>
                <w:szCs w:val="24"/>
              </w:rPr>
              <w:t xml:space="preserve">   [</w:t>
            </w:r>
            <w:proofErr w:type="gramEnd"/>
            <w:r w:rsidRPr="00DC4369">
              <w:rPr>
                <w:rFonts w:ascii="Times New Roman" w:eastAsia="Google Sans Text" w:hAnsi="Times New Roman" w:cs="Times New Roman"/>
                <w:sz w:val="24"/>
                <w:szCs w:val="24"/>
              </w:rPr>
              <w:t>73]</w:t>
            </w:r>
          </w:p>
        </w:tc>
      </w:tr>
      <w:tr w:rsidR="008C0357" w:rsidRPr="00DC4369" w14:paraId="4F1F422C" w14:textId="77777777" w:rsidTr="00B4621E">
        <w:trPr>
          <w:trHeight w:val="838"/>
        </w:trPr>
        <w:tc>
          <w:tcPr>
            <w:tcW w:w="1531" w:type="dxa"/>
          </w:tcPr>
          <w:p w14:paraId="74FDBEBA"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2</w:t>
            </w:r>
          </w:p>
        </w:tc>
        <w:tc>
          <w:tcPr>
            <w:tcW w:w="3240" w:type="dxa"/>
          </w:tcPr>
          <w:p w14:paraId="458AEB9E" w14:textId="77777777" w:rsidR="008C0357" w:rsidRPr="00DC4369" w:rsidRDefault="008C0357" w:rsidP="00B4621E">
            <w:pPr>
              <w:spacing w:before="240"/>
              <w:jc w:val="both"/>
              <w:rPr>
                <w:rFonts w:ascii="Times New Roman" w:eastAsia="Google Sans Text" w:hAnsi="Times New Roman" w:cs="Times New Roman"/>
                <w:sz w:val="24"/>
                <w:szCs w:val="24"/>
              </w:rPr>
            </w:pPr>
            <w:proofErr w:type="spellStart"/>
            <w:r w:rsidRPr="00DC4369">
              <w:rPr>
                <w:rFonts w:ascii="Times New Roman" w:eastAsia="Google Sans Text" w:hAnsi="Times New Roman" w:cs="Times New Roman"/>
                <w:sz w:val="24"/>
                <w:szCs w:val="24"/>
              </w:rPr>
              <w:t>Glycemic</w:t>
            </w:r>
            <w:proofErr w:type="spellEnd"/>
            <w:r w:rsidRPr="00DC4369">
              <w:rPr>
                <w:rFonts w:ascii="Times New Roman" w:eastAsia="Google Sans Text" w:hAnsi="Times New Roman" w:cs="Times New Roman"/>
                <w:sz w:val="24"/>
                <w:szCs w:val="24"/>
              </w:rPr>
              <w:t xml:space="preserve"> control in T2DM</w:t>
            </w:r>
          </w:p>
        </w:tc>
        <w:tc>
          <w:tcPr>
            <w:tcW w:w="2860" w:type="dxa"/>
          </w:tcPr>
          <w:p w14:paraId="7D7DE496"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Improved from 49.7%-57.4%</w:t>
            </w:r>
          </w:p>
        </w:tc>
        <w:tc>
          <w:tcPr>
            <w:tcW w:w="2843" w:type="dxa"/>
          </w:tcPr>
          <w:p w14:paraId="61B746AD"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15.5% improvement [12]</w:t>
            </w:r>
          </w:p>
        </w:tc>
      </w:tr>
      <w:tr w:rsidR="008C0357" w:rsidRPr="00DC4369" w14:paraId="5DBE70FE" w14:textId="77777777" w:rsidTr="00B4621E">
        <w:trPr>
          <w:trHeight w:val="836"/>
        </w:trPr>
        <w:tc>
          <w:tcPr>
            <w:tcW w:w="1531" w:type="dxa"/>
          </w:tcPr>
          <w:p w14:paraId="7D3A7E54"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3</w:t>
            </w:r>
          </w:p>
        </w:tc>
        <w:tc>
          <w:tcPr>
            <w:tcW w:w="3240" w:type="dxa"/>
          </w:tcPr>
          <w:p w14:paraId="480D4F61"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short-term weight reduction</w:t>
            </w:r>
          </w:p>
        </w:tc>
        <w:tc>
          <w:tcPr>
            <w:tcW w:w="2860" w:type="dxa"/>
          </w:tcPr>
          <w:p w14:paraId="41AB279C"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Average loss over 33 days using digital tool</w:t>
            </w:r>
          </w:p>
        </w:tc>
        <w:tc>
          <w:tcPr>
            <w:tcW w:w="2843" w:type="dxa"/>
          </w:tcPr>
          <w:p w14:paraId="5E1B70AC"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3.3 lbs (1.5kg) [12]</w:t>
            </w:r>
          </w:p>
        </w:tc>
      </w:tr>
      <w:tr w:rsidR="008C0357" w:rsidRPr="00DC4369" w14:paraId="5163A2F1" w14:textId="77777777" w:rsidTr="00B4621E">
        <w:trPr>
          <w:trHeight w:val="848"/>
        </w:trPr>
        <w:tc>
          <w:tcPr>
            <w:tcW w:w="1531" w:type="dxa"/>
          </w:tcPr>
          <w:p w14:paraId="6E019970"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4</w:t>
            </w:r>
          </w:p>
        </w:tc>
        <w:tc>
          <w:tcPr>
            <w:tcW w:w="3240" w:type="dxa"/>
          </w:tcPr>
          <w:p w14:paraId="4E683D5F"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AI energy intake estimation accuracy</w:t>
            </w:r>
          </w:p>
        </w:tc>
        <w:tc>
          <w:tcPr>
            <w:tcW w:w="2860" w:type="dxa"/>
          </w:tcPr>
          <w:p w14:paraId="10073DB5"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Image analysis-based calorie estimation</w:t>
            </w:r>
          </w:p>
        </w:tc>
        <w:tc>
          <w:tcPr>
            <w:tcW w:w="2843" w:type="dxa"/>
          </w:tcPr>
          <w:p w14:paraId="00D6F437"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88.36</w:t>
            </w:r>
            <w:proofErr w:type="gramStart"/>
            <w:r w:rsidRPr="00DC4369">
              <w:rPr>
                <w:rFonts w:ascii="Times New Roman" w:eastAsia="Google Sans Text" w:hAnsi="Times New Roman" w:cs="Times New Roman"/>
                <w:sz w:val="24"/>
                <w:szCs w:val="24"/>
              </w:rPr>
              <w:t>%(</w:t>
            </w:r>
            <w:proofErr w:type="gramEnd"/>
            <w:r w:rsidRPr="00DC4369">
              <w:rPr>
                <w:rFonts w:ascii="Times New Roman" w:eastAsia="Google Sans Text" w:hAnsi="Times New Roman" w:cs="Times New Roman"/>
                <w:sz w:val="24"/>
                <w:szCs w:val="24"/>
              </w:rPr>
              <w:t>11.64 %error) [74]</w:t>
            </w:r>
          </w:p>
        </w:tc>
      </w:tr>
      <w:tr w:rsidR="008C0357" w:rsidRPr="00DC4369" w14:paraId="5FE50C49" w14:textId="77777777" w:rsidTr="00B4621E">
        <w:trPr>
          <w:trHeight w:val="832"/>
        </w:trPr>
        <w:tc>
          <w:tcPr>
            <w:tcW w:w="1531" w:type="dxa"/>
          </w:tcPr>
          <w:p w14:paraId="766EE3E5"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5</w:t>
            </w:r>
          </w:p>
        </w:tc>
        <w:tc>
          <w:tcPr>
            <w:tcW w:w="3240" w:type="dxa"/>
          </w:tcPr>
          <w:p w14:paraId="1729C686"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Effectiveness of tailored digital interventions</w:t>
            </w:r>
          </w:p>
        </w:tc>
        <w:tc>
          <w:tcPr>
            <w:tcW w:w="2860" w:type="dxa"/>
          </w:tcPr>
          <w:p w14:paraId="38B1BFBF"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Supported weight loss in multiple studies</w:t>
            </w:r>
          </w:p>
        </w:tc>
        <w:tc>
          <w:tcPr>
            <w:tcW w:w="2843" w:type="dxa"/>
          </w:tcPr>
          <w:p w14:paraId="1615DDA7"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66.6% of studies [75]</w:t>
            </w:r>
          </w:p>
        </w:tc>
      </w:tr>
    </w:tbl>
    <w:p w14:paraId="71152455"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p>
    <w:p w14:paraId="531FCC96" w14:textId="77777777" w:rsidR="008C0357" w:rsidRPr="00DC4369" w:rsidRDefault="008C0357" w:rsidP="008C0357">
      <w:pPr>
        <w:pStyle w:val="Heading3"/>
        <w:spacing w:before="0" w:after="120" w:line="360" w:lineRule="auto"/>
        <w:jc w:val="center"/>
        <w:rPr>
          <w:rFonts w:ascii="Times New Roman" w:eastAsia="Google Sans" w:hAnsi="Times New Roman" w:cs="Times New Roman"/>
          <w:color w:val="1B1C1D"/>
          <w:sz w:val="24"/>
          <w:szCs w:val="24"/>
        </w:rPr>
      </w:pPr>
      <w:r w:rsidRPr="00DC4369">
        <w:rPr>
          <w:rFonts w:ascii="Times New Roman" w:eastAsia="Google Sans" w:hAnsi="Times New Roman" w:cs="Times New Roman"/>
          <w:noProof/>
          <w:color w:val="1B1C1D"/>
          <w:sz w:val="24"/>
          <w:szCs w:val="24"/>
        </w:rPr>
        <w:drawing>
          <wp:inline distT="0" distB="0" distL="0" distR="0" wp14:anchorId="265945CB" wp14:editId="49D756BC">
            <wp:extent cx="4371109" cy="1911198"/>
            <wp:effectExtent l="0" t="0" r="0" b="0"/>
            <wp:docPr id="205970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06934" name="Picture 2059706934"/>
                    <pic:cNvPicPr/>
                  </pic:nvPicPr>
                  <pic:blipFill rotWithShape="1">
                    <a:blip r:embed="rId7">
                      <a:extLst>
                        <a:ext uri="{28A0092B-C50C-407E-A947-70E740481C1C}">
                          <a14:useLocalDpi xmlns:a14="http://schemas.microsoft.com/office/drawing/2010/main" val="0"/>
                        </a:ext>
                      </a:extLst>
                    </a:blip>
                    <a:srcRect l="7372" t="22422" r="4851" b="16322"/>
                    <a:stretch/>
                  </pic:blipFill>
                  <pic:spPr bwMode="auto">
                    <a:xfrm>
                      <a:off x="0" y="0"/>
                      <a:ext cx="4387437" cy="1918337"/>
                    </a:xfrm>
                    <a:prstGeom prst="rect">
                      <a:avLst/>
                    </a:prstGeom>
                    <a:ln>
                      <a:noFill/>
                    </a:ln>
                    <a:extLst>
                      <a:ext uri="{53640926-AAD7-44D8-BBD7-CCE9431645EC}">
                        <a14:shadowObscured xmlns:a14="http://schemas.microsoft.com/office/drawing/2010/main"/>
                      </a:ext>
                    </a:extLst>
                  </pic:spPr>
                </pic:pic>
              </a:graphicData>
            </a:graphic>
          </wp:inline>
        </w:drawing>
      </w:r>
    </w:p>
    <w:p w14:paraId="68BBEB15" w14:textId="6F41BCEF" w:rsidR="008C0357" w:rsidRDefault="008C0357" w:rsidP="008C0357">
      <w:pPr>
        <w:rPr>
          <w:rFonts w:ascii="Times New Roman" w:hAnsi="Times New Roman" w:cs="Times New Roman"/>
          <w:b/>
          <w:bCs/>
          <w:sz w:val="24"/>
          <w:szCs w:val="24"/>
        </w:rPr>
      </w:pPr>
      <w:r w:rsidRPr="00DC4369">
        <w:rPr>
          <w:rFonts w:ascii="Times New Roman" w:hAnsi="Times New Roman" w:cs="Times New Roman"/>
          <w:b/>
          <w:bCs/>
          <w:sz w:val="24"/>
          <w:szCs w:val="24"/>
        </w:rPr>
        <w:t>Figure no:1 graph plotted on Impact on AI and digital health on nutrition outcomes</w:t>
      </w:r>
    </w:p>
    <w:p w14:paraId="5E0DCBC2" w14:textId="77777777" w:rsidR="008C0357" w:rsidRPr="008C0357" w:rsidRDefault="008C0357" w:rsidP="008C0357">
      <w:pPr>
        <w:rPr>
          <w:rFonts w:ascii="Times New Roman" w:hAnsi="Times New Roman" w:cs="Times New Roman"/>
          <w:b/>
          <w:bCs/>
          <w:sz w:val="24"/>
          <w:szCs w:val="24"/>
        </w:rPr>
      </w:pPr>
    </w:p>
    <w:p w14:paraId="0F02E498"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lastRenderedPageBreak/>
        <w:t>The Role of Community Support Within Digital Dietary Interventions</w:t>
      </w:r>
    </w:p>
    <w:p w14:paraId="7D0850A4" w14:textId="65A268BF" w:rsidR="00F34619" w:rsidRPr="00DC436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CD1167">
        <w:rPr>
          <w:rFonts w:ascii="Times New Roman" w:eastAsia="Google Sans Text" w:hAnsi="Times New Roman" w:cs="Times New Roman"/>
          <w:color w:val="1B1C1D"/>
          <w:sz w:val="24"/>
          <w:szCs w:val="24"/>
        </w:rPr>
        <w:t>Individualized computer interventions are effective, but long-term dietary change is promoted by having social support present. The combination of co-design principles and social support will provide higher sustainability. Community-based participatory (CBP) interventions, where members of the community are involved in solution design and solution implementation, have proven to be critical to health promotion and long-term effectiveness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[76].</w:t>
      </w:r>
    </w:p>
    <w:p w14:paraId="3D30F0B7" w14:textId="393B0F58" w:rsidR="00FE0CD6" w:rsidRDefault="0055415F" w:rsidP="008C0357">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55415F">
        <w:rPr>
          <w:rFonts w:ascii="Times New Roman" w:eastAsia="Google Sans Text" w:hAnsi="Times New Roman" w:cs="Times New Roman"/>
          <w:color w:val="1B1C1D"/>
          <w:sz w:val="24"/>
          <w:szCs w:val="24"/>
        </w:rPr>
        <w:t xml:space="preserve">Digital platforms can facilitate community support for dietary </w:t>
      </w:r>
      <w:proofErr w:type="spellStart"/>
      <w:r w:rsidRPr="0055415F">
        <w:rPr>
          <w:rFonts w:ascii="Times New Roman" w:eastAsia="Google Sans Text" w:hAnsi="Times New Roman" w:cs="Times New Roman"/>
          <w:color w:val="1B1C1D"/>
          <w:sz w:val="24"/>
          <w:szCs w:val="24"/>
        </w:rPr>
        <w:t>behavior</w:t>
      </w:r>
      <w:proofErr w:type="spellEnd"/>
      <w:r w:rsidRPr="0055415F">
        <w:rPr>
          <w:rFonts w:ascii="Times New Roman" w:eastAsia="Google Sans Text" w:hAnsi="Times New Roman" w:cs="Times New Roman"/>
          <w:color w:val="1B1C1D"/>
          <w:sz w:val="24"/>
          <w:szCs w:val="24"/>
        </w:rPr>
        <w:t xml:space="preserve"> change through the provision of forums, support groups, and social networking capabilities, facilitating encouragement, accountability, and sense of belonging. Community-based interventions, with education and </w:t>
      </w:r>
      <w:proofErr w:type="spellStart"/>
      <w:r w:rsidRPr="0055415F">
        <w:rPr>
          <w:rFonts w:ascii="Times New Roman" w:eastAsia="Google Sans Text" w:hAnsi="Times New Roman" w:cs="Times New Roman"/>
          <w:color w:val="1B1C1D"/>
          <w:sz w:val="24"/>
          <w:szCs w:val="24"/>
        </w:rPr>
        <w:t>behavior</w:t>
      </w:r>
      <w:proofErr w:type="spellEnd"/>
      <w:r w:rsidRPr="0055415F">
        <w:rPr>
          <w:rFonts w:ascii="Times New Roman" w:eastAsia="Google Sans Text" w:hAnsi="Times New Roman" w:cs="Times New Roman"/>
          <w:color w:val="1B1C1D"/>
          <w:sz w:val="24"/>
          <w:szCs w:val="24"/>
        </w:rPr>
        <w:t xml:space="preserve"> change elements, facilitate better outcomes, including higher fruit and vegetable consumption. End-user co-design methods provide more appropriate tools, with greater user involvement and cultural acceptability. Digital platform-based community development for healthy eating facilitates the enhanced effectiveness of personalized dietetic interventions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[77].</w:t>
      </w:r>
    </w:p>
    <w:p w14:paraId="28F18630"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Table 5: Key Challenges in the Adoption of Digital Health in Dietetics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2"/>
        <w:gridCol w:w="2552"/>
        <w:gridCol w:w="4406"/>
      </w:tblGrid>
      <w:tr w:rsidR="008C0357" w:rsidRPr="00DC4369" w14:paraId="3E5E7F42"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B59AB4"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Challenge Category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FCDF3B"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Specific Challenge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0CAD3A"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Brief Description/Explanation</w:t>
            </w:r>
          </w:p>
        </w:tc>
      </w:tr>
      <w:tr w:rsidR="008C0357" w:rsidRPr="00DC4369" w14:paraId="4289B09B"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44E41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Technical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EFFDE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System Compatibility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EC9129"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Issues with apps not working across different devices or operating systems.</w:t>
            </w:r>
          </w:p>
        </w:tc>
      </w:tr>
      <w:tr w:rsidR="008C0357" w:rsidRPr="00DC4369" w14:paraId="7B28D62A"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48F49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Technical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DB1261"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Slow Performance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5CD37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Apps that are slow to load or respond can lead to user frustration and abandonment.</w:t>
            </w:r>
          </w:p>
        </w:tc>
      </w:tr>
      <w:tr w:rsidR="008C0357" w:rsidRPr="00DC4369" w14:paraId="05BF2869"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ACFEF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BE57B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Excessive Task Complexity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380FB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Apps with complicated interfaces or requiring too many steps to complete tasks.</w:t>
            </w:r>
          </w:p>
        </w:tc>
      </w:tr>
      <w:tr w:rsidR="008C0357" w:rsidRPr="00DC4369" w14:paraId="658F8D01"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7E0A95"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689FB7"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Limited Training and Support</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C4020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Lack of adequate guidance for users on how to effectively use the apps.</w:t>
            </w:r>
          </w:p>
        </w:tc>
      </w:tr>
      <w:tr w:rsidR="008C0357" w:rsidRPr="00DC4369" w14:paraId="1DAD73FF"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2148D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lastRenderedPageBreak/>
              <w:t>Socioeconomic</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F5168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Cost of Apps</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6E4DDA"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Some helpful apps may require a subscription or purchase fee, making them inaccessible to some.</w:t>
            </w:r>
          </w:p>
        </w:tc>
      </w:tr>
      <w:tr w:rsidR="008C0357" w:rsidRPr="00DC4369" w14:paraId="4E1D1799"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47C246"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Socioeconomic</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F4B99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Digital Divide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80BE9C"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Unequal access to technology and digital literacy among different population groups (e.g., older adults, low-income individuals).</w:t>
            </w:r>
          </w:p>
        </w:tc>
      </w:tr>
      <w:tr w:rsidR="008C0357" w:rsidRPr="00DC4369" w14:paraId="21FF572D"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1F39E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Ethical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FC126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Data Security and Privacy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5BC772"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Concerns about the protection of sensitive health information from unauthorized access or misuse.</w:t>
            </w:r>
          </w:p>
        </w:tc>
      </w:tr>
      <w:tr w:rsidR="008C0357" w:rsidRPr="00DC4369" w14:paraId="1494117A"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C02F7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Implementation</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E8D09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Productivity Paradox</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967F07" w14:textId="51392940"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The challenge of ensuring that the adoption of digital health tools actually leads to improved efficiency and outcomes [</w:t>
            </w:r>
            <w:r w:rsidR="00DF394B">
              <w:rPr>
                <w:rFonts w:ascii="Times New Roman" w:eastAsia="Google Sans Text" w:hAnsi="Times New Roman" w:cs="Times New Roman"/>
                <w:color w:val="1B1C1D"/>
                <w:sz w:val="24"/>
                <w:szCs w:val="24"/>
              </w:rPr>
              <w:t>78</w:t>
            </w:r>
            <w:r w:rsidRPr="00DC4369">
              <w:rPr>
                <w:rFonts w:ascii="Times New Roman" w:eastAsia="Google Sans Text" w:hAnsi="Times New Roman" w:cs="Times New Roman"/>
                <w:color w:val="1B1C1D"/>
                <w:sz w:val="24"/>
                <w:szCs w:val="24"/>
              </w:rPr>
              <w:t>].</w:t>
            </w:r>
          </w:p>
        </w:tc>
      </w:tr>
    </w:tbl>
    <w:p w14:paraId="17D86B02" w14:textId="0B37CB35" w:rsidR="00F34619" w:rsidRPr="00FE0CD6" w:rsidRDefault="00F34619" w:rsidP="00FE0CD6">
      <w:pPr>
        <w:pStyle w:val="Heading3"/>
        <w:spacing w:before="480" w:after="120" w:line="360" w:lineRule="auto"/>
        <w:rPr>
          <w:rFonts w:ascii="Times New Roman" w:eastAsia="Google Sans Text" w:hAnsi="Times New Roman" w:cs="Times New Roman"/>
          <w:color w:val="1B1C1D"/>
          <w:sz w:val="24"/>
          <w:szCs w:val="24"/>
        </w:rPr>
      </w:pPr>
      <w:r w:rsidRPr="00F34619">
        <w:rPr>
          <w:rFonts w:ascii="Times New Roman" w:eastAsia="Google Sans" w:hAnsi="Times New Roman" w:cs="Times New Roman"/>
          <w:b/>
          <w:bCs/>
          <w:color w:val="1B1C1D"/>
          <w:sz w:val="24"/>
          <w:szCs w:val="24"/>
        </w:rPr>
        <w:t>The Future Integration of Digital Health and Personalized Dietetics Within Broader Healthcare Systems</w:t>
      </w:r>
    </w:p>
    <w:p w14:paraId="648DF262" w14:textId="0BDE4DD3" w:rsidR="00F34619" w:rsidRPr="00DC4369" w:rsidRDefault="00306998"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306998">
        <w:rPr>
          <w:rFonts w:ascii="Times New Roman" w:eastAsia="Google Sans Text" w:hAnsi="Times New Roman" w:cs="Times New Roman"/>
          <w:color w:val="1B1C1D"/>
          <w:sz w:val="24"/>
          <w:szCs w:val="24"/>
        </w:rPr>
        <w:t>The future healthcare environment is moving towards integrating digital health technologies with personalized eating habits into healthcare systems. "Food as medicine" is rapidly gaining momentum, and digital nutrition advice will be central to prevention and management of conditions like cancer and mental health disorders. Remote patient monitoring (RPM) and chronic care management (CCM) technologies will play a vital role in the delivery of customized dietary regimens, allowing continuous monitoring and tailored support</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w:t>
      </w:r>
      <w:r w:rsidR="00DF394B">
        <w:rPr>
          <w:rFonts w:ascii="Times New Roman" w:eastAsia="Google Sans Text" w:hAnsi="Times New Roman" w:cs="Times New Roman"/>
          <w:color w:val="1B1C1D"/>
          <w:sz w:val="24"/>
          <w:szCs w:val="24"/>
        </w:rPr>
        <w:t>79</w:t>
      </w:r>
      <w:r w:rsidR="00F34619" w:rsidRPr="00DC4369">
        <w:rPr>
          <w:rFonts w:ascii="Times New Roman" w:eastAsia="Google Sans Text" w:hAnsi="Times New Roman" w:cs="Times New Roman"/>
          <w:color w:val="1B1C1D"/>
          <w:sz w:val="24"/>
          <w:szCs w:val="24"/>
        </w:rPr>
        <w:t>].</w:t>
      </w:r>
      <w:r w:rsidR="00F34619" w:rsidRPr="00DC4369">
        <w:rPr>
          <w:rFonts w:ascii="Times New Roman" w:eastAsia="Google Sans Text" w:hAnsi="Times New Roman" w:cs="Times New Roman"/>
          <w:color w:val="575B5F"/>
          <w:sz w:val="24"/>
          <w:szCs w:val="24"/>
          <w:vertAlign w:val="superscript"/>
        </w:rPr>
        <w:t xml:space="preserve"> </w:t>
      </w:r>
      <w:r w:rsidRPr="00306998">
        <w:rPr>
          <w:rFonts w:ascii="Times New Roman" w:eastAsia="Google Sans Text" w:hAnsi="Times New Roman" w:cs="Times New Roman"/>
          <w:color w:val="1B1C1D"/>
          <w:sz w:val="24"/>
          <w:szCs w:val="24"/>
        </w:rPr>
        <w:t xml:space="preserve">Digital health can enhance access to and coordination of care, particularly in rural settings. AI will be at the </w:t>
      </w:r>
      <w:proofErr w:type="spellStart"/>
      <w:r w:rsidRPr="00306998">
        <w:rPr>
          <w:rFonts w:ascii="Times New Roman" w:eastAsia="Google Sans Text" w:hAnsi="Times New Roman" w:cs="Times New Roman"/>
          <w:color w:val="1B1C1D"/>
          <w:sz w:val="24"/>
          <w:szCs w:val="24"/>
        </w:rPr>
        <w:t>center</w:t>
      </w:r>
      <w:proofErr w:type="spellEnd"/>
      <w:r w:rsidRPr="00306998">
        <w:rPr>
          <w:rFonts w:ascii="Times New Roman" w:eastAsia="Google Sans Text" w:hAnsi="Times New Roman" w:cs="Times New Roman"/>
          <w:color w:val="1B1C1D"/>
          <w:sz w:val="24"/>
          <w:szCs w:val="24"/>
        </w:rPr>
        <w:t xml:space="preserve"> of clinical nutrition, allowing people to monitor health metrics such as blood glucose and caloric consumption for themselves. Interoperability of data between digital health platforms and electronic health records (EHRs) will be critical to making this vision a reality, facilitating data exchange between them. This will render nutritional care a revolutionary </w:t>
      </w:r>
      <w:r w:rsidRPr="00306998">
        <w:rPr>
          <w:rFonts w:ascii="Times New Roman" w:eastAsia="Google Sans Text" w:hAnsi="Times New Roman" w:cs="Times New Roman"/>
          <w:color w:val="1B1C1D"/>
          <w:sz w:val="24"/>
          <w:szCs w:val="24"/>
        </w:rPr>
        <w:lastRenderedPageBreak/>
        <w:t>departure from the past, improve patient outcomes, and allow for a more proactive, preventative healthcare strategy</w:t>
      </w:r>
      <w:r w:rsidR="00F34619" w:rsidRPr="00DC4369">
        <w:rPr>
          <w:rFonts w:ascii="Times New Roman" w:eastAsia="Google Sans Text" w:hAnsi="Times New Roman" w:cs="Times New Roman"/>
          <w:color w:val="1B1C1D"/>
          <w:sz w:val="24"/>
          <w:szCs w:val="24"/>
        </w:rPr>
        <w:t xml:space="preserve"> [</w:t>
      </w:r>
      <w:r w:rsidR="00DF394B">
        <w:rPr>
          <w:rFonts w:ascii="Times New Roman" w:eastAsia="Google Sans Text" w:hAnsi="Times New Roman" w:cs="Times New Roman"/>
          <w:color w:val="1B1C1D"/>
          <w:sz w:val="24"/>
          <w:szCs w:val="24"/>
        </w:rPr>
        <w:t>80</w:t>
      </w:r>
      <w:r w:rsidR="00F34619" w:rsidRPr="00DC4369">
        <w:rPr>
          <w:rFonts w:ascii="Times New Roman" w:eastAsia="Google Sans Text" w:hAnsi="Times New Roman" w:cs="Times New Roman"/>
          <w:color w:val="1B1C1D"/>
          <w:sz w:val="24"/>
          <w:szCs w:val="24"/>
        </w:rPr>
        <w:t>].</w:t>
      </w:r>
    </w:p>
    <w:p w14:paraId="15F067F6"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Conclusion</w:t>
      </w:r>
    </w:p>
    <w:p w14:paraId="0E6640E5" w14:textId="77777777" w:rsidR="00306998" w:rsidRDefault="00306998" w:rsidP="00F34619">
      <w:pPr>
        <w:spacing w:after="240" w:line="360" w:lineRule="auto"/>
        <w:jc w:val="both"/>
        <w:rPr>
          <w:rFonts w:ascii="Times New Roman" w:eastAsia="Google Sans Text" w:hAnsi="Times New Roman" w:cs="Times New Roman"/>
          <w:color w:val="1B1C1D"/>
          <w:sz w:val="24"/>
          <w:szCs w:val="24"/>
        </w:rPr>
      </w:pPr>
      <w:r w:rsidRPr="00306998">
        <w:rPr>
          <w:rFonts w:ascii="Times New Roman" w:eastAsia="Google Sans Text" w:hAnsi="Times New Roman" w:cs="Times New Roman"/>
          <w:color w:val="1B1C1D"/>
          <w:sz w:val="24"/>
          <w:szCs w:val="24"/>
        </w:rPr>
        <w:t>This review highlights the tremendous impact made by artificial intelligence platforms and mobile applications on customized dietary patterns and consumption habits. The applications are shifting from delivering generic dietary advice to adopting extremely personalized approaches considering several variables, such as genetic composition, eating habits, lifestyles, and pre-existing health conditions. The success of personalized advice, interactive features, and social support is emphasized as of greatest significance in promoting healthier consumption patterns through real-time feedback and intricate data analysis.</w:t>
      </w:r>
    </w:p>
    <w:p w14:paraId="12CFC276" w14:textId="0F0C434D" w:rsidR="00A11D5F" w:rsidRDefault="00306998" w:rsidP="00306998">
      <w:pPr>
        <w:spacing w:after="240" w:line="360" w:lineRule="auto"/>
        <w:jc w:val="both"/>
        <w:rPr>
          <w:rFonts w:ascii="Times New Roman" w:eastAsia="Google Sans Text" w:hAnsi="Times New Roman" w:cs="Times New Roman"/>
          <w:color w:val="1B1C1D"/>
          <w:sz w:val="24"/>
          <w:szCs w:val="24"/>
        </w:rPr>
      </w:pPr>
      <w:r w:rsidRPr="00306998">
        <w:rPr>
          <w:rFonts w:ascii="Times New Roman" w:eastAsia="Google Sans Text" w:hAnsi="Times New Roman" w:cs="Times New Roman"/>
          <w:color w:val="1B1C1D"/>
          <w:sz w:val="24"/>
          <w:szCs w:val="24"/>
        </w:rPr>
        <w:t>The incorporation of digital health in dietetics is unprecedented in potential but poses issues from data protection concerns, inequitable access due to the digital divide, to the need for seamless integration into healthcare. Yet, with continued improvement, digital health and personalized nutrition can improve prevention of chronic disease, patient outcomes, and the establishment of a patient-</w:t>
      </w:r>
      <w:proofErr w:type="spellStart"/>
      <w:r w:rsidRPr="00306998">
        <w:rPr>
          <w:rFonts w:ascii="Times New Roman" w:eastAsia="Google Sans Text" w:hAnsi="Times New Roman" w:cs="Times New Roman"/>
          <w:color w:val="1B1C1D"/>
          <w:sz w:val="24"/>
          <w:szCs w:val="24"/>
        </w:rPr>
        <w:t>centered</w:t>
      </w:r>
      <w:proofErr w:type="spellEnd"/>
      <w:r w:rsidRPr="00306998">
        <w:rPr>
          <w:rFonts w:ascii="Times New Roman" w:eastAsia="Google Sans Text" w:hAnsi="Times New Roman" w:cs="Times New Roman"/>
          <w:color w:val="1B1C1D"/>
          <w:sz w:val="24"/>
          <w:szCs w:val="24"/>
        </w:rPr>
        <w:t xml:space="preserve"> model of care. Long-term success with these devices, the role AI would have in personalizing nutrition, and getting past the challenge of current constraints so as to enable equitable access and protection must be addressed by future research. Digital health can evolve to make future dietetics and healthier living possible by supporting user-</w:t>
      </w:r>
      <w:proofErr w:type="spellStart"/>
      <w:r w:rsidRPr="00306998">
        <w:rPr>
          <w:rFonts w:ascii="Times New Roman" w:eastAsia="Google Sans Text" w:hAnsi="Times New Roman" w:cs="Times New Roman"/>
          <w:color w:val="1B1C1D"/>
          <w:sz w:val="24"/>
          <w:szCs w:val="24"/>
        </w:rPr>
        <w:t>centered</w:t>
      </w:r>
      <w:proofErr w:type="spellEnd"/>
      <w:r w:rsidRPr="00306998">
        <w:rPr>
          <w:rFonts w:ascii="Times New Roman" w:eastAsia="Google Sans Text" w:hAnsi="Times New Roman" w:cs="Times New Roman"/>
          <w:color w:val="1B1C1D"/>
          <w:sz w:val="24"/>
          <w:szCs w:val="24"/>
        </w:rPr>
        <w:t xml:space="preserve"> design and security prioritization.</w:t>
      </w:r>
    </w:p>
    <w:p w14:paraId="47F45B25" w14:textId="77777777" w:rsidR="008C0357" w:rsidRPr="008C0357" w:rsidRDefault="008C0357" w:rsidP="008C0357">
      <w:pPr>
        <w:pStyle w:val="Heading2"/>
        <w:spacing w:before="0" w:after="120" w:line="360" w:lineRule="auto"/>
        <w:rPr>
          <w:rFonts w:ascii="Times New Roman" w:eastAsia="Google Sans" w:hAnsi="Times New Roman" w:cs="Times New Roman"/>
          <w:b/>
          <w:bCs/>
          <w:color w:val="1B1C1D"/>
          <w:sz w:val="24"/>
          <w:szCs w:val="24"/>
        </w:rPr>
      </w:pPr>
      <w:r w:rsidRPr="008C0357">
        <w:rPr>
          <w:rFonts w:ascii="Times New Roman" w:eastAsia="Google Sans" w:hAnsi="Times New Roman" w:cs="Times New Roman"/>
          <w:b/>
          <w:bCs/>
          <w:color w:val="1B1C1D"/>
          <w:sz w:val="24"/>
          <w:szCs w:val="24"/>
        </w:rPr>
        <w:t>References</w:t>
      </w:r>
    </w:p>
    <w:p w14:paraId="04596872" w14:textId="77777777" w:rsidR="008C0357" w:rsidRPr="00DC4369" w:rsidRDefault="008C0357" w:rsidP="008C0357">
      <w:pPr>
        <w:rPr>
          <w:rFonts w:ascii="Times New Roman" w:hAnsi="Times New Roman" w:cs="Times New Roman"/>
          <w:sz w:val="24"/>
          <w:szCs w:val="24"/>
        </w:rPr>
      </w:pPr>
    </w:p>
    <w:p w14:paraId="7508944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Theodore Armand, T. P., Nfor, K. A., Kim, J. I., &amp; Kim, H. C. (2024). Applications of Artificial Intelligence, Machine Learning, and Deep Learning in Nutrition: A Systematic Review. </w:t>
      </w:r>
      <w:r w:rsidRPr="00DC4369">
        <w:rPr>
          <w:rFonts w:ascii="Times New Roman" w:hAnsi="Times New Roman" w:cs="Times New Roman"/>
          <w:b/>
          <w:bCs/>
          <w:i/>
          <w:iCs/>
          <w:sz w:val="24"/>
          <w:szCs w:val="24"/>
        </w:rPr>
        <w:t>Nutrients</w:t>
      </w:r>
      <w:r w:rsidRPr="00DC4369">
        <w:rPr>
          <w:rFonts w:ascii="Times New Roman" w:hAnsi="Times New Roman" w:cs="Times New Roman"/>
          <w:sz w:val="24"/>
          <w:szCs w:val="24"/>
        </w:rPr>
        <w:t>, </w:t>
      </w:r>
      <w:r w:rsidRPr="00DC4369">
        <w:rPr>
          <w:rFonts w:ascii="Times New Roman" w:hAnsi="Times New Roman" w:cs="Times New Roman"/>
          <w:i/>
          <w:iCs/>
          <w:sz w:val="24"/>
          <w:szCs w:val="24"/>
        </w:rPr>
        <w:t>16</w:t>
      </w:r>
      <w:r w:rsidRPr="00DC4369">
        <w:rPr>
          <w:rFonts w:ascii="Times New Roman" w:hAnsi="Times New Roman" w:cs="Times New Roman"/>
          <w:sz w:val="24"/>
          <w:szCs w:val="24"/>
        </w:rPr>
        <w:t xml:space="preserve">(7), 1073. </w:t>
      </w:r>
    </w:p>
    <w:p w14:paraId="652CA6A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Alotaibi, N., Wilson, C.B. &amp; Traynor, M. Enhancing digital readiness and capability in healthcare: a systematic review of interventions, barriers, and facilitators. </w:t>
      </w:r>
      <w:r w:rsidRPr="00DC4369">
        <w:rPr>
          <w:rFonts w:ascii="Times New Roman" w:hAnsi="Times New Roman" w:cs="Times New Roman"/>
          <w:b/>
          <w:bCs/>
          <w:i/>
          <w:iCs/>
          <w:sz w:val="24"/>
          <w:szCs w:val="24"/>
        </w:rPr>
        <w:t xml:space="preserve">BMC Health </w:t>
      </w:r>
      <w:proofErr w:type="spellStart"/>
      <w:r w:rsidRPr="00DC4369">
        <w:rPr>
          <w:rFonts w:ascii="Times New Roman" w:hAnsi="Times New Roman" w:cs="Times New Roman"/>
          <w:b/>
          <w:bCs/>
          <w:i/>
          <w:iCs/>
          <w:sz w:val="24"/>
          <w:szCs w:val="24"/>
        </w:rPr>
        <w:t>Serv</w:t>
      </w:r>
      <w:proofErr w:type="spellEnd"/>
      <w:r w:rsidRPr="00DC4369">
        <w:rPr>
          <w:rFonts w:ascii="Times New Roman" w:hAnsi="Times New Roman" w:cs="Times New Roman"/>
          <w:b/>
          <w:bCs/>
          <w:i/>
          <w:iCs/>
          <w:sz w:val="24"/>
          <w:szCs w:val="24"/>
        </w:rPr>
        <w:t xml:space="preserve"> Res</w:t>
      </w:r>
      <w:r w:rsidRPr="00DC4369">
        <w:rPr>
          <w:rFonts w:ascii="Times New Roman" w:hAnsi="Times New Roman" w:cs="Times New Roman"/>
          <w:sz w:val="24"/>
          <w:szCs w:val="24"/>
        </w:rPr>
        <w:t> 25, 500 (2025).</w:t>
      </w:r>
    </w:p>
    <w:p w14:paraId="7D03410A"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Ordovas</w:t>
      </w:r>
      <w:proofErr w:type="spellEnd"/>
      <w:r w:rsidRPr="00DC4369">
        <w:rPr>
          <w:rFonts w:ascii="Times New Roman" w:hAnsi="Times New Roman" w:cs="Times New Roman"/>
          <w:sz w:val="24"/>
          <w:szCs w:val="24"/>
        </w:rPr>
        <w:t>, J. M., Ferguson, L. R., Tai, E. S., &amp; Mathers, J. C. (2018). Personalised nutrition and health.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361</w:t>
      </w:r>
      <w:r w:rsidRPr="00DC4369">
        <w:rPr>
          <w:rFonts w:ascii="Times New Roman" w:hAnsi="Times New Roman" w:cs="Times New Roman"/>
          <w:sz w:val="24"/>
          <w:szCs w:val="24"/>
        </w:rPr>
        <w:t>.</w:t>
      </w:r>
    </w:p>
    <w:p w14:paraId="00E3290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Zheng, S., Edney, S. M., Goh, C. H., Tai, B. C., Mair, J. L., Castro, O., ... &amp; Müller-Riemenschneider, F. (2023). Effectiveness of holistic mobile health interventions on diet, and physical, and mental health outcomes: a systematic review and meta-</w:t>
      </w:r>
      <w:r w:rsidRPr="00DC4369">
        <w:rPr>
          <w:rFonts w:ascii="Times New Roman" w:hAnsi="Times New Roman" w:cs="Times New Roman"/>
          <w:sz w:val="24"/>
          <w:szCs w:val="24"/>
        </w:rPr>
        <w:lastRenderedPageBreak/>
        <w:t>analysis. </w:t>
      </w:r>
      <w:proofErr w:type="spellStart"/>
      <w:r w:rsidRPr="00DC4369">
        <w:rPr>
          <w:rFonts w:ascii="Times New Roman" w:hAnsi="Times New Roman" w:cs="Times New Roman"/>
          <w:b/>
          <w:bCs/>
          <w:i/>
          <w:iCs/>
          <w:sz w:val="24"/>
          <w:szCs w:val="24"/>
        </w:rPr>
        <w:t>EClinicalMedicine</w:t>
      </w:r>
      <w:proofErr w:type="spellEnd"/>
      <w:r w:rsidRPr="00DC4369">
        <w:rPr>
          <w:rFonts w:ascii="Times New Roman" w:hAnsi="Times New Roman" w:cs="Times New Roman"/>
          <w:b/>
          <w:bCs/>
          <w:sz w:val="24"/>
          <w:szCs w:val="24"/>
        </w:rPr>
        <w:t>, </w:t>
      </w:r>
      <w:r w:rsidRPr="00DC4369">
        <w:rPr>
          <w:rFonts w:ascii="Times New Roman" w:hAnsi="Times New Roman" w:cs="Times New Roman"/>
          <w:i/>
          <w:iCs/>
          <w:sz w:val="24"/>
          <w:szCs w:val="24"/>
        </w:rPr>
        <w:t>66</w:t>
      </w:r>
      <w:r w:rsidRPr="00DC4369">
        <w:rPr>
          <w:rFonts w:ascii="Times New Roman" w:hAnsi="Times New Roman" w:cs="Times New Roman"/>
          <w:sz w:val="24"/>
          <w:szCs w:val="24"/>
        </w:rPr>
        <w:t>.</w:t>
      </w:r>
    </w:p>
    <w:p w14:paraId="25AA9A7C"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 xml:space="preserve">Guan, V., Zhou, C., Wan, H., Zhou, R., Zhang, D., Zhang, S., Yang, W., </w:t>
      </w:r>
      <w:proofErr w:type="spellStart"/>
      <w:r w:rsidRPr="00DC4369">
        <w:rPr>
          <w:rFonts w:ascii="Times New Roman" w:hAnsi="Times New Roman" w:cs="Times New Roman"/>
          <w:sz w:val="24"/>
          <w:szCs w:val="24"/>
        </w:rPr>
        <w:t>Voutharoja</w:t>
      </w:r>
      <w:proofErr w:type="spellEnd"/>
      <w:r w:rsidRPr="00DC4369">
        <w:rPr>
          <w:rFonts w:ascii="Times New Roman" w:hAnsi="Times New Roman" w:cs="Times New Roman"/>
          <w:sz w:val="24"/>
          <w:szCs w:val="24"/>
        </w:rPr>
        <w:t>, B. P., Wang, L., Win, K. T., &amp; Wang, P. (2023). A Novel Mobile App for Personalized Dietary Advice Leveraging Persuasive Technology, Computer Vision, and Cloud Computing: Development and Usability Study. </w:t>
      </w:r>
      <w:r w:rsidRPr="00DC4369">
        <w:rPr>
          <w:rFonts w:ascii="Times New Roman" w:hAnsi="Times New Roman" w:cs="Times New Roman"/>
          <w:b/>
          <w:bCs/>
          <w:i/>
          <w:iCs/>
          <w:sz w:val="24"/>
          <w:szCs w:val="24"/>
        </w:rPr>
        <w:t>JMIR formative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e46839.</w:t>
      </w:r>
    </w:p>
    <w:p w14:paraId="1CF55AD2"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Antonelli, M., &amp; Donelli, D. (2023, October). Precision Nutrition and Artificial Intelligence Mobile Apps: A Narrative Review. In </w:t>
      </w:r>
      <w:r w:rsidRPr="00DC4369">
        <w:rPr>
          <w:rFonts w:ascii="Times New Roman" w:hAnsi="Times New Roman" w:cs="Times New Roman"/>
          <w:b/>
          <w:bCs/>
          <w:i/>
          <w:iCs/>
          <w:sz w:val="24"/>
          <w:szCs w:val="24"/>
        </w:rPr>
        <w:t>Biology and Life Sciences Forum</w:t>
      </w:r>
      <w:r w:rsidRPr="00DC4369">
        <w:rPr>
          <w:rFonts w:ascii="Times New Roman" w:hAnsi="Times New Roman" w:cs="Times New Roman"/>
          <w:sz w:val="24"/>
          <w:szCs w:val="24"/>
        </w:rPr>
        <w:t> (Vol. 29, No. 1, p. 25). MDPI.</w:t>
      </w:r>
    </w:p>
    <w:p w14:paraId="0BA9EC1E"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 xml:space="preserve">Prasad, G., </w:t>
      </w:r>
      <w:proofErr w:type="spellStart"/>
      <w:r w:rsidRPr="00DC4369">
        <w:rPr>
          <w:rFonts w:ascii="Times New Roman" w:hAnsi="Times New Roman" w:cs="Times New Roman"/>
          <w:sz w:val="24"/>
          <w:szCs w:val="24"/>
        </w:rPr>
        <w:t>Padhiary</w:t>
      </w:r>
      <w:proofErr w:type="spellEnd"/>
      <w:r w:rsidRPr="00DC4369">
        <w:rPr>
          <w:rFonts w:ascii="Times New Roman" w:hAnsi="Times New Roman" w:cs="Times New Roman"/>
          <w:sz w:val="24"/>
          <w:szCs w:val="24"/>
        </w:rPr>
        <w:t>, M., Hoque, A., &amp; Kumar, K. (2025). AI-Driven Personalized Nutrition Apps and Platforms for Enhanced Diet and Wellness. In </w:t>
      </w:r>
      <w:r w:rsidRPr="00DC4369">
        <w:rPr>
          <w:rFonts w:ascii="Times New Roman" w:hAnsi="Times New Roman" w:cs="Times New Roman"/>
          <w:b/>
          <w:bCs/>
          <w:i/>
          <w:iCs/>
          <w:sz w:val="24"/>
          <w:szCs w:val="24"/>
        </w:rPr>
        <w:t>Food in the Metaverse and Web 3.0 Era: Intersecting Food, Technology, and Culture</w:t>
      </w:r>
      <w:r w:rsidRPr="00DC4369">
        <w:rPr>
          <w:rFonts w:ascii="Times New Roman" w:hAnsi="Times New Roman" w:cs="Times New Roman"/>
          <w:sz w:val="24"/>
          <w:szCs w:val="24"/>
        </w:rPr>
        <w:t> (pp. 125-158). IGI Global Scientific Publishing.</w:t>
      </w:r>
    </w:p>
    <w:p w14:paraId="10D3F11D"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Wu, X., Oniani, D., Shao, Z., Arciero, P., &amp; LaSalle, C. (2025). A scoping review of artificial intelligence for precision nutrition</w:t>
      </w:r>
      <w:r w:rsidRPr="00DC4369">
        <w:rPr>
          <w:rFonts w:ascii="Times New Roman" w:hAnsi="Times New Roman" w:cs="Times New Roman"/>
          <w:b/>
          <w:bCs/>
          <w:sz w:val="24"/>
          <w:szCs w:val="24"/>
        </w:rPr>
        <w:t xml:space="preserve">. </w:t>
      </w:r>
      <w:r w:rsidRPr="00DC4369">
        <w:rPr>
          <w:rFonts w:ascii="Times New Roman" w:hAnsi="Times New Roman" w:cs="Times New Roman"/>
          <w:b/>
          <w:bCs/>
          <w:i/>
          <w:iCs/>
          <w:sz w:val="24"/>
          <w:szCs w:val="24"/>
        </w:rPr>
        <w:t>Advances in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xml:space="preserve"> 100398. </w:t>
      </w:r>
    </w:p>
    <w:p w14:paraId="2DD595D4"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Kahalkar</w:t>
      </w:r>
      <w:proofErr w:type="spellEnd"/>
      <w:r w:rsidRPr="00DC4369">
        <w:rPr>
          <w:rFonts w:ascii="Times New Roman" w:hAnsi="Times New Roman" w:cs="Times New Roman"/>
          <w:sz w:val="24"/>
          <w:szCs w:val="24"/>
        </w:rPr>
        <w:t>, K., &amp; Vyas, U. (2024, November). AI for Personalized Nutrition and Healthcare Management. In </w:t>
      </w:r>
      <w:r w:rsidRPr="00DC4369">
        <w:rPr>
          <w:rFonts w:ascii="Times New Roman" w:hAnsi="Times New Roman" w:cs="Times New Roman"/>
          <w:b/>
          <w:bCs/>
          <w:i/>
          <w:iCs/>
          <w:sz w:val="24"/>
          <w:szCs w:val="24"/>
        </w:rPr>
        <w:t>2024 2nd DMIHER International Conference on Artificial Intelligence in Healthcare, Education and Industry (IDICAIEI)</w:t>
      </w:r>
      <w:r w:rsidRPr="00DC4369">
        <w:rPr>
          <w:rFonts w:ascii="Times New Roman" w:hAnsi="Times New Roman" w:cs="Times New Roman"/>
          <w:sz w:val="24"/>
          <w:szCs w:val="24"/>
        </w:rPr>
        <w:t> (pp. 1-6). IEEE.</w:t>
      </w:r>
    </w:p>
    <w:p w14:paraId="75E1AF4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Mustapha, A., Mustapha, M., &amp; Mustapha, S. Harnessing Artificial Intelligence in Personalised Nutrition and Microbial Health: Optimising Public Health Outcomes.</w:t>
      </w:r>
    </w:p>
    <w:p w14:paraId="6E0D52E0"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Donovan, S. M., Abrahams, M., Anthony, J. C., Bao, Y., Barragan, M., Bermingham, K. M., ... &amp; Winters, B. L. (2025). Personalized nutrition: perspectives on challenges, opportunities, and guiding principles for data use and fusion. </w:t>
      </w:r>
      <w:r w:rsidRPr="00DC4369">
        <w:rPr>
          <w:rFonts w:ascii="Times New Roman" w:hAnsi="Times New Roman" w:cs="Times New Roman"/>
          <w:b/>
          <w:bCs/>
          <w:i/>
          <w:iCs/>
          <w:sz w:val="24"/>
          <w:szCs w:val="24"/>
        </w:rPr>
        <w:t>Critical Reviews in Food Science and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xml:space="preserve"> 1-18.</w:t>
      </w:r>
    </w:p>
    <w:p w14:paraId="1031402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Veluvali</w:t>
      </w:r>
      <w:proofErr w:type="spellEnd"/>
      <w:r w:rsidRPr="00DC4369">
        <w:rPr>
          <w:rFonts w:ascii="Times New Roman" w:hAnsi="Times New Roman" w:cs="Times New Roman"/>
          <w:sz w:val="24"/>
          <w:szCs w:val="24"/>
        </w:rPr>
        <w:t xml:space="preserve">, A., Dehghani </w:t>
      </w:r>
      <w:proofErr w:type="spellStart"/>
      <w:r w:rsidRPr="00DC4369">
        <w:rPr>
          <w:rFonts w:ascii="Times New Roman" w:hAnsi="Times New Roman" w:cs="Times New Roman"/>
          <w:sz w:val="24"/>
          <w:szCs w:val="24"/>
        </w:rPr>
        <w:t>Zahedani</w:t>
      </w:r>
      <w:proofErr w:type="spellEnd"/>
      <w:r w:rsidRPr="00DC4369">
        <w:rPr>
          <w:rFonts w:ascii="Times New Roman" w:hAnsi="Times New Roman" w:cs="Times New Roman"/>
          <w:sz w:val="24"/>
          <w:szCs w:val="24"/>
        </w:rPr>
        <w:t xml:space="preserve">, A., Hosseinian, A., </w:t>
      </w:r>
      <w:proofErr w:type="spellStart"/>
      <w:r w:rsidRPr="00DC4369">
        <w:rPr>
          <w:rFonts w:ascii="Times New Roman" w:hAnsi="Times New Roman" w:cs="Times New Roman"/>
          <w:sz w:val="24"/>
          <w:szCs w:val="24"/>
        </w:rPr>
        <w:t>Aghaeepour</w:t>
      </w:r>
      <w:proofErr w:type="spellEnd"/>
      <w:r w:rsidRPr="00DC4369">
        <w:rPr>
          <w:rFonts w:ascii="Times New Roman" w:hAnsi="Times New Roman" w:cs="Times New Roman"/>
          <w:sz w:val="24"/>
          <w:szCs w:val="24"/>
        </w:rPr>
        <w:t xml:space="preserve">, N., McLaughlin, T., Woodward, M., ... &amp; Snyder, M. P. (2025). Impact of digital health interventions on </w:t>
      </w:r>
      <w:proofErr w:type="spellStart"/>
      <w:r w:rsidRPr="00DC4369">
        <w:rPr>
          <w:rFonts w:ascii="Times New Roman" w:hAnsi="Times New Roman" w:cs="Times New Roman"/>
          <w:sz w:val="24"/>
          <w:szCs w:val="24"/>
        </w:rPr>
        <w:t>glycemic</w:t>
      </w:r>
      <w:proofErr w:type="spellEnd"/>
      <w:r w:rsidRPr="00DC4369">
        <w:rPr>
          <w:rFonts w:ascii="Times New Roman" w:hAnsi="Times New Roman" w:cs="Times New Roman"/>
          <w:sz w:val="24"/>
          <w:szCs w:val="24"/>
        </w:rPr>
        <w:t xml:space="preserve"> control and weight management. </w:t>
      </w:r>
      <w:proofErr w:type="spellStart"/>
      <w:r w:rsidRPr="00DC4369">
        <w:rPr>
          <w:rFonts w:ascii="Times New Roman" w:hAnsi="Times New Roman" w:cs="Times New Roman"/>
          <w:b/>
          <w:bCs/>
          <w:i/>
          <w:iCs/>
          <w:sz w:val="24"/>
          <w:szCs w:val="24"/>
        </w:rPr>
        <w:t>npj</w:t>
      </w:r>
      <w:proofErr w:type="spellEnd"/>
      <w:r w:rsidRPr="00DC4369">
        <w:rPr>
          <w:rFonts w:ascii="Times New Roman" w:hAnsi="Times New Roman" w:cs="Times New Roman"/>
          <w:b/>
          <w:bCs/>
          <w:i/>
          <w:iCs/>
          <w:sz w:val="24"/>
          <w:szCs w:val="24"/>
        </w:rPr>
        <w:t xml:space="preserve"> Digital Medicine</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8</w:t>
      </w:r>
      <w:r w:rsidRPr="00DC4369">
        <w:rPr>
          <w:rFonts w:ascii="Times New Roman" w:hAnsi="Times New Roman" w:cs="Times New Roman"/>
          <w:sz w:val="24"/>
          <w:szCs w:val="24"/>
        </w:rPr>
        <w:t>(1), 20.</w:t>
      </w:r>
    </w:p>
    <w:p w14:paraId="4C76FDD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Abrahams, M., &amp; </w:t>
      </w:r>
      <w:proofErr w:type="spellStart"/>
      <w:r w:rsidRPr="00DC4369">
        <w:rPr>
          <w:rFonts w:ascii="Times New Roman" w:hAnsi="Times New Roman" w:cs="Times New Roman"/>
          <w:sz w:val="24"/>
          <w:szCs w:val="24"/>
        </w:rPr>
        <w:t>Matusheski</w:t>
      </w:r>
      <w:proofErr w:type="spellEnd"/>
      <w:r w:rsidRPr="00DC4369">
        <w:rPr>
          <w:rFonts w:ascii="Times New Roman" w:hAnsi="Times New Roman" w:cs="Times New Roman"/>
          <w:sz w:val="24"/>
          <w:szCs w:val="24"/>
        </w:rPr>
        <w:t>, N. V. (2020). Personalised nutrition technologies: a new paradigm for dietetic practice and training in a digital transformation era. </w:t>
      </w:r>
      <w:r w:rsidRPr="00DC4369">
        <w:rPr>
          <w:rFonts w:ascii="Times New Roman" w:hAnsi="Times New Roman" w:cs="Times New Roman"/>
          <w:b/>
          <w:bCs/>
          <w:i/>
          <w:iCs/>
          <w:sz w:val="24"/>
          <w:szCs w:val="24"/>
        </w:rPr>
        <w:t xml:space="preserve">Journal of human nutrition and </w:t>
      </w:r>
      <w:proofErr w:type="gramStart"/>
      <w:r w:rsidRPr="00DC4369">
        <w:rPr>
          <w:rFonts w:ascii="Times New Roman" w:hAnsi="Times New Roman" w:cs="Times New Roman"/>
          <w:b/>
          <w:bCs/>
          <w:i/>
          <w:iCs/>
          <w:sz w:val="24"/>
          <w:szCs w:val="24"/>
        </w:rPr>
        <w:t>dietetics :</w:t>
      </w:r>
      <w:proofErr w:type="gramEnd"/>
      <w:r w:rsidRPr="00DC4369">
        <w:rPr>
          <w:rFonts w:ascii="Times New Roman" w:hAnsi="Times New Roman" w:cs="Times New Roman"/>
          <w:b/>
          <w:bCs/>
          <w:i/>
          <w:iCs/>
          <w:sz w:val="24"/>
          <w:szCs w:val="24"/>
        </w:rPr>
        <w:t xml:space="preserve"> the official journal of the British Dietetic Association</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33</w:t>
      </w:r>
      <w:r w:rsidRPr="00DC4369">
        <w:rPr>
          <w:rFonts w:ascii="Times New Roman" w:hAnsi="Times New Roman" w:cs="Times New Roman"/>
          <w:sz w:val="24"/>
          <w:szCs w:val="24"/>
        </w:rPr>
        <w:t>(3), 295–298.</w:t>
      </w:r>
    </w:p>
    <w:p w14:paraId="0BF533F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Nogueira-Rio, N., Varela Vazquez, L., Lopez-Santamarina, A., Mondragon-Portocarrero, A., Karav, S., &amp; Miranda, J. M. (2024). Mobile Applications and Artificial Intelligence for Nutrition Education: A Narrative Review. </w:t>
      </w:r>
      <w:r w:rsidRPr="00DC4369">
        <w:rPr>
          <w:rFonts w:ascii="Times New Roman" w:hAnsi="Times New Roman" w:cs="Times New Roman"/>
          <w:b/>
          <w:bCs/>
          <w:i/>
          <w:iCs/>
          <w:sz w:val="24"/>
          <w:szCs w:val="24"/>
        </w:rPr>
        <w:t>Dietetics</w:t>
      </w:r>
      <w:r w:rsidRPr="00DC4369">
        <w:rPr>
          <w:rFonts w:ascii="Times New Roman" w:hAnsi="Times New Roman" w:cs="Times New Roman"/>
          <w:sz w:val="24"/>
          <w:szCs w:val="24"/>
        </w:rPr>
        <w:t>, </w:t>
      </w:r>
      <w:r w:rsidRPr="00DC4369">
        <w:rPr>
          <w:rFonts w:ascii="Times New Roman" w:hAnsi="Times New Roman" w:cs="Times New Roman"/>
          <w:i/>
          <w:iCs/>
          <w:sz w:val="24"/>
          <w:szCs w:val="24"/>
        </w:rPr>
        <w:t>3</w:t>
      </w:r>
      <w:r w:rsidRPr="00DC4369">
        <w:rPr>
          <w:rFonts w:ascii="Times New Roman" w:hAnsi="Times New Roman" w:cs="Times New Roman"/>
          <w:sz w:val="24"/>
          <w:szCs w:val="24"/>
        </w:rPr>
        <w:t>(4), 483-503.</w:t>
      </w:r>
    </w:p>
    <w:p w14:paraId="58D7652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Delaney, T., Mclaughlin, M., Hall, A., Yoong, S. L., Brown, A., O'Brien, K., Dray, J., Barnes, C., Hollis, J., Wyse, R., Wiggers, J., Sutherland, R., &amp; Wolfenden, L. (2021). Associations between Digital Health Intervention Engagement and Dietary Intake: A Systematic Review. </w:t>
      </w:r>
      <w:r w:rsidRPr="00DC4369">
        <w:rPr>
          <w:rFonts w:ascii="Times New Roman" w:hAnsi="Times New Roman" w:cs="Times New Roman"/>
          <w:b/>
          <w:bCs/>
          <w:i/>
          <w:iCs/>
          <w:sz w:val="24"/>
          <w:szCs w:val="24"/>
        </w:rPr>
        <w:t>Nutrients</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 xml:space="preserve">(9), 3281. </w:t>
      </w:r>
    </w:p>
    <w:p w14:paraId="5A5105A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Zhang, N., He, M., Han, Q., Zhu, Y., Xue, X., Zhou, Y., &amp; Wang, T. (2024). Gut microbiota and mental health: Current evidence and future directions. </w:t>
      </w:r>
      <w:r w:rsidRPr="00DC4369">
        <w:rPr>
          <w:rFonts w:ascii="Times New Roman" w:hAnsi="Times New Roman" w:cs="Times New Roman"/>
          <w:b/>
          <w:bCs/>
          <w:i/>
          <w:iCs/>
          <w:sz w:val="24"/>
          <w:szCs w:val="24"/>
        </w:rPr>
        <w:t>JMIR Mental Health,</w:t>
      </w:r>
      <w:r w:rsidRPr="00DC4369">
        <w:rPr>
          <w:rFonts w:ascii="Times New Roman" w:hAnsi="Times New Roman" w:cs="Times New Roman"/>
          <w:i/>
          <w:iCs/>
          <w:sz w:val="24"/>
          <w:szCs w:val="24"/>
        </w:rPr>
        <w:t xml:space="preserve"> 11</w:t>
      </w:r>
      <w:r w:rsidRPr="00DC4369">
        <w:rPr>
          <w:rFonts w:ascii="Times New Roman" w:hAnsi="Times New Roman" w:cs="Times New Roman"/>
          <w:sz w:val="24"/>
          <w:szCs w:val="24"/>
        </w:rPr>
        <w:t>, e46439.</w:t>
      </w:r>
    </w:p>
    <w:p w14:paraId="71539CA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Mair, J. L., Salamanca-Sanabria, A., Augsburger, M., Frese, B. F., Abend, S., Jakob, R., </w:t>
      </w:r>
      <w:proofErr w:type="spellStart"/>
      <w:r w:rsidRPr="00DC4369">
        <w:rPr>
          <w:rFonts w:ascii="Times New Roman" w:hAnsi="Times New Roman" w:cs="Times New Roman"/>
          <w:sz w:val="24"/>
          <w:szCs w:val="24"/>
        </w:rPr>
        <w:t>Kowatsch</w:t>
      </w:r>
      <w:proofErr w:type="spellEnd"/>
      <w:r w:rsidRPr="00DC4369">
        <w:rPr>
          <w:rFonts w:ascii="Times New Roman" w:hAnsi="Times New Roman" w:cs="Times New Roman"/>
          <w:sz w:val="24"/>
          <w:szCs w:val="24"/>
        </w:rPr>
        <w:t xml:space="preserve">, T., &amp; Haug, S. (2023). Effective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w:t>
      </w:r>
      <w:proofErr w:type="gramStart"/>
      <w:r w:rsidRPr="00DC4369">
        <w:rPr>
          <w:rFonts w:ascii="Times New Roman" w:hAnsi="Times New Roman" w:cs="Times New Roman"/>
          <w:sz w:val="24"/>
          <w:szCs w:val="24"/>
        </w:rPr>
        <w:t>change</w:t>
      </w:r>
      <w:proofErr w:type="gramEnd"/>
      <w:r w:rsidRPr="00DC4369">
        <w:rPr>
          <w:rFonts w:ascii="Times New Roman" w:hAnsi="Times New Roman" w:cs="Times New Roman"/>
          <w:sz w:val="24"/>
          <w:szCs w:val="24"/>
        </w:rPr>
        <w:t xml:space="preserve"> techniques in digital health interventions for the prevention or management of noncommunicable diseases: An umbrella review. </w:t>
      </w:r>
      <w:r w:rsidRPr="00DC4369">
        <w:rPr>
          <w:rFonts w:ascii="Times New Roman" w:hAnsi="Times New Roman" w:cs="Times New Roman"/>
          <w:b/>
          <w:bCs/>
          <w:i/>
          <w:iCs/>
          <w:sz w:val="24"/>
          <w:szCs w:val="24"/>
        </w:rPr>
        <w:t xml:space="preserve">Annals of </w:t>
      </w:r>
      <w:proofErr w:type="spellStart"/>
      <w:r w:rsidRPr="00DC4369">
        <w:rPr>
          <w:rFonts w:ascii="Times New Roman" w:hAnsi="Times New Roman" w:cs="Times New Roman"/>
          <w:b/>
          <w:bCs/>
          <w:i/>
          <w:iCs/>
          <w:sz w:val="24"/>
          <w:szCs w:val="24"/>
        </w:rPr>
        <w:t>Behavioral</w:t>
      </w:r>
      <w:proofErr w:type="spellEnd"/>
      <w:r w:rsidRPr="00DC4369">
        <w:rPr>
          <w:rFonts w:ascii="Times New Roman" w:hAnsi="Times New Roman" w:cs="Times New Roman"/>
          <w:b/>
          <w:bCs/>
          <w:i/>
          <w:iCs/>
          <w:sz w:val="24"/>
          <w:szCs w:val="24"/>
        </w:rPr>
        <w:t xml:space="preserve"> Medicine,</w:t>
      </w:r>
      <w:r w:rsidRPr="00DC4369">
        <w:rPr>
          <w:rFonts w:ascii="Times New Roman" w:hAnsi="Times New Roman" w:cs="Times New Roman"/>
          <w:i/>
          <w:iCs/>
          <w:sz w:val="24"/>
          <w:szCs w:val="24"/>
        </w:rPr>
        <w:t xml:space="preserve"> 57</w:t>
      </w:r>
      <w:r w:rsidRPr="00DC4369">
        <w:rPr>
          <w:rFonts w:ascii="Times New Roman" w:hAnsi="Times New Roman" w:cs="Times New Roman"/>
          <w:sz w:val="24"/>
          <w:szCs w:val="24"/>
        </w:rPr>
        <w:t xml:space="preserve">(10), 817–835. </w:t>
      </w:r>
    </w:p>
    <w:p w14:paraId="2FACC413"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Ronteltap</w:t>
      </w:r>
      <w:proofErr w:type="spellEnd"/>
      <w:r w:rsidRPr="00DC4369">
        <w:rPr>
          <w:rFonts w:ascii="Times New Roman" w:hAnsi="Times New Roman" w:cs="Times New Roman"/>
          <w:sz w:val="24"/>
          <w:szCs w:val="24"/>
        </w:rPr>
        <w:t xml:space="preserve">, A., </w:t>
      </w:r>
      <w:proofErr w:type="spellStart"/>
      <w:r w:rsidRPr="00DC4369">
        <w:rPr>
          <w:rFonts w:ascii="Times New Roman" w:hAnsi="Times New Roman" w:cs="Times New Roman"/>
          <w:sz w:val="24"/>
          <w:szCs w:val="24"/>
        </w:rPr>
        <w:t>Bukman</w:t>
      </w:r>
      <w:proofErr w:type="spellEnd"/>
      <w:r w:rsidRPr="00DC4369">
        <w:rPr>
          <w:rFonts w:ascii="Times New Roman" w:hAnsi="Times New Roman" w:cs="Times New Roman"/>
          <w:sz w:val="24"/>
          <w:szCs w:val="24"/>
        </w:rPr>
        <w:t xml:space="preserve">, A. J., Nagelhout, G. E., Kunst, A. E., &amp; van Lenthe, F. J. (2022). Digital health interventions to improve eating behaviour of people with a lower socioeconomic position: A scoping review of behaviour change techniques. </w:t>
      </w:r>
      <w:r w:rsidRPr="00DC4369">
        <w:rPr>
          <w:rFonts w:ascii="Times New Roman" w:hAnsi="Times New Roman" w:cs="Times New Roman"/>
          <w:b/>
          <w:bCs/>
          <w:i/>
          <w:iCs/>
          <w:sz w:val="24"/>
          <w:szCs w:val="24"/>
        </w:rPr>
        <w:t>BMC Nutrition,</w:t>
      </w:r>
      <w:r w:rsidRPr="00DC4369">
        <w:rPr>
          <w:rFonts w:ascii="Times New Roman" w:hAnsi="Times New Roman" w:cs="Times New Roman"/>
          <w:i/>
          <w:iCs/>
          <w:sz w:val="24"/>
          <w:szCs w:val="24"/>
        </w:rPr>
        <w:t xml:space="preserve"> 8</w:t>
      </w:r>
      <w:r w:rsidRPr="00DC4369">
        <w:rPr>
          <w:rFonts w:ascii="Times New Roman" w:hAnsi="Times New Roman" w:cs="Times New Roman"/>
          <w:sz w:val="24"/>
          <w:szCs w:val="24"/>
        </w:rPr>
        <w:t>(1), 145.</w:t>
      </w:r>
    </w:p>
    <w:p w14:paraId="11EAE2D9"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Tsolakidis, D., </w:t>
      </w:r>
      <w:proofErr w:type="spellStart"/>
      <w:r w:rsidRPr="00DC4369">
        <w:rPr>
          <w:rFonts w:ascii="Times New Roman" w:hAnsi="Times New Roman" w:cs="Times New Roman"/>
          <w:sz w:val="24"/>
          <w:szCs w:val="24"/>
        </w:rPr>
        <w:t>Gymnopoulos</w:t>
      </w:r>
      <w:proofErr w:type="spellEnd"/>
      <w:r w:rsidRPr="00DC4369">
        <w:rPr>
          <w:rFonts w:ascii="Times New Roman" w:hAnsi="Times New Roman" w:cs="Times New Roman"/>
          <w:sz w:val="24"/>
          <w:szCs w:val="24"/>
        </w:rPr>
        <w:t>, L. P., &amp; Dimitropoulos, K. (2024, August). Artificial Intelligence and Machine Learning Technologies for Personalized Nutrition: A Review. In </w:t>
      </w:r>
      <w:r w:rsidRPr="00DC4369">
        <w:rPr>
          <w:rFonts w:ascii="Times New Roman" w:hAnsi="Times New Roman" w:cs="Times New Roman"/>
          <w:b/>
          <w:bCs/>
          <w:i/>
          <w:iCs/>
          <w:sz w:val="24"/>
          <w:szCs w:val="24"/>
        </w:rPr>
        <w:t>Informatics</w:t>
      </w:r>
      <w:r w:rsidRPr="00DC4369">
        <w:rPr>
          <w:rFonts w:ascii="Times New Roman" w:hAnsi="Times New Roman" w:cs="Times New Roman"/>
          <w:sz w:val="24"/>
          <w:szCs w:val="24"/>
        </w:rPr>
        <w:t> (Vol. 11, No. 3, p. 62). MDPI.</w:t>
      </w:r>
    </w:p>
    <w:p w14:paraId="7B0D5F6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HONKA, A. Personalization of Digital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for Health Promotion.</w:t>
      </w:r>
    </w:p>
    <w:p w14:paraId="4B127BB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Salas-Groves, E., Galyean, S., Alcorn, M., &amp; Childress, A. (2023).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w:t>
      </w:r>
      <w:proofErr w:type="gramStart"/>
      <w:r w:rsidRPr="00DC4369">
        <w:rPr>
          <w:rFonts w:ascii="Times New Roman" w:hAnsi="Times New Roman" w:cs="Times New Roman"/>
          <w:sz w:val="24"/>
          <w:szCs w:val="24"/>
        </w:rPr>
        <w:t>change</w:t>
      </w:r>
      <w:proofErr w:type="gramEnd"/>
      <w:r w:rsidRPr="00DC4369">
        <w:rPr>
          <w:rFonts w:ascii="Times New Roman" w:hAnsi="Times New Roman" w:cs="Times New Roman"/>
          <w:sz w:val="24"/>
          <w:szCs w:val="24"/>
        </w:rPr>
        <w:t xml:space="preserve"> effectiveness using nutrition apps in people with chronic diseases: Scoping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i/>
          <w:iCs/>
          <w:sz w:val="24"/>
          <w:szCs w:val="24"/>
        </w:rPr>
        <w:t>, 11</w:t>
      </w:r>
      <w:r w:rsidRPr="00DC4369">
        <w:rPr>
          <w:rFonts w:ascii="Times New Roman" w:hAnsi="Times New Roman" w:cs="Times New Roman"/>
          <w:sz w:val="24"/>
          <w:szCs w:val="24"/>
        </w:rPr>
        <w:t>, e41235</w:t>
      </w:r>
    </w:p>
    <w:p w14:paraId="1F21E2D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Paramastri</w:t>
      </w:r>
      <w:proofErr w:type="spellEnd"/>
      <w:r w:rsidRPr="00DC4369">
        <w:rPr>
          <w:rFonts w:ascii="Times New Roman" w:hAnsi="Times New Roman" w:cs="Times New Roman"/>
          <w:sz w:val="24"/>
          <w:szCs w:val="24"/>
        </w:rPr>
        <w:t xml:space="preserve">, R., </w:t>
      </w:r>
      <w:proofErr w:type="spellStart"/>
      <w:r w:rsidRPr="00DC4369">
        <w:rPr>
          <w:rFonts w:ascii="Times New Roman" w:hAnsi="Times New Roman" w:cs="Times New Roman"/>
          <w:sz w:val="24"/>
          <w:szCs w:val="24"/>
        </w:rPr>
        <w:t>Pratama</w:t>
      </w:r>
      <w:proofErr w:type="spellEnd"/>
      <w:r w:rsidRPr="00DC4369">
        <w:rPr>
          <w:rFonts w:ascii="Times New Roman" w:hAnsi="Times New Roman" w:cs="Times New Roman"/>
          <w:sz w:val="24"/>
          <w:szCs w:val="24"/>
        </w:rPr>
        <w:t xml:space="preserve">, S. A., Ho, D. K. N., </w:t>
      </w:r>
      <w:proofErr w:type="spellStart"/>
      <w:r w:rsidRPr="00DC4369">
        <w:rPr>
          <w:rFonts w:ascii="Times New Roman" w:hAnsi="Times New Roman" w:cs="Times New Roman"/>
          <w:sz w:val="24"/>
          <w:szCs w:val="24"/>
        </w:rPr>
        <w:t>Purnamasari</w:t>
      </w:r>
      <w:proofErr w:type="spellEnd"/>
      <w:r w:rsidRPr="00DC4369">
        <w:rPr>
          <w:rFonts w:ascii="Times New Roman" w:hAnsi="Times New Roman" w:cs="Times New Roman"/>
          <w:sz w:val="24"/>
          <w:szCs w:val="24"/>
        </w:rPr>
        <w:t>, S. D., Mohammed, A. Z., Galvin, C. J., ... &amp; Iqbal, U. (2020). Use of mobile applications to improve nutrition behaviour: A systematic review. </w:t>
      </w:r>
      <w:r w:rsidRPr="00DC4369">
        <w:rPr>
          <w:rFonts w:ascii="Times New Roman" w:hAnsi="Times New Roman" w:cs="Times New Roman"/>
          <w:b/>
          <w:bCs/>
          <w:i/>
          <w:iCs/>
          <w:sz w:val="24"/>
          <w:szCs w:val="24"/>
        </w:rPr>
        <w:t>Computer methods and programs in biomedicine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192</w:t>
      </w:r>
      <w:r w:rsidRPr="00DC4369">
        <w:rPr>
          <w:rFonts w:ascii="Times New Roman" w:hAnsi="Times New Roman" w:cs="Times New Roman"/>
          <w:sz w:val="24"/>
          <w:szCs w:val="24"/>
        </w:rPr>
        <w:t>, 105459.</w:t>
      </w:r>
    </w:p>
    <w:p w14:paraId="7208427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Seid, A., </w:t>
      </w:r>
      <w:proofErr w:type="spellStart"/>
      <w:r w:rsidRPr="00DC4369">
        <w:rPr>
          <w:rFonts w:ascii="Times New Roman" w:hAnsi="Times New Roman" w:cs="Times New Roman"/>
          <w:sz w:val="24"/>
          <w:szCs w:val="24"/>
        </w:rPr>
        <w:t>Fufa</w:t>
      </w:r>
      <w:proofErr w:type="spellEnd"/>
      <w:r w:rsidRPr="00DC4369">
        <w:rPr>
          <w:rFonts w:ascii="Times New Roman" w:hAnsi="Times New Roman" w:cs="Times New Roman"/>
          <w:sz w:val="24"/>
          <w:szCs w:val="24"/>
        </w:rPr>
        <w:t xml:space="preserve">, D. D., &amp; Bitew, Z. W. (2024). The use of internet-based smartphone apps consistently improved consumers' healthy eating </w:t>
      </w:r>
      <w:proofErr w:type="spellStart"/>
      <w:r w:rsidRPr="00DC4369">
        <w:rPr>
          <w:rFonts w:ascii="Times New Roman" w:hAnsi="Times New Roman" w:cs="Times New Roman"/>
          <w:sz w:val="24"/>
          <w:szCs w:val="24"/>
        </w:rPr>
        <w:t>behaviors</w:t>
      </w:r>
      <w:proofErr w:type="spellEnd"/>
      <w:r w:rsidRPr="00DC4369">
        <w:rPr>
          <w:rFonts w:ascii="Times New Roman" w:hAnsi="Times New Roman" w:cs="Times New Roman"/>
          <w:sz w:val="24"/>
          <w:szCs w:val="24"/>
        </w:rPr>
        <w:t>: a systematic review of randomized controlled trials. </w:t>
      </w:r>
      <w:r w:rsidRPr="00DC4369">
        <w:rPr>
          <w:rFonts w:ascii="Times New Roman" w:hAnsi="Times New Roman" w:cs="Times New Roman"/>
          <w:b/>
          <w:bCs/>
          <w:i/>
          <w:iCs/>
          <w:sz w:val="24"/>
          <w:szCs w:val="24"/>
        </w:rPr>
        <w:t>Frontiers in Digital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6</w:t>
      </w:r>
      <w:r w:rsidRPr="00DC4369">
        <w:rPr>
          <w:rFonts w:ascii="Times New Roman" w:hAnsi="Times New Roman" w:cs="Times New Roman"/>
          <w:sz w:val="24"/>
          <w:szCs w:val="24"/>
        </w:rPr>
        <w:t xml:space="preserve">, </w:t>
      </w:r>
      <w:r w:rsidRPr="00DC4369">
        <w:rPr>
          <w:rFonts w:ascii="Times New Roman" w:hAnsi="Times New Roman" w:cs="Times New Roman"/>
          <w:sz w:val="24"/>
          <w:szCs w:val="24"/>
        </w:rPr>
        <w:lastRenderedPageBreak/>
        <w:t>1282570.</w:t>
      </w:r>
    </w:p>
    <w:p w14:paraId="41EBEDA9"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Milne-Ives, M., Lam, C., De Cock, C., Van </w:t>
      </w:r>
      <w:proofErr w:type="spellStart"/>
      <w:r w:rsidRPr="00DC4369">
        <w:rPr>
          <w:rFonts w:ascii="Times New Roman" w:hAnsi="Times New Roman" w:cs="Times New Roman"/>
          <w:sz w:val="24"/>
          <w:szCs w:val="24"/>
        </w:rPr>
        <w:t>Velthoven</w:t>
      </w:r>
      <w:proofErr w:type="spellEnd"/>
      <w:r w:rsidRPr="00DC4369">
        <w:rPr>
          <w:rFonts w:ascii="Times New Roman" w:hAnsi="Times New Roman" w:cs="Times New Roman"/>
          <w:sz w:val="24"/>
          <w:szCs w:val="24"/>
        </w:rPr>
        <w:t xml:space="preserve">, M. H., &amp; Meinert, E. (2020). Mobile apps for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 physical activity, diet, drug and alcohol use, and mental health: Systematic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8</w:t>
      </w:r>
      <w:r w:rsidRPr="00DC4369">
        <w:rPr>
          <w:rFonts w:ascii="Times New Roman" w:hAnsi="Times New Roman" w:cs="Times New Roman"/>
          <w:sz w:val="24"/>
          <w:szCs w:val="24"/>
        </w:rPr>
        <w:t>(3), e17046.</w:t>
      </w:r>
    </w:p>
    <w:p w14:paraId="1309390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Page, M. J., McKenzie, J. E., Bossuyt, P. M., </w:t>
      </w:r>
      <w:proofErr w:type="spellStart"/>
      <w:r w:rsidRPr="00DC4369">
        <w:rPr>
          <w:rFonts w:ascii="Times New Roman" w:hAnsi="Times New Roman" w:cs="Times New Roman"/>
          <w:sz w:val="24"/>
          <w:szCs w:val="24"/>
        </w:rPr>
        <w:t>Boutron</w:t>
      </w:r>
      <w:proofErr w:type="spellEnd"/>
      <w:r w:rsidRPr="00DC4369">
        <w:rPr>
          <w:rFonts w:ascii="Times New Roman" w:hAnsi="Times New Roman" w:cs="Times New Roman"/>
          <w:sz w:val="24"/>
          <w:szCs w:val="24"/>
        </w:rPr>
        <w:t>, I., Hoffmann, T. C., Mulrow, C. D., ... &amp; Moher, D. (2021). The PRISMA 2020 statement: an updated guideline for reporting systematic reviews.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372</w:t>
      </w:r>
      <w:r w:rsidRPr="00DC4369">
        <w:rPr>
          <w:rFonts w:ascii="Times New Roman" w:hAnsi="Times New Roman" w:cs="Times New Roman"/>
          <w:sz w:val="24"/>
          <w:szCs w:val="24"/>
        </w:rPr>
        <w:t>.</w:t>
      </w:r>
    </w:p>
    <w:p w14:paraId="63DE543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Blair, M., Mitchell, L., Palermo, C., &amp; Gibson, S. (2022). Trends, challenges, opportunities, and future needs of the dietetic workforce: A systematic scoping review. </w:t>
      </w:r>
      <w:r w:rsidRPr="00DC4369">
        <w:rPr>
          <w:rFonts w:ascii="Times New Roman" w:hAnsi="Times New Roman" w:cs="Times New Roman"/>
          <w:b/>
          <w:bCs/>
          <w:i/>
          <w:iCs/>
          <w:sz w:val="24"/>
          <w:szCs w:val="24"/>
        </w:rPr>
        <w:t xml:space="preserve">Nutrition Reviews, </w:t>
      </w:r>
      <w:r w:rsidRPr="00DC4369">
        <w:rPr>
          <w:rFonts w:ascii="Times New Roman" w:hAnsi="Times New Roman" w:cs="Times New Roman"/>
          <w:i/>
          <w:iCs/>
          <w:sz w:val="24"/>
          <w:szCs w:val="24"/>
        </w:rPr>
        <w:t>80</w:t>
      </w:r>
      <w:r w:rsidRPr="00DC4369">
        <w:rPr>
          <w:rFonts w:ascii="Times New Roman" w:hAnsi="Times New Roman" w:cs="Times New Roman"/>
          <w:sz w:val="24"/>
          <w:szCs w:val="24"/>
        </w:rPr>
        <w:t>(5), 1027–1040.</w:t>
      </w:r>
    </w:p>
    <w:p w14:paraId="6352313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Higgins, J. P., Altman, D. G., Gøtzsche, P. C., </w:t>
      </w:r>
      <w:proofErr w:type="spellStart"/>
      <w:r w:rsidRPr="00DC4369">
        <w:rPr>
          <w:rFonts w:ascii="Times New Roman" w:hAnsi="Times New Roman" w:cs="Times New Roman"/>
          <w:sz w:val="24"/>
          <w:szCs w:val="24"/>
        </w:rPr>
        <w:t>Jüni</w:t>
      </w:r>
      <w:proofErr w:type="spellEnd"/>
      <w:r w:rsidRPr="00DC4369">
        <w:rPr>
          <w:rFonts w:ascii="Times New Roman" w:hAnsi="Times New Roman" w:cs="Times New Roman"/>
          <w:sz w:val="24"/>
          <w:szCs w:val="24"/>
        </w:rPr>
        <w:t>, P., Moher, D., Oxman, A. D., ... &amp; Sterne, J. A. (2011). The Cochrane Collaboration’s tool for assessing risk of bias in randomised trials.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sz w:val="24"/>
          <w:szCs w:val="24"/>
        </w:rPr>
        <w:t>, </w:t>
      </w:r>
      <w:r w:rsidRPr="00DC4369">
        <w:rPr>
          <w:rFonts w:ascii="Times New Roman" w:hAnsi="Times New Roman" w:cs="Times New Roman"/>
          <w:i/>
          <w:iCs/>
          <w:sz w:val="24"/>
          <w:szCs w:val="24"/>
        </w:rPr>
        <w:t>343</w:t>
      </w:r>
      <w:r w:rsidRPr="00DC4369">
        <w:rPr>
          <w:rFonts w:ascii="Times New Roman" w:hAnsi="Times New Roman" w:cs="Times New Roman"/>
          <w:sz w:val="24"/>
          <w:szCs w:val="24"/>
        </w:rPr>
        <w:t>.</w:t>
      </w:r>
    </w:p>
    <w:p w14:paraId="6337571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Jambor HK, </w:t>
      </w:r>
      <w:proofErr w:type="spellStart"/>
      <w:r w:rsidRPr="00DC4369">
        <w:rPr>
          <w:rFonts w:ascii="Times New Roman" w:hAnsi="Times New Roman" w:cs="Times New Roman"/>
          <w:sz w:val="24"/>
          <w:szCs w:val="24"/>
        </w:rPr>
        <w:t>Bornhäuser</w:t>
      </w:r>
      <w:proofErr w:type="spellEnd"/>
      <w:r w:rsidRPr="00DC4369">
        <w:rPr>
          <w:rFonts w:ascii="Times New Roman" w:hAnsi="Times New Roman" w:cs="Times New Roman"/>
          <w:sz w:val="24"/>
          <w:szCs w:val="24"/>
        </w:rPr>
        <w:t xml:space="preserve"> M (2024) Ten simple rules for designing graphical abstracts. </w:t>
      </w:r>
      <w:proofErr w:type="spellStart"/>
      <w:r w:rsidRPr="00DC4369">
        <w:rPr>
          <w:rFonts w:ascii="Times New Roman" w:hAnsi="Times New Roman" w:cs="Times New Roman"/>
          <w:b/>
          <w:bCs/>
          <w:i/>
          <w:iCs/>
          <w:sz w:val="24"/>
          <w:szCs w:val="24"/>
        </w:rPr>
        <w:t>PLoS</w:t>
      </w:r>
      <w:proofErr w:type="spellEnd"/>
      <w:r w:rsidRPr="00DC4369">
        <w:rPr>
          <w:rFonts w:ascii="Times New Roman" w:hAnsi="Times New Roman" w:cs="Times New Roman"/>
          <w:b/>
          <w:bCs/>
          <w:i/>
          <w:iCs/>
          <w:sz w:val="24"/>
          <w:szCs w:val="24"/>
        </w:rPr>
        <w:t xml:space="preserve"> </w:t>
      </w:r>
      <w:proofErr w:type="spellStart"/>
      <w:r w:rsidRPr="00DC4369">
        <w:rPr>
          <w:rFonts w:ascii="Times New Roman" w:hAnsi="Times New Roman" w:cs="Times New Roman"/>
          <w:b/>
          <w:bCs/>
          <w:i/>
          <w:iCs/>
          <w:sz w:val="24"/>
          <w:szCs w:val="24"/>
        </w:rPr>
        <w:t>Comput</w:t>
      </w:r>
      <w:proofErr w:type="spellEnd"/>
      <w:r w:rsidRPr="00DC4369">
        <w:rPr>
          <w:rFonts w:ascii="Times New Roman" w:hAnsi="Times New Roman" w:cs="Times New Roman"/>
          <w:b/>
          <w:bCs/>
          <w:i/>
          <w:iCs/>
          <w:sz w:val="24"/>
          <w:szCs w:val="24"/>
        </w:rPr>
        <w:t xml:space="preserve"> </w:t>
      </w:r>
      <w:proofErr w:type="spellStart"/>
      <w:r w:rsidRPr="00DC4369">
        <w:rPr>
          <w:rFonts w:ascii="Times New Roman" w:hAnsi="Times New Roman" w:cs="Times New Roman"/>
          <w:b/>
          <w:bCs/>
          <w:i/>
          <w:iCs/>
          <w:sz w:val="24"/>
          <w:szCs w:val="24"/>
        </w:rPr>
        <w:t>Biol</w:t>
      </w:r>
      <w:proofErr w:type="spellEnd"/>
      <w:r w:rsidRPr="00DC4369">
        <w:rPr>
          <w:rFonts w:ascii="Times New Roman" w:hAnsi="Times New Roman" w:cs="Times New Roman"/>
          <w:sz w:val="24"/>
          <w:szCs w:val="24"/>
        </w:rPr>
        <w:t xml:space="preserve"> 20(2): e1011789.</w:t>
      </w:r>
    </w:p>
    <w:p w14:paraId="5D14B8B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Zeevi, D., </w:t>
      </w:r>
      <w:proofErr w:type="spellStart"/>
      <w:r w:rsidRPr="00DC4369">
        <w:rPr>
          <w:rFonts w:ascii="Times New Roman" w:hAnsi="Times New Roman" w:cs="Times New Roman"/>
          <w:sz w:val="24"/>
          <w:szCs w:val="24"/>
        </w:rPr>
        <w:t>Korem</w:t>
      </w:r>
      <w:proofErr w:type="spellEnd"/>
      <w:r w:rsidRPr="00DC4369">
        <w:rPr>
          <w:rFonts w:ascii="Times New Roman" w:hAnsi="Times New Roman" w:cs="Times New Roman"/>
          <w:sz w:val="24"/>
          <w:szCs w:val="24"/>
        </w:rPr>
        <w:t xml:space="preserve">, T., </w:t>
      </w:r>
      <w:proofErr w:type="spellStart"/>
      <w:r w:rsidRPr="00DC4369">
        <w:rPr>
          <w:rFonts w:ascii="Times New Roman" w:hAnsi="Times New Roman" w:cs="Times New Roman"/>
          <w:sz w:val="24"/>
          <w:szCs w:val="24"/>
        </w:rPr>
        <w:t>Zmora</w:t>
      </w:r>
      <w:proofErr w:type="spellEnd"/>
      <w:r w:rsidRPr="00DC4369">
        <w:rPr>
          <w:rFonts w:ascii="Times New Roman" w:hAnsi="Times New Roman" w:cs="Times New Roman"/>
          <w:sz w:val="24"/>
          <w:szCs w:val="24"/>
        </w:rPr>
        <w:t xml:space="preserve">, N., Israeli, D., Rothschild, D., Weinberger, A., ... &amp; Segal, E. (2015). Personalized nutrition by prediction of </w:t>
      </w:r>
      <w:proofErr w:type="spellStart"/>
      <w:r w:rsidRPr="00DC4369">
        <w:rPr>
          <w:rFonts w:ascii="Times New Roman" w:hAnsi="Times New Roman" w:cs="Times New Roman"/>
          <w:sz w:val="24"/>
          <w:szCs w:val="24"/>
        </w:rPr>
        <w:t>glycemic</w:t>
      </w:r>
      <w:proofErr w:type="spellEnd"/>
      <w:r w:rsidRPr="00DC4369">
        <w:rPr>
          <w:rFonts w:ascii="Times New Roman" w:hAnsi="Times New Roman" w:cs="Times New Roman"/>
          <w:sz w:val="24"/>
          <w:szCs w:val="24"/>
        </w:rPr>
        <w:t xml:space="preserve"> responses</w:t>
      </w:r>
      <w:r w:rsidRPr="00DC4369">
        <w:rPr>
          <w:rFonts w:ascii="Times New Roman" w:hAnsi="Times New Roman" w:cs="Times New Roman"/>
          <w:b/>
          <w:bCs/>
          <w:sz w:val="24"/>
          <w:szCs w:val="24"/>
        </w:rPr>
        <w:t>. </w:t>
      </w:r>
      <w:r w:rsidRPr="00DC4369">
        <w:rPr>
          <w:rFonts w:ascii="Times New Roman" w:hAnsi="Times New Roman" w:cs="Times New Roman"/>
          <w:b/>
          <w:bCs/>
          <w:i/>
          <w:iCs/>
          <w:sz w:val="24"/>
          <w:szCs w:val="24"/>
        </w:rPr>
        <w:t>Cell,</w:t>
      </w:r>
      <w:r w:rsidRPr="00DC4369">
        <w:rPr>
          <w:rFonts w:ascii="Times New Roman" w:hAnsi="Times New Roman" w:cs="Times New Roman"/>
          <w:i/>
          <w:iCs/>
          <w:sz w:val="24"/>
          <w:szCs w:val="24"/>
        </w:rPr>
        <w:t xml:space="preserve"> 163</w:t>
      </w:r>
      <w:r w:rsidRPr="00DC4369">
        <w:rPr>
          <w:rFonts w:ascii="Times New Roman" w:hAnsi="Times New Roman" w:cs="Times New Roman"/>
          <w:sz w:val="24"/>
          <w:szCs w:val="24"/>
        </w:rPr>
        <w:t>(5), 1079–1094.</w:t>
      </w:r>
    </w:p>
    <w:p w14:paraId="7F000B04"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Bruynseels</w:t>
      </w:r>
      <w:proofErr w:type="spellEnd"/>
      <w:r w:rsidRPr="00DC4369">
        <w:rPr>
          <w:rFonts w:ascii="Times New Roman" w:hAnsi="Times New Roman" w:cs="Times New Roman"/>
          <w:sz w:val="24"/>
          <w:szCs w:val="24"/>
        </w:rPr>
        <w:t>, K., Santoni de Sio, F., &amp; Van den Hoven, J. (2018). Digital twins in health care: ethical implications of an emerging engineering paradigm. </w:t>
      </w:r>
      <w:r w:rsidRPr="00DC4369">
        <w:rPr>
          <w:rFonts w:ascii="Times New Roman" w:hAnsi="Times New Roman" w:cs="Times New Roman"/>
          <w:b/>
          <w:bCs/>
          <w:i/>
          <w:iCs/>
          <w:sz w:val="24"/>
          <w:szCs w:val="24"/>
        </w:rPr>
        <w:t>Frontiers in genetics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9</w:t>
      </w:r>
      <w:r w:rsidRPr="00DC4369">
        <w:rPr>
          <w:rFonts w:ascii="Times New Roman" w:hAnsi="Times New Roman" w:cs="Times New Roman"/>
          <w:sz w:val="24"/>
          <w:szCs w:val="24"/>
        </w:rPr>
        <w:t>, 31.</w:t>
      </w:r>
    </w:p>
    <w:p w14:paraId="3FB388EC"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Okegbile</w:t>
      </w:r>
      <w:proofErr w:type="spellEnd"/>
      <w:r w:rsidRPr="00DC4369">
        <w:rPr>
          <w:rFonts w:ascii="Times New Roman" w:hAnsi="Times New Roman" w:cs="Times New Roman"/>
          <w:sz w:val="24"/>
          <w:szCs w:val="24"/>
        </w:rPr>
        <w:t xml:space="preserve">, S. D., Cai, J., </w:t>
      </w:r>
      <w:proofErr w:type="spellStart"/>
      <w:r w:rsidRPr="00DC4369">
        <w:rPr>
          <w:rFonts w:ascii="Times New Roman" w:hAnsi="Times New Roman" w:cs="Times New Roman"/>
          <w:sz w:val="24"/>
          <w:szCs w:val="24"/>
        </w:rPr>
        <w:t>Niyato</w:t>
      </w:r>
      <w:proofErr w:type="spellEnd"/>
      <w:r w:rsidRPr="00DC4369">
        <w:rPr>
          <w:rFonts w:ascii="Times New Roman" w:hAnsi="Times New Roman" w:cs="Times New Roman"/>
          <w:sz w:val="24"/>
          <w:szCs w:val="24"/>
        </w:rPr>
        <w:t>, D., &amp; Yi, C. (2022). Human digital twin for personalized healthcare: Vision, architecture and future directions. </w:t>
      </w:r>
      <w:r w:rsidRPr="00DC4369">
        <w:rPr>
          <w:rFonts w:ascii="Times New Roman" w:hAnsi="Times New Roman" w:cs="Times New Roman"/>
          <w:b/>
          <w:bCs/>
          <w:i/>
          <w:iCs/>
          <w:sz w:val="24"/>
          <w:szCs w:val="24"/>
        </w:rPr>
        <w:t>IEEE network</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37</w:t>
      </w:r>
      <w:r w:rsidRPr="00DC4369">
        <w:rPr>
          <w:rFonts w:ascii="Times New Roman" w:hAnsi="Times New Roman" w:cs="Times New Roman"/>
          <w:sz w:val="24"/>
          <w:szCs w:val="24"/>
        </w:rPr>
        <w:t xml:space="preserve">(2), 262-269. </w:t>
      </w:r>
    </w:p>
    <w:p w14:paraId="659891EF"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Fallaize</w:t>
      </w:r>
      <w:proofErr w:type="spellEnd"/>
      <w:r w:rsidRPr="00DC4369">
        <w:rPr>
          <w:rFonts w:ascii="Times New Roman" w:hAnsi="Times New Roman" w:cs="Times New Roman"/>
          <w:sz w:val="24"/>
          <w:szCs w:val="24"/>
        </w:rPr>
        <w:t>, R., Macready, A. L., Butler, L. T., Ellis, J. A., &amp; Lovegrove, J. A. (2013). An insight into the public acceptance of nutrigenomic-based personalised nutrition. </w:t>
      </w:r>
      <w:r w:rsidRPr="00DC4369">
        <w:rPr>
          <w:rFonts w:ascii="Times New Roman" w:hAnsi="Times New Roman" w:cs="Times New Roman"/>
          <w:b/>
          <w:bCs/>
          <w:i/>
          <w:iCs/>
          <w:sz w:val="24"/>
          <w:szCs w:val="24"/>
        </w:rPr>
        <w:t>Nutrition research reviews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(1), 39-48.</w:t>
      </w:r>
    </w:p>
    <w:p w14:paraId="2923739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Celis-Morales, C., Livingstone, K. M., </w:t>
      </w:r>
      <w:proofErr w:type="spellStart"/>
      <w:r w:rsidRPr="00DC4369">
        <w:rPr>
          <w:rFonts w:ascii="Times New Roman" w:hAnsi="Times New Roman" w:cs="Times New Roman"/>
          <w:sz w:val="24"/>
          <w:szCs w:val="24"/>
        </w:rPr>
        <w:t>Marsaux</w:t>
      </w:r>
      <w:proofErr w:type="spellEnd"/>
      <w:r w:rsidRPr="00DC4369">
        <w:rPr>
          <w:rFonts w:ascii="Times New Roman" w:hAnsi="Times New Roman" w:cs="Times New Roman"/>
          <w:sz w:val="24"/>
          <w:szCs w:val="24"/>
        </w:rPr>
        <w:t xml:space="preserve">, C. F., Macready, A. L., </w:t>
      </w:r>
      <w:proofErr w:type="spellStart"/>
      <w:r w:rsidRPr="00DC4369">
        <w:rPr>
          <w:rFonts w:ascii="Times New Roman" w:hAnsi="Times New Roman" w:cs="Times New Roman"/>
          <w:sz w:val="24"/>
          <w:szCs w:val="24"/>
        </w:rPr>
        <w:t>Fallaize</w:t>
      </w:r>
      <w:proofErr w:type="spellEnd"/>
      <w:r w:rsidRPr="00DC4369">
        <w:rPr>
          <w:rFonts w:ascii="Times New Roman" w:hAnsi="Times New Roman" w:cs="Times New Roman"/>
          <w:sz w:val="24"/>
          <w:szCs w:val="24"/>
        </w:rPr>
        <w:t>, R., O’Donovan, C. B., ... &amp; Food4Me Study. (2017). Effect of personalized nutrition on health-related behaviour change: evidence from the Food4Me European randomized controlled trial. </w:t>
      </w:r>
      <w:r w:rsidRPr="00DC4369">
        <w:rPr>
          <w:rFonts w:ascii="Times New Roman" w:hAnsi="Times New Roman" w:cs="Times New Roman"/>
          <w:b/>
          <w:bCs/>
          <w:i/>
          <w:iCs/>
          <w:sz w:val="24"/>
          <w:szCs w:val="24"/>
        </w:rPr>
        <w:t>International journal of epidemiology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46</w:t>
      </w:r>
      <w:r w:rsidRPr="00DC4369">
        <w:rPr>
          <w:rFonts w:ascii="Times New Roman" w:hAnsi="Times New Roman" w:cs="Times New Roman"/>
          <w:sz w:val="24"/>
          <w:szCs w:val="24"/>
        </w:rPr>
        <w:t xml:space="preserve">(2), 578-588. </w:t>
      </w:r>
    </w:p>
    <w:p w14:paraId="5017163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Livingstone, K. M., Ramos-Lopez, O., </w:t>
      </w:r>
      <w:proofErr w:type="spellStart"/>
      <w:r w:rsidRPr="00DC4369">
        <w:rPr>
          <w:rFonts w:ascii="Times New Roman" w:hAnsi="Times New Roman" w:cs="Times New Roman"/>
          <w:sz w:val="24"/>
          <w:szCs w:val="24"/>
        </w:rPr>
        <w:t>Pérusse</w:t>
      </w:r>
      <w:proofErr w:type="spellEnd"/>
      <w:r w:rsidRPr="00DC4369">
        <w:rPr>
          <w:rFonts w:ascii="Times New Roman" w:hAnsi="Times New Roman" w:cs="Times New Roman"/>
          <w:sz w:val="24"/>
          <w:szCs w:val="24"/>
        </w:rPr>
        <w:t xml:space="preserve">, L., Kato, H., </w:t>
      </w:r>
      <w:proofErr w:type="spellStart"/>
      <w:r w:rsidRPr="00DC4369">
        <w:rPr>
          <w:rFonts w:ascii="Times New Roman" w:hAnsi="Times New Roman" w:cs="Times New Roman"/>
          <w:sz w:val="24"/>
          <w:szCs w:val="24"/>
        </w:rPr>
        <w:t>Ordovas</w:t>
      </w:r>
      <w:proofErr w:type="spellEnd"/>
      <w:r w:rsidRPr="00DC4369">
        <w:rPr>
          <w:rFonts w:ascii="Times New Roman" w:hAnsi="Times New Roman" w:cs="Times New Roman"/>
          <w:sz w:val="24"/>
          <w:szCs w:val="24"/>
        </w:rPr>
        <w:t xml:space="preserve">, J. M., &amp; Martínez, J. A. (2022). Reprint of: Precision nutrition: A review of current </w:t>
      </w:r>
      <w:r w:rsidRPr="00DC4369">
        <w:rPr>
          <w:rFonts w:ascii="Times New Roman" w:hAnsi="Times New Roman" w:cs="Times New Roman"/>
          <w:sz w:val="24"/>
          <w:szCs w:val="24"/>
        </w:rPr>
        <w:lastRenderedPageBreak/>
        <w:t xml:space="preserve">approaches and future </w:t>
      </w:r>
      <w:proofErr w:type="spellStart"/>
      <w:r w:rsidRPr="00DC4369">
        <w:rPr>
          <w:rFonts w:ascii="Times New Roman" w:hAnsi="Times New Roman" w:cs="Times New Roman"/>
          <w:sz w:val="24"/>
          <w:szCs w:val="24"/>
        </w:rPr>
        <w:t>endeavors</w:t>
      </w:r>
      <w:proofErr w:type="spellEnd"/>
      <w:r w:rsidRPr="00DC4369">
        <w:rPr>
          <w:rFonts w:ascii="Times New Roman" w:hAnsi="Times New Roman" w:cs="Times New Roman"/>
          <w:sz w:val="24"/>
          <w:szCs w:val="24"/>
        </w:rPr>
        <w:t>. </w:t>
      </w:r>
      <w:r w:rsidRPr="00DC4369">
        <w:rPr>
          <w:rFonts w:ascii="Times New Roman" w:hAnsi="Times New Roman" w:cs="Times New Roman"/>
          <w:b/>
          <w:bCs/>
          <w:i/>
          <w:iCs/>
          <w:sz w:val="24"/>
          <w:szCs w:val="24"/>
        </w:rPr>
        <w:t>Trends in Food Science &amp; Technology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130</w:t>
      </w:r>
      <w:r w:rsidRPr="00DC4369">
        <w:rPr>
          <w:rFonts w:ascii="Times New Roman" w:hAnsi="Times New Roman" w:cs="Times New Roman"/>
          <w:sz w:val="24"/>
          <w:szCs w:val="24"/>
        </w:rPr>
        <w:t>, 51-62.</w:t>
      </w:r>
    </w:p>
    <w:p w14:paraId="20BB2C9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Bailey, R. L., MacFarlane, A. J., Field, M. S., </w:t>
      </w:r>
      <w:proofErr w:type="spellStart"/>
      <w:r w:rsidRPr="00DC4369">
        <w:rPr>
          <w:rFonts w:ascii="Times New Roman" w:hAnsi="Times New Roman" w:cs="Times New Roman"/>
          <w:sz w:val="24"/>
          <w:szCs w:val="24"/>
        </w:rPr>
        <w:t>Tagkopoulos</w:t>
      </w:r>
      <w:proofErr w:type="spellEnd"/>
      <w:r w:rsidRPr="00DC4369">
        <w:rPr>
          <w:rFonts w:ascii="Times New Roman" w:hAnsi="Times New Roman" w:cs="Times New Roman"/>
          <w:sz w:val="24"/>
          <w:szCs w:val="24"/>
        </w:rPr>
        <w:t xml:space="preserve">, I., </w:t>
      </w:r>
      <w:proofErr w:type="spellStart"/>
      <w:r w:rsidRPr="00DC4369">
        <w:rPr>
          <w:rFonts w:ascii="Times New Roman" w:hAnsi="Times New Roman" w:cs="Times New Roman"/>
          <w:sz w:val="24"/>
          <w:szCs w:val="24"/>
        </w:rPr>
        <w:t>Baranzini</w:t>
      </w:r>
      <w:proofErr w:type="spellEnd"/>
      <w:r w:rsidRPr="00DC4369">
        <w:rPr>
          <w:rFonts w:ascii="Times New Roman" w:hAnsi="Times New Roman" w:cs="Times New Roman"/>
          <w:sz w:val="24"/>
          <w:szCs w:val="24"/>
        </w:rPr>
        <w:t xml:space="preserve">, S. E., Edwards, K. M., Rose, C. J., Schork, N. J., Singhal, A., Wallace, B. C., Fisher, K. P., Markakis, K., &amp; Stover, P. J. (2024). Artificial intelligence in food and nutrition evidence: The challenges and opportunities. </w:t>
      </w:r>
      <w:r w:rsidRPr="00DC4369">
        <w:rPr>
          <w:rFonts w:ascii="Times New Roman" w:hAnsi="Times New Roman" w:cs="Times New Roman"/>
          <w:b/>
          <w:bCs/>
          <w:i/>
          <w:iCs/>
          <w:sz w:val="24"/>
          <w:szCs w:val="24"/>
        </w:rPr>
        <w:t>PNAS Nexus,</w:t>
      </w:r>
      <w:r w:rsidRPr="00DC4369">
        <w:rPr>
          <w:rFonts w:ascii="Times New Roman" w:hAnsi="Times New Roman" w:cs="Times New Roman"/>
          <w:i/>
          <w:iCs/>
          <w:sz w:val="24"/>
          <w:szCs w:val="24"/>
        </w:rPr>
        <w:t xml:space="preserve"> 3</w:t>
      </w:r>
      <w:r w:rsidRPr="00DC4369">
        <w:rPr>
          <w:rFonts w:ascii="Times New Roman" w:hAnsi="Times New Roman" w:cs="Times New Roman"/>
          <w:sz w:val="24"/>
          <w:szCs w:val="24"/>
        </w:rPr>
        <w:t xml:space="preserve">(12), 461. </w:t>
      </w:r>
    </w:p>
    <w:p w14:paraId="47A99D8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Côté, M., &amp; Lamarche, B. (2022). Artificial intelligence in nutrition research: perspectives on current and future applications. </w:t>
      </w:r>
      <w:r w:rsidRPr="00DC4369">
        <w:rPr>
          <w:rFonts w:ascii="Times New Roman" w:hAnsi="Times New Roman" w:cs="Times New Roman"/>
          <w:b/>
          <w:bCs/>
          <w:i/>
          <w:iCs/>
          <w:sz w:val="24"/>
          <w:szCs w:val="24"/>
        </w:rPr>
        <w:t>Applied Physiology, Nutrition, and Metabolism</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47</w:t>
      </w:r>
      <w:r w:rsidRPr="00DC4369">
        <w:rPr>
          <w:rFonts w:ascii="Times New Roman" w:hAnsi="Times New Roman" w:cs="Times New Roman"/>
          <w:sz w:val="24"/>
          <w:szCs w:val="24"/>
        </w:rPr>
        <w:t>(1), 1-8.</w:t>
      </w:r>
    </w:p>
    <w:p w14:paraId="510E131F" w14:textId="77777777" w:rsidR="008C0357" w:rsidRPr="00DC4369" w:rsidRDefault="008C0357" w:rsidP="008C0357">
      <w:pPr>
        <w:numPr>
          <w:ilvl w:val="0"/>
          <w:numId w:val="1"/>
        </w:numPr>
        <w:spacing w:line="360" w:lineRule="auto"/>
        <w:rPr>
          <w:rFonts w:ascii="Times New Roman" w:hAnsi="Times New Roman" w:cs="Times New Roman"/>
          <w:b/>
          <w:bCs/>
          <w:sz w:val="24"/>
          <w:szCs w:val="24"/>
        </w:rPr>
      </w:pPr>
      <w:proofErr w:type="spellStart"/>
      <w:r w:rsidRPr="00DC4369">
        <w:rPr>
          <w:rFonts w:ascii="Times New Roman" w:hAnsi="Times New Roman" w:cs="Times New Roman"/>
          <w:sz w:val="24"/>
          <w:szCs w:val="24"/>
        </w:rPr>
        <w:t>Arefeen</w:t>
      </w:r>
      <w:proofErr w:type="spellEnd"/>
      <w:r w:rsidRPr="00DC4369">
        <w:rPr>
          <w:rFonts w:ascii="Times New Roman" w:hAnsi="Times New Roman" w:cs="Times New Roman"/>
          <w:sz w:val="24"/>
          <w:szCs w:val="24"/>
        </w:rPr>
        <w:t xml:space="preserve">, A., Fessler, S., Mostafavi, S. M., Johnston, C. S., &amp; Ghasemzadeh, H. (2025). </w:t>
      </w:r>
      <w:proofErr w:type="spellStart"/>
      <w:r w:rsidRPr="00DC4369">
        <w:rPr>
          <w:rFonts w:ascii="Times New Roman" w:hAnsi="Times New Roman" w:cs="Times New Roman"/>
          <w:sz w:val="24"/>
          <w:szCs w:val="24"/>
        </w:rPr>
        <w:t>MealMeter</w:t>
      </w:r>
      <w:proofErr w:type="spellEnd"/>
      <w:r w:rsidRPr="00DC4369">
        <w:rPr>
          <w:rFonts w:ascii="Times New Roman" w:hAnsi="Times New Roman" w:cs="Times New Roman"/>
          <w:sz w:val="24"/>
          <w:szCs w:val="24"/>
        </w:rPr>
        <w:t>: Using Multimodal Sensing and Machine Learning for Automatically Estimating Nutrition Intake.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arXiv:2503.11683</w:t>
      </w:r>
      <w:r w:rsidRPr="00DC4369">
        <w:rPr>
          <w:rFonts w:ascii="Times New Roman" w:hAnsi="Times New Roman" w:cs="Times New Roman"/>
          <w:b/>
          <w:bCs/>
          <w:sz w:val="24"/>
          <w:szCs w:val="24"/>
        </w:rPr>
        <w:t>.</w:t>
      </w:r>
    </w:p>
    <w:p w14:paraId="2400717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Das, A., Behera, R. N., Kapoor, A., &amp; </w:t>
      </w:r>
      <w:proofErr w:type="spellStart"/>
      <w:r w:rsidRPr="00DC4369">
        <w:rPr>
          <w:rFonts w:ascii="Times New Roman" w:hAnsi="Times New Roman" w:cs="Times New Roman"/>
          <w:sz w:val="24"/>
          <w:szCs w:val="24"/>
        </w:rPr>
        <w:t>Ambatipudi</w:t>
      </w:r>
      <w:proofErr w:type="spellEnd"/>
      <w:r w:rsidRPr="00DC4369">
        <w:rPr>
          <w:rFonts w:ascii="Times New Roman" w:hAnsi="Times New Roman" w:cs="Times New Roman"/>
          <w:sz w:val="24"/>
          <w:szCs w:val="24"/>
        </w:rPr>
        <w:t>, K. (2023). The potential of meta-proteomics and artificial intelligence to establish the next generation of probiotics for personalized healthcare. </w:t>
      </w:r>
      <w:r w:rsidRPr="00DC4369">
        <w:rPr>
          <w:rFonts w:ascii="Times New Roman" w:hAnsi="Times New Roman" w:cs="Times New Roman"/>
          <w:b/>
          <w:bCs/>
          <w:i/>
          <w:iCs/>
          <w:sz w:val="24"/>
          <w:szCs w:val="24"/>
        </w:rPr>
        <w:t>Journal of Agricultural and Food Chemistry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71</w:t>
      </w:r>
      <w:r w:rsidRPr="00DC4369">
        <w:rPr>
          <w:rFonts w:ascii="Times New Roman" w:hAnsi="Times New Roman" w:cs="Times New Roman"/>
          <w:sz w:val="24"/>
          <w:szCs w:val="24"/>
        </w:rPr>
        <w:t>(46), 17528-17542.</w:t>
      </w:r>
    </w:p>
    <w:p w14:paraId="400EB176"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Tsolakidis, D., </w:t>
      </w:r>
      <w:proofErr w:type="spellStart"/>
      <w:r w:rsidRPr="00DC4369">
        <w:rPr>
          <w:rFonts w:ascii="Times New Roman" w:hAnsi="Times New Roman" w:cs="Times New Roman"/>
          <w:sz w:val="24"/>
          <w:szCs w:val="24"/>
        </w:rPr>
        <w:t>Gymnopoulos</w:t>
      </w:r>
      <w:proofErr w:type="spellEnd"/>
      <w:r w:rsidRPr="00DC4369">
        <w:rPr>
          <w:rFonts w:ascii="Times New Roman" w:hAnsi="Times New Roman" w:cs="Times New Roman"/>
          <w:sz w:val="24"/>
          <w:szCs w:val="24"/>
        </w:rPr>
        <w:t>, L. P., &amp; Dimitropoulos, K. (2024, August). Artificial Intelligence and Machine Learning Technologies for Personalized Nutrition: A Review. In </w:t>
      </w:r>
      <w:r w:rsidRPr="00DC4369">
        <w:rPr>
          <w:rFonts w:ascii="Times New Roman" w:hAnsi="Times New Roman" w:cs="Times New Roman"/>
          <w:b/>
          <w:bCs/>
          <w:i/>
          <w:iCs/>
          <w:sz w:val="24"/>
          <w:szCs w:val="24"/>
        </w:rPr>
        <w:t>Informatics</w:t>
      </w:r>
      <w:r w:rsidRPr="00DC4369">
        <w:rPr>
          <w:rFonts w:ascii="Times New Roman" w:hAnsi="Times New Roman" w:cs="Times New Roman"/>
          <w:sz w:val="24"/>
          <w:szCs w:val="24"/>
        </w:rPr>
        <w:t> (Vol. 11, No. 3, p. 62). MDPI.</w:t>
      </w:r>
    </w:p>
    <w:p w14:paraId="0EBAC8A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Zheng, J., Wang, J., Shen, J., &amp; An, R. (2024). Artificial Intelligence Applications to Measure Food and Nutrient Intakes: Scoping Review</w:t>
      </w:r>
      <w:r w:rsidRPr="00DC4369">
        <w:rPr>
          <w:rFonts w:ascii="Times New Roman" w:hAnsi="Times New Roman" w:cs="Times New Roman"/>
          <w:b/>
          <w:bCs/>
          <w:sz w:val="24"/>
          <w:szCs w:val="24"/>
        </w:rPr>
        <w:t>.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 e54557.</w:t>
      </w:r>
    </w:p>
    <w:p w14:paraId="2EB128E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D’Urso, F., &amp; Broccolo, F. (2024). Applications of Artificial Intelligence in Microbiome Analysis and Probiotic Interventions—An Overview and Perspective Based on the Current State of the Art. </w:t>
      </w:r>
      <w:r w:rsidRPr="00DC4369">
        <w:rPr>
          <w:rFonts w:ascii="Times New Roman" w:hAnsi="Times New Roman" w:cs="Times New Roman"/>
          <w:b/>
          <w:bCs/>
          <w:i/>
          <w:iCs/>
          <w:sz w:val="24"/>
          <w:szCs w:val="24"/>
        </w:rPr>
        <w:t>Applied Sciences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14</w:t>
      </w:r>
      <w:r w:rsidRPr="00DC4369">
        <w:rPr>
          <w:rFonts w:ascii="Times New Roman" w:hAnsi="Times New Roman" w:cs="Times New Roman"/>
          <w:sz w:val="24"/>
          <w:szCs w:val="24"/>
        </w:rPr>
        <w:t>(19), 8627</w:t>
      </w:r>
    </w:p>
    <w:p w14:paraId="5D7C000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Hatch, A., Horne, J., Toma, R., Twibell, B. L., Somerville, K. M., Pelle, B., ... &amp; Toma, R. (2019). A robust </w:t>
      </w:r>
      <w:proofErr w:type="spellStart"/>
      <w:r w:rsidRPr="00DC4369">
        <w:rPr>
          <w:rFonts w:ascii="Times New Roman" w:hAnsi="Times New Roman" w:cs="Times New Roman"/>
          <w:sz w:val="24"/>
          <w:szCs w:val="24"/>
        </w:rPr>
        <w:t>metatranscriptomic</w:t>
      </w:r>
      <w:proofErr w:type="spellEnd"/>
      <w:r w:rsidRPr="00DC4369">
        <w:rPr>
          <w:rFonts w:ascii="Times New Roman" w:hAnsi="Times New Roman" w:cs="Times New Roman"/>
          <w:sz w:val="24"/>
          <w:szCs w:val="24"/>
        </w:rPr>
        <w:t xml:space="preserve"> technology for population-scale studies of diet, gut microbiome, and human health. </w:t>
      </w:r>
      <w:r w:rsidRPr="00DC4369">
        <w:rPr>
          <w:rFonts w:ascii="Times New Roman" w:hAnsi="Times New Roman" w:cs="Times New Roman"/>
          <w:b/>
          <w:bCs/>
          <w:i/>
          <w:iCs/>
          <w:sz w:val="24"/>
          <w:szCs w:val="24"/>
        </w:rPr>
        <w:t>International Journal of Genomics,</w:t>
      </w:r>
      <w:r w:rsidRPr="00DC4369">
        <w:rPr>
          <w:rFonts w:ascii="Times New Roman" w:hAnsi="Times New Roman" w:cs="Times New Roman"/>
          <w:i/>
          <w:iCs/>
          <w:sz w:val="24"/>
          <w:szCs w:val="24"/>
        </w:rPr>
        <w:t xml:space="preserve"> 2019</w:t>
      </w:r>
      <w:r w:rsidRPr="00DC4369">
        <w:rPr>
          <w:rFonts w:ascii="Times New Roman" w:hAnsi="Times New Roman" w:cs="Times New Roman"/>
          <w:sz w:val="24"/>
          <w:szCs w:val="24"/>
        </w:rPr>
        <w:t>, Article ID 1718741.</w:t>
      </w:r>
    </w:p>
    <w:p w14:paraId="79194CD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Eisenmann, T., &amp; Gorsky, D. (2018). </w:t>
      </w:r>
      <w:proofErr w:type="spellStart"/>
      <w:r w:rsidRPr="00DC4369">
        <w:rPr>
          <w:rFonts w:ascii="Times New Roman" w:hAnsi="Times New Roman" w:cs="Times New Roman"/>
          <w:b/>
          <w:bCs/>
          <w:i/>
          <w:iCs/>
          <w:sz w:val="24"/>
          <w:szCs w:val="24"/>
        </w:rPr>
        <w:t>DayTwo</w:t>
      </w:r>
      <w:proofErr w:type="spellEnd"/>
      <w:r w:rsidRPr="00DC4369">
        <w:rPr>
          <w:rFonts w:ascii="Times New Roman" w:hAnsi="Times New Roman" w:cs="Times New Roman"/>
          <w:b/>
          <w:bCs/>
          <w:i/>
          <w:iCs/>
          <w:sz w:val="24"/>
          <w:szCs w:val="24"/>
        </w:rPr>
        <w:t>: Going to market with gut microbiome</w:t>
      </w:r>
      <w:r w:rsidRPr="00DC4369">
        <w:rPr>
          <w:rFonts w:ascii="Times New Roman" w:hAnsi="Times New Roman" w:cs="Times New Roman"/>
          <w:sz w:val="24"/>
          <w:szCs w:val="24"/>
        </w:rPr>
        <w:t xml:space="preserve"> (Harvard Business School Case No. 519-010). Harvard Business School.</w:t>
      </w:r>
    </w:p>
    <w:p w14:paraId="5AA63843"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Khamesian</w:t>
      </w:r>
      <w:proofErr w:type="spellEnd"/>
      <w:r w:rsidRPr="00DC4369">
        <w:rPr>
          <w:rFonts w:ascii="Times New Roman" w:hAnsi="Times New Roman" w:cs="Times New Roman"/>
          <w:sz w:val="24"/>
          <w:szCs w:val="24"/>
        </w:rPr>
        <w:t xml:space="preserve">, S., </w:t>
      </w:r>
      <w:proofErr w:type="spellStart"/>
      <w:r w:rsidRPr="00DC4369">
        <w:rPr>
          <w:rFonts w:ascii="Times New Roman" w:hAnsi="Times New Roman" w:cs="Times New Roman"/>
          <w:sz w:val="24"/>
          <w:szCs w:val="24"/>
        </w:rPr>
        <w:t>Arefeen</w:t>
      </w:r>
      <w:proofErr w:type="spellEnd"/>
      <w:r w:rsidRPr="00DC4369">
        <w:rPr>
          <w:rFonts w:ascii="Times New Roman" w:hAnsi="Times New Roman" w:cs="Times New Roman"/>
          <w:sz w:val="24"/>
          <w:szCs w:val="24"/>
        </w:rPr>
        <w:t xml:space="preserve">, A., Carpenter, S. M., &amp; Ghasemzadeh, H. (2025). </w:t>
      </w:r>
      <w:proofErr w:type="spellStart"/>
      <w:r w:rsidRPr="00DC4369">
        <w:rPr>
          <w:rFonts w:ascii="Times New Roman" w:hAnsi="Times New Roman" w:cs="Times New Roman"/>
          <w:sz w:val="24"/>
          <w:szCs w:val="24"/>
        </w:rPr>
        <w:t>NutriGen</w:t>
      </w:r>
      <w:proofErr w:type="spellEnd"/>
      <w:r w:rsidRPr="00DC4369">
        <w:rPr>
          <w:rFonts w:ascii="Times New Roman" w:hAnsi="Times New Roman" w:cs="Times New Roman"/>
          <w:sz w:val="24"/>
          <w:szCs w:val="24"/>
        </w:rPr>
        <w:t xml:space="preserve">: Personalized meal plan generator leveraging large language models to enhance dietary and nutritional adherence.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arXiv:2502.20601</w:t>
      </w:r>
      <w:r w:rsidRPr="00DC4369">
        <w:rPr>
          <w:rFonts w:ascii="Times New Roman" w:hAnsi="Times New Roman" w:cs="Times New Roman"/>
          <w:b/>
          <w:bCs/>
          <w:sz w:val="24"/>
          <w:szCs w:val="24"/>
        </w:rPr>
        <w:t>.</w:t>
      </w:r>
    </w:p>
    <w:p w14:paraId="35C93FE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 xml:space="preserve">Samad, S., Ahmed, F., Naher, S., Kabir, M. A., Das, A., Amin, S., &amp; Islam, S. M. S. (2022). Smartphone apps for tracking food consumption and recommendations: Evaluating artificial intelligence-based functionalities, features, and quality of current apps.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arXiv:2208.02490</w:t>
      </w:r>
    </w:p>
    <w:p w14:paraId="04A63BE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Pradhan, N., Kerner, J., Campos, L. A., &amp; Dobre, M. (2025). Personalized Nutrition in Chronic Kidney Disease. </w:t>
      </w:r>
      <w:r w:rsidRPr="00DC4369">
        <w:rPr>
          <w:rFonts w:ascii="Times New Roman" w:hAnsi="Times New Roman" w:cs="Times New Roman"/>
          <w:b/>
          <w:bCs/>
          <w:i/>
          <w:iCs/>
          <w:sz w:val="24"/>
          <w:szCs w:val="24"/>
        </w:rPr>
        <w:t>Biomedicines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(3), 647. </w:t>
      </w:r>
    </w:p>
    <w:p w14:paraId="7855718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Zhou Z, Sun B, Yu D and Zhu C (2022) Gut Microbiota: An Important Player in Type 2 Diabetes Mellitus. </w:t>
      </w:r>
      <w:r w:rsidRPr="00DC4369">
        <w:rPr>
          <w:rFonts w:ascii="Times New Roman" w:hAnsi="Times New Roman" w:cs="Times New Roman"/>
          <w:b/>
          <w:bCs/>
          <w:i/>
          <w:iCs/>
          <w:sz w:val="24"/>
          <w:szCs w:val="24"/>
        </w:rPr>
        <w:t xml:space="preserve">Front. Cell. Infect. </w:t>
      </w:r>
      <w:proofErr w:type="spellStart"/>
      <w:r w:rsidRPr="00DC4369">
        <w:rPr>
          <w:rFonts w:ascii="Times New Roman" w:hAnsi="Times New Roman" w:cs="Times New Roman"/>
          <w:b/>
          <w:bCs/>
          <w:i/>
          <w:iCs/>
          <w:sz w:val="24"/>
          <w:szCs w:val="24"/>
        </w:rPr>
        <w:t>Microbiol</w:t>
      </w:r>
      <w:proofErr w:type="spellEnd"/>
      <w:r w:rsidRPr="00DC4369">
        <w:rPr>
          <w:rFonts w:ascii="Times New Roman" w:hAnsi="Times New Roman" w:cs="Times New Roman"/>
          <w:i/>
          <w:iCs/>
          <w:sz w:val="24"/>
          <w:szCs w:val="24"/>
        </w:rPr>
        <w:t>.</w:t>
      </w:r>
      <w:r w:rsidRPr="00DC4369">
        <w:rPr>
          <w:rFonts w:ascii="Times New Roman" w:hAnsi="Times New Roman" w:cs="Times New Roman"/>
          <w:sz w:val="24"/>
          <w:szCs w:val="24"/>
        </w:rPr>
        <w:t> 12:834485.</w:t>
      </w:r>
    </w:p>
    <w:p w14:paraId="00F102A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Ahn, J., Williamson, J., Gartrell, M., Han, R., &amp; Mishra, S. A. (2016). Supporting healthy grocery shopping via mobile augmented reality. </w:t>
      </w:r>
      <w:r w:rsidRPr="00DC4369">
        <w:rPr>
          <w:rFonts w:ascii="Times New Roman" w:hAnsi="Times New Roman" w:cs="Times New Roman"/>
          <w:b/>
          <w:bCs/>
          <w:i/>
          <w:iCs/>
          <w:sz w:val="24"/>
          <w:szCs w:val="24"/>
        </w:rPr>
        <w:t>Virtual Reality,</w:t>
      </w:r>
      <w:r w:rsidRPr="00DC4369">
        <w:rPr>
          <w:rFonts w:ascii="Times New Roman" w:hAnsi="Times New Roman" w:cs="Times New Roman"/>
          <w:i/>
          <w:iCs/>
          <w:sz w:val="24"/>
          <w:szCs w:val="24"/>
        </w:rPr>
        <w:t xml:space="preserve"> 20</w:t>
      </w:r>
      <w:r w:rsidRPr="00DC4369">
        <w:rPr>
          <w:rFonts w:ascii="Times New Roman" w:hAnsi="Times New Roman" w:cs="Times New Roman"/>
          <w:sz w:val="24"/>
          <w:szCs w:val="24"/>
        </w:rPr>
        <w:t>(3), 2117–2128.</w:t>
      </w:r>
    </w:p>
    <w:p w14:paraId="38FF02D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Pini, V., Orso, V., Pluchino, P., &amp; Gamberini, L. (2023). Augmented grocery shopping: Fostering healthier food purchases through AR. </w:t>
      </w:r>
      <w:r w:rsidRPr="00DC4369">
        <w:rPr>
          <w:rFonts w:ascii="Times New Roman" w:hAnsi="Times New Roman" w:cs="Times New Roman"/>
          <w:b/>
          <w:bCs/>
          <w:i/>
          <w:iCs/>
          <w:sz w:val="24"/>
          <w:szCs w:val="24"/>
        </w:rPr>
        <w:t>Virtual Reality,</w:t>
      </w:r>
      <w:r w:rsidRPr="00DC4369">
        <w:rPr>
          <w:rFonts w:ascii="Times New Roman" w:hAnsi="Times New Roman" w:cs="Times New Roman"/>
          <w:i/>
          <w:iCs/>
          <w:sz w:val="24"/>
          <w:szCs w:val="24"/>
        </w:rPr>
        <w:t xml:space="preserve"> 27</w:t>
      </w:r>
      <w:r w:rsidRPr="00DC4369">
        <w:rPr>
          <w:rFonts w:ascii="Times New Roman" w:hAnsi="Times New Roman" w:cs="Times New Roman"/>
          <w:sz w:val="24"/>
          <w:szCs w:val="24"/>
        </w:rPr>
        <w:t>(3), 2117–2128.</w:t>
      </w:r>
    </w:p>
    <w:p w14:paraId="2A1D44A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Styliaras</w:t>
      </w:r>
      <w:proofErr w:type="spellEnd"/>
      <w:r w:rsidRPr="00DC4369">
        <w:rPr>
          <w:rFonts w:ascii="Times New Roman" w:hAnsi="Times New Roman" w:cs="Times New Roman"/>
          <w:sz w:val="24"/>
          <w:szCs w:val="24"/>
        </w:rPr>
        <w:t>, G. D. (2021). Augmented Reality in Food Promotion and Analysis: Review and Potentials. </w:t>
      </w:r>
      <w:r w:rsidRPr="00DC4369">
        <w:rPr>
          <w:rFonts w:ascii="Times New Roman" w:hAnsi="Times New Roman" w:cs="Times New Roman"/>
          <w:b/>
          <w:bCs/>
          <w:i/>
          <w:iCs/>
          <w:sz w:val="24"/>
          <w:szCs w:val="24"/>
        </w:rPr>
        <w:t>Digital</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w:t>
      </w:r>
      <w:r w:rsidRPr="00DC4369">
        <w:rPr>
          <w:rFonts w:ascii="Times New Roman" w:hAnsi="Times New Roman" w:cs="Times New Roman"/>
          <w:sz w:val="24"/>
          <w:szCs w:val="24"/>
        </w:rPr>
        <w:t>(4), 216-240.</w:t>
      </w:r>
    </w:p>
    <w:p w14:paraId="3FDFAFB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Ali, N. M., Arshad, H., &amp; Bayu, M. Z. (2013). Nutritional information visualization using mobile augmented reality technology. </w:t>
      </w:r>
      <w:r w:rsidRPr="00DC4369">
        <w:rPr>
          <w:rFonts w:ascii="Times New Roman" w:hAnsi="Times New Roman" w:cs="Times New Roman"/>
          <w:b/>
          <w:bCs/>
          <w:i/>
          <w:iCs/>
          <w:sz w:val="24"/>
          <w:szCs w:val="24"/>
        </w:rPr>
        <w:t>Procedia Technology,</w:t>
      </w:r>
      <w:r w:rsidRPr="00DC4369">
        <w:rPr>
          <w:rFonts w:ascii="Times New Roman" w:hAnsi="Times New Roman" w:cs="Times New Roman"/>
          <w:i/>
          <w:iCs/>
          <w:sz w:val="24"/>
          <w:szCs w:val="24"/>
        </w:rPr>
        <w:t xml:space="preserve"> 11</w:t>
      </w:r>
      <w:r w:rsidRPr="00DC4369">
        <w:rPr>
          <w:rFonts w:ascii="Times New Roman" w:hAnsi="Times New Roman" w:cs="Times New Roman"/>
          <w:sz w:val="24"/>
          <w:szCs w:val="24"/>
        </w:rPr>
        <w:t>, 396–402.</w:t>
      </w:r>
    </w:p>
    <w:p w14:paraId="036481F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Chiam, J., Lim, A., Nott, C., Mark, N., </w:t>
      </w:r>
      <w:proofErr w:type="spellStart"/>
      <w:r w:rsidRPr="00DC4369">
        <w:rPr>
          <w:rFonts w:ascii="Times New Roman" w:hAnsi="Times New Roman" w:cs="Times New Roman"/>
          <w:sz w:val="24"/>
          <w:szCs w:val="24"/>
        </w:rPr>
        <w:t>Teredesai</w:t>
      </w:r>
      <w:proofErr w:type="spellEnd"/>
      <w:r w:rsidRPr="00DC4369">
        <w:rPr>
          <w:rFonts w:ascii="Times New Roman" w:hAnsi="Times New Roman" w:cs="Times New Roman"/>
          <w:sz w:val="24"/>
          <w:szCs w:val="24"/>
        </w:rPr>
        <w:t xml:space="preserve">, A., &amp; Shinde, S. (2024). Co-Pilot for Health: Personalized Algorithmic AI Nudging to Improve Health Outcomes.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arXiv:2401.10816</w:t>
      </w:r>
      <w:r w:rsidRPr="00DC4369">
        <w:rPr>
          <w:rFonts w:ascii="Times New Roman" w:hAnsi="Times New Roman" w:cs="Times New Roman"/>
          <w:b/>
          <w:bCs/>
          <w:sz w:val="24"/>
          <w:szCs w:val="24"/>
        </w:rPr>
        <w:t>.</w:t>
      </w:r>
    </w:p>
    <w:p w14:paraId="41DA474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Bermingham, K.M., </w:t>
      </w:r>
      <w:proofErr w:type="spellStart"/>
      <w:r w:rsidRPr="00DC4369">
        <w:rPr>
          <w:rFonts w:ascii="Times New Roman" w:hAnsi="Times New Roman" w:cs="Times New Roman"/>
          <w:sz w:val="24"/>
          <w:szCs w:val="24"/>
        </w:rPr>
        <w:t>Linenberg</w:t>
      </w:r>
      <w:proofErr w:type="spellEnd"/>
      <w:r w:rsidRPr="00DC4369">
        <w:rPr>
          <w:rFonts w:ascii="Times New Roman" w:hAnsi="Times New Roman" w:cs="Times New Roman"/>
          <w:sz w:val="24"/>
          <w:szCs w:val="24"/>
        </w:rPr>
        <w:t>, I., Polidori, L. </w:t>
      </w:r>
      <w:r w:rsidRPr="00DC4369">
        <w:rPr>
          <w:rFonts w:ascii="Times New Roman" w:hAnsi="Times New Roman" w:cs="Times New Roman"/>
          <w:i/>
          <w:iCs/>
          <w:sz w:val="24"/>
          <w:szCs w:val="24"/>
        </w:rPr>
        <w:t>et al.</w:t>
      </w:r>
      <w:r w:rsidRPr="00DC4369">
        <w:rPr>
          <w:rFonts w:ascii="Times New Roman" w:hAnsi="Times New Roman" w:cs="Times New Roman"/>
          <w:sz w:val="24"/>
          <w:szCs w:val="24"/>
        </w:rPr>
        <w:t> Effects of a personalized nutrition program on cardiometabolic health: a randomized controlled trial. </w:t>
      </w:r>
      <w:r w:rsidRPr="00DC4369">
        <w:rPr>
          <w:rFonts w:ascii="Times New Roman" w:hAnsi="Times New Roman" w:cs="Times New Roman"/>
          <w:b/>
          <w:bCs/>
          <w:i/>
          <w:iCs/>
          <w:sz w:val="24"/>
          <w:szCs w:val="24"/>
        </w:rPr>
        <w:t>Nat Med</w:t>
      </w:r>
      <w:r w:rsidRPr="00DC4369">
        <w:rPr>
          <w:rFonts w:ascii="Times New Roman" w:hAnsi="Times New Roman" w:cs="Times New Roman"/>
          <w:b/>
          <w:bCs/>
          <w:sz w:val="24"/>
          <w:szCs w:val="24"/>
        </w:rPr>
        <w:t> </w:t>
      </w:r>
      <w:r w:rsidRPr="00DC4369">
        <w:rPr>
          <w:rFonts w:ascii="Times New Roman" w:hAnsi="Times New Roman" w:cs="Times New Roman"/>
          <w:sz w:val="24"/>
          <w:szCs w:val="24"/>
        </w:rPr>
        <w:t>30, 1888–1897 (2024).</w:t>
      </w:r>
    </w:p>
    <w:p w14:paraId="6DEC6BB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Kuru, H. (2023). Identifying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techniques in an artificial intelligence-based fitness app: A content analysis. </w:t>
      </w:r>
      <w:r w:rsidRPr="00DC4369">
        <w:rPr>
          <w:rFonts w:ascii="Times New Roman" w:hAnsi="Times New Roman" w:cs="Times New Roman"/>
          <w:b/>
          <w:bCs/>
          <w:i/>
          <w:iCs/>
          <w:sz w:val="24"/>
          <w:szCs w:val="24"/>
        </w:rPr>
        <w:t xml:space="preserve">Health Education &amp; </w:t>
      </w:r>
      <w:proofErr w:type="spellStart"/>
      <w:r w:rsidRPr="00DC4369">
        <w:rPr>
          <w:rFonts w:ascii="Times New Roman" w:hAnsi="Times New Roman" w:cs="Times New Roman"/>
          <w:b/>
          <w:bCs/>
          <w:i/>
          <w:iCs/>
          <w:sz w:val="24"/>
          <w:szCs w:val="24"/>
        </w:rPr>
        <w:t>Behavior</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51</w:t>
      </w:r>
      <w:r w:rsidRPr="00DC4369">
        <w:rPr>
          <w:rFonts w:ascii="Times New Roman" w:hAnsi="Times New Roman" w:cs="Times New Roman"/>
          <w:sz w:val="24"/>
          <w:szCs w:val="24"/>
        </w:rPr>
        <w:t>(4), 637–646.</w:t>
      </w:r>
    </w:p>
    <w:p w14:paraId="21EE3DC7"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Vasiloglou</w:t>
      </w:r>
      <w:proofErr w:type="spellEnd"/>
      <w:r w:rsidRPr="00DC4369">
        <w:rPr>
          <w:rFonts w:ascii="Times New Roman" w:hAnsi="Times New Roman" w:cs="Times New Roman"/>
          <w:sz w:val="24"/>
          <w:szCs w:val="24"/>
        </w:rPr>
        <w:t xml:space="preserve">, M. F., </w:t>
      </w:r>
      <w:proofErr w:type="spellStart"/>
      <w:r w:rsidRPr="00DC4369">
        <w:rPr>
          <w:rFonts w:ascii="Times New Roman" w:hAnsi="Times New Roman" w:cs="Times New Roman"/>
          <w:sz w:val="24"/>
          <w:szCs w:val="24"/>
        </w:rPr>
        <w:t>Christodoulidis</w:t>
      </w:r>
      <w:proofErr w:type="spellEnd"/>
      <w:r w:rsidRPr="00DC4369">
        <w:rPr>
          <w:rFonts w:ascii="Times New Roman" w:hAnsi="Times New Roman" w:cs="Times New Roman"/>
          <w:sz w:val="24"/>
          <w:szCs w:val="24"/>
        </w:rPr>
        <w:t xml:space="preserve">, S., Reber, E., Stathopoulou, T., Lu, Y., Stanga, Z., &amp; </w:t>
      </w:r>
      <w:proofErr w:type="spellStart"/>
      <w:r w:rsidRPr="00DC4369">
        <w:rPr>
          <w:rFonts w:ascii="Times New Roman" w:hAnsi="Times New Roman" w:cs="Times New Roman"/>
          <w:sz w:val="24"/>
          <w:szCs w:val="24"/>
        </w:rPr>
        <w:t>Mougiakakou</w:t>
      </w:r>
      <w:proofErr w:type="spellEnd"/>
      <w:r w:rsidRPr="00DC4369">
        <w:rPr>
          <w:rFonts w:ascii="Times New Roman" w:hAnsi="Times New Roman" w:cs="Times New Roman"/>
          <w:sz w:val="24"/>
          <w:szCs w:val="24"/>
        </w:rPr>
        <w:t xml:space="preserve">, S. (2020). Artificial intelligence for dietary assessment: A scoping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i/>
          <w:iCs/>
          <w:sz w:val="24"/>
          <w:szCs w:val="24"/>
        </w:rPr>
        <w:t xml:space="preserve"> 22</w:t>
      </w:r>
      <w:r w:rsidRPr="00DC4369">
        <w:rPr>
          <w:rFonts w:ascii="Times New Roman" w:hAnsi="Times New Roman" w:cs="Times New Roman"/>
          <w:sz w:val="24"/>
          <w:szCs w:val="24"/>
        </w:rPr>
        <w:t>(2), e17290.</w:t>
      </w:r>
    </w:p>
    <w:p w14:paraId="4BC4C88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Berry, S. E., Valdes, A. M., Drew, D. A., Asnicar, F., Mazidi, M., Wolf, J., ... &amp; Spector, T. D. (2020). Human postprandial responses to food and potential for precision nutrition. </w:t>
      </w:r>
      <w:r w:rsidRPr="00DC4369">
        <w:rPr>
          <w:rFonts w:ascii="Times New Roman" w:hAnsi="Times New Roman" w:cs="Times New Roman"/>
          <w:b/>
          <w:bCs/>
          <w:i/>
          <w:iCs/>
          <w:sz w:val="24"/>
          <w:szCs w:val="24"/>
        </w:rPr>
        <w:t>Nature 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(6), 964-973.</w:t>
      </w:r>
    </w:p>
    <w:p w14:paraId="574E60C0"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Phalle, A., &amp; Gokhale, D. (2025). Navigating next-gen nutrition care using artificial intelligence-assisted dietary assessment tools—a scoping review of potential applications. </w:t>
      </w:r>
      <w:r w:rsidRPr="00DC4369">
        <w:rPr>
          <w:rFonts w:ascii="Times New Roman" w:hAnsi="Times New Roman" w:cs="Times New Roman"/>
          <w:b/>
          <w:bCs/>
          <w:i/>
          <w:iCs/>
          <w:sz w:val="24"/>
          <w:szCs w:val="24"/>
        </w:rPr>
        <w:t>Frontiers in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12</w:t>
      </w:r>
      <w:r w:rsidRPr="00DC4369">
        <w:rPr>
          <w:rFonts w:ascii="Times New Roman" w:hAnsi="Times New Roman" w:cs="Times New Roman"/>
          <w:sz w:val="24"/>
          <w:szCs w:val="24"/>
        </w:rPr>
        <w:t xml:space="preserve">, 1518466. </w:t>
      </w:r>
    </w:p>
    <w:p w14:paraId="74E280E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Stoyanov, S. R., Hides, L., Kavanagh, D. J., &amp; </w:t>
      </w:r>
      <w:proofErr w:type="spellStart"/>
      <w:r w:rsidRPr="00DC4369">
        <w:rPr>
          <w:rFonts w:ascii="Times New Roman" w:hAnsi="Times New Roman" w:cs="Times New Roman"/>
          <w:sz w:val="24"/>
          <w:szCs w:val="24"/>
        </w:rPr>
        <w:t>Tjondronegoro</w:t>
      </w:r>
      <w:proofErr w:type="spellEnd"/>
      <w:r w:rsidRPr="00DC4369">
        <w:rPr>
          <w:rFonts w:ascii="Times New Roman" w:hAnsi="Times New Roman" w:cs="Times New Roman"/>
          <w:sz w:val="24"/>
          <w:szCs w:val="24"/>
        </w:rPr>
        <w:t>, D. (2022). Mobile app quality assessment tools: A systematic review and comparison.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10</w:t>
      </w:r>
      <w:r w:rsidRPr="00DC4369">
        <w:rPr>
          <w:rFonts w:ascii="Times New Roman" w:hAnsi="Times New Roman" w:cs="Times New Roman"/>
          <w:sz w:val="24"/>
          <w:szCs w:val="24"/>
        </w:rPr>
        <w:t>(3), Article e33182.</w:t>
      </w:r>
    </w:p>
    <w:p w14:paraId="3079533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Saha, S. (2022). Comparative effectiveness of adjunct non-pharmacological interventions on maternal and neonatal outcomes in gestational diabetes mellitus patients: A systematic review and network meta-analysis protocol of randomized controlled trials. </w:t>
      </w:r>
      <w:proofErr w:type="spellStart"/>
      <w:r w:rsidRPr="00DC4369">
        <w:rPr>
          <w:rFonts w:ascii="Times New Roman" w:hAnsi="Times New Roman" w:cs="Times New Roman"/>
          <w:b/>
          <w:bCs/>
          <w:i/>
          <w:iCs/>
          <w:sz w:val="24"/>
          <w:szCs w:val="24"/>
        </w:rPr>
        <w:t>Plos</w:t>
      </w:r>
      <w:proofErr w:type="spellEnd"/>
      <w:r w:rsidRPr="00DC4369">
        <w:rPr>
          <w:rFonts w:ascii="Times New Roman" w:hAnsi="Times New Roman" w:cs="Times New Roman"/>
          <w:b/>
          <w:bCs/>
          <w:i/>
          <w:iCs/>
          <w:sz w:val="24"/>
          <w:szCs w:val="24"/>
        </w:rPr>
        <w:t xml:space="preserve"> one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17</w:t>
      </w:r>
      <w:r w:rsidRPr="00DC4369">
        <w:rPr>
          <w:rFonts w:ascii="Times New Roman" w:hAnsi="Times New Roman" w:cs="Times New Roman"/>
          <w:sz w:val="24"/>
          <w:szCs w:val="24"/>
        </w:rPr>
        <w:t>(1), e0263336.</w:t>
      </w:r>
    </w:p>
    <w:p w14:paraId="3979A777"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Michie, S., Richardson, M., Johnston, M., Abraham, C., Francis, J., Hardeman, W., ... &amp; Wood, C. E. (2013). The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w:t>
      </w:r>
      <w:proofErr w:type="gramStart"/>
      <w:r w:rsidRPr="00DC4369">
        <w:rPr>
          <w:rFonts w:ascii="Times New Roman" w:hAnsi="Times New Roman" w:cs="Times New Roman"/>
          <w:sz w:val="24"/>
          <w:szCs w:val="24"/>
        </w:rPr>
        <w:t>change</w:t>
      </w:r>
      <w:proofErr w:type="gramEnd"/>
      <w:r w:rsidRPr="00DC4369">
        <w:rPr>
          <w:rFonts w:ascii="Times New Roman" w:hAnsi="Times New Roman" w:cs="Times New Roman"/>
          <w:sz w:val="24"/>
          <w:szCs w:val="24"/>
        </w:rPr>
        <w:t xml:space="preserve"> technique taxonomy (v1) of 93 hierarchically clustered techniques: building an international consensus for the reporting of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w:t>
      </w:r>
      <w:r w:rsidRPr="00DC4369">
        <w:rPr>
          <w:rFonts w:ascii="Times New Roman" w:hAnsi="Times New Roman" w:cs="Times New Roman"/>
          <w:b/>
          <w:bCs/>
          <w:i/>
          <w:iCs/>
          <w:sz w:val="24"/>
          <w:szCs w:val="24"/>
        </w:rPr>
        <w:t xml:space="preserve">Annals of </w:t>
      </w:r>
      <w:proofErr w:type="spellStart"/>
      <w:r w:rsidRPr="00DC4369">
        <w:rPr>
          <w:rFonts w:ascii="Times New Roman" w:hAnsi="Times New Roman" w:cs="Times New Roman"/>
          <w:b/>
          <w:bCs/>
          <w:i/>
          <w:iCs/>
          <w:sz w:val="24"/>
          <w:szCs w:val="24"/>
        </w:rPr>
        <w:t>behavioral</w:t>
      </w:r>
      <w:proofErr w:type="spellEnd"/>
      <w:r w:rsidRPr="00DC4369">
        <w:rPr>
          <w:rFonts w:ascii="Times New Roman" w:hAnsi="Times New Roman" w:cs="Times New Roman"/>
          <w:b/>
          <w:bCs/>
          <w:i/>
          <w:iCs/>
          <w:sz w:val="24"/>
          <w:szCs w:val="24"/>
        </w:rPr>
        <w:t xml:space="preserve"> 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46</w:t>
      </w:r>
      <w:r w:rsidRPr="00DC4369">
        <w:rPr>
          <w:rFonts w:ascii="Times New Roman" w:hAnsi="Times New Roman" w:cs="Times New Roman"/>
          <w:sz w:val="24"/>
          <w:szCs w:val="24"/>
        </w:rPr>
        <w:t>(1), 81-95.</w:t>
      </w:r>
    </w:p>
    <w:p w14:paraId="0B1A553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Yardley, L., Morrison, L., Bradbury, K., &amp; Muller, I. (2015). The person-based approach to intervention development: application to digital health-related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17</w:t>
      </w:r>
      <w:r w:rsidRPr="00DC4369">
        <w:rPr>
          <w:rFonts w:ascii="Times New Roman" w:hAnsi="Times New Roman" w:cs="Times New Roman"/>
          <w:sz w:val="24"/>
          <w:szCs w:val="24"/>
        </w:rPr>
        <w:t>(1), e4055.</w:t>
      </w:r>
    </w:p>
    <w:p w14:paraId="0C435E9F"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Kankanhalli</w:t>
      </w:r>
      <w:proofErr w:type="spellEnd"/>
      <w:r w:rsidRPr="00DC4369">
        <w:rPr>
          <w:rFonts w:ascii="Times New Roman" w:hAnsi="Times New Roman" w:cs="Times New Roman"/>
          <w:sz w:val="24"/>
          <w:szCs w:val="24"/>
        </w:rPr>
        <w:t xml:space="preserve">, A., Shin, J., &amp; Oh, H. (2019). Mobile-Based Interventions for Dietary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and Health Outcomes: Scoping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xml:space="preserve">(1), e11312. </w:t>
      </w:r>
    </w:p>
    <w:p w14:paraId="0F91AC1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Chen, J., Lieffers, J., Bauman, A., Hanning, R., &amp; Allman‐Farinelli, M. (2017). The use of smartphone health apps and other mobile h </w:t>
      </w:r>
      <w:proofErr w:type="spellStart"/>
      <w:r w:rsidRPr="00DC4369">
        <w:rPr>
          <w:rFonts w:ascii="Times New Roman" w:hAnsi="Times New Roman" w:cs="Times New Roman"/>
          <w:sz w:val="24"/>
          <w:szCs w:val="24"/>
        </w:rPr>
        <w:t>ealth</w:t>
      </w:r>
      <w:proofErr w:type="spellEnd"/>
      <w:r w:rsidRPr="00DC4369">
        <w:rPr>
          <w:rFonts w:ascii="Times New Roman" w:hAnsi="Times New Roman" w:cs="Times New Roman"/>
          <w:sz w:val="24"/>
          <w:szCs w:val="24"/>
        </w:rPr>
        <w:t xml:space="preserve"> (mHealth) technologies in dietetic practice: a </w:t>
      </w:r>
      <w:proofErr w:type="gramStart"/>
      <w:r w:rsidRPr="00DC4369">
        <w:rPr>
          <w:rFonts w:ascii="Times New Roman" w:hAnsi="Times New Roman" w:cs="Times New Roman"/>
          <w:sz w:val="24"/>
          <w:szCs w:val="24"/>
        </w:rPr>
        <w:t>three country</w:t>
      </w:r>
      <w:proofErr w:type="gramEnd"/>
      <w:r w:rsidRPr="00DC4369">
        <w:rPr>
          <w:rFonts w:ascii="Times New Roman" w:hAnsi="Times New Roman" w:cs="Times New Roman"/>
          <w:sz w:val="24"/>
          <w:szCs w:val="24"/>
        </w:rPr>
        <w:t xml:space="preserve"> study. </w:t>
      </w:r>
      <w:r w:rsidRPr="00DC4369">
        <w:rPr>
          <w:rFonts w:ascii="Times New Roman" w:hAnsi="Times New Roman" w:cs="Times New Roman"/>
          <w:b/>
          <w:bCs/>
          <w:i/>
          <w:iCs/>
          <w:sz w:val="24"/>
          <w:szCs w:val="24"/>
        </w:rPr>
        <w:t>Journal of Human Nutrition and Dietetics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30</w:t>
      </w:r>
      <w:r w:rsidRPr="00DC4369">
        <w:rPr>
          <w:rFonts w:ascii="Times New Roman" w:hAnsi="Times New Roman" w:cs="Times New Roman"/>
          <w:sz w:val="24"/>
          <w:szCs w:val="24"/>
        </w:rPr>
        <w:t>(4), 439-452.</w:t>
      </w:r>
    </w:p>
    <w:p w14:paraId="6284B0C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Dennison, L., Morrison, L., Conway, G., &amp; Yardley, L. (2013). Opportunities and challenges for smartphone applications in supporting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qualitative study.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(4), e2583.</w:t>
      </w:r>
    </w:p>
    <w:p w14:paraId="177E6669"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Jebeile</w:t>
      </w:r>
      <w:proofErr w:type="spellEnd"/>
      <w:r w:rsidRPr="00DC4369">
        <w:rPr>
          <w:rFonts w:ascii="Times New Roman" w:hAnsi="Times New Roman" w:cs="Times New Roman"/>
          <w:sz w:val="24"/>
          <w:szCs w:val="24"/>
        </w:rPr>
        <w:t xml:space="preserve">, H., McMaster, C. M., Johnson, B. J., Garnett, S. P., Paxton, S. J., Seidler, A. L., ... &amp; Eating Disorders In weight-related Therapy (EDIT) Collaboration. (2023). Identifying factors which influence eating disorder risk during </w:t>
      </w:r>
      <w:proofErr w:type="spellStart"/>
      <w:r w:rsidRPr="00DC4369">
        <w:rPr>
          <w:rFonts w:ascii="Times New Roman" w:hAnsi="Times New Roman" w:cs="Times New Roman"/>
          <w:sz w:val="24"/>
          <w:szCs w:val="24"/>
        </w:rPr>
        <w:t>behavioral</w:t>
      </w:r>
      <w:proofErr w:type="spellEnd"/>
      <w:r w:rsidRPr="00DC4369">
        <w:rPr>
          <w:rFonts w:ascii="Times New Roman" w:hAnsi="Times New Roman" w:cs="Times New Roman"/>
          <w:sz w:val="24"/>
          <w:szCs w:val="24"/>
        </w:rPr>
        <w:t xml:space="preserve"> weight management: a consensus study.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(5), 1085.</w:t>
      </w:r>
    </w:p>
    <w:p w14:paraId="672B92B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Jiang, W., Huang, S., Ma, S., Gong, Y., Fu, Z., Zhou, L., ... &amp; Zhou, H. (2021). Effectiveness of companion-intensive multi-aspect weight management in </w:t>
      </w:r>
      <w:r w:rsidRPr="00DC4369">
        <w:rPr>
          <w:rFonts w:ascii="Times New Roman" w:hAnsi="Times New Roman" w:cs="Times New Roman"/>
          <w:sz w:val="24"/>
          <w:szCs w:val="24"/>
        </w:rPr>
        <w:lastRenderedPageBreak/>
        <w:t xml:space="preserve">Chinese adults with obesity: a 6-month </w:t>
      </w:r>
      <w:proofErr w:type="spellStart"/>
      <w:r w:rsidRPr="00DC4369">
        <w:rPr>
          <w:rFonts w:ascii="Times New Roman" w:hAnsi="Times New Roman" w:cs="Times New Roman"/>
          <w:sz w:val="24"/>
          <w:szCs w:val="24"/>
        </w:rPr>
        <w:t>multicenter</w:t>
      </w:r>
      <w:proofErr w:type="spellEnd"/>
      <w:r w:rsidRPr="00DC4369">
        <w:rPr>
          <w:rFonts w:ascii="Times New Roman" w:hAnsi="Times New Roman" w:cs="Times New Roman"/>
          <w:sz w:val="24"/>
          <w:szCs w:val="24"/>
        </w:rPr>
        <w:t xml:space="preserve"> randomized clinical trial. </w:t>
      </w:r>
      <w:r w:rsidRPr="00DC4369">
        <w:rPr>
          <w:rFonts w:ascii="Times New Roman" w:hAnsi="Times New Roman" w:cs="Times New Roman"/>
          <w:b/>
          <w:bCs/>
          <w:i/>
          <w:iCs/>
          <w:sz w:val="24"/>
          <w:szCs w:val="24"/>
        </w:rPr>
        <w:t>Nutrition &amp; Metabolism</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18</w:t>
      </w:r>
      <w:r w:rsidRPr="00DC4369">
        <w:rPr>
          <w:rFonts w:ascii="Times New Roman" w:hAnsi="Times New Roman" w:cs="Times New Roman"/>
          <w:sz w:val="24"/>
          <w:szCs w:val="24"/>
        </w:rPr>
        <w:t>, 1-13.</w:t>
      </w:r>
    </w:p>
    <w:p w14:paraId="0DA9A9F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de Hoogh, I. M., Winters, B. L., Nieman, K. M., Bijlsma, S., Krone, T., van den Broek, T. J., ... &amp; </w:t>
      </w:r>
      <w:proofErr w:type="spellStart"/>
      <w:r w:rsidRPr="00DC4369">
        <w:rPr>
          <w:rFonts w:ascii="Times New Roman" w:hAnsi="Times New Roman" w:cs="Times New Roman"/>
          <w:sz w:val="24"/>
          <w:szCs w:val="24"/>
        </w:rPr>
        <w:t>Wopereis</w:t>
      </w:r>
      <w:proofErr w:type="spellEnd"/>
      <w:r w:rsidRPr="00DC4369">
        <w:rPr>
          <w:rFonts w:ascii="Times New Roman" w:hAnsi="Times New Roman" w:cs="Times New Roman"/>
          <w:sz w:val="24"/>
          <w:szCs w:val="24"/>
        </w:rPr>
        <w:t xml:space="preserve">, S. (2021). A novel personalized systems nutrition program improves dietary patterns, lifestyle </w:t>
      </w:r>
      <w:proofErr w:type="spellStart"/>
      <w:r w:rsidRPr="00DC4369">
        <w:rPr>
          <w:rFonts w:ascii="Times New Roman" w:hAnsi="Times New Roman" w:cs="Times New Roman"/>
          <w:sz w:val="24"/>
          <w:szCs w:val="24"/>
        </w:rPr>
        <w:t>behaviors</w:t>
      </w:r>
      <w:proofErr w:type="spellEnd"/>
      <w:r w:rsidRPr="00DC4369">
        <w:rPr>
          <w:rFonts w:ascii="Times New Roman" w:hAnsi="Times New Roman" w:cs="Times New Roman"/>
          <w:sz w:val="24"/>
          <w:szCs w:val="24"/>
        </w:rPr>
        <w:t xml:space="preserve"> and health-related outcomes: results from the habit study.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(6), 1763.</w:t>
      </w:r>
    </w:p>
    <w:p w14:paraId="40EA36E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Lau, Y., Wong, S. H., Chee, D. G. H., Ng, B. S. P., Ang, W. W., Han, C. Y., &amp; Cheng, L. J. (2024). Technology‐delivered personalized nutrition intervention on dietary outcomes among adults with overweight and obesity: A systematic review, meta‐analysis, and meta‐regression. </w:t>
      </w:r>
      <w:r w:rsidRPr="00DC4369">
        <w:rPr>
          <w:rFonts w:ascii="Times New Roman" w:hAnsi="Times New Roman" w:cs="Times New Roman"/>
          <w:b/>
          <w:bCs/>
          <w:i/>
          <w:iCs/>
          <w:sz w:val="24"/>
          <w:szCs w:val="24"/>
        </w:rPr>
        <w:t>Obesity Reviews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25</w:t>
      </w:r>
      <w:r w:rsidRPr="00DC4369">
        <w:rPr>
          <w:rFonts w:ascii="Times New Roman" w:hAnsi="Times New Roman" w:cs="Times New Roman"/>
          <w:sz w:val="24"/>
          <w:szCs w:val="24"/>
        </w:rPr>
        <w:t>(5), e13699.</w:t>
      </w:r>
    </w:p>
    <w:p w14:paraId="744840E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Rollo, M. E., Haslam, R. L., &amp; Collins, C. E. (2020). Impact on dietary intake of two levels of technology-assisted personalized nutrition: a randomized trial.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12</w:t>
      </w:r>
      <w:r w:rsidRPr="00DC4369">
        <w:rPr>
          <w:rFonts w:ascii="Times New Roman" w:hAnsi="Times New Roman" w:cs="Times New Roman"/>
          <w:sz w:val="24"/>
          <w:szCs w:val="24"/>
        </w:rPr>
        <w:t>(11), 3334.</w:t>
      </w:r>
    </w:p>
    <w:p w14:paraId="12EE1491"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Valinskas</w:t>
      </w:r>
      <w:proofErr w:type="spellEnd"/>
      <w:r w:rsidRPr="00DC4369">
        <w:rPr>
          <w:rFonts w:ascii="Times New Roman" w:hAnsi="Times New Roman" w:cs="Times New Roman"/>
          <w:sz w:val="24"/>
          <w:szCs w:val="24"/>
        </w:rPr>
        <w:t xml:space="preserve">, S., </w:t>
      </w:r>
      <w:proofErr w:type="spellStart"/>
      <w:r w:rsidRPr="00DC4369">
        <w:rPr>
          <w:rFonts w:ascii="Times New Roman" w:hAnsi="Times New Roman" w:cs="Times New Roman"/>
          <w:sz w:val="24"/>
          <w:szCs w:val="24"/>
        </w:rPr>
        <w:t>Nakrys</w:t>
      </w:r>
      <w:proofErr w:type="spellEnd"/>
      <w:r w:rsidRPr="00DC4369">
        <w:rPr>
          <w:rFonts w:ascii="Times New Roman" w:hAnsi="Times New Roman" w:cs="Times New Roman"/>
          <w:sz w:val="24"/>
          <w:szCs w:val="24"/>
        </w:rPr>
        <w:t xml:space="preserve">, M., </w:t>
      </w:r>
      <w:proofErr w:type="spellStart"/>
      <w:r w:rsidRPr="00DC4369">
        <w:rPr>
          <w:rFonts w:ascii="Times New Roman" w:hAnsi="Times New Roman" w:cs="Times New Roman"/>
          <w:sz w:val="24"/>
          <w:szCs w:val="24"/>
        </w:rPr>
        <w:t>Aleknavičius</w:t>
      </w:r>
      <w:proofErr w:type="spellEnd"/>
      <w:r w:rsidRPr="00DC4369">
        <w:rPr>
          <w:rFonts w:ascii="Times New Roman" w:hAnsi="Times New Roman" w:cs="Times New Roman"/>
          <w:sz w:val="24"/>
          <w:szCs w:val="24"/>
        </w:rPr>
        <w:t xml:space="preserve">, K., </w:t>
      </w:r>
      <w:proofErr w:type="spellStart"/>
      <w:r w:rsidRPr="00DC4369">
        <w:rPr>
          <w:rFonts w:ascii="Times New Roman" w:hAnsi="Times New Roman" w:cs="Times New Roman"/>
          <w:sz w:val="24"/>
          <w:szCs w:val="24"/>
        </w:rPr>
        <w:t>Jonusas</w:t>
      </w:r>
      <w:proofErr w:type="spellEnd"/>
      <w:r w:rsidRPr="00DC4369">
        <w:rPr>
          <w:rFonts w:ascii="Times New Roman" w:hAnsi="Times New Roman" w:cs="Times New Roman"/>
          <w:sz w:val="24"/>
          <w:szCs w:val="24"/>
        </w:rPr>
        <w:t xml:space="preserve">, J., &amp; </w:t>
      </w:r>
      <w:proofErr w:type="spellStart"/>
      <w:r w:rsidRPr="00DC4369">
        <w:rPr>
          <w:rFonts w:ascii="Times New Roman" w:hAnsi="Times New Roman" w:cs="Times New Roman"/>
          <w:sz w:val="24"/>
          <w:szCs w:val="24"/>
        </w:rPr>
        <w:t>Lileikienė</w:t>
      </w:r>
      <w:proofErr w:type="spellEnd"/>
      <w:r w:rsidRPr="00DC4369">
        <w:rPr>
          <w:rFonts w:ascii="Times New Roman" w:hAnsi="Times New Roman" w:cs="Times New Roman"/>
          <w:sz w:val="24"/>
          <w:szCs w:val="24"/>
        </w:rPr>
        <w:t>, A. (2023). User Engagement and Weight Loss Facilitated by a Mobile App: Retrospective Review of Medical Records. </w:t>
      </w:r>
      <w:r w:rsidRPr="00DC4369">
        <w:rPr>
          <w:rFonts w:ascii="Times New Roman" w:hAnsi="Times New Roman" w:cs="Times New Roman"/>
          <w:b/>
          <w:bCs/>
          <w:i/>
          <w:iCs/>
          <w:sz w:val="24"/>
          <w:szCs w:val="24"/>
        </w:rPr>
        <w:t>JMIR formative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e42266.</w:t>
      </w:r>
    </w:p>
    <w:p w14:paraId="5297B8E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Orte, S., </w:t>
      </w:r>
      <w:proofErr w:type="spellStart"/>
      <w:r w:rsidRPr="00DC4369">
        <w:rPr>
          <w:rFonts w:ascii="Times New Roman" w:hAnsi="Times New Roman" w:cs="Times New Roman"/>
          <w:sz w:val="24"/>
          <w:szCs w:val="24"/>
        </w:rPr>
        <w:t>Migliorelli</w:t>
      </w:r>
      <w:proofErr w:type="spellEnd"/>
      <w:r w:rsidRPr="00DC4369">
        <w:rPr>
          <w:rFonts w:ascii="Times New Roman" w:hAnsi="Times New Roman" w:cs="Times New Roman"/>
          <w:sz w:val="24"/>
          <w:szCs w:val="24"/>
        </w:rPr>
        <w:t xml:space="preserve">, C., Sistach-Bosch, L., Gómez-Martínez, M., &amp; </w:t>
      </w:r>
      <w:proofErr w:type="spellStart"/>
      <w:r w:rsidRPr="00DC4369">
        <w:rPr>
          <w:rFonts w:ascii="Times New Roman" w:hAnsi="Times New Roman" w:cs="Times New Roman"/>
          <w:sz w:val="24"/>
          <w:szCs w:val="24"/>
        </w:rPr>
        <w:t>Boqué</w:t>
      </w:r>
      <w:proofErr w:type="spellEnd"/>
      <w:r w:rsidRPr="00DC4369">
        <w:rPr>
          <w:rFonts w:ascii="Times New Roman" w:hAnsi="Times New Roman" w:cs="Times New Roman"/>
          <w:sz w:val="24"/>
          <w:szCs w:val="24"/>
        </w:rPr>
        <w:t>, N. (2023). A tailored and engaging mHealth gamified framework for nutritional behaviour change.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(8), 1950.</w:t>
      </w:r>
    </w:p>
    <w:p w14:paraId="219D083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Tay, B. S., Edney, S. M., Brinkworth, G. D., Cox, D. N., Wiggins, B., Davis, A., ... &amp; Ryan, J. C. (2021). Co-design of a digital dietary intervention for adults at risk of type 2 diabetes. </w:t>
      </w:r>
      <w:r w:rsidRPr="00DC4369">
        <w:rPr>
          <w:rFonts w:ascii="Times New Roman" w:hAnsi="Times New Roman" w:cs="Times New Roman"/>
          <w:b/>
          <w:bCs/>
          <w:i/>
          <w:iCs/>
          <w:sz w:val="24"/>
          <w:szCs w:val="24"/>
        </w:rPr>
        <w:t>BMC public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21</w:t>
      </w:r>
      <w:r w:rsidRPr="00DC4369">
        <w:rPr>
          <w:rFonts w:ascii="Times New Roman" w:hAnsi="Times New Roman" w:cs="Times New Roman"/>
          <w:sz w:val="24"/>
          <w:szCs w:val="24"/>
        </w:rPr>
        <w:t>, 1-12.</w:t>
      </w:r>
    </w:p>
    <w:p w14:paraId="205072A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Papastratis</w:t>
      </w:r>
      <w:proofErr w:type="spellEnd"/>
      <w:r w:rsidRPr="00DC4369">
        <w:rPr>
          <w:rFonts w:ascii="Times New Roman" w:hAnsi="Times New Roman" w:cs="Times New Roman"/>
          <w:sz w:val="24"/>
          <w:szCs w:val="24"/>
        </w:rPr>
        <w:t>, I., Konstantinidis, D., Daras, P. </w:t>
      </w:r>
      <w:r w:rsidRPr="00DC4369">
        <w:rPr>
          <w:rFonts w:ascii="Times New Roman" w:hAnsi="Times New Roman" w:cs="Times New Roman"/>
          <w:i/>
          <w:iCs/>
          <w:sz w:val="24"/>
          <w:szCs w:val="24"/>
        </w:rPr>
        <w:t>et al.</w:t>
      </w:r>
      <w:r w:rsidRPr="00DC4369">
        <w:rPr>
          <w:rFonts w:ascii="Times New Roman" w:hAnsi="Times New Roman" w:cs="Times New Roman"/>
          <w:sz w:val="24"/>
          <w:szCs w:val="24"/>
        </w:rPr>
        <w:t> AI nutrition recommendation using a deep generative model and ChatGPT. </w:t>
      </w:r>
      <w:r w:rsidRPr="00DC4369">
        <w:rPr>
          <w:rFonts w:ascii="Times New Roman" w:hAnsi="Times New Roman" w:cs="Times New Roman"/>
          <w:b/>
          <w:bCs/>
          <w:i/>
          <w:iCs/>
          <w:sz w:val="24"/>
          <w:szCs w:val="24"/>
        </w:rPr>
        <w:t>Sci Rep</w:t>
      </w:r>
      <w:r w:rsidRPr="00DC4369">
        <w:rPr>
          <w:rFonts w:ascii="Times New Roman" w:hAnsi="Times New Roman" w:cs="Times New Roman"/>
          <w:sz w:val="24"/>
          <w:szCs w:val="24"/>
        </w:rPr>
        <w:t> 14, 14620 (2024).</w:t>
      </w:r>
    </w:p>
    <w:p w14:paraId="494B609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Sosa-Holwerda, A., Park, O. H., Albracht-Schulte, K., Niraula, S., Thompson, L., &amp; </w:t>
      </w:r>
      <w:proofErr w:type="spellStart"/>
      <w:r w:rsidRPr="00DC4369">
        <w:rPr>
          <w:rFonts w:ascii="Times New Roman" w:hAnsi="Times New Roman" w:cs="Times New Roman"/>
          <w:sz w:val="24"/>
          <w:szCs w:val="24"/>
        </w:rPr>
        <w:t>Oldewage</w:t>
      </w:r>
      <w:proofErr w:type="spellEnd"/>
      <w:r w:rsidRPr="00DC4369">
        <w:rPr>
          <w:rFonts w:ascii="Times New Roman" w:hAnsi="Times New Roman" w:cs="Times New Roman"/>
          <w:sz w:val="24"/>
          <w:szCs w:val="24"/>
        </w:rPr>
        <w:t>-Theron, W. (2024). The Role of Artificial Intelligence in Nutrition Research: A Scoping Review.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16</w:t>
      </w:r>
      <w:r w:rsidRPr="00DC4369">
        <w:rPr>
          <w:rFonts w:ascii="Times New Roman" w:hAnsi="Times New Roman" w:cs="Times New Roman"/>
          <w:sz w:val="24"/>
          <w:szCs w:val="24"/>
        </w:rPr>
        <w:t>(13), 2066.</w:t>
      </w:r>
    </w:p>
    <w:p w14:paraId="6BC628B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Irvin, L., Madden, L. A., Marshall, P., &amp; Vince, R. V. (2023). Digital Health Solutions for Weight Loss and Obesity: A Narrative Review.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(8), 1858.</w:t>
      </w:r>
    </w:p>
    <w:p w14:paraId="2C160CB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Livingstone, K. M., </w:t>
      </w:r>
      <w:proofErr w:type="spellStart"/>
      <w:r w:rsidRPr="00DC4369">
        <w:rPr>
          <w:rFonts w:ascii="Times New Roman" w:hAnsi="Times New Roman" w:cs="Times New Roman"/>
          <w:sz w:val="24"/>
          <w:szCs w:val="24"/>
        </w:rPr>
        <w:t>Rawstorn</w:t>
      </w:r>
      <w:proofErr w:type="spellEnd"/>
      <w:r w:rsidRPr="00DC4369">
        <w:rPr>
          <w:rFonts w:ascii="Times New Roman" w:hAnsi="Times New Roman" w:cs="Times New Roman"/>
          <w:sz w:val="24"/>
          <w:szCs w:val="24"/>
        </w:rPr>
        <w:t xml:space="preserve">, J. C., Alston, L., Partridge, S. R., Bastian, A., Dullaghan, K., ... &amp; </w:t>
      </w:r>
      <w:proofErr w:type="spellStart"/>
      <w:r w:rsidRPr="00DC4369">
        <w:rPr>
          <w:rFonts w:ascii="Times New Roman" w:hAnsi="Times New Roman" w:cs="Times New Roman"/>
          <w:sz w:val="24"/>
          <w:szCs w:val="24"/>
        </w:rPr>
        <w:t>Godrich</w:t>
      </w:r>
      <w:proofErr w:type="spellEnd"/>
      <w:r w:rsidRPr="00DC4369">
        <w:rPr>
          <w:rFonts w:ascii="Times New Roman" w:hAnsi="Times New Roman" w:cs="Times New Roman"/>
          <w:sz w:val="24"/>
          <w:szCs w:val="24"/>
        </w:rPr>
        <w:t>, S. L. (2024). Co-design of a personalised digital intervention to improve vegetable intake in adults living in Australian rural communities. </w:t>
      </w:r>
      <w:r w:rsidRPr="00DC4369">
        <w:rPr>
          <w:rFonts w:ascii="Times New Roman" w:hAnsi="Times New Roman" w:cs="Times New Roman"/>
          <w:b/>
          <w:bCs/>
          <w:i/>
          <w:iCs/>
          <w:sz w:val="24"/>
          <w:szCs w:val="24"/>
        </w:rPr>
        <w:t>BMC Public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24</w:t>
      </w:r>
      <w:r w:rsidRPr="00DC4369">
        <w:rPr>
          <w:rFonts w:ascii="Times New Roman" w:hAnsi="Times New Roman" w:cs="Times New Roman"/>
          <w:sz w:val="24"/>
          <w:szCs w:val="24"/>
        </w:rPr>
        <w:t>(1), 146.</w:t>
      </w:r>
    </w:p>
    <w:p w14:paraId="64F1ABF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Giebel, G. D., </w:t>
      </w:r>
      <w:proofErr w:type="spellStart"/>
      <w:r w:rsidRPr="00DC4369">
        <w:rPr>
          <w:rFonts w:ascii="Times New Roman" w:hAnsi="Times New Roman" w:cs="Times New Roman"/>
          <w:sz w:val="24"/>
          <w:szCs w:val="24"/>
        </w:rPr>
        <w:t>Speckemeier</w:t>
      </w:r>
      <w:proofErr w:type="spellEnd"/>
      <w:r w:rsidRPr="00DC4369">
        <w:rPr>
          <w:rFonts w:ascii="Times New Roman" w:hAnsi="Times New Roman" w:cs="Times New Roman"/>
          <w:sz w:val="24"/>
          <w:szCs w:val="24"/>
        </w:rPr>
        <w:t xml:space="preserve">, C., Abels, C., Plescher, F., </w:t>
      </w:r>
      <w:proofErr w:type="spellStart"/>
      <w:r w:rsidRPr="00DC4369">
        <w:rPr>
          <w:rFonts w:ascii="Times New Roman" w:hAnsi="Times New Roman" w:cs="Times New Roman"/>
          <w:sz w:val="24"/>
          <w:szCs w:val="24"/>
        </w:rPr>
        <w:t>Börchers</w:t>
      </w:r>
      <w:proofErr w:type="spellEnd"/>
      <w:r w:rsidRPr="00DC4369">
        <w:rPr>
          <w:rFonts w:ascii="Times New Roman" w:hAnsi="Times New Roman" w:cs="Times New Roman"/>
          <w:sz w:val="24"/>
          <w:szCs w:val="24"/>
        </w:rPr>
        <w:t xml:space="preserve">, K., Wasem, </w:t>
      </w:r>
      <w:r w:rsidRPr="00DC4369">
        <w:rPr>
          <w:rFonts w:ascii="Times New Roman" w:hAnsi="Times New Roman" w:cs="Times New Roman"/>
          <w:sz w:val="24"/>
          <w:szCs w:val="24"/>
        </w:rPr>
        <w:lastRenderedPageBreak/>
        <w:t xml:space="preserve">J., ... &amp; </w:t>
      </w:r>
      <w:proofErr w:type="spellStart"/>
      <w:r w:rsidRPr="00DC4369">
        <w:rPr>
          <w:rFonts w:ascii="Times New Roman" w:hAnsi="Times New Roman" w:cs="Times New Roman"/>
          <w:sz w:val="24"/>
          <w:szCs w:val="24"/>
        </w:rPr>
        <w:t>Neusser</w:t>
      </w:r>
      <w:proofErr w:type="spellEnd"/>
      <w:r w:rsidRPr="00DC4369">
        <w:rPr>
          <w:rFonts w:ascii="Times New Roman" w:hAnsi="Times New Roman" w:cs="Times New Roman"/>
          <w:sz w:val="24"/>
          <w:szCs w:val="24"/>
        </w:rPr>
        <w:t>, S. (2023). Problems and barriers related to the use of digital health applications: scoping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25</w:t>
      </w:r>
      <w:r w:rsidRPr="00DC4369">
        <w:rPr>
          <w:rFonts w:ascii="Times New Roman" w:hAnsi="Times New Roman" w:cs="Times New Roman"/>
          <w:sz w:val="24"/>
          <w:szCs w:val="24"/>
        </w:rPr>
        <w:t>, e43808.</w:t>
      </w:r>
    </w:p>
    <w:p w14:paraId="2B2BAC6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Pérez-Jover, V., Sala-González, M., </w:t>
      </w:r>
      <w:proofErr w:type="spellStart"/>
      <w:r w:rsidRPr="00DC4369">
        <w:rPr>
          <w:rFonts w:ascii="Times New Roman" w:hAnsi="Times New Roman" w:cs="Times New Roman"/>
          <w:sz w:val="24"/>
          <w:szCs w:val="24"/>
        </w:rPr>
        <w:t>Guilabert</w:t>
      </w:r>
      <w:proofErr w:type="spellEnd"/>
      <w:r w:rsidRPr="00DC4369">
        <w:rPr>
          <w:rFonts w:ascii="Times New Roman" w:hAnsi="Times New Roman" w:cs="Times New Roman"/>
          <w:sz w:val="24"/>
          <w:szCs w:val="24"/>
        </w:rPr>
        <w:t>, M., &amp; Mira, J. J. (2019). Mobile apps for increasing treatment adherence: systematic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21</w:t>
      </w:r>
      <w:r w:rsidRPr="00DC4369">
        <w:rPr>
          <w:rFonts w:ascii="Times New Roman" w:hAnsi="Times New Roman" w:cs="Times New Roman"/>
          <w:sz w:val="24"/>
          <w:szCs w:val="24"/>
        </w:rPr>
        <w:t>(6), e12505.</w:t>
      </w:r>
    </w:p>
    <w:p w14:paraId="45811E8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Ye, J., Hai, J., Song, J., &amp; Wang, Z. (2024). The role of artificial intelligence in the application of the integrated electronic health records and patient-generated health data</w:t>
      </w:r>
      <w:r w:rsidRPr="00DC4369">
        <w:rPr>
          <w:rFonts w:ascii="Times New Roman" w:hAnsi="Times New Roman" w:cs="Times New Roman"/>
          <w:b/>
          <w:bCs/>
          <w:sz w:val="24"/>
          <w:szCs w:val="24"/>
        </w:rPr>
        <w:t>. </w:t>
      </w:r>
      <w:proofErr w:type="spellStart"/>
      <w:r w:rsidRPr="00DC4369">
        <w:rPr>
          <w:rFonts w:ascii="Times New Roman" w:hAnsi="Times New Roman" w:cs="Times New Roman"/>
          <w:b/>
          <w:bCs/>
          <w:i/>
          <w:iCs/>
          <w:sz w:val="24"/>
          <w:szCs w:val="24"/>
        </w:rPr>
        <w:t>medRxiv</w:t>
      </w:r>
      <w:proofErr w:type="spellEnd"/>
      <w:r w:rsidRPr="00DC4369">
        <w:rPr>
          <w:rFonts w:ascii="Times New Roman" w:hAnsi="Times New Roman" w:cs="Times New Roman"/>
          <w:sz w:val="24"/>
          <w:szCs w:val="24"/>
        </w:rPr>
        <w:t>, 2024-05.</w:t>
      </w:r>
    </w:p>
    <w:p w14:paraId="057D8667"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Liu, Y., Wang, S., Xie, Y., Xiong, T., &amp; Wu, M. (2024). A review of sensing technologies for indoor autonomous mobile robots. </w:t>
      </w:r>
      <w:r w:rsidRPr="00DC4369">
        <w:rPr>
          <w:rFonts w:ascii="Times New Roman" w:hAnsi="Times New Roman" w:cs="Times New Roman"/>
          <w:b/>
          <w:bCs/>
          <w:i/>
          <w:iCs/>
          <w:sz w:val="24"/>
          <w:szCs w:val="24"/>
        </w:rPr>
        <w:t>Sensors,</w:t>
      </w:r>
      <w:r w:rsidRPr="00DC4369">
        <w:rPr>
          <w:rFonts w:ascii="Times New Roman" w:hAnsi="Times New Roman" w:cs="Times New Roman"/>
          <w:sz w:val="24"/>
          <w:szCs w:val="24"/>
        </w:rPr>
        <w:t> </w:t>
      </w:r>
      <w:r w:rsidRPr="00DC4369">
        <w:rPr>
          <w:rFonts w:ascii="Times New Roman" w:hAnsi="Times New Roman" w:cs="Times New Roman"/>
          <w:i/>
          <w:iCs/>
          <w:sz w:val="24"/>
          <w:szCs w:val="24"/>
        </w:rPr>
        <w:t>24</w:t>
      </w:r>
      <w:r w:rsidRPr="00DC4369">
        <w:rPr>
          <w:rFonts w:ascii="Times New Roman" w:hAnsi="Times New Roman" w:cs="Times New Roman"/>
          <w:sz w:val="24"/>
          <w:szCs w:val="24"/>
        </w:rPr>
        <w:t>(4), 1222.</w:t>
      </w:r>
    </w:p>
    <w:sectPr w:rsidR="008C0357" w:rsidRPr="00DC43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1E35" w14:textId="77777777" w:rsidR="00604F0F" w:rsidRDefault="00604F0F" w:rsidP="0071269D">
      <w:r>
        <w:separator/>
      </w:r>
    </w:p>
  </w:endnote>
  <w:endnote w:type="continuationSeparator" w:id="0">
    <w:p w14:paraId="38EA65BB" w14:textId="77777777" w:rsidR="00604F0F" w:rsidRDefault="00604F0F" w:rsidP="0071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charset w:val="00"/>
    <w:family w:val="auto"/>
    <w:pitch w:val="default"/>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FFA9" w14:textId="77777777" w:rsidR="0071269D" w:rsidRDefault="0071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632" w14:textId="77777777" w:rsidR="0071269D" w:rsidRDefault="0071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356C" w14:textId="77777777" w:rsidR="0071269D" w:rsidRDefault="0071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177A" w14:textId="77777777" w:rsidR="00604F0F" w:rsidRDefault="00604F0F" w:rsidP="0071269D">
      <w:r>
        <w:separator/>
      </w:r>
    </w:p>
  </w:footnote>
  <w:footnote w:type="continuationSeparator" w:id="0">
    <w:p w14:paraId="05D3EFAA" w14:textId="77777777" w:rsidR="00604F0F" w:rsidRDefault="00604F0F" w:rsidP="0071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11AC" w14:textId="77777777" w:rsidR="0071269D" w:rsidRDefault="00712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7794" w14:textId="77777777" w:rsidR="0071269D" w:rsidRDefault="00712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E23A" w14:textId="77777777" w:rsidR="0071269D" w:rsidRDefault="00712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630"/>
    <w:multiLevelType w:val="multilevel"/>
    <w:tmpl w:val="966C17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3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9"/>
    <w:rsid w:val="00050974"/>
    <w:rsid w:val="00064881"/>
    <w:rsid w:val="00073AE9"/>
    <w:rsid w:val="00075CAA"/>
    <w:rsid w:val="000977CE"/>
    <w:rsid w:val="00190860"/>
    <w:rsid w:val="001975FE"/>
    <w:rsid w:val="001A1E38"/>
    <w:rsid w:val="001D7895"/>
    <w:rsid w:val="0020055F"/>
    <w:rsid w:val="00230087"/>
    <w:rsid w:val="0023767B"/>
    <w:rsid w:val="002D7D87"/>
    <w:rsid w:val="00306998"/>
    <w:rsid w:val="00320991"/>
    <w:rsid w:val="0032207C"/>
    <w:rsid w:val="003829AA"/>
    <w:rsid w:val="003E780F"/>
    <w:rsid w:val="00413D3F"/>
    <w:rsid w:val="004639CC"/>
    <w:rsid w:val="005254FF"/>
    <w:rsid w:val="00545112"/>
    <w:rsid w:val="0055415F"/>
    <w:rsid w:val="00582547"/>
    <w:rsid w:val="005E338B"/>
    <w:rsid w:val="00604F0F"/>
    <w:rsid w:val="006217BF"/>
    <w:rsid w:val="006D05E5"/>
    <w:rsid w:val="0071269D"/>
    <w:rsid w:val="0071469C"/>
    <w:rsid w:val="0073782E"/>
    <w:rsid w:val="007939D8"/>
    <w:rsid w:val="00820E20"/>
    <w:rsid w:val="008C0357"/>
    <w:rsid w:val="00955028"/>
    <w:rsid w:val="009A49D1"/>
    <w:rsid w:val="00A11D5F"/>
    <w:rsid w:val="00A4226D"/>
    <w:rsid w:val="00A705C9"/>
    <w:rsid w:val="00A80AF9"/>
    <w:rsid w:val="00AC2DEE"/>
    <w:rsid w:val="00AF725B"/>
    <w:rsid w:val="00B005F6"/>
    <w:rsid w:val="00B1730D"/>
    <w:rsid w:val="00B17B99"/>
    <w:rsid w:val="00B41524"/>
    <w:rsid w:val="00B4621E"/>
    <w:rsid w:val="00BF2AE2"/>
    <w:rsid w:val="00C33F36"/>
    <w:rsid w:val="00C86785"/>
    <w:rsid w:val="00CC3AA7"/>
    <w:rsid w:val="00CD1167"/>
    <w:rsid w:val="00D00708"/>
    <w:rsid w:val="00DD232D"/>
    <w:rsid w:val="00DF394B"/>
    <w:rsid w:val="00F25E38"/>
    <w:rsid w:val="00F34619"/>
    <w:rsid w:val="00FC7FF8"/>
    <w:rsid w:val="00FE0CD6"/>
    <w:rsid w:val="00FF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B6D1"/>
  <w15:chartTrackingRefBased/>
  <w15:docId w15:val="{E95D62DF-0865-4F8F-9704-C9A07CC6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19"/>
    <w:pPr>
      <w:widowControl w:val="0"/>
      <w:spacing w:after="0" w:line="240" w:lineRule="auto"/>
    </w:pPr>
    <w:rPr>
      <w:rFonts w:ascii="Arial" w:eastAsia="Arial" w:hAnsi="Arial" w:cs="Arial"/>
      <w:kern w:val="0"/>
      <w:lang w:eastAsia="en-IN"/>
      <w14:ligatures w14:val="none"/>
    </w:rPr>
  </w:style>
  <w:style w:type="paragraph" w:styleId="Heading1">
    <w:name w:val="heading 1"/>
    <w:basedOn w:val="Normal"/>
    <w:next w:val="Normal"/>
    <w:link w:val="Heading1Char"/>
    <w:uiPriority w:val="9"/>
    <w:qFormat/>
    <w:rsid w:val="00F34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4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4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619"/>
    <w:rPr>
      <w:rFonts w:eastAsiaTheme="majorEastAsia" w:cstheme="majorBidi"/>
      <w:color w:val="272727" w:themeColor="text1" w:themeTint="D8"/>
    </w:rPr>
  </w:style>
  <w:style w:type="paragraph" w:styleId="Title">
    <w:name w:val="Title"/>
    <w:basedOn w:val="Normal"/>
    <w:next w:val="Normal"/>
    <w:link w:val="TitleChar"/>
    <w:uiPriority w:val="10"/>
    <w:qFormat/>
    <w:rsid w:val="00F34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619"/>
    <w:pPr>
      <w:spacing w:before="160"/>
      <w:jc w:val="center"/>
    </w:pPr>
    <w:rPr>
      <w:i/>
      <w:iCs/>
      <w:color w:val="404040" w:themeColor="text1" w:themeTint="BF"/>
    </w:rPr>
  </w:style>
  <w:style w:type="character" w:customStyle="1" w:styleId="QuoteChar">
    <w:name w:val="Quote Char"/>
    <w:basedOn w:val="DefaultParagraphFont"/>
    <w:link w:val="Quote"/>
    <w:uiPriority w:val="29"/>
    <w:rsid w:val="00F34619"/>
    <w:rPr>
      <w:i/>
      <w:iCs/>
      <w:color w:val="404040" w:themeColor="text1" w:themeTint="BF"/>
    </w:rPr>
  </w:style>
  <w:style w:type="paragraph" w:styleId="ListParagraph">
    <w:name w:val="List Paragraph"/>
    <w:basedOn w:val="Normal"/>
    <w:uiPriority w:val="34"/>
    <w:qFormat/>
    <w:rsid w:val="00F34619"/>
    <w:pPr>
      <w:ind w:left="720"/>
      <w:contextualSpacing/>
    </w:pPr>
  </w:style>
  <w:style w:type="character" w:styleId="IntenseEmphasis">
    <w:name w:val="Intense Emphasis"/>
    <w:basedOn w:val="DefaultParagraphFont"/>
    <w:uiPriority w:val="21"/>
    <w:qFormat/>
    <w:rsid w:val="00F34619"/>
    <w:rPr>
      <w:i/>
      <w:iCs/>
      <w:color w:val="2F5496" w:themeColor="accent1" w:themeShade="BF"/>
    </w:rPr>
  </w:style>
  <w:style w:type="paragraph" w:styleId="IntenseQuote">
    <w:name w:val="Intense Quote"/>
    <w:basedOn w:val="Normal"/>
    <w:next w:val="Normal"/>
    <w:link w:val="IntenseQuoteChar"/>
    <w:uiPriority w:val="30"/>
    <w:qFormat/>
    <w:rsid w:val="00F34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619"/>
    <w:rPr>
      <w:i/>
      <w:iCs/>
      <w:color w:val="2F5496" w:themeColor="accent1" w:themeShade="BF"/>
    </w:rPr>
  </w:style>
  <w:style w:type="character" w:styleId="IntenseReference">
    <w:name w:val="Intense Reference"/>
    <w:basedOn w:val="DefaultParagraphFont"/>
    <w:uiPriority w:val="32"/>
    <w:qFormat/>
    <w:rsid w:val="00F34619"/>
    <w:rPr>
      <w:b/>
      <w:bCs/>
      <w:smallCaps/>
      <w:color w:val="2F5496" w:themeColor="accent1" w:themeShade="BF"/>
      <w:spacing w:val="5"/>
    </w:rPr>
  </w:style>
  <w:style w:type="table" w:styleId="TableGrid">
    <w:name w:val="Table Grid"/>
    <w:basedOn w:val="TableNormal"/>
    <w:uiPriority w:val="39"/>
    <w:rsid w:val="00F34619"/>
    <w:pPr>
      <w:widowControl w:val="0"/>
      <w:spacing w:after="0" w:line="240" w:lineRule="auto"/>
    </w:pPr>
    <w:rPr>
      <w:rFonts w:ascii="Arial" w:eastAsia="Arial" w:hAnsi="Arial" w:cs="Arial"/>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69D"/>
    <w:pPr>
      <w:tabs>
        <w:tab w:val="center" w:pos="4513"/>
        <w:tab w:val="right" w:pos="9026"/>
      </w:tabs>
    </w:pPr>
  </w:style>
  <w:style w:type="character" w:customStyle="1" w:styleId="HeaderChar">
    <w:name w:val="Header Char"/>
    <w:basedOn w:val="DefaultParagraphFont"/>
    <w:link w:val="Header"/>
    <w:uiPriority w:val="99"/>
    <w:rsid w:val="0071269D"/>
    <w:rPr>
      <w:rFonts w:ascii="Arial" w:eastAsia="Arial" w:hAnsi="Arial" w:cs="Arial"/>
      <w:kern w:val="0"/>
      <w:lang w:eastAsia="en-IN"/>
      <w14:ligatures w14:val="none"/>
    </w:rPr>
  </w:style>
  <w:style w:type="paragraph" w:styleId="Footer">
    <w:name w:val="footer"/>
    <w:basedOn w:val="Normal"/>
    <w:link w:val="FooterChar"/>
    <w:uiPriority w:val="99"/>
    <w:unhideWhenUsed/>
    <w:rsid w:val="0071269D"/>
    <w:pPr>
      <w:tabs>
        <w:tab w:val="center" w:pos="4513"/>
        <w:tab w:val="right" w:pos="9026"/>
      </w:tabs>
    </w:pPr>
  </w:style>
  <w:style w:type="character" w:customStyle="1" w:styleId="FooterChar">
    <w:name w:val="Footer Char"/>
    <w:basedOn w:val="DefaultParagraphFont"/>
    <w:link w:val="Footer"/>
    <w:uiPriority w:val="99"/>
    <w:rsid w:val="0071269D"/>
    <w:rPr>
      <w:rFonts w:ascii="Arial" w:eastAsia="Arial" w:hAnsi="Arial" w:cs="Arial"/>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7971</Words>
  <Characters>45436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khalilulrahman821@outlook.com</dc:creator>
  <cp:keywords/>
  <dc:description/>
  <cp:lastModifiedBy>khalilulrahman821@outlook.com</cp:lastModifiedBy>
  <cp:revision>2</cp:revision>
  <dcterms:created xsi:type="dcterms:W3CDTF">2025-08-03T09:57:00Z</dcterms:created>
  <dcterms:modified xsi:type="dcterms:W3CDTF">2025-08-03T09:57:00Z</dcterms:modified>
</cp:coreProperties>
</file>