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C48" w:rsidRPr="005406B8" w:rsidRDefault="00915C48" w:rsidP="006F2798">
      <w:pPr>
        <w:spacing w:before="100" w:beforeAutospacing="1" w:after="100" w:afterAutospacing="1"/>
        <w:jc w:val="center"/>
        <w:outlineLvl w:val="0"/>
        <w:rPr>
          <w:rFonts w:ascii="Times New Roman" w:eastAsia="Times New Roman" w:hAnsi="Times New Roman" w:cs="Times New Roman"/>
          <w:b/>
          <w:bCs/>
          <w:kern w:val="36"/>
          <w:sz w:val="36"/>
          <w:szCs w:val="24"/>
        </w:rPr>
      </w:pPr>
      <w:r w:rsidRPr="005406B8">
        <w:rPr>
          <w:rFonts w:ascii="Times New Roman" w:eastAsia="Times New Roman" w:hAnsi="Times New Roman" w:cs="Times New Roman"/>
          <w:b/>
          <w:bCs/>
          <w:kern w:val="36"/>
          <w:sz w:val="36"/>
          <w:szCs w:val="24"/>
        </w:rPr>
        <w:t>Household Income Allocation and Investment Behavior in India: Insights from SEBI Investor Survey 2025</w:t>
      </w:r>
    </w:p>
    <w:p w:rsidR="004C73CB" w:rsidRDefault="004C73CB" w:rsidP="004C73CB">
      <w:pPr>
        <w:spacing w:after="0" w:line="240" w:lineRule="auto"/>
        <w:ind w:left="1077" w:hanging="720"/>
        <w:contextualSpacing/>
        <w:jc w:val="center"/>
        <w:rPr>
          <w:b/>
          <w:bCs/>
          <w:sz w:val="28"/>
          <w:szCs w:val="28"/>
        </w:rPr>
      </w:pPr>
      <w:r>
        <w:rPr>
          <w:b/>
          <w:bCs/>
          <w:sz w:val="28"/>
          <w:szCs w:val="28"/>
        </w:rPr>
        <w:t xml:space="preserve">Dr. </w:t>
      </w:r>
      <w:proofErr w:type="spellStart"/>
      <w:r>
        <w:rPr>
          <w:b/>
          <w:bCs/>
          <w:sz w:val="28"/>
          <w:szCs w:val="28"/>
        </w:rPr>
        <w:t>Santosh</w:t>
      </w:r>
      <w:proofErr w:type="spellEnd"/>
      <w:r>
        <w:rPr>
          <w:b/>
          <w:bCs/>
          <w:sz w:val="28"/>
          <w:szCs w:val="28"/>
        </w:rPr>
        <w:t xml:space="preserve"> B. </w:t>
      </w:r>
      <w:proofErr w:type="spellStart"/>
      <w:r>
        <w:rPr>
          <w:b/>
          <w:bCs/>
          <w:sz w:val="28"/>
          <w:szCs w:val="28"/>
        </w:rPr>
        <w:t>Kabade</w:t>
      </w:r>
      <w:proofErr w:type="spellEnd"/>
    </w:p>
    <w:p w:rsidR="004C73CB" w:rsidRPr="00FC367E" w:rsidRDefault="004C73CB" w:rsidP="004C73CB">
      <w:pPr>
        <w:spacing w:after="0" w:line="240" w:lineRule="auto"/>
        <w:ind w:left="1077" w:hanging="720"/>
        <w:contextualSpacing/>
        <w:jc w:val="center"/>
        <w:rPr>
          <w:bCs/>
          <w:sz w:val="28"/>
          <w:szCs w:val="28"/>
        </w:rPr>
      </w:pPr>
      <w:r w:rsidRPr="00FC367E">
        <w:rPr>
          <w:bCs/>
          <w:sz w:val="28"/>
          <w:szCs w:val="28"/>
        </w:rPr>
        <w:t>Associate Professor</w:t>
      </w:r>
    </w:p>
    <w:p w:rsidR="004C73CB" w:rsidRPr="00FC367E" w:rsidRDefault="004C73CB" w:rsidP="004C73CB">
      <w:pPr>
        <w:spacing w:after="0" w:line="240" w:lineRule="auto"/>
        <w:ind w:left="1077" w:hanging="720"/>
        <w:contextualSpacing/>
        <w:jc w:val="center"/>
        <w:rPr>
          <w:bCs/>
          <w:sz w:val="28"/>
          <w:szCs w:val="28"/>
        </w:rPr>
      </w:pPr>
      <w:r w:rsidRPr="00FC367E">
        <w:rPr>
          <w:bCs/>
          <w:sz w:val="28"/>
          <w:szCs w:val="28"/>
        </w:rPr>
        <w:t>Government First Grade College</w:t>
      </w:r>
      <w:r>
        <w:rPr>
          <w:bCs/>
          <w:sz w:val="28"/>
          <w:szCs w:val="28"/>
        </w:rPr>
        <w:t xml:space="preserve">, </w:t>
      </w:r>
      <w:proofErr w:type="spellStart"/>
      <w:r>
        <w:rPr>
          <w:bCs/>
          <w:sz w:val="28"/>
          <w:szCs w:val="28"/>
        </w:rPr>
        <w:t>Navabag</w:t>
      </w:r>
      <w:proofErr w:type="spellEnd"/>
    </w:p>
    <w:p w:rsidR="004C73CB" w:rsidRPr="00FC367E" w:rsidRDefault="004C73CB" w:rsidP="004C73CB">
      <w:pPr>
        <w:spacing w:after="0" w:line="240" w:lineRule="auto"/>
        <w:ind w:left="1077" w:hanging="720"/>
        <w:contextualSpacing/>
        <w:jc w:val="center"/>
        <w:rPr>
          <w:bCs/>
          <w:sz w:val="28"/>
          <w:szCs w:val="28"/>
        </w:rPr>
      </w:pPr>
      <w:r w:rsidRPr="00FC367E">
        <w:rPr>
          <w:bCs/>
          <w:sz w:val="28"/>
          <w:szCs w:val="28"/>
        </w:rPr>
        <w:t>Vijayapur-586101</w:t>
      </w:r>
      <w:r>
        <w:rPr>
          <w:bCs/>
          <w:sz w:val="28"/>
          <w:szCs w:val="28"/>
        </w:rPr>
        <w:t xml:space="preserve"> (Karnataka)</w:t>
      </w:r>
    </w:p>
    <w:p w:rsidR="004C73CB" w:rsidRPr="00FC367E" w:rsidRDefault="004C73CB" w:rsidP="004C73CB">
      <w:pPr>
        <w:spacing w:after="0" w:line="240" w:lineRule="auto"/>
        <w:ind w:left="1077" w:hanging="720"/>
        <w:contextualSpacing/>
        <w:jc w:val="center"/>
        <w:rPr>
          <w:bCs/>
          <w:sz w:val="28"/>
          <w:szCs w:val="28"/>
        </w:rPr>
      </w:pPr>
      <w:r w:rsidRPr="00FC367E">
        <w:rPr>
          <w:bCs/>
          <w:sz w:val="28"/>
          <w:szCs w:val="28"/>
        </w:rPr>
        <w:t>Mobile No.8073</w:t>
      </w:r>
      <w:r>
        <w:rPr>
          <w:bCs/>
          <w:sz w:val="28"/>
          <w:szCs w:val="28"/>
        </w:rPr>
        <w:t>23</w:t>
      </w:r>
      <w:r w:rsidRPr="00FC367E">
        <w:rPr>
          <w:bCs/>
          <w:sz w:val="28"/>
          <w:szCs w:val="28"/>
        </w:rPr>
        <w:t>3451</w:t>
      </w:r>
      <w:r>
        <w:rPr>
          <w:bCs/>
          <w:sz w:val="28"/>
          <w:szCs w:val="28"/>
        </w:rPr>
        <w:t xml:space="preserve"> / 9986529073</w:t>
      </w:r>
    </w:p>
    <w:p w:rsidR="004C73CB" w:rsidRPr="004C73CB" w:rsidRDefault="004C73CB" w:rsidP="004C73CB">
      <w:pPr>
        <w:spacing w:after="0" w:line="240" w:lineRule="auto"/>
        <w:ind w:left="1077" w:hanging="720"/>
        <w:contextualSpacing/>
        <w:jc w:val="center"/>
        <w:rPr>
          <w:bCs/>
          <w:sz w:val="28"/>
          <w:szCs w:val="28"/>
        </w:rPr>
      </w:pPr>
      <w:r w:rsidRPr="00FC367E">
        <w:rPr>
          <w:bCs/>
          <w:sz w:val="28"/>
          <w:szCs w:val="28"/>
        </w:rPr>
        <w:t xml:space="preserve">Mail: </w:t>
      </w:r>
      <w:hyperlink r:id="rId8" w:history="1">
        <w:r w:rsidRPr="00324591">
          <w:rPr>
            <w:rStyle w:val="Hyperlink"/>
            <w:bCs/>
            <w:sz w:val="28"/>
            <w:szCs w:val="28"/>
          </w:rPr>
          <w:t>prof.santosh.b.kabade@gmail.com</w:t>
        </w:r>
      </w:hyperlink>
    </w:p>
    <w:p w:rsidR="00915C48" w:rsidRPr="005406B8" w:rsidRDefault="00915C48" w:rsidP="005406B8">
      <w:pPr>
        <w:pStyle w:val="ListParagraph"/>
        <w:numPr>
          <w:ilvl w:val="0"/>
          <w:numId w:val="15"/>
        </w:numPr>
        <w:spacing w:before="100" w:beforeAutospacing="1" w:after="0" w:line="360" w:lineRule="auto"/>
        <w:jc w:val="both"/>
        <w:outlineLvl w:val="1"/>
        <w:rPr>
          <w:rFonts w:ascii="Times New Roman" w:eastAsia="Times New Roman" w:hAnsi="Times New Roman" w:cs="Times New Roman"/>
          <w:b/>
          <w:bCs/>
          <w:sz w:val="24"/>
          <w:szCs w:val="24"/>
        </w:rPr>
      </w:pPr>
      <w:r w:rsidRPr="005406B8">
        <w:rPr>
          <w:rFonts w:ascii="Times New Roman" w:eastAsia="Times New Roman" w:hAnsi="Times New Roman" w:cs="Times New Roman"/>
          <w:b/>
          <w:bCs/>
          <w:sz w:val="24"/>
          <w:szCs w:val="24"/>
        </w:rPr>
        <w:t>Abstract</w:t>
      </w:r>
    </w:p>
    <w:p w:rsidR="00915C48" w:rsidRPr="005406B8" w:rsidRDefault="00915C48" w:rsidP="005406B8">
      <w:pPr>
        <w:spacing w:before="100" w:beforeAutospacing="1" w:after="0" w:line="360" w:lineRule="auto"/>
        <w:ind w:left="720" w:firstLine="720"/>
        <w:contextualSpacing/>
        <w:jc w:val="both"/>
        <w:rPr>
          <w:rFonts w:ascii="Times New Roman" w:eastAsia="Times New Roman" w:hAnsi="Times New Roman" w:cs="Times New Roman"/>
          <w:sz w:val="24"/>
          <w:szCs w:val="24"/>
        </w:rPr>
      </w:pPr>
      <w:r w:rsidRPr="005406B8">
        <w:rPr>
          <w:rFonts w:ascii="Times New Roman" w:eastAsia="Times New Roman" w:hAnsi="Times New Roman" w:cs="Times New Roman"/>
          <w:sz w:val="24"/>
          <w:szCs w:val="24"/>
        </w:rPr>
        <w:t xml:space="preserve">The </w:t>
      </w:r>
      <w:r w:rsidRPr="005406B8">
        <w:rPr>
          <w:rFonts w:ascii="Times New Roman" w:eastAsia="Times New Roman" w:hAnsi="Times New Roman" w:cs="Times New Roman"/>
          <w:b/>
          <w:bCs/>
          <w:sz w:val="24"/>
          <w:szCs w:val="24"/>
        </w:rPr>
        <w:t>SEBI Investor Survey 2025</w:t>
      </w:r>
      <w:r w:rsidRPr="005406B8">
        <w:rPr>
          <w:rFonts w:ascii="Times New Roman" w:eastAsia="Times New Roman" w:hAnsi="Times New Roman" w:cs="Times New Roman"/>
          <w:sz w:val="24"/>
          <w:szCs w:val="24"/>
        </w:rPr>
        <w:t xml:space="preserve"> highlights the financial behavior of Indian households, revealing a significant gap between awareness and actual investment participation. While households demonstrate moderate awareness of financial products and institutions, only a small proportion of income is allocated toward investments. This article analyzes income allocation patterns, investment preferences, financial goals, and awareness levels, offering insights into the evolving investment landscape in India.</w:t>
      </w:r>
    </w:p>
    <w:p w:rsidR="00915C48" w:rsidRPr="005406B8" w:rsidRDefault="00915C48" w:rsidP="005406B8">
      <w:pPr>
        <w:pStyle w:val="ListParagraph"/>
        <w:numPr>
          <w:ilvl w:val="0"/>
          <w:numId w:val="15"/>
        </w:numPr>
        <w:spacing w:before="100" w:beforeAutospacing="1" w:after="0" w:line="360" w:lineRule="auto"/>
        <w:jc w:val="both"/>
        <w:outlineLvl w:val="1"/>
        <w:rPr>
          <w:rFonts w:ascii="Times New Roman" w:eastAsia="Times New Roman" w:hAnsi="Times New Roman" w:cs="Times New Roman"/>
          <w:b/>
          <w:bCs/>
          <w:sz w:val="24"/>
          <w:szCs w:val="24"/>
        </w:rPr>
      </w:pPr>
      <w:r w:rsidRPr="005406B8">
        <w:rPr>
          <w:rFonts w:ascii="Times New Roman" w:eastAsia="Times New Roman" w:hAnsi="Times New Roman" w:cs="Times New Roman"/>
          <w:b/>
          <w:bCs/>
          <w:sz w:val="24"/>
          <w:szCs w:val="24"/>
        </w:rPr>
        <w:t>Keywords</w:t>
      </w:r>
    </w:p>
    <w:p w:rsidR="00915C48" w:rsidRPr="005406B8" w:rsidRDefault="00915C48" w:rsidP="005406B8">
      <w:pPr>
        <w:spacing w:before="100" w:beforeAutospacing="1" w:after="0" w:line="360" w:lineRule="auto"/>
        <w:ind w:left="720" w:firstLine="360"/>
        <w:contextualSpacing/>
        <w:jc w:val="both"/>
        <w:rPr>
          <w:rFonts w:ascii="Times New Roman" w:eastAsia="Times New Roman" w:hAnsi="Times New Roman" w:cs="Times New Roman"/>
          <w:sz w:val="24"/>
          <w:szCs w:val="24"/>
        </w:rPr>
      </w:pPr>
      <w:r w:rsidRPr="005406B8">
        <w:rPr>
          <w:rFonts w:ascii="Times New Roman" w:eastAsia="Times New Roman" w:hAnsi="Times New Roman" w:cs="Times New Roman"/>
          <w:sz w:val="24"/>
          <w:szCs w:val="24"/>
        </w:rPr>
        <w:t>SEBI Investor Survey 2025, Household Finance, Investment Behavior, Financial Awareness, Fixed Deposits, Mutual Funds, India Savings Pattern, Financial Inclusion</w:t>
      </w:r>
    </w:p>
    <w:p w:rsidR="00915C48" w:rsidRPr="005406B8" w:rsidRDefault="00915C48" w:rsidP="005406B8">
      <w:pPr>
        <w:pStyle w:val="ListParagraph"/>
        <w:numPr>
          <w:ilvl w:val="0"/>
          <w:numId w:val="15"/>
        </w:numPr>
        <w:spacing w:before="100" w:beforeAutospacing="1" w:after="0" w:line="360" w:lineRule="auto"/>
        <w:jc w:val="both"/>
        <w:outlineLvl w:val="1"/>
        <w:rPr>
          <w:rFonts w:ascii="Times New Roman" w:eastAsia="Times New Roman" w:hAnsi="Times New Roman" w:cs="Times New Roman"/>
          <w:b/>
          <w:bCs/>
          <w:sz w:val="24"/>
          <w:szCs w:val="24"/>
        </w:rPr>
      </w:pPr>
      <w:r w:rsidRPr="005406B8">
        <w:rPr>
          <w:rFonts w:ascii="Times New Roman" w:eastAsia="Times New Roman" w:hAnsi="Times New Roman" w:cs="Times New Roman"/>
          <w:b/>
          <w:bCs/>
          <w:sz w:val="24"/>
          <w:szCs w:val="24"/>
        </w:rPr>
        <w:t>Introduction</w:t>
      </w:r>
    </w:p>
    <w:p w:rsidR="00915C48" w:rsidRPr="005406B8" w:rsidRDefault="00ED217C" w:rsidP="005406B8">
      <w:pPr>
        <w:spacing w:before="100" w:beforeAutospacing="1" w:after="0" w:line="360" w:lineRule="auto"/>
        <w:ind w:left="720" w:firstLine="360"/>
        <w:contextualSpacing/>
        <w:jc w:val="both"/>
        <w:rPr>
          <w:rFonts w:ascii="Times New Roman" w:eastAsia="Times New Roman" w:hAnsi="Times New Roman" w:cs="Times New Roman"/>
          <w:sz w:val="24"/>
          <w:szCs w:val="24"/>
        </w:rPr>
      </w:pPr>
      <w:r w:rsidRPr="005406B8">
        <w:rPr>
          <w:rFonts w:ascii="Times New Roman" w:hAnsi="Times New Roman" w:cs="Times New Roman"/>
          <w:noProof/>
          <w:sz w:val="24"/>
          <w:szCs w:val="24"/>
        </w:rPr>
        <w:drawing>
          <wp:anchor distT="0" distB="0" distL="114300" distR="114300" simplePos="0" relativeHeight="251658240" behindDoc="0" locked="0" layoutInCell="1" allowOverlap="1" wp14:anchorId="698C308F" wp14:editId="422FCCEB">
            <wp:simplePos x="0" y="0"/>
            <wp:positionH relativeFrom="margin">
              <wp:posOffset>683260</wp:posOffset>
            </wp:positionH>
            <wp:positionV relativeFrom="margin">
              <wp:posOffset>5206365</wp:posOffset>
            </wp:positionV>
            <wp:extent cx="2689860" cy="2212340"/>
            <wp:effectExtent l="0" t="0" r="0" b="0"/>
            <wp:wrapSquare wrapText="bothSides"/>
            <wp:docPr id="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srcRect l="35210" t="37135" r="34889" b="18581"/>
                    <a:stretch>
                      <a:fillRect/>
                    </a:stretch>
                  </pic:blipFill>
                  <pic:spPr bwMode="auto">
                    <a:xfrm>
                      <a:off x="0" y="0"/>
                      <a:ext cx="2689860" cy="2212340"/>
                    </a:xfrm>
                    <a:prstGeom prst="rect">
                      <a:avLst/>
                    </a:prstGeom>
                    <a:noFill/>
                    <a:ln w="9525">
                      <a:noFill/>
                      <a:miter lim="800000"/>
                      <a:headEnd/>
                      <a:tailEnd/>
                    </a:ln>
                  </pic:spPr>
                </pic:pic>
              </a:graphicData>
            </a:graphic>
          </wp:anchor>
        </w:drawing>
      </w:r>
      <w:r w:rsidR="00915C48" w:rsidRPr="005406B8">
        <w:rPr>
          <w:rFonts w:ascii="Times New Roman" w:eastAsia="Times New Roman" w:hAnsi="Times New Roman" w:cs="Times New Roman"/>
          <w:sz w:val="24"/>
          <w:szCs w:val="24"/>
        </w:rPr>
        <w:t>The Securities and Exchange Board of India (SEBI) plays a pivotal role in regulating and promoting investor protection in India. Its 2025 investor survey provides a comprehensive overview of how Indian households allocate income and approach investments.</w:t>
      </w:r>
    </w:p>
    <w:p w:rsidR="00915C48" w:rsidRPr="005406B8" w:rsidRDefault="00915C48" w:rsidP="005406B8">
      <w:pPr>
        <w:spacing w:before="100" w:beforeAutospacing="1" w:after="0" w:line="360" w:lineRule="auto"/>
        <w:ind w:left="720"/>
        <w:contextualSpacing/>
        <w:jc w:val="both"/>
        <w:rPr>
          <w:rFonts w:ascii="Times New Roman" w:eastAsia="Times New Roman" w:hAnsi="Times New Roman" w:cs="Times New Roman"/>
          <w:sz w:val="24"/>
          <w:szCs w:val="24"/>
        </w:rPr>
      </w:pPr>
      <w:r w:rsidRPr="005406B8">
        <w:rPr>
          <w:rFonts w:ascii="Times New Roman" w:eastAsia="Times New Roman" w:hAnsi="Times New Roman" w:cs="Times New Roman"/>
          <w:sz w:val="24"/>
          <w:szCs w:val="24"/>
        </w:rPr>
        <w:lastRenderedPageBreak/>
        <w:t>Despite increasing financial literacy and expanding access to financial products, traditional saving instruments continue to dominate. This reflects a cautious investment mindset shaped by risk aversion, economic uncertainty, and cultural preferences.</w:t>
      </w:r>
    </w:p>
    <w:p w:rsidR="00915C48" w:rsidRPr="005406B8" w:rsidRDefault="00BF1B59" w:rsidP="005406B8">
      <w:pPr>
        <w:spacing w:before="100" w:beforeAutospacing="1" w:after="0" w:line="360" w:lineRule="auto"/>
        <w:contextualSpacing/>
        <w:jc w:val="both"/>
        <w:outlineLvl w:val="1"/>
        <w:rPr>
          <w:rFonts w:ascii="Times New Roman" w:eastAsia="Times New Roman" w:hAnsi="Times New Roman" w:cs="Times New Roman"/>
          <w:b/>
          <w:bCs/>
          <w:sz w:val="24"/>
          <w:szCs w:val="24"/>
        </w:rPr>
      </w:pPr>
      <w:r w:rsidRPr="005406B8">
        <w:rPr>
          <w:rFonts w:ascii="Times New Roman" w:eastAsia="Times New Roman" w:hAnsi="Times New Roman" w:cs="Times New Roman"/>
          <w:b/>
          <w:bCs/>
          <w:sz w:val="24"/>
          <w:szCs w:val="24"/>
        </w:rPr>
        <w:t xml:space="preserve">4. </w:t>
      </w:r>
      <w:r w:rsidR="00915C48" w:rsidRPr="005406B8">
        <w:rPr>
          <w:rFonts w:ascii="Times New Roman" w:eastAsia="Times New Roman" w:hAnsi="Times New Roman" w:cs="Times New Roman"/>
          <w:b/>
          <w:bCs/>
          <w:sz w:val="24"/>
          <w:szCs w:val="24"/>
        </w:rPr>
        <w:t>Statistical Analysis Report</w:t>
      </w:r>
    </w:p>
    <w:p w:rsidR="003D248A" w:rsidRPr="005406B8" w:rsidRDefault="00915C48" w:rsidP="005406B8">
      <w:pPr>
        <w:spacing w:before="100" w:beforeAutospacing="1" w:after="0" w:line="360" w:lineRule="auto"/>
        <w:ind w:firstLine="720"/>
        <w:contextualSpacing/>
        <w:jc w:val="both"/>
        <w:outlineLvl w:val="2"/>
        <w:rPr>
          <w:rFonts w:ascii="Times New Roman" w:eastAsia="Times New Roman" w:hAnsi="Times New Roman" w:cs="Times New Roman"/>
          <w:b/>
          <w:bCs/>
          <w:sz w:val="24"/>
          <w:szCs w:val="24"/>
        </w:rPr>
      </w:pPr>
      <w:r w:rsidRPr="005406B8">
        <w:rPr>
          <w:rFonts w:ascii="Times New Roman" w:eastAsia="Times New Roman" w:hAnsi="Times New Roman" w:cs="Times New Roman"/>
          <w:b/>
          <w:bCs/>
          <w:sz w:val="24"/>
          <w:szCs w:val="24"/>
        </w:rPr>
        <w:t>1. Monthly Income Allocation</w:t>
      </w:r>
    </w:p>
    <w:p w:rsidR="003D248A" w:rsidRPr="005406B8" w:rsidRDefault="00915C48" w:rsidP="005406B8">
      <w:pPr>
        <w:pStyle w:val="NormalWeb"/>
        <w:spacing w:line="360" w:lineRule="auto"/>
        <w:ind w:left="1440" w:firstLine="720"/>
        <w:contextualSpacing/>
        <w:jc w:val="both"/>
      </w:pPr>
      <w:r w:rsidRPr="005406B8">
        <w:t>The survey reveals the following distribution of household income:</w:t>
      </w:r>
      <w:r w:rsidR="003D248A" w:rsidRPr="005406B8">
        <w:t xml:space="preserve"> The monthly income allocation shows how households distribute their earnings across different needs and priorities. A major portion, </w:t>
      </w:r>
      <w:r w:rsidR="003D248A" w:rsidRPr="005406B8">
        <w:rPr>
          <w:rStyle w:val="Strong"/>
        </w:rPr>
        <w:t>44%</w:t>
      </w:r>
      <w:r w:rsidR="003D248A" w:rsidRPr="005406B8">
        <w:t xml:space="preserve">, is spent on monthly expenses, which include essential costs such as rent, food, utilities, transportation, and basic healthcare; this indicates that nearly half of the income is required to maintain daily living, which is generally reasonable. Another </w:t>
      </w:r>
      <w:r w:rsidR="003D248A" w:rsidRPr="005406B8">
        <w:rPr>
          <w:rStyle w:val="Strong"/>
        </w:rPr>
        <w:t>23%</w:t>
      </w:r>
      <w:r w:rsidR="003D248A" w:rsidRPr="005406B8">
        <w:t xml:space="preserve"> goes toward other expenses, which are mostly non-essential or discretionary, such as entertainment, dining out, shopping, and travel, suggesting that a significant share of income is used for lifestyle and comfort, though it should be monitored to avoid overspending. The allocation of </w:t>
      </w:r>
      <w:r w:rsidR="003D248A" w:rsidRPr="005406B8">
        <w:rPr>
          <w:rStyle w:val="Strong"/>
        </w:rPr>
        <w:t>15% to savings</w:t>
      </w:r>
      <w:r w:rsidR="003D248A" w:rsidRPr="005406B8">
        <w:t xml:space="preserve"> reflects a good financial habit, as it helps build emergency funds and supports short-term goals, aligning well with recommended saving practices. Meanwhile, </w:t>
      </w:r>
      <w:r w:rsidR="003D248A" w:rsidRPr="005406B8">
        <w:rPr>
          <w:rStyle w:val="Strong"/>
        </w:rPr>
        <w:t>9% is invested</w:t>
      </w:r>
      <w:r w:rsidR="003D248A" w:rsidRPr="005406B8">
        <w:t xml:space="preserve"> in wealth-generating options like stocks, mutual funds, or retirement plans, indicating some focus on future financial growth, although increasing this share could further strengthen long-term financial security. Lastly, </w:t>
      </w:r>
      <w:r w:rsidR="003D248A" w:rsidRPr="005406B8">
        <w:rPr>
          <w:rStyle w:val="Strong"/>
        </w:rPr>
        <w:t>9% is used for debt repayment</w:t>
      </w:r>
      <w:r w:rsidR="003D248A" w:rsidRPr="005406B8">
        <w:t>, covering obligations like loans or credit card payments, which appears manageable and suggests that debt levels are under control. Overall, this distribution represents a fairly balanced financial approach with stable spending, decent savings, and controlled debt, though reducing discretionary expenses and increasing investments could improve long-term financial stability and wealth creation.</w:t>
      </w:r>
    </w:p>
    <w:p w:rsidR="00915C48" w:rsidRPr="005406B8" w:rsidRDefault="00915C48" w:rsidP="005406B8">
      <w:pPr>
        <w:spacing w:before="100" w:beforeAutospacing="1" w:after="0" w:line="360" w:lineRule="auto"/>
        <w:ind w:firstLine="720"/>
        <w:contextualSpacing/>
        <w:jc w:val="both"/>
        <w:outlineLvl w:val="2"/>
        <w:rPr>
          <w:rFonts w:ascii="Times New Roman" w:eastAsia="Times New Roman" w:hAnsi="Times New Roman" w:cs="Times New Roman"/>
          <w:b/>
          <w:bCs/>
          <w:sz w:val="24"/>
          <w:szCs w:val="24"/>
        </w:rPr>
      </w:pPr>
      <w:r w:rsidRPr="005406B8">
        <w:rPr>
          <w:rFonts w:ascii="Times New Roman" w:eastAsia="Times New Roman" w:hAnsi="Times New Roman" w:cs="Times New Roman"/>
          <w:b/>
          <w:bCs/>
          <w:sz w:val="24"/>
          <w:szCs w:val="24"/>
        </w:rPr>
        <w:t>2. Investment Preferences</w:t>
      </w:r>
    </w:p>
    <w:p w:rsidR="00915C48" w:rsidRPr="005406B8" w:rsidRDefault="00915C48" w:rsidP="005406B8">
      <w:pPr>
        <w:spacing w:before="100" w:beforeAutospacing="1" w:after="0" w:line="360" w:lineRule="auto"/>
        <w:ind w:left="1440" w:firstLine="720"/>
        <w:contextualSpacing/>
        <w:jc w:val="both"/>
        <w:rPr>
          <w:rFonts w:ascii="Times New Roman" w:eastAsia="Times New Roman" w:hAnsi="Times New Roman" w:cs="Times New Roman"/>
          <w:sz w:val="24"/>
          <w:szCs w:val="24"/>
        </w:rPr>
      </w:pPr>
      <w:r w:rsidRPr="005406B8">
        <w:rPr>
          <w:rFonts w:ascii="Times New Roman" w:eastAsia="Times New Roman" w:hAnsi="Times New Roman" w:cs="Times New Roman"/>
          <w:sz w:val="24"/>
          <w:szCs w:val="24"/>
        </w:rPr>
        <w:t>Among households that invest, the distribution reflects a clear bias toward low-risk instruments:</w:t>
      </w:r>
    </w:p>
    <w:p w:rsidR="004A1E7C" w:rsidRPr="005406B8" w:rsidRDefault="004A1E7C" w:rsidP="005406B8">
      <w:pPr>
        <w:spacing w:before="100" w:beforeAutospacing="1" w:after="0" w:line="360" w:lineRule="auto"/>
        <w:contextualSpacing/>
        <w:jc w:val="both"/>
        <w:rPr>
          <w:rFonts w:ascii="Times New Roman" w:eastAsia="Times New Roman" w:hAnsi="Times New Roman" w:cs="Times New Roman"/>
          <w:sz w:val="24"/>
          <w:szCs w:val="24"/>
        </w:rPr>
      </w:pPr>
    </w:p>
    <w:p w:rsidR="00915C48" w:rsidRPr="005406B8" w:rsidRDefault="00240859" w:rsidP="005406B8">
      <w:pPr>
        <w:pStyle w:val="NormalWeb"/>
        <w:spacing w:line="360" w:lineRule="auto"/>
        <w:ind w:left="1440"/>
        <w:contextualSpacing/>
        <w:jc w:val="both"/>
      </w:pPr>
      <w:r w:rsidRPr="005406B8">
        <w:rPr>
          <w:noProof/>
        </w:rPr>
        <w:lastRenderedPageBreak/>
        <w:drawing>
          <wp:anchor distT="0" distB="0" distL="114300" distR="114300" simplePos="0" relativeHeight="251659264" behindDoc="0" locked="0" layoutInCell="1" allowOverlap="1" wp14:anchorId="3ED52D96" wp14:editId="1342A1A5">
            <wp:simplePos x="0" y="0"/>
            <wp:positionH relativeFrom="margin">
              <wp:posOffset>786130</wp:posOffset>
            </wp:positionH>
            <wp:positionV relativeFrom="margin">
              <wp:posOffset>2922905</wp:posOffset>
            </wp:positionV>
            <wp:extent cx="4439920" cy="3871595"/>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srcRect l="30460" t="23649" r="30590" b="16216"/>
                    <a:stretch>
                      <a:fillRect/>
                    </a:stretch>
                  </pic:blipFill>
                  <pic:spPr bwMode="auto">
                    <a:xfrm>
                      <a:off x="0" y="0"/>
                      <a:ext cx="4439920" cy="3871595"/>
                    </a:xfrm>
                    <a:prstGeom prst="rect">
                      <a:avLst/>
                    </a:prstGeom>
                    <a:noFill/>
                    <a:ln w="9525">
                      <a:noFill/>
                      <a:miter lim="800000"/>
                      <a:headEnd/>
                      <a:tailEnd/>
                    </a:ln>
                  </pic:spPr>
                </pic:pic>
              </a:graphicData>
            </a:graphic>
          </wp:anchor>
        </w:drawing>
      </w:r>
      <w:r w:rsidR="00915C48" w:rsidRPr="005406B8">
        <w:rPr>
          <w:b/>
          <w:bCs/>
        </w:rPr>
        <w:t>Interpretation</w:t>
      </w:r>
      <w:proofErr w:type="gramStart"/>
      <w:r w:rsidR="00915C48" w:rsidRPr="005406B8">
        <w:rPr>
          <w:b/>
          <w:bCs/>
        </w:rPr>
        <w:t>:</w:t>
      </w:r>
      <w:proofErr w:type="gramEnd"/>
      <w:r w:rsidR="00915C48" w:rsidRPr="005406B8">
        <w:br/>
      </w:r>
      <w:r w:rsidR="004A1E7C" w:rsidRPr="005406B8">
        <w:t xml:space="preserve">The investment preferences of Indian households, as highlighted in the survey, clearly indicate a strong inclination toward safety and capital preservation. A majority share—about 54%—is allocated to traditional banking instruments such as fixed deposits, recurring deposits, and savings accounts, which are perceived as secure and stable despite offering relatively lower returns. Insurance-linked products, including life insurance and ULIPs, account for 17%, reflecting a dual preference for protection and modest investment growth. Another 10% is directed toward post office savings schemes like </w:t>
      </w:r>
      <w:proofErr w:type="spellStart"/>
      <w:r w:rsidR="004A1E7C" w:rsidRPr="005406B8">
        <w:t>Kisan</w:t>
      </w:r>
      <w:proofErr w:type="spellEnd"/>
      <w:r w:rsidR="004A1E7C" w:rsidRPr="005406B8">
        <w:t xml:space="preserve"> </w:t>
      </w:r>
      <w:proofErr w:type="spellStart"/>
      <w:r w:rsidR="004A1E7C" w:rsidRPr="005406B8">
        <w:t>Vikas</w:t>
      </w:r>
      <w:proofErr w:type="spellEnd"/>
      <w:r w:rsidR="004A1E7C" w:rsidRPr="005406B8">
        <w:t xml:space="preserve"> </w:t>
      </w:r>
      <w:proofErr w:type="spellStart"/>
      <w:r w:rsidR="004A1E7C" w:rsidRPr="005406B8">
        <w:t>Patra</w:t>
      </w:r>
      <w:proofErr w:type="spellEnd"/>
      <w:r w:rsidR="004A1E7C" w:rsidRPr="005406B8">
        <w:t xml:space="preserve"> (KVP) and National Savings Certificate (NSC), which continue to attract investors due to government backing and guaranteed returns. Gold, a culturally significant asset in India, comprises 7% of investments, serving both as a hedge against inflation and a store of value. Additionally, 5% is invested in other traditional avenues, further reinforcing the conservative nature of household portfolios. In contrast, modern market-linked instruments receive comparatively limited attention, with mutual funds and ETFs accounting for only 5%, and direct equity investments making up </w:t>
      </w:r>
      <w:r w:rsidR="004A1E7C" w:rsidRPr="005406B8">
        <w:lastRenderedPageBreak/>
        <w:t>just 3%. Overall, the distribution reflects a cautious investment approach, where minimizing risk takes precedence over maximizing returns.</w:t>
      </w:r>
    </w:p>
    <w:p w:rsidR="00915C48" w:rsidRPr="005406B8" w:rsidRDefault="00915C48" w:rsidP="005406B8">
      <w:pPr>
        <w:spacing w:before="100" w:beforeAutospacing="1" w:after="0" w:line="360" w:lineRule="auto"/>
        <w:ind w:firstLine="720"/>
        <w:contextualSpacing/>
        <w:jc w:val="both"/>
        <w:outlineLvl w:val="2"/>
        <w:rPr>
          <w:rFonts w:ascii="Times New Roman" w:eastAsia="Times New Roman" w:hAnsi="Times New Roman" w:cs="Times New Roman"/>
          <w:b/>
          <w:bCs/>
          <w:sz w:val="24"/>
          <w:szCs w:val="24"/>
        </w:rPr>
      </w:pPr>
      <w:r w:rsidRPr="005406B8">
        <w:rPr>
          <w:rFonts w:ascii="Times New Roman" w:eastAsia="Times New Roman" w:hAnsi="Times New Roman" w:cs="Times New Roman"/>
          <w:b/>
          <w:bCs/>
          <w:sz w:val="24"/>
          <w:szCs w:val="24"/>
        </w:rPr>
        <w:t>3. Investment Goals</w:t>
      </w:r>
    </w:p>
    <w:p w:rsidR="005C4E28" w:rsidRPr="005406B8" w:rsidRDefault="00915C48" w:rsidP="005406B8">
      <w:pPr>
        <w:spacing w:before="100" w:beforeAutospacing="1" w:after="0" w:line="360" w:lineRule="auto"/>
        <w:ind w:firstLine="720"/>
        <w:contextualSpacing/>
        <w:jc w:val="both"/>
        <w:rPr>
          <w:rFonts w:ascii="Times New Roman" w:eastAsia="Times New Roman" w:hAnsi="Times New Roman" w:cs="Times New Roman"/>
          <w:sz w:val="24"/>
          <w:szCs w:val="24"/>
        </w:rPr>
      </w:pPr>
      <w:r w:rsidRPr="005406B8">
        <w:rPr>
          <w:rFonts w:ascii="Times New Roman" w:eastAsia="Times New Roman" w:hAnsi="Times New Roman" w:cs="Times New Roman"/>
          <w:sz w:val="24"/>
          <w:szCs w:val="24"/>
        </w:rPr>
        <w:t xml:space="preserve">Households prioritize security-driven </w:t>
      </w:r>
      <w:proofErr w:type="spellStart"/>
      <w:r w:rsidRPr="005406B8">
        <w:rPr>
          <w:rFonts w:ascii="Times New Roman" w:eastAsia="Times New Roman" w:hAnsi="Times New Roman" w:cs="Times New Roman"/>
          <w:sz w:val="24"/>
          <w:szCs w:val="24"/>
        </w:rPr>
        <w:t>goals</w:t>
      </w:r>
      <w:proofErr w:type="gramStart"/>
      <w:r w:rsidRPr="005406B8">
        <w:rPr>
          <w:rFonts w:ascii="Times New Roman" w:eastAsia="Times New Roman" w:hAnsi="Times New Roman" w:cs="Times New Roman"/>
          <w:sz w:val="24"/>
          <w:szCs w:val="24"/>
        </w:rPr>
        <w:t>:</w:t>
      </w:r>
      <w:r w:rsidR="005C4E28" w:rsidRPr="005406B8">
        <w:rPr>
          <w:rFonts w:ascii="Times New Roman" w:eastAsia="Times New Roman" w:hAnsi="Times New Roman" w:cs="Times New Roman"/>
          <w:b/>
          <w:bCs/>
          <w:sz w:val="24"/>
          <w:szCs w:val="24"/>
        </w:rPr>
        <w:t>Investment</w:t>
      </w:r>
      <w:proofErr w:type="spellEnd"/>
      <w:proofErr w:type="gramEnd"/>
      <w:r w:rsidR="005C4E28" w:rsidRPr="005406B8">
        <w:rPr>
          <w:rFonts w:ascii="Times New Roman" w:eastAsia="Times New Roman" w:hAnsi="Times New Roman" w:cs="Times New Roman"/>
          <w:b/>
          <w:bCs/>
          <w:sz w:val="24"/>
          <w:szCs w:val="24"/>
        </w:rPr>
        <w:t xml:space="preserve"> Goals Table</w:t>
      </w:r>
    </w:p>
    <w:p w:rsidR="005C4E28" w:rsidRPr="005406B8" w:rsidRDefault="005C4E28" w:rsidP="005406B8">
      <w:pPr>
        <w:spacing w:before="100" w:beforeAutospacing="1" w:after="0" w:line="360" w:lineRule="auto"/>
        <w:contextualSpacing/>
        <w:jc w:val="both"/>
        <w:rPr>
          <w:rFonts w:ascii="Times New Roman" w:eastAsia="Times New Roman" w:hAnsi="Times New Roman" w:cs="Times New Roman"/>
          <w:sz w:val="24"/>
          <w:szCs w:val="24"/>
        </w:rPr>
      </w:pPr>
    </w:p>
    <w:tbl>
      <w:tblPr>
        <w:tblStyle w:val="TableGrid"/>
        <w:tblpPr w:leftFromText="180" w:rightFromText="180" w:vertAnchor="text" w:horzAnchor="page" w:tblpX="3378" w:tblpY="64"/>
        <w:tblW w:w="0" w:type="auto"/>
        <w:tblLook w:val="04A0" w:firstRow="1" w:lastRow="0" w:firstColumn="1" w:lastColumn="0" w:noHBand="0" w:noVBand="1"/>
      </w:tblPr>
      <w:tblGrid>
        <w:gridCol w:w="2263"/>
        <w:gridCol w:w="1809"/>
      </w:tblGrid>
      <w:tr w:rsidR="006F2798" w:rsidRPr="005406B8" w:rsidTr="00ED217C">
        <w:tc>
          <w:tcPr>
            <w:tcW w:w="0" w:type="auto"/>
            <w:hideMark/>
          </w:tcPr>
          <w:p w:rsidR="006F2798" w:rsidRPr="005406B8" w:rsidRDefault="006F2798" w:rsidP="005406B8">
            <w:pPr>
              <w:spacing w:line="360" w:lineRule="auto"/>
              <w:contextualSpacing/>
              <w:jc w:val="center"/>
              <w:rPr>
                <w:rFonts w:ascii="Times New Roman" w:eastAsia="Times New Roman" w:hAnsi="Times New Roman" w:cs="Times New Roman"/>
                <w:b/>
                <w:bCs/>
                <w:sz w:val="24"/>
                <w:szCs w:val="24"/>
              </w:rPr>
            </w:pPr>
            <w:r w:rsidRPr="005406B8">
              <w:rPr>
                <w:rFonts w:ascii="Times New Roman" w:eastAsia="Times New Roman" w:hAnsi="Times New Roman" w:cs="Times New Roman"/>
                <w:b/>
                <w:bCs/>
                <w:sz w:val="24"/>
                <w:szCs w:val="24"/>
              </w:rPr>
              <w:t>Investment Goal</w:t>
            </w:r>
          </w:p>
        </w:tc>
        <w:tc>
          <w:tcPr>
            <w:tcW w:w="0" w:type="auto"/>
            <w:hideMark/>
          </w:tcPr>
          <w:p w:rsidR="006F2798" w:rsidRPr="005406B8" w:rsidRDefault="006F2798" w:rsidP="005406B8">
            <w:pPr>
              <w:spacing w:line="360" w:lineRule="auto"/>
              <w:contextualSpacing/>
              <w:jc w:val="center"/>
              <w:rPr>
                <w:rFonts w:ascii="Times New Roman" w:eastAsia="Times New Roman" w:hAnsi="Times New Roman" w:cs="Times New Roman"/>
                <w:b/>
                <w:bCs/>
                <w:sz w:val="24"/>
                <w:szCs w:val="24"/>
              </w:rPr>
            </w:pPr>
            <w:r w:rsidRPr="005406B8">
              <w:rPr>
                <w:rFonts w:ascii="Times New Roman" w:eastAsia="Times New Roman" w:hAnsi="Times New Roman" w:cs="Times New Roman"/>
                <w:b/>
                <w:bCs/>
                <w:sz w:val="24"/>
                <w:szCs w:val="24"/>
              </w:rPr>
              <w:t>Percentage (%)</w:t>
            </w:r>
          </w:p>
        </w:tc>
      </w:tr>
      <w:tr w:rsidR="006F2798" w:rsidRPr="005406B8" w:rsidTr="00ED217C">
        <w:tc>
          <w:tcPr>
            <w:tcW w:w="0" w:type="auto"/>
            <w:hideMark/>
          </w:tcPr>
          <w:p w:rsidR="006F2798" w:rsidRPr="005406B8" w:rsidRDefault="006F2798" w:rsidP="005406B8">
            <w:pPr>
              <w:spacing w:line="360" w:lineRule="auto"/>
              <w:contextualSpacing/>
              <w:rPr>
                <w:rFonts w:ascii="Times New Roman" w:eastAsia="Times New Roman" w:hAnsi="Times New Roman" w:cs="Times New Roman"/>
                <w:sz w:val="24"/>
                <w:szCs w:val="24"/>
              </w:rPr>
            </w:pPr>
            <w:r w:rsidRPr="005406B8">
              <w:rPr>
                <w:rFonts w:ascii="Times New Roman" w:eastAsia="Times New Roman" w:hAnsi="Times New Roman" w:cs="Times New Roman"/>
                <w:sz w:val="24"/>
                <w:szCs w:val="24"/>
              </w:rPr>
              <w:t>Children’s Education</w:t>
            </w:r>
          </w:p>
        </w:tc>
        <w:tc>
          <w:tcPr>
            <w:tcW w:w="0" w:type="auto"/>
            <w:hideMark/>
          </w:tcPr>
          <w:p w:rsidR="006F2798" w:rsidRPr="005406B8" w:rsidRDefault="006F2798" w:rsidP="005406B8">
            <w:pPr>
              <w:spacing w:line="360" w:lineRule="auto"/>
              <w:contextualSpacing/>
              <w:rPr>
                <w:rFonts w:ascii="Times New Roman" w:eastAsia="Times New Roman" w:hAnsi="Times New Roman" w:cs="Times New Roman"/>
                <w:sz w:val="24"/>
                <w:szCs w:val="24"/>
              </w:rPr>
            </w:pPr>
            <w:r w:rsidRPr="005406B8">
              <w:rPr>
                <w:rFonts w:ascii="Times New Roman" w:eastAsia="Times New Roman" w:hAnsi="Times New Roman" w:cs="Times New Roman"/>
                <w:sz w:val="24"/>
                <w:szCs w:val="24"/>
              </w:rPr>
              <w:t>20%</w:t>
            </w:r>
          </w:p>
        </w:tc>
      </w:tr>
      <w:tr w:rsidR="006F2798" w:rsidRPr="005406B8" w:rsidTr="00ED217C">
        <w:tc>
          <w:tcPr>
            <w:tcW w:w="0" w:type="auto"/>
            <w:hideMark/>
          </w:tcPr>
          <w:p w:rsidR="006F2798" w:rsidRPr="005406B8" w:rsidRDefault="006F2798" w:rsidP="005406B8">
            <w:pPr>
              <w:spacing w:line="360" w:lineRule="auto"/>
              <w:contextualSpacing/>
              <w:rPr>
                <w:rFonts w:ascii="Times New Roman" w:eastAsia="Times New Roman" w:hAnsi="Times New Roman" w:cs="Times New Roman"/>
                <w:sz w:val="24"/>
                <w:szCs w:val="24"/>
              </w:rPr>
            </w:pPr>
            <w:r w:rsidRPr="005406B8">
              <w:rPr>
                <w:rFonts w:ascii="Times New Roman" w:eastAsia="Times New Roman" w:hAnsi="Times New Roman" w:cs="Times New Roman"/>
                <w:sz w:val="24"/>
                <w:szCs w:val="24"/>
              </w:rPr>
              <w:t>Family Support</w:t>
            </w:r>
          </w:p>
        </w:tc>
        <w:tc>
          <w:tcPr>
            <w:tcW w:w="0" w:type="auto"/>
            <w:hideMark/>
          </w:tcPr>
          <w:p w:rsidR="006F2798" w:rsidRPr="005406B8" w:rsidRDefault="006F2798" w:rsidP="005406B8">
            <w:pPr>
              <w:spacing w:line="360" w:lineRule="auto"/>
              <w:contextualSpacing/>
              <w:rPr>
                <w:rFonts w:ascii="Times New Roman" w:eastAsia="Times New Roman" w:hAnsi="Times New Roman" w:cs="Times New Roman"/>
                <w:sz w:val="24"/>
                <w:szCs w:val="24"/>
              </w:rPr>
            </w:pPr>
            <w:r w:rsidRPr="005406B8">
              <w:rPr>
                <w:rFonts w:ascii="Times New Roman" w:eastAsia="Times New Roman" w:hAnsi="Times New Roman" w:cs="Times New Roman"/>
                <w:sz w:val="24"/>
                <w:szCs w:val="24"/>
              </w:rPr>
              <w:t>16%</w:t>
            </w:r>
          </w:p>
        </w:tc>
      </w:tr>
      <w:tr w:rsidR="006F2798" w:rsidRPr="005406B8" w:rsidTr="00ED217C">
        <w:tc>
          <w:tcPr>
            <w:tcW w:w="0" w:type="auto"/>
            <w:hideMark/>
          </w:tcPr>
          <w:p w:rsidR="006F2798" w:rsidRPr="005406B8" w:rsidRDefault="006F2798" w:rsidP="005406B8">
            <w:pPr>
              <w:spacing w:line="360" w:lineRule="auto"/>
              <w:contextualSpacing/>
              <w:rPr>
                <w:rFonts w:ascii="Times New Roman" w:eastAsia="Times New Roman" w:hAnsi="Times New Roman" w:cs="Times New Roman"/>
                <w:sz w:val="24"/>
                <w:szCs w:val="24"/>
              </w:rPr>
            </w:pPr>
            <w:r w:rsidRPr="005406B8">
              <w:rPr>
                <w:rFonts w:ascii="Times New Roman" w:eastAsia="Times New Roman" w:hAnsi="Times New Roman" w:cs="Times New Roman"/>
                <w:sz w:val="24"/>
                <w:szCs w:val="24"/>
              </w:rPr>
              <w:t>Wealth Creation</w:t>
            </w:r>
          </w:p>
        </w:tc>
        <w:tc>
          <w:tcPr>
            <w:tcW w:w="0" w:type="auto"/>
            <w:hideMark/>
          </w:tcPr>
          <w:p w:rsidR="006F2798" w:rsidRPr="005406B8" w:rsidRDefault="006F2798" w:rsidP="005406B8">
            <w:pPr>
              <w:spacing w:line="360" w:lineRule="auto"/>
              <w:contextualSpacing/>
              <w:rPr>
                <w:rFonts w:ascii="Times New Roman" w:eastAsia="Times New Roman" w:hAnsi="Times New Roman" w:cs="Times New Roman"/>
                <w:sz w:val="24"/>
                <w:szCs w:val="24"/>
              </w:rPr>
            </w:pPr>
            <w:r w:rsidRPr="005406B8">
              <w:rPr>
                <w:rFonts w:ascii="Times New Roman" w:eastAsia="Times New Roman" w:hAnsi="Times New Roman" w:cs="Times New Roman"/>
                <w:sz w:val="24"/>
                <w:szCs w:val="24"/>
              </w:rPr>
              <w:t>11%</w:t>
            </w:r>
          </w:p>
        </w:tc>
      </w:tr>
      <w:tr w:rsidR="006F2798" w:rsidRPr="005406B8" w:rsidTr="00ED217C">
        <w:tc>
          <w:tcPr>
            <w:tcW w:w="0" w:type="auto"/>
            <w:hideMark/>
          </w:tcPr>
          <w:p w:rsidR="006F2798" w:rsidRPr="005406B8" w:rsidRDefault="006F2798" w:rsidP="005406B8">
            <w:pPr>
              <w:spacing w:line="360" w:lineRule="auto"/>
              <w:contextualSpacing/>
              <w:rPr>
                <w:rFonts w:ascii="Times New Roman" w:eastAsia="Times New Roman" w:hAnsi="Times New Roman" w:cs="Times New Roman"/>
                <w:sz w:val="24"/>
                <w:szCs w:val="24"/>
              </w:rPr>
            </w:pPr>
            <w:r w:rsidRPr="005406B8">
              <w:rPr>
                <w:rFonts w:ascii="Times New Roman" w:eastAsia="Times New Roman" w:hAnsi="Times New Roman" w:cs="Times New Roman"/>
                <w:sz w:val="24"/>
                <w:szCs w:val="24"/>
              </w:rPr>
              <w:t>Home Purchase</w:t>
            </w:r>
          </w:p>
        </w:tc>
        <w:tc>
          <w:tcPr>
            <w:tcW w:w="0" w:type="auto"/>
            <w:hideMark/>
          </w:tcPr>
          <w:p w:rsidR="006F2798" w:rsidRPr="005406B8" w:rsidRDefault="006F2798" w:rsidP="005406B8">
            <w:pPr>
              <w:spacing w:line="360" w:lineRule="auto"/>
              <w:contextualSpacing/>
              <w:rPr>
                <w:rFonts w:ascii="Times New Roman" w:eastAsia="Times New Roman" w:hAnsi="Times New Roman" w:cs="Times New Roman"/>
                <w:sz w:val="24"/>
                <w:szCs w:val="24"/>
              </w:rPr>
            </w:pPr>
            <w:r w:rsidRPr="005406B8">
              <w:rPr>
                <w:rFonts w:ascii="Times New Roman" w:eastAsia="Times New Roman" w:hAnsi="Times New Roman" w:cs="Times New Roman"/>
                <w:sz w:val="24"/>
                <w:szCs w:val="24"/>
              </w:rPr>
              <w:t>11%</w:t>
            </w:r>
          </w:p>
        </w:tc>
      </w:tr>
      <w:tr w:rsidR="006F2798" w:rsidRPr="005406B8" w:rsidTr="00ED217C">
        <w:tc>
          <w:tcPr>
            <w:tcW w:w="0" w:type="auto"/>
            <w:hideMark/>
          </w:tcPr>
          <w:p w:rsidR="006F2798" w:rsidRPr="005406B8" w:rsidRDefault="006F2798" w:rsidP="005406B8">
            <w:pPr>
              <w:spacing w:line="360" w:lineRule="auto"/>
              <w:contextualSpacing/>
              <w:rPr>
                <w:rFonts w:ascii="Times New Roman" w:eastAsia="Times New Roman" w:hAnsi="Times New Roman" w:cs="Times New Roman"/>
                <w:sz w:val="24"/>
                <w:szCs w:val="24"/>
              </w:rPr>
            </w:pPr>
            <w:r w:rsidRPr="005406B8">
              <w:rPr>
                <w:rFonts w:ascii="Times New Roman" w:eastAsia="Times New Roman" w:hAnsi="Times New Roman" w:cs="Times New Roman"/>
                <w:sz w:val="24"/>
                <w:szCs w:val="24"/>
              </w:rPr>
              <w:t>Emergency Fund</w:t>
            </w:r>
          </w:p>
        </w:tc>
        <w:tc>
          <w:tcPr>
            <w:tcW w:w="0" w:type="auto"/>
            <w:hideMark/>
          </w:tcPr>
          <w:p w:rsidR="006F2798" w:rsidRPr="005406B8" w:rsidRDefault="006F2798" w:rsidP="005406B8">
            <w:pPr>
              <w:spacing w:line="360" w:lineRule="auto"/>
              <w:contextualSpacing/>
              <w:rPr>
                <w:rFonts w:ascii="Times New Roman" w:eastAsia="Times New Roman" w:hAnsi="Times New Roman" w:cs="Times New Roman"/>
                <w:sz w:val="24"/>
                <w:szCs w:val="24"/>
              </w:rPr>
            </w:pPr>
            <w:r w:rsidRPr="005406B8">
              <w:rPr>
                <w:rFonts w:ascii="Times New Roman" w:eastAsia="Times New Roman" w:hAnsi="Times New Roman" w:cs="Times New Roman"/>
                <w:sz w:val="24"/>
                <w:szCs w:val="24"/>
              </w:rPr>
              <w:t>9%</w:t>
            </w:r>
          </w:p>
        </w:tc>
      </w:tr>
      <w:tr w:rsidR="006F2798" w:rsidRPr="005406B8" w:rsidTr="00ED217C">
        <w:tc>
          <w:tcPr>
            <w:tcW w:w="0" w:type="auto"/>
            <w:hideMark/>
          </w:tcPr>
          <w:p w:rsidR="006F2798" w:rsidRPr="005406B8" w:rsidRDefault="006F2798" w:rsidP="005406B8">
            <w:pPr>
              <w:spacing w:line="360" w:lineRule="auto"/>
              <w:contextualSpacing/>
              <w:rPr>
                <w:rFonts w:ascii="Times New Roman" w:eastAsia="Times New Roman" w:hAnsi="Times New Roman" w:cs="Times New Roman"/>
                <w:sz w:val="24"/>
                <w:szCs w:val="24"/>
              </w:rPr>
            </w:pPr>
            <w:r w:rsidRPr="005406B8">
              <w:rPr>
                <w:rFonts w:ascii="Times New Roman" w:eastAsia="Times New Roman" w:hAnsi="Times New Roman" w:cs="Times New Roman"/>
                <w:sz w:val="24"/>
                <w:szCs w:val="24"/>
              </w:rPr>
              <w:t>Children’s Marriage</w:t>
            </w:r>
          </w:p>
        </w:tc>
        <w:tc>
          <w:tcPr>
            <w:tcW w:w="0" w:type="auto"/>
            <w:hideMark/>
          </w:tcPr>
          <w:p w:rsidR="006F2798" w:rsidRPr="005406B8" w:rsidRDefault="006F2798" w:rsidP="005406B8">
            <w:pPr>
              <w:spacing w:line="360" w:lineRule="auto"/>
              <w:contextualSpacing/>
              <w:rPr>
                <w:rFonts w:ascii="Times New Roman" w:eastAsia="Times New Roman" w:hAnsi="Times New Roman" w:cs="Times New Roman"/>
                <w:sz w:val="24"/>
                <w:szCs w:val="24"/>
              </w:rPr>
            </w:pPr>
            <w:r w:rsidRPr="005406B8">
              <w:rPr>
                <w:rFonts w:ascii="Times New Roman" w:eastAsia="Times New Roman" w:hAnsi="Times New Roman" w:cs="Times New Roman"/>
                <w:sz w:val="24"/>
                <w:szCs w:val="24"/>
              </w:rPr>
              <w:t>8%</w:t>
            </w:r>
          </w:p>
        </w:tc>
      </w:tr>
      <w:tr w:rsidR="006F2798" w:rsidRPr="005406B8" w:rsidTr="00ED217C">
        <w:tc>
          <w:tcPr>
            <w:tcW w:w="0" w:type="auto"/>
            <w:hideMark/>
          </w:tcPr>
          <w:p w:rsidR="006F2798" w:rsidRPr="005406B8" w:rsidRDefault="006F2798" w:rsidP="005406B8">
            <w:pPr>
              <w:spacing w:line="360" w:lineRule="auto"/>
              <w:contextualSpacing/>
              <w:rPr>
                <w:rFonts w:ascii="Times New Roman" w:eastAsia="Times New Roman" w:hAnsi="Times New Roman" w:cs="Times New Roman"/>
                <w:sz w:val="24"/>
                <w:szCs w:val="24"/>
              </w:rPr>
            </w:pPr>
            <w:r w:rsidRPr="005406B8">
              <w:rPr>
                <w:rFonts w:ascii="Times New Roman" w:eastAsia="Times New Roman" w:hAnsi="Times New Roman" w:cs="Times New Roman"/>
                <w:sz w:val="24"/>
                <w:szCs w:val="24"/>
              </w:rPr>
              <w:t>Retirement</w:t>
            </w:r>
          </w:p>
        </w:tc>
        <w:tc>
          <w:tcPr>
            <w:tcW w:w="0" w:type="auto"/>
            <w:hideMark/>
          </w:tcPr>
          <w:p w:rsidR="006F2798" w:rsidRPr="005406B8" w:rsidRDefault="006F2798" w:rsidP="005406B8">
            <w:pPr>
              <w:spacing w:line="360" w:lineRule="auto"/>
              <w:contextualSpacing/>
              <w:rPr>
                <w:rFonts w:ascii="Times New Roman" w:eastAsia="Times New Roman" w:hAnsi="Times New Roman" w:cs="Times New Roman"/>
                <w:sz w:val="24"/>
                <w:szCs w:val="24"/>
              </w:rPr>
            </w:pPr>
            <w:r w:rsidRPr="005406B8">
              <w:rPr>
                <w:rFonts w:ascii="Times New Roman" w:eastAsia="Times New Roman" w:hAnsi="Times New Roman" w:cs="Times New Roman"/>
                <w:sz w:val="24"/>
                <w:szCs w:val="24"/>
              </w:rPr>
              <w:t>4%</w:t>
            </w:r>
          </w:p>
        </w:tc>
      </w:tr>
    </w:tbl>
    <w:p w:rsidR="006F2798" w:rsidRPr="005406B8" w:rsidRDefault="006F2798" w:rsidP="005406B8">
      <w:pPr>
        <w:spacing w:before="100" w:beforeAutospacing="1" w:after="0" w:line="360" w:lineRule="auto"/>
        <w:contextualSpacing/>
        <w:jc w:val="both"/>
        <w:rPr>
          <w:rFonts w:ascii="Times New Roman" w:eastAsia="Times New Roman" w:hAnsi="Times New Roman" w:cs="Times New Roman"/>
          <w:b/>
          <w:bCs/>
          <w:sz w:val="24"/>
          <w:szCs w:val="24"/>
        </w:rPr>
      </w:pPr>
    </w:p>
    <w:p w:rsidR="006F2798" w:rsidRPr="005406B8" w:rsidRDefault="006F2798" w:rsidP="005406B8">
      <w:pPr>
        <w:spacing w:before="100" w:beforeAutospacing="1" w:after="0" w:line="360" w:lineRule="auto"/>
        <w:contextualSpacing/>
        <w:jc w:val="both"/>
        <w:rPr>
          <w:rFonts w:ascii="Times New Roman" w:eastAsia="Times New Roman" w:hAnsi="Times New Roman" w:cs="Times New Roman"/>
          <w:b/>
          <w:bCs/>
          <w:sz w:val="24"/>
          <w:szCs w:val="24"/>
        </w:rPr>
      </w:pPr>
    </w:p>
    <w:p w:rsidR="006F2798" w:rsidRPr="005406B8" w:rsidRDefault="006F2798" w:rsidP="005406B8">
      <w:pPr>
        <w:spacing w:before="100" w:beforeAutospacing="1" w:after="0" w:line="360" w:lineRule="auto"/>
        <w:contextualSpacing/>
        <w:jc w:val="both"/>
        <w:rPr>
          <w:rFonts w:ascii="Times New Roman" w:eastAsia="Times New Roman" w:hAnsi="Times New Roman" w:cs="Times New Roman"/>
          <w:b/>
          <w:bCs/>
          <w:sz w:val="24"/>
          <w:szCs w:val="24"/>
        </w:rPr>
      </w:pPr>
    </w:p>
    <w:p w:rsidR="006F2798" w:rsidRPr="005406B8" w:rsidRDefault="006F2798" w:rsidP="005406B8">
      <w:pPr>
        <w:spacing w:before="100" w:beforeAutospacing="1" w:after="0" w:line="360" w:lineRule="auto"/>
        <w:contextualSpacing/>
        <w:jc w:val="both"/>
        <w:rPr>
          <w:rFonts w:ascii="Times New Roman" w:eastAsia="Times New Roman" w:hAnsi="Times New Roman" w:cs="Times New Roman"/>
          <w:b/>
          <w:bCs/>
          <w:sz w:val="24"/>
          <w:szCs w:val="24"/>
        </w:rPr>
      </w:pPr>
    </w:p>
    <w:p w:rsidR="006F2798" w:rsidRPr="005406B8" w:rsidRDefault="006F2798" w:rsidP="005406B8">
      <w:pPr>
        <w:spacing w:before="100" w:beforeAutospacing="1" w:after="0" w:line="360" w:lineRule="auto"/>
        <w:contextualSpacing/>
        <w:jc w:val="both"/>
        <w:rPr>
          <w:rFonts w:ascii="Times New Roman" w:eastAsia="Times New Roman" w:hAnsi="Times New Roman" w:cs="Times New Roman"/>
          <w:b/>
          <w:bCs/>
          <w:sz w:val="24"/>
          <w:szCs w:val="24"/>
        </w:rPr>
      </w:pPr>
    </w:p>
    <w:p w:rsidR="006F2798" w:rsidRPr="005406B8" w:rsidRDefault="006F2798" w:rsidP="005406B8">
      <w:pPr>
        <w:spacing w:before="100" w:beforeAutospacing="1" w:after="0" w:line="360" w:lineRule="auto"/>
        <w:contextualSpacing/>
        <w:jc w:val="both"/>
        <w:rPr>
          <w:rFonts w:ascii="Times New Roman" w:eastAsia="Times New Roman" w:hAnsi="Times New Roman" w:cs="Times New Roman"/>
          <w:b/>
          <w:bCs/>
          <w:sz w:val="24"/>
          <w:szCs w:val="24"/>
        </w:rPr>
      </w:pPr>
    </w:p>
    <w:p w:rsidR="006F2798" w:rsidRPr="005406B8" w:rsidRDefault="006F2798" w:rsidP="005406B8">
      <w:pPr>
        <w:spacing w:before="100" w:beforeAutospacing="1" w:after="0" w:line="360" w:lineRule="auto"/>
        <w:contextualSpacing/>
        <w:jc w:val="both"/>
        <w:rPr>
          <w:rFonts w:ascii="Times New Roman" w:eastAsia="Times New Roman" w:hAnsi="Times New Roman" w:cs="Times New Roman"/>
          <w:b/>
          <w:bCs/>
          <w:sz w:val="24"/>
          <w:szCs w:val="24"/>
        </w:rPr>
      </w:pPr>
    </w:p>
    <w:p w:rsidR="006F2798" w:rsidRPr="005406B8" w:rsidRDefault="006F2798" w:rsidP="005406B8">
      <w:pPr>
        <w:spacing w:before="100" w:beforeAutospacing="1" w:after="0" w:line="360" w:lineRule="auto"/>
        <w:contextualSpacing/>
        <w:jc w:val="both"/>
        <w:rPr>
          <w:rFonts w:ascii="Times New Roman" w:eastAsia="Times New Roman" w:hAnsi="Times New Roman" w:cs="Times New Roman"/>
          <w:b/>
          <w:bCs/>
          <w:sz w:val="24"/>
          <w:szCs w:val="24"/>
        </w:rPr>
      </w:pPr>
    </w:p>
    <w:p w:rsidR="006F2798" w:rsidRPr="005406B8" w:rsidRDefault="006F2798" w:rsidP="005406B8">
      <w:pPr>
        <w:spacing w:before="100" w:beforeAutospacing="1" w:after="0" w:line="360" w:lineRule="auto"/>
        <w:contextualSpacing/>
        <w:jc w:val="both"/>
        <w:rPr>
          <w:rFonts w:ascii="Times New Roman" w:eastAsia="Times New Roman" w:hAnsi="Times New Roman" w:cs="Times New Roman"/>
          <w:b/>
          <w:bCs/>
          <w:sz w:val="24"/>
          <w:szCs w:val="24"/>
        </w:rPr>
      </w:pPr>
    </w:p>
    <w:p w:rsidR="006F2798" w:rsidRPr="005406B8" w:rsidRDefault="00915C48" w:rsidP="005406B8">
      <w:pPr>
        <w:spacing w:before="100" w:beforeAutospacing="1" w:after="0" w:line="360" w:lineRule="auto"/>
        <w:ind w:firstLine="720"/>
        <w:contextualSpacing/>
        <w:jc w:val="both"/>
        <w:rPr>
          <w:rFonts w:ascii="Times New Roman" w:hAnsi="Times New Roman" w:cs="Times New Roman"/>
          <w:sz w:val="24"/>
          <w:szCs w:val="24"/>
        </w:rPr>
      </w:pPr>
      <w:r w:rsidRPr="005406B8">
        <w:rPr>
          <w:rFonts w:ascii="Times New Roman" w:eastAsia="Times New Roman" w:hAnsi="Times New Roman" w:cs="Times New Roman"/>
          <w:b/>
          <w:bCs/>
          <w:sz w:val="24"/>
          <w:szCs w:val="24"/>
        </w:rPr>
        <w:t>Observation:</w:t>
      </w:r>
    </w:p>
    <w:p w:rsidR="00FB2FFE" w:rsidRPr="005406B8" w:rsidRDefault="001B5D02" w:rsidP="005406B8">
      <w:pPr>
        <w:spacing w:before="100" w:beforeAutospacing="1" w:after="0" w:line="360" w:lineRule="auto"/>
        <w:ind w:left="720" w:firstLine="720"/>
        <w:contextualSpacing/>
        <w:jc w:val="both"/>
        <w:rPr>
          <w:rFonts w:ascii="Times New Roman" w:eastAsia="Times New Roman" w:hAnsi="Times New Roman" w:cs="Times New Roman"/>
          <w:sz w:val="24"/>
          <w:szCs w:val="24"/>
        </w:rPr>
      </w:pPr>
      <w:r w:rsidRPr="005406B8">
        <w:rPr>
          <w:rFonts w:ascii="Times New Roman" w:hAnsi="Times New Roman" w:cs="Times New Roman"/>
          <w:sz w:val="24"/>
          <w:szCs w:val="24"/>
        </w:rPr>
        <w:t xml:space="preserve">The investment goals of households clearly reflect a strong preference for </w:t>
      </w:r>
      <w:r w:rsidRPr="005406B8">
        <w:rPr>
          <w:rStyle w:val="Strong"/>
          <w:rFonts w:ascii="Times New Roman" w:hAnsi="Times New Roman" w:cs="Times New Roman"/>
          <w:sz w:val="24"/>
          <w:szCs w:val="24"/>
        </w:rPr>
        <w:t>security and family-oriented priorities</w:t>
      </w:r>
      <w:r w:rsidRPr="005406B8">
        <w:rPr>
          <w:rFonts w:ascii="Times New Roman" w:hAnsi="Times New Roman" w:cs="Times New Roman"/>
          <w:sz w:val="24"/>
          <w:szCs w:val="24"/>
        </w:rPr>
        <w:t xml:space="preserve">. The highest allocation, </w:t>
      </w:r>
      <w:r w:rsidRPr="005406B8">
        <w:rPr>
          <w:rStyle w:val="Strong"/>
          <w:rFonts w:ascii="Times New Roman" w:hAnsi="Times New Roman" w:cs="Times New Roman"/>
          <w:sz w:val="24"/>
          <w:szCs w:val="24"/>
        </w:rPr>
        <w:t>20%</w:t>
      </w:r>
      <w:r w:rsidRPr="005406B8">
        <w:rPr>
          <w:rFonts w:ascii="Times New Roman" w:hAnsi="Times New Roman" w:cs="Times New Roman"/>
          <w:sz w:val="24"/>
          <w:szCs w:val="24"/>
        </w:rPr>
        <w:t xml:space="preserve">, is directed toward children’s education, indicating that families consider education a crucial investment for future stability and success. This is followed by </w:t>
      </w:r>
      <w:r w:rsidRPr="005406B8">
        <w:rPr>
          <w:rStyle w:val="Strong"/>
          <w:rFonts w:ascii="Times New Roman" w:hAnsi="Times New Roman" w:cs="Times New Roman"/>
          <w:sz w:val="24"/>
          <w:szCs w:val="24"/>
        </w:rPr>
        <w:t>16% for family support</w:t>
      </w:r>
      <w:r w:rsidRPr="005406B8">
        <w:rPr>
          <w:rFonts w:ascii="Times New Roman" w:hAnsi="Times New Roman" w:cs="Times New Roman"/>
          <w:sz w:val="24"/>
          <w:szCs w:val="24"/>
        </w:rPr>
        <w:t xml:space="preserve">, showing the importance placed on meeting the needs and well-being of dependents and extended family members. </w:t>
      </w:r>
      <w:r w:rsidRPr="005406B8">
        <w:rPr>
          <w:rStyle w:val="Strong"/>
          <w:rFonts w:ascii="Times New Roman" w:hAnsi="Times New Roman" w:cs="Times New Roman"/>
          <w:sz w:val="24"/>
          <w:szCs w:val="24"/>
        </w:rPr>
        <w:t>Wealth creation and home purchase</w:t>
      </w:r>
      <w:r w:rsidRPr="005406B8">
        <w:rPr>
          <w:rFonts w:ascii="Times New Roman" w:hAnsi="Times New Roman" w:cs="Times New Roman"/>
          <w:sz w:val="24"/>
          <w:szCs w:val="24"/>
        </w:rPr>
        <w:t xml:space="preserve">, each receiving </w:t>
      </w:r>
      <w:r w:rsidRPr="005406B8">
        <w:rPr>
          <w:rStyle w:val="Strong"/>
          <w:rFonts w:ascii="Times New Roman" w:hAnsi="Times New Roman" w:cs="Times New Roman"/>
          <w:sz w:val="24"/>
          <w:szCs w:val="24"/>
        </w:rPr>
        <w:t>11%</w:t>
      </w:r>
      <w:r w:rsidRPr="005406B8">
        <w:rPr>
          <w:rFonts w:ascii="Times New Roman" w:hAnsi="Times New Roman" w:cs="Times New Roman"/>
          <w:sz w:val="24"/>
          <w:szCs w:val="24"/>
        </w:rPr>
        <w:t xml:space="preserve">, highlight a balanced focus on both building financial assets and achieving long-term stability through property ownership. Additionally, </w:t>
      </w:r>
      <w:r w:rsidRPr="005406B8">
        <w:rPr>
          <w:rStyle w:val="Strong"/>
          <w:rFonts w:ascii="Times New Roman" w:hAnsi="Times New Roman" w:cs="Times New Roman"/>
          <w:sz w:val="24"/>
          <w:szCs w:val="24"/>
        </w:rPr>
        <w:t>9% is allocated to emergency funds</w:t>
      </w:r>
      <w:r w:rsidRPr="005406B8">
        <w:rPr>
          <w:rFonts w:ascii="Times New Roman" w:hAnsi="Times New Roman" w:cs="Times New Roman"/>
          <w:sz w:val="24"/>
          <w:szCs w:val="24"/>
        </w:rPr>
        <w:t xml:space="preserve">, which demonstrates awareness of the need for financial preparedness in unexpected situations. </w:t>
      </w:r>
      <w:r w:rsidRPr="005406B8">
        <w:rPr>
          <w:rStyle w:val="Strong"/>
          <w:rFonts w:ascii="Times New Roman" w:hAnsi="Times New Roman" w:cs="Times New Roman"/>
          <w:sz w:val="24"/>
          <w:szCs w:val="24"/>
        </w:rPr>
        <w:t>Children’s marriage accounts for 8%</w:t>
      </w:r>
      <w:r w:rsidRPr="005406B8">
        <w:rPr>
          <w:rFonts w:ascii="Times New Roman" w:hAnsi="Times New Roman" w:cs="Times New Roman"/>
          <w:sz w:val="24"/>
          <w:szCs w:val="24"/>
        </w:rPr>
        <w:t xml:space="preserve">, reflecting cultural and social responsibilities that households plan for in advance. However, only </w:t>
      </w:r>
      <w:r w:rsidRPr="005406B8">
        <w:rPr>
          <w:rStyle w:val="Strong"/>
          <w:rFonts w:ascii="Times New Roman" w:hAnsi="Times New Roman" w:cs="Times New Roman"/>
          <w:sz w:val="24"/>
          <w:szCs w:val="24"/>
        </w:rPr>
        <w:t>4% is dedicated to retirement</w:t>
      </w:r>
      <w:r w:rsidRPr="005406B8">
        <w:rPr>
          <w:rFonts w:ascii="Times New Roman" w:hAnsi="Times New Roman" w:cs="Times New Roman"/>
          <w:sz w:val="24"/>
          <w:szCs w:val="24"/>
        </w:rPr>
        <w:t>, suggesting that long-term personal financial security after working years is given relatively less importance. Overall, the distribution emphasizes immediate and family-related financial goals over individual long-term planning, indicating a conservative and security-driven investment approach.</w:t>
      </w:r>
    </w:p>
    <w:p w:rsidR="00915C48" w:rsidRPr="005406B8" w:rsidRDefault="00915C48" w:rsidP="005406B8">
      <w:pPr>
        <w:spacing w:before="100" w:beforeAutospacing="1" w:after="0" w:line="360" w:lineRule="auto"/>
        <w:ind w:firstLine="720"/>
        <w:contextualSpacing/>
        <w:jc w:val="both"/>
        <w:outlineLvl w:val="2"/>
        <w:rPr>
          <w:rFonts w:ascii="Times New Roman" w:eastAsia="Times New Roman" w:hAnsi="Times New Roman" w:cs="Times New Roman"/>
          <w:b/>
          <w:bCs/>
          <w:sz w:val="24"/>
          <w:szCs w:val="24"/>
        </w:rPr>
      </w:pPr>
      <w:r w:rsidRPr="005406B8">
        <w:rPr>
          <w:rFonts w:ascii="Times New Roman" w:eastAsia="Times New Roman" w:hAnsi="Times New Roman" w:cs="Times New Roman"/>
          <w:b/>
          <w:bCs/>
          <w:sz w:val="24"/>
          <w:szCs w:val="24"/>
        </w:rPr>
        <w:lastRenderedPageBreak/>
        <w:t>4. Awareness of Financial Institutions</w:t>
      </w:r>
    </w:p>
    <w:p w:rsidR="00915C48" w:rsidRPr="005406B8" w:rsidRDefault="00915C48" w:rsidP="005406B8">
      <w:pPr>
        <w:spacing w:before="100" w:beforeAutospacing="1" w:after="0" w:line="360" w:lineRule="auto"/>
        <w:ind w:left="720" w:firstLine="720"/>
        <w:contextualSpacing/>
        <w:jc w:val="both"/>
        <w:rPr>
          <w:rFonts w:ascii="Times New Roman" w:eastAsia="Times New Roman" w:hAnsi="Times New Roman" w:cs="Times New Roman"/>
          <w:sz w:val="24"/>
          <w:szCs w:val="24"/>
        </w:rPr>
      </w:pPr>
      <w:r w:rsidRPr="005406B8">
        <w:rPr>
          <w:rFonts w:ascii="Times New Roman" w:eastAsia="Times New Roman" w:hAnsi="Times New Roman" w:cs="Times New Roman"/>
          <w:sz w:val="24"/>
          <w:szCs w:val="24"/>
        </w:rPr>
        <w:t>Awareness levels vary significantly across institutions:</w:t>
      </w:r>
    </w:p>
    <w:p w:rsidR="00915C48" w:rsidRPr="005406B8" w:rsidRDefault="00915C48" w:rsidP="005406B8">
      <w:pPr>
        <w:numPr>
          <w:ilvl w:val="0"/>
          <w:numId w:val="11"/>
        </w:numPr>
        <w:spacing w:before="100" w:beforeAutospacing="1" w:after="0" w:line="360" w:lineRule="auto"/>
        <w:contextualSpacing/>
        <w:jc w:val="both"/>
        <w:rPr>
          <w:rFonts w:ascii="Times New Roman" w:eastAsia="Times New Roman" w:hAnsi="Times New Roman" w:cs="Times New Roman"/>
          <w:sz w:val="24"/>
          <w:szCs w:val="24"/>
        </w:rPr>
      </w:pPr>
      <w:r w:rsidRPr="005406B8">
        <w:rPr>
          <w:rFonts w:ascii="Times New Roman" w:eastAsia="Times New Roman" w:hAnsi="Times New Roman" w:cs="Times New Roman"/>
          <w:b/>
          <w:bCs/>
          <w:sz w:val="24"/>
          <w:szCs w:val="24"/>
        </w:rPr>
        <w:t>73%</w:t>
      </w:r>
      <w:r w:rsidRPr="005406B8">
        <w:rPr>
          <w:rFonts w:ascii="Times New Roman" w:eastAsia="Times New Roman" w:hAnsi="Times New Roman" w:cs="Times New Roman"/>
          <w:sz w:val="24"/>
          <w:szCs w:val="24"/>
        </w:rPr>
        <w:t xml:space="preserve">: Reserve Bank of India (RBI) </w:t>
      </w:r>
    </w:p>
    <w:p w:rsidR="00915C48" w:rsidRPr="005406B8" w:rsidRDefault="00915C48" w:rsidP="005406B8">
      <w:pPr>
        <w:numPr>
          <w:ilvl w:val="0"/>
          <w:numId w:val="11"/>
        </w:numPr>
        <w:spacing w:before="100" w:beforeAutospacing="1" w:after="0" w:line="360" w:lineRule="auto"/>
        <w:contextualSpacing/>
        <w:jc w:val="both"/>
        <w:rPr>
          <w:rFonts w:ascii="Times New Roman" w:eastAsia="Times New Roman" w:hAnsi="Times New Roman" w:cs="Times New Roman"/>
          <w:sz w:val="24"/>
          <w:szCs w:val="24"/>
        </w:rPr>
      </w:pPr>
      <w:r w:rsidRPr="005406B8">
        <w:rPr>
          <w:rFonts w:ascii="Times New Roman" w:eastAsia="Times New Roman" w:hAnsi="Times New Roman" w:cs="Times New Roman"/>
          <w:b/>
          <w:bCs/>
          <w:sz w:val="24"/>
          <w:szCs w:val="24"/>
        </w:rPr>
        <w:t>24%</w:t>
      </w:r>
      <w:r w:rsidRPr="005406B8">
        <w:rPr>
          <w:rFonts w:ascii="Times New Roman" w:eastAsia="Times New Roman" w:hAnsi="Times New Roman" w:cs="Times New Roman"/>
          <w:sz w:val="24"/>
          <w:szCs w:val="24"/>
        </w:rPr>
        <w:t xml:space="preserve">: Bombay Stock Exchange (BSE) </w:t>
      </w:r>
    </w:p>
    <w:p w:rsidR="00915C48" w:rsidRPr="005406B8" w:rsidRDefault="00915C48" w:rsidP="005406B8">
      <w:pPr>
        <w:numPr>
          <w:ilvl w:val="0"/>
          <w:numId w:val="11"/>
        </w:numPr>
        <w:spacing w:before="100" w:beforeAutospacing="1" w:after="0" w:line="360" w:lineRule="auto"/>
        <w:contextualSpacing/>
        <w:jc w:val="both"/>
        <w:rPr>
          <w:rFonts w:ascii="Times New Roman" w:eastAsia="Times New Roman" w:hAnsi="Times New Roman" w:cs="Times New Roman"/>
          <w:sz w:val="24"/>
          <w:szCs w:val="24"/>
        </w:rPr>
      </w:pPr>
      <w:r w:rsidRPr="005406B8">
        <w:rPr>
          <w:rFonts w:ascii="Times New Roman" w:eastAsia="Times New Roman" w:hAnsi="Times New Roman" w:cs="Times New Roman"/>
          <w:b/>
          <w:bCs/>
          <w:sz w:val="24"/>
          <w:szCs w:val="24"/>
        </w:rPr>
        <w:t>22%</w:t>
      </w:r>
      <w:r w:rsidRPr="005406B8">
        <w:rPr>
          <w:rFonts w:ascii="Times New Roman" w:eastAsia="Times New Roman" w:hAnsi="Times New Roman" w:cs="Times New Roman"/>
          <w:sz w:val="24"/>
          <w:szCs w:val="24"/>
        </w:rPr>
        <w:t xml:space="preserve">: National Stock Exchange (NSE) </w:t>
      </w:r>
    </w:p>
    <w:p w:rsidR="00915C48" w:rsidRPr="005406B8" w:rsidRDefault="00915C48" w:rsidP="005406B8">
      <w:pPr>
        <w:numPr>
          <w:ilvl w:val="0"/>
          <w:numId w:val="11"/>
        </w:numPr>
        <w:spacing w:before="100" w:beforeAutospacing="1" w:after="0" w:line="360" w:lineRule="auto"/>
        <w:contextualSpacing/>
        <w:jc w:val="both"/>
        <w:rPr>
          <w:rFonts w:ascii="Times New Roman" w:eastAsia="Times New Roman" w:hAnsi="Times New Roman" w:cs="Times New Roman"/>
          <w:sz w:val="24"/>
          <w:szCs w:val="24"/>
        </w:rPr>
      </w:pPr>
      <w:r w:rsidRPr="005406B8">
        <w:rPr>
          <w:rFonts w:ascii="Times New Roman" w:eastAsia="Times New Roman" w:hAnsi="Times New Roman" w:cs="Times New Roman"/>
          <w:b/>
          <w:bCs/>
          <w:sz w:val="24"/>
          <w:szCs w:val="24"/>
        </w:rPr>
        <w:t>21%</w:t>
      </w:r>
      <w:r w:rsidRPr="005406B8">
        <w:rPr>
          <w:rFonts w:ascii="Times New Roman" w:eastAsia="Times New Roman" w:hAnsi="Times New Roman" w:cs="Times New Roman"/>
          <w:sz w:val="24"/>
          <w:szCs w:val="24"/>
        </w:rPr>
        <w:t xml:space="preserve">: SEBI </w:t>
      </w:r>
    </w:p>
    <w:p w:rsidR="00915C48" w:rsidRPr="005406B8" w:rsidRDefault="00915C48" w:rsidP="005406B8">
      <w:pPr>
        <w:numPr>
          <w:ilvl w:val="0"/>
          <w:numId w:val="11"/>
        </w:numPr>
        <w:spacing w:before="100" w:beforeAutospacing="1" w:after="0" w:line="360" w:lineRule="auto"/>
        <w:contextualSpacing/>
        <w:jc w:val="both"/>
        <w:rPr>
          <w:rFonts w:ascii="Times New Roman" w:eastAsia="Times New Roman" w:hAnsi="Times New Roman" w:cs="Times New Roman"/>
          <w:sz w:val="24"/>
          <w:szCs w:val="24"/>
        </w:rPr>
      </w:pPr>
      <w:r w:rsidRPr="005406B8">
        <w:rPr>
          <w:rFonts w:ascii="Times New Roman" w:eastAsia="Times New Roman" w:hAnsi="Times New Roman" w:cs="Times New Roman"/>
          <w:b/>
          <w:bCs/>
          <w:sz w:val="24"/>
          <w:szCs w:val="24"/>
        </w:rPr>
        <w:t>13%</w:t>
      </w:r>
      <w:r w:rsidRPr="005406B8">
        <w:rPr>
          <w:rFonts w:ascii="Times New Roman" w:eastAsia="Times New Roman" w:hAnsi="Times New Roman" w:cs="Times New Roman"/>
          <w:sz w:val="24"/>
          <w:szCs w:val="24"/>
        </w:rPr>
        <w:t xml:space="preserve">: Association of Mutual Funds in India (AMFI) </w:t>
      </w:r>
    </w:p>
    <w:p w:rsidR="00915C48" w:rsidRPr="005406B8" w:rsidRDefault="00915C48" w:rsidP="005406B8">
      <w:pPr>
        <w:spacing w:before="100" w:beforeAutospacing="1" w:after="0" w:line="360" w:lineRule="auto"/>
        <w:ind w:left="720"/>
        <w:contextualSpacing/>
        <w:jc w:val="both"/>
        <w:rPr>
          <w:rFonts w:ascii="Times New Roman" w:eastAsia="Times New Roman" w:hAnsi="Times New Roman" w:cs="Times New Roman"/>
          <w:b/>
          <w:bCs/>
          <w:sz w:val="24"/>
          <w:szCs w:val="24"/>
        </w:rPr>
      </w:pPr>
      <w:r w:rsidRPr="005406B8">
        <w:rPr>
          <w:rFonts w:ascii="Times New Roman" w:eastAsia="Times New Roman" w:hAnsi="Times New Roman" w:cs="Times New Roman"/>
          <w:b/>
          <w:bCs/>
          <w:sz w:val="24"/>
          <w:szCs w:val="24"/>
        </w:rPr>
        <w:t>Insight</w:t>
      </w:r>
      <w:proofErr w:type="gramStart"/>
      <w:r w:rsidRPr="005406B8">
        <w:rPr>
          <w:rFonts w:ascii="Times New Roman" w:eastAsia="Times New Roman" w:hAnsi="Times New Roman" w:cs="Times New Roman"/>
          <w:b/>
          <w:bCs/>
          <w:sz w:val="24"/>
          <w:szCs w:val="24"/>
        </w:rPr>
        <w:t>:</w:t>
      </w:r>
      <w:proofErr w:type="gramEnd"/>
      <w:r w:rsidRPr="005406B8">
        <w:rPr>
          <w:rFonts w:ascii="Times New Roman" w:eastAsia="Times New Roman" w:hAnsi="Times New Roman" w:cs="Times New Roman"/>
          <w:sz w:val="24"/>
          <w:szCs w:val="24"/>
        </w:rPr>
        <w:br/>
      </w:r>
      <w:r w:rsidR="006F2798" w:rsidRPr="005406B8">
        <w:rPr>
          <w:rFonts w:ascii="Times New Roman" w:hAnsi="Times New Roman" w:cs="Times New Roman"/>
          <w:sz w:val="24"/>
          <w:szCs w:val="24"/>
        </w:rPr>
        <w:t xml:space="preserve">The awareness of financial institutions among households shows a clear variation, with the highest recognition for the </w:t>
      </w:r>
      <w:r w:rsidR="006F2798" w:rsidRPr="005406B8">
        <w:rPr>
          <w:rStyle w:val="whitespace-normal"/>
          <w:rFonts w:ascii="Times New Roman" w:hAnsi="Times New Roman" w:cs="Times New Roman"/>
          <w:b/>
          <w:bCs/>
          <w:sz w:val="24"/>
          <w:szCs w:val="24"/>
        </w:rPr>
        <w:t>Reserve Bank of India</w:t>
      </w:r>
      <w:r w:rsidR="006F2798" w:rsidRPr="005406B8">
        <w:rPr>
          <w:rStyle w:val="Strong"/>
          <w:rFonts w:ascii="Times New Roman" w:hAnsi="Times New Roman" w:cs="Times New Roman"/>
          <w:sz w:val="24"/>
          <w:szCs w:val="24"/>
        </w:rPr>
        <w:t xml:space="preserve"> (RBI)</w:t>
      </w:r>
      <w:r w:rsidR="006F2798" w:rsidRPr="005406B8">
        <w:rPr>
          <w:rFonts w:ascii="Times New Roman" w:hAnsi="Times New Roman" w:cs="Times New Roman"/>
          <w:sz w:val="24"/>
          <w:szCs w:val="24"/>
        </w:rPr>
        <w:t xml:space="preserve"> at </w:t>
      </w:r>
      <w:r w:rsidR="006F2798" w:rsidRPr="005406B8">
        <w:rPr>
          <w:rStyle w:val="Strong"/>
          <w:rFonts w:ascii="Times New Roman" w:hAnsi="Times New Roman" w:cs="Times New Roman"/>
          <w:sz w:val="24"/>
          <w:szCs w:val="24"/>
        </w:rPr>
        <w:t>73%</w:t>
      </w:r>
      <w:r w:rsidR="006F2798" w:rsidRPr="005406B8">
        <w:rPr>
          <w:rFonts w:ascii="Times New Roman" w:hAnsi="Times New Roman" w:cs="Times New Roman"/>
          <w:sz w:val="24"/>
          <w:szCs w:val="24"/>
        </w:rPr>
        <w:t xml:space="preserve">, indicating that most people are familiar with the country’s central banking authority due to its prominent role in regulating monetary policy and the banking system. In contrast, awareness of market-related institutions is significantly lower, with only </w:t>
      </w:r>
      <w:r w:rsidR="006F2798" w:rsidRPr="005406B8">
        <w:rPr>
          <w:rStyle w:val="Strong"/>
          <w:rFonts w:ascii="Times New Roman" w:hAnsi="Times New Roman" w:cs="Times New Roman"/>
          <w:sz w:val="24"/>
          <w:szCs w:val="24"/>
        </w:rPr>
        <w:t xml:space="preserve">24% aware of the </w:t>
      </w:r>
      <w:r w:rsidR="006F2798" w:rsidRPr="005406B8">
        <w:rPr>
          <w:rStyle w:val="whitespace-normal"/>
          <w:rFonts w:ascii="Times New Roman" w:hAnsi="Times New Roman" w:cs="Times New Roman"/>
          <w:b/>
          <w:bCs/>
          <w:sz w:val="24"/>
          <w:szCs w:val="24"/>
        </w:rPr>
        <w:t>Bombay Stock Exchange</w:t>
      </w:r>
      <w:r w:rsidR="006F2798" w:rsidRPr="005406B8">
        <w:rPr>
          <w:rStyle w:val="Strong"/>
          <w:rFonts w:ascii="Times New Roman" w:hAnsi="Times New Roman" w:cs="Times New Roman"/>
          <w:sz w:val="24"/>
          <w:szCs w:val="24"/>
        </w:rPr>
        <w:t xml:space="preserve"> (BSE)</w:t>
      </w:r>
      <w:r w:rsidR="006F2798" w:rsidRPr="005406B8">
        <w:rPr>
          <w:rFonts w:ascii="Times New Roman" w:hAnsi="Times New Roman" w:cs="Times New Roman"/>
          <w:sz w:val="24"/>
          <w:szCs w:val="24"/>
        </w:rPr>
        <w:t xml:space="preserve"> and </w:t>
      </w:r>
      <w:r w:rsidR="006F2798" w:rsidRPr="005406B8">
        <w:rPr>
          <w:rStyle w:val="Strong"/>
          <w:rFonts w:ascii="Times New Roman" w:hAnsi="Times New Roman" w:cs="Times New Roman"/>
          <w:sz w:val="24"/>
          <w:szCs w:val="24"/>
        </w:rPr>
        <w:t xml:space="preserve">22% aware of the </w:t>
      </w:r>
      <w:r w:rsidR="006F2798" w:rsidRPr="005406B8">
        <w:rPr>
          <w:rStyle w:val="whitespace-normal"/>
          <w:rFonts w:ascii="Times New Roman" w:hAnsi="Times New Roman" w:cs="Times New Roman"/>
          <w:b/>
          <w:bCs/>
          <w:sz w:val="24"/>
          <w:szCs w:val="24"/>
        </w:rPr>
        <w:t>National Stock Exchange</w:t>
      </w:r>
      <w:r w:rsidR="006F2798" w:rsidRPr="005406B8">
        <w:rPr>
          <w:rStyle w:val="Strong"/>
          <w:rFonts w:ascii="Times New Roman" w:hAnsi="Times New Roman" w:cs="Times New Roman"/>
          <w:sz w:val="24"/>
          <w:szCs w:val="24"/>
        </w:rPr>
        <w:t xml:space="preserve"> (NSE)</w:t>
      </w:r>
      <w:r w:rsidR="006F2798" w:rsidRPr="005406B8">
        <w:rPr>
          <w:rFonts w:ascii="Times New Roman" w:hAnsi="Times New Roman" w:cs="Times New Roman"/>
          <w:sz w:val="24"/>
          <w:szCs w:val="24"/>
        </w:rPr>
        <w:t xml:space="preserve">, suggesting limited exposure to stock market operations among the general population. Similarly, just </w:t>
      </w:r>
      <w:r w:rsidR="006F2798" w:rsidRPr="005406B8">
        <w:rPr>
          <w:rStyle w:val="Strong"/>
          <w:rFonts w:ascii="Times New Roman" w:hAnsi="Times New Roman" w:cs="Times New Roman"/>
          <w:sz w:val="24"/>
          <w:szCs w:val="24"/>
        </w:rPr>
        <w:t xml:space="preserve">21% of respondents recognize the </w:t>
      </w:r>
      <w:r w:rsidR="006F2798" w:rsidRPr="005406B8">
        <w:rPr>
          <w:rStyle w:val="whitespace-normal"/>
          <w:rFonts w:ascii="Times New Roman" w:hAnsi="Times New Roman" w:cs="Times New Roman"/>
          <w:b/>
          <w:bCs/>
          <w:sz w:val="24"/>
          <w:szCs w:val="24"/>
        </w:rPr>
        <w:t>Securities and Exchange Board of India</w:t>
      </w:r>
      <w:r w:rsidR="006F2798" w:rsidRPr="005406B8">
        <w:rPr>
          <w:rStyle w:val="Strong"/>
          <w:rFonts w:ascii="Times New Roman" w:hAnsi="Times New Roman" w:cs="Times New Roman"/>
          <w:sz w:val="24"/>
          <w:szCs w:val="24"/>
        </w:rPr>
        <w:t xml:space="preserve"> (SEBI)</w:t>
      </w:r>
      <w:r w:rsidR="006F2798" w:rsidRPr="005406B8">
        <w:rPr>
          <w:rFonts w:ascii="Times New Roman" w:hAnsi="Times New Roman" w:cs="Times New Roman"/>
          <w:sz w:val="24"/>
          <w:szCs w:val="24"/>
        </w:rPr>
        <w:t xml:space="preserve">, which is responsible for regulating and protecting investors in the securities market, indicating a gap in understanding of investor protection mechanisms. The lowest awareness is observed for the </w:t>
      </w:r>
      <w:r w:rsidR="006F2798" w:rsidRPr="005406B8">
        <w:rPr>
          <w:rStyle w:val="whitespace-normal"/>
          <w:rFonts w:ascii="Times New Roman" w:hAnsi="Times New Roman" w:cs="Times New Roman"/>
          <w:b/>
          <w:bCs/>
          <w:sz w:val="24"/>
          <w:szCs w:val="24"/>
        </w:rPr>
        <w:t>Association of Mutual Funds in India</w:t>
      </w:r>
      <w:r w:rsidR="006F2798" w:rsidRPr="005406B8">
        <w:rPr>
          <w:rStyle w:val="Strong"/>
          <w:rFonts w:ascii="Times New Roman" w:hAnsi="Times New Roman" w:cs="Times New Roman"/>
          <w:sz w:val="24"/>
          <w:szCs w:val="24"/>
        </w:rPr>
        <w:t xml:space="preserve"> (AMFI)</w:t>
      </w:r>
      <w:r w:rsidR="006F2798" w:rsidRPr="005406B8">
        <w:rPr>
          <w:rFonts w:ascii="Times New Roman" w:hAnsi="Times New Roman" w:cs="Times New Roman"/>
          <w:sz w:val="24"/>
          <w:szCs w:val="24"/>
        </w:rPr>
        <w:t xml:space="preserve"> at </w:t>
      </w:r>
      <w:r w:rsidR="006F2798" w:rsidRPr="005406B8">
        <w:rPr>
          <w:rStyle w:val="Strong"/>
          <w:rFonts w:ascii="Times New Roman" w:hAnsi="Times New Roman" w:cs="Times New Roman"/>
          <w:sz w:val="24"/>
          <w:szCs w:val="24"/>
        </w:rPr>
        <w:t>13%</w:t>
      </w:r>
      <w:r w:rsidR="006F2798" w:rsidRPr="005406B8">
        <w:rPr>
          <w:rFonts w:ascii="Times New Roman" w:hAnsi="Times New Roman" w:cs="Times New Roman"/>
          <w:sz w:val="24"/>
          <w:szCs w:val="24"/>
        </w:rPr>
        <w:t>, highlighting limited knowledge about mutual fund-related institutions and investment avenues. Overall, the pattern suggests that while people are well aware of the central banking system, there is comparatively low awareness of financial market institutions, pointing to a need for improved financial literacy and education.</w:t>
      </w:r>
      <w:r w:rsidR="003D49E5">
        <w:rPr>
          <w:rFonts w:ascii="Times New Roman" w:hAnsi="Times New Roman" w:cs="Times New Roman"/>
          <w:sz w:val="24"/>
          <w:szCs w:val="24"/>
        </w:rPr>
        <w:t xml:space="preserve"> </w:t>
      </w:r>
      <w:bookmarkStart w:id="0" w:name="_GoBack"/>
      <w:bookmarkEnd w:id="0"/>
      <w:r w:rsidRPr="005406B8">
        <w:rPr>
          <w:rFonts w:ascii="Times New Roman" w:eastAsia="Times New Roman" w:hAnsi="Times New Roman" w:cs="Times New Roman"/>
          <w:b/>
          <w:bCs/>
          <w:sz w:val="24"/>
          <w:szCs w:val="24"/>
        </w:rPr>
        <w:t>Highlights</w:t>
      </w:r>
    </w:p>
    <w:p w:rsidR="00915C48" w:rsidRPr="005406B8" w:rsidRDefault="00915C48" w:rsidP="005406B8">
      <w:pPr>
        <w:numPr>
          <w:ilvl w:val="0"/>
          <w:numId w:val="12"/>
        </w:numPr>
        <w:spacing w:before="100" w:beforeAutospacing="1" w:after="0" w:line="360" w:lineRule="auto"/>
        <w:contextualSpacing/>
        <w:jc w:val="both"/>
        <w:rPr>
          <w:rFonts w:ascii="Times New Roman" w:eastAsia="Times New Roman" w:hAnsi="Times New Roman" w:cs="Times New Roman"/>
          <w:sz w:val="24"/>
          <w:szCs w:val="24"/>
        </w:rPr>
      </w:pPr>
      <w:r w:rsidRPr="005406B8">
        <w:rPr>
          <w:rFonts w:ascii="Times New Roman" w:eastAsia="Times New Roman" w:hAnsi="Times New Roman" w:cs="Times New Roman"/>
          <w:sz w:val="24"/>
          <w:szCs w:val="24"/>
        </w:rPr>
        <w:t xml:space="preserve">Indian households invest </w:t>
      </w:r>
      <w:r w:rsidRPr="005406B8">
        <w:rPr>
          <w:rFonts w:ascii="Times New Roman" w:eastAsia="Times New Roman" w:hAnsi="Times New Roman" w:cs="Times New Roman"/>
          <w:b/>
          <w:bCs/>
          <w:sz w:val="24"/>
          <w:szCs w:val="24"/>
        </w:rPr>
        <w:t>less than 10%</w:t>
      </w:r>
      <w:r w:rsidRPr="005406B8">
        <w:rPr>
          <w:rFonts w:ascii="Times New Roman" w:eastAsia="Times New Roman" w:hAnsi="Times New Roman" w:cs="Times New Roman"/>
          <w:sz w:val="24"/>
          <w:szCs w:val="24"/>
        </w:rPr>
        <w:t xml:space="preserve"> of their income. </w:t>
      </w:r>
    </w:p>
    <w:p w:rsidR="00915C48" w:rsidRPr="005406B8" w:rsidRDefault="00915C48" w:rsidP="005406B8">
      <w:pPr>
        <w:numPr>
          <w:ilvl w:val="0"/>
          <w:numId w:val="12"/>
        </w:numPr>
        <w:spacing w:before="100" w:beforeAutospacing="1" w:after="0" w:line="360" w:lineRule="auto"/>
        <w:contextualSpacing/>
        <w:jc w:val="both"/>
        <w:rPr>
          <w:rFonts w:ascii="Times New Roman" w:eastAsia="Times New Roman" w:hAnsi="Times New Roman" w:cs="Times New Roman"/>
          <w:sz w:val="24"/>
          <w:szCs w:val="24"/>
        </w:rPr>
      </w:pPr>
      <w:r w:rsidRPr="005406B8">
        <w:rPr>
          <w:rFonts w:ascii="Times New Roman" w:eastAsia="Times New Roman" w:hAnsi="Times New Roman" w:cs="Times New Roman"/>
          <w:b/>
          <w:bCs/>
          <w:sz w:val="24"/>
          <w:szCs w:val="24"/>
        </w:rPr>
        <w:t>Traditional instruments dominate</w:t>
      </w:r>
      <w:r w:rsidRPr="005406B8">
        <w:rPr>
          <w:rFonts w:ascii="Times New Roman" w:eastAsia="Times New Roman" w:hAnsi="Times New Roman" w:cs="Times New Roman"/>
          <w:sz w:val="24"/>
          <w:szCs w:val="24"/>
        </w:rPr>
        <w:t xml:space="preserve"> investment portfolios (over 80%). </w:t>
      </w:r>
    </w:p>
    <w:p w:rsidR="00915C48" w:rsidRPr="005406B8" w:rsidRDefault="00915C48" w:rsidP="005406B8">
      <w:pPr>
        <w:numPr>
          <w:ilvl w:val="0"/>
          <w:numId w:val="12"/>
        </w:numPr>
        <w:spacing w:before="100" w:beforeAutospacing="1" w:after="0" w:line="360" w:lineRule="auto"/>
        <w:contextualSpacing/>
        <w:jc w:val="both"/>
        <w:rPr>
          <w:rFonts w:ascii="Times New Roman" w:eastAsia="Times New Roman" w:hAnsi="Times New Roman" w:cs="Times New Roman"/>
          <w:sz w:val="24"/>
          <w:szCs w:val="24"/>
        </w:rPr>
      </w:pPr>
      <w:r w:rsidRPr="005406B8">
        <w:rPr>
          <w:rFonts w:ascii="Times New Roman" w:eastAsia="Times New Roman" w:hAnsi="Times New Roman" w:cs="Times New Roman"/>
          <w:b/>
          <w:bCs/>
          <w:sz w:val="24"/>
          <w:szCs w:val="24"/>
        </w:rPr>
        <w:t>Equity participation remains minimal (3%)</w:t>
      </w:r>
      <w:r w:rsidRPr="005406B8">
        <w:rPr>
          <w:rFonts w:ascii="Times New Roman" w:eastAsia="Times New Roman" w:hAnsi="Times New Roman" w:cs="Times New Roman"/>
          <w:sz w:val="24"/>
          <w:szCs w:val="24"/>
        </w:rPr>
        <w:t xml:space="preserve">, despite potential for higher returns. </w:t>
      </w:r>
    </w:p>
    <w:p w:rsidR="00915C48" w:rsidRPr="005406B8" w:rsidRDefault="00915C48" w:rsidP="005406B8">
      <w:pPr>
        <w:numPr>
          <w:ilvl w:val="0"/>
          <w:numId w:val="12"/>
        </w:numPr>
        <w:spacing w:before="100" w:beforeAutospacing="1" w:after="0" w:line="360" w:lineRule="auto"/>
        <w:contextualSpacing/>
        <w:jc w:val="both"/>
        <w:rPr>
          <w:rFonts w:ascii="Times New Roman" w:eastAsia="Times New Roman" w:hAnsi="Times New Roman" w:cs="Times New Roman"/>
          <w:sz w:val="24"/>
          <w:szCs w:val="24"/>
        </w:rPr>
      </w:pPr>
      <w:r w:rsidRPr="005406B8">
        <w:rPr>
          <w:rFonts w:ascii="Times New Roman" w:eastAsia="Times New Roman" w:hAnsi="Times New Roman" w:cs="Times New Roman"/>
          <w:sz w:val="24"/>
          <w:szCs w:val="24"/>
        </w:rPr>
        <w:t xml:space="preserve">Financial goals are </w:t>
      </w:r>
      <w:r w:rsidRPr="005406B8">
        <w:rPr>
          <w:rFonts w:ascii="Times New Roman" w:eastAsia="Times New Roman" w:hAnsi="Times New Roman" w:cs="Times New Roman"/>
          <w:b/>
          <w:bCs/>
          <w:sz w:val="24"/>
          <w:szCs w:val="24"/>
        </w:rPr>
        <w:t>family-centric rather than retirement-focused</w:t>
      </w:r>
      <w:r w:rsidRPr="005406B8">
        <w:rPr>
          <w:rFonts w:ascii="Times New Roman" w:eastAsia="Times New Roman" w:hAnsi="Times New Roman" w:cs="Times New Roman"/>
          <w:sz w:val="24"/>
          <w:szCs w:val="24"/>
        </w:rPr>
        <w:t xml:space="preserve">. </w:t>
      </w:r>
    </w:p>
    <w:p w:rsidR="00915C48" w:rsidRPr="005406B8" w:rsidRDefault="00915C48" w:rsidP="005406B8">
      <w:pPr>
        <w:numPr>
          <w:ilvl w:val="0"/>
          <w:numId w:val="12"/>
        </w:numPr>
        <w:spacing w:before="100" w:beforeAutospacing="1" w:after="0" w:line="360" w:lineRule="auto"/>
        <w:contextualSpacing/>
        <w:jc w:val="both"/>
        <w:rPr>
          <w:rFonts w:ascii="Times New Roman" w:eastAsia="Times New Roman" w:hAnsi="Times New Roman" w:cs="Times New Roman"/>
          <w:sz w:val="24"/>
          <w:szCs w:val="24"/>
        </w:rPr>
      </w:pPr>
      <w:r w:rsidRPr="005406B8">
        <w:rPr>
          <w:rFonts w:ascii="Times New Roman" w:eastAsia="Times New Roman" w:hAnsi="Times New Roman" w:cs="Times New Roman"/>
          <w:sz w:val="24"/>
          <w:szCs w:val="24"/>
        </w:rPr>
        <w:t xml:space="preserve">Awareness is highest for banking institutions but </w:t>
      </w:r>
      <w:r w:rsidRPr="005406B8">
        <w:rPr>
          <w:rFonts w:ascii="Times New Roman" w:eastAsia="Times New Roman" w:hAnsi="Times New Roman" w:cs="Times New Roman"/>
          <w:b/>
          <w:bCs/>
          <w:sz w:val="24"/>
          <w:szCs w:val="24"/>
        </w:rPr>
        <w:t>low for market regulators and mutual fund bodies</w:t>
      </w:r>
      <w:r w:rsidRPr="005406B8">
        <w:rPr>
          <w:rFonts w:ascii="Times New Roman" w:eastAsia="Times New Roman" w:hAnsi="Times New Roman" w:cs="Times New Roman"/>
          <w:sz w:val="24"/>
          <w:szCs w:val="24"/>
        </w:rPr>
        <w:t xml:space="preserve">. </w:t>
      </w:r>
    </w:p>
    <w:p w:rsidR="00915C48" w:rsidRPr="005406B8" w:rsidRDefault="00915C48" w:rsidP="005406B8">
      <w:pPr>
        <w:pStyle w:val="ListParagraph"/>
        <w:numPr>
          <w:ilvl w:val="0"/>
          <w:numId w:val="15"/>
        </w:numPr>
        <w:spacing w:before="100" w:beforeAutospacing="1" w:after="0" w:line="360" w:lineRule="auto"/>
        <w:jc w:val="both"/>
        <w:outlineLvl w:val="1"/>
        <w:rPr>
          <w:rFonts w:ascii="Times New Roman" w:eastAsia="Times New Roman" w:hAnsi="Times New Roman" w:cs="Times New Roman"/>
          <w:b/>
          <w:bCs/>
          <w:sz w:val="24"/>
          <w:szCs w:val="24"/>
        </w:rPr>
      </w:pPr>
      <w:r w:rsidRPr="005406B8">
        <w:rPr>
          <w:rFonts w:ascii="Times New Roman" w:eastAsia="Times New Roman" w:hAnsi="Times New Roman" w:cs="Times New Roman"/>
          <w:b/>
          <w:bCs/>
          <w:sz w:val="24"/>
          <w:szCs w:val="24"/>
        </w:rPr>
        <w:lastRenderedPageBreak/>
        <w:t>Conclusion</w:t>
      </w:r>
    </w:p>
    <w:p w:rsidR="00915C48" w:rsidRPr="005406B8" w:rsidRDefault="00915C48" w:rsidP="005406B8">
      <w:pPr>
        <w:spacing w:before="100" w:beforeAutospacing="1" w:after="0" w:line="360" w:lineRule="auto"/>
        <w:ind w:left="720" w:firstLine="360"/>
        <w:contextualSpacing/>
        <w:jc w:val="both"/>
        <w:rPr>
          <w:rFonts w:ascii="Times New Roman" w:eastAsia="Times New Roman" w:hAnsi="Times New Roman" w:cs="Times New Roman"/>
          <w:sz w:val="24"/>
          <w:szCs w:val="24"/>
        </w:rPr>
      </w:pPr>
      <w:r w:rsidRPr="005406B8">
        <w:rPr>
          <w:rFonts w:ascii="Times New Roman" w:eastAsia="Times New Roman" w:hAnsi="Times New Roman" w:cs="Times New Roman"/>
          <w:sz w:val="24"/>
          <w:szCs w:val="24"/>
        </w:rPr>
        <w:t>The SEBI Investor Survey 2025 underscores a conservative financial ecosystem in India, where safety and liquidity are prioritized over growth. Despite increasing financial awareness, behavioral inertia and risk aversion continue to limit participation in capital markets.</w:t>
      </w:r>
    </w:p>
    <w:p w:rsidR="00915C48" w:rsidRPr="005406B8" w:rsidRDefault="00915C48" w:rsidP="005406B8">
      <w:pPr>
        <w:spacing w:before="100" w:beforeAutospacing="1" w:after="0" w:line="360" w:lineRule="auto"/>
        <w:ind w:firstLine="720"/>
        <w:contextualSpacing/>
        <w:jc w:val="both"/>
        <w:rPr>
          <w:rFonts w:ascii="Times New Roman" w:eastAsia="Times New Roman" w:hAnsi="Times New Roman" w:cs="Times New Roman"/>
          <w:sz w:val="24"/>
          <w:szCs w:val="24"/>
        </w:rPr>
      </w:pPr>
      <w:r w:rsidRPr="005406B8">
        <w:rPr>
          <w:rFonts w:ascii="Times New Roman" w:eastAsia="Times New Roman" w:hAnsi="Times New Roman" w:cs="Times New Roman"/>
          <w:sz w:val="24"/>
          <w:szCs w:val="24"/>
        </w:rPr>
        <w:t>To bridge this gap, policymakers and institutions must focus on:</w:t>
      </w:r>
    </w:p>
    <w:p w:rsidR="00915C48" w:rsidRPr="005406B8" w:rsidRDefault="00915C48" w:rsidP="005406B8">
      <w:pPr>
        <w:numPr>
          <w:ilvl w:val="0"/>
          <w:numId w:val="13"/>
        </w:numPr>
        <w:spacing w:before="100" w:beforeAutospacing="1" w:after="0" w:line="360" w:lineRule="auto"/>
        <w:contextualSpacing/>
        <w:jc w:val="both"/>
        <w:rPr>
          <w:rFonts w:ascii="Times New Roman" w:eastAsia="Times New Roman" w:hAnsi="Times New Roman" w:cs="Times New Roman"/>
          <w:sz w:val="24"/>
          <w:szCs w:val="24"/>
        </w:rPr>
      </w:pPr>
      <w:r w:rsidRPr="005406B8">
        <w:rPr>
          <w:rFonts w:ascii="Times New Roman" w:eastAsia="Times New Roman" w:hAnsi="Times New Roman" w:cs="Times New Roman"/>
          <w:sz w:val="24"/>
          <w:szCs w:val="24"/>
        </w:rPr>
        <w:t xml:space="preserve">Enhancing financial literacy programs </w:t>
      </w:r>
    </w:p>
    <w:p w:rsidR="00915C48" w:rsidRPr="005406B8" w:rsidRDefault="00915C48" w:rsidP="005406B8">
      <w:pPr>
        <w:numPr>
          <w:ilvl w:val="0"/>
          <w:numId w:val="13"/>
        </w:numPr>
        <w:spacing w:before="100" w:beforeAutospacing="1" w:after="0" w:line="360" w:lineRule="auto"/>
        <w:contextualSpacing/>
        <w:jc w:val="both"/>
        <w:rPr>
          <w:rFonts w:ascii="Times New Roman" w:eastAsia="Times New Roman" w:hAnsi="Times New Roman" w:cs="Times New Roman"/>
          <w:sz w:val="24"/>
          <w:szCs w:val="24"/>
        </w:rPr>
      </w:pPr>
      <w:r w:rsidRPr="005406B8">
        <w:rPr>
          <w:rFonts w:ascii="Times New Roman" w:eastAsia="Times New Roman" w:hAnsi="Times New Roman" w:cs="Times New Roman"/>
          <w:sz w:val="24"/>
          <w:szCs w:val="24"/>
        </w:rPr>
        <w:t xml:space="preserve">Promoting long-term investment culture </w:t>
      </w:r>
    </w:p>
    <w:p w:rsidR="00915C48" w:rsidRPr="005406B8" w:rsidRDefault="00915C48" w:rsidP="005406B8">
      <w:pPr>
        <w:numPr>
          <w:ilvl w:val="0"/>
          <w:numId w:val="13"/>
        </w:numPr>
        <w:spacing w:before="100" w:beforeAutospacing="1" w:after="0" w:line="360" w:lineRule="auto"/>
        <w:contextualSpacing/>
        <w:jc w:val="both"/>
        <w:rPr>
          <w:rFonts w:ascii="Times New Roman" w:eastAsia="Times New Roman" w:hAnsi="Times New Roman" w:cs="Times New Roman"/>
          <w:sz w:val="24"/>
          <w:szCs w:val="24"/>
        </w:rPr>
      </w:pPr>
      <w:r w:rsidRPr="005406B8">
        <w:rPr>
          <w:rFonts w:ascii="Times New Roman" w:eastAsia="Times New Roman" w:hAnsi="Times New Roman" w:cs="Times New Roman"/>
          <w:sz w:val="24"/>
          <w:szCs w:val="24"/>
        </w:rPr>
        <w:t xml:space="preserve">Increasing trust in market-linked instruments </w:t>
      </w:r>
    </w:p>
    <w:p w:rsidR="00915C48" w:rsidRPr="005406B8" w:rsidRDefault="00915C48" w:rsidP="005406B8">
      <w:pPr>
        <w:numPr>
          <w:ilvl w:val="0"/>
          <w:numId w:val="13"/>
        </w:numPr>
        <w:spacing w:before="100" w:beforeAutospacing="1" w:after="0" w:line="360" w:lineRule="auto"/>
        <w:contextualSpacing/>
        <w:jc w:val="both"/>
        <w:rPr>
          <w:rFonts w:ascii="Times New Roman" w:eastAsia="Times New Roman" w:hAnsi="Times New Roman" w:cs="Times New Roman"/>
          <w:sz w:val="24"/>
          <w:szCs w:val="24"/>
        </w:rPr>
      </w:pPr>
      <w:r w:rsidRPr="005406B8">
        <w:rPr>
          <w:rFonts w:ascii="Times New Roman" w:eastAsia="Times New Roman" w:hAnsi="Times New Roman" w:cs="Times New Roman"/>
          <w:sz w:val="24"/>
          <w:szCs w:val="24"/>
        </w:rPr>
        <w:t xml:space="preserve">Encouraging retirement planning </w:t>
      </w:r>
    </w:p>
    <w:p w:rsidR="00915C48" w:rsidRPr="005406B8" w:rsidRDefault="00915C48" w:rsidP="005406B8">
      <w:pPr>
        <w:spacing w:before="100" w:beforeAutospacing="1" w:after="0" w:line="360" w:lineRule="auto"/>
        <w:ind w:left="720" w:firstLine="360"/>
        <w:contextualSpacing/>
        <w:jc w:val="both"/>
        <w:rPr>
          <w:rFonts w:ascii="Times New Roman" w:eastAsia="Times New Roman" w:hAnsi="Times New Roman" w:cs="Times New Roman"/>
          <w:sz w:val="24"/>
          <w:szCs w:val="24"/>
        </w:rPr>
      </w:pPr>
      <w:r w:rsidRPr="005406B8">
        <w:rPr>
          <w:rFonts w:ascii="Times New Roman" w:eastAsia="Times New Roman" w:hAnsi="Times New Roman" w:cs="Times New Roman"/>
          <w:sz w:val="24"/>
          <w:szCs w:val="24"/>
        </w:rPr>
        <w:t>A shift from savings to strategic investing will be essential for improving household wealth creation and strengthening India’s financial ecosystem.</w:t>
      </w:r>
    </w:p>
    <w:p w:rsidR="00915C48" w:rsidRPr="005406B8" w:rsidRDefault="00915C48" w:rsidP="005406B8">
      <w:pPr>
        <w:pStyle w:val="ListParagraph"/>
        <w:numPr>
          <w:ilvl w:val="0"/>
          <w:numId w:val="15"/>
        </w:numPr>
        <w:spacing w:before="100" w:beforeAutospacing="1" w:after="0" w:line="360" w:lineRule="auto"/>
        <w:jc w:val="both"/>
        <w:outlineLvl w:val="1"/>
        <w:rPr>
          <w:rFonts w:ascii="Times New Roman" w:eastAsia="Times New Roman" w:hAnsi="Times New Roman" w:cs="Times New Roman"/>
          <w:b/>
          <w:bCs/>
          <w:sz w:val="24"/>
          <w:szCs w:val="24"/>
        </w:rPr>
      </w:pPr>
      <w:r w:rsidRPr="005406B8">
        <w:rPr>
          <w:rFonts w:ascii="Times New Roman" w:eastAsia="Times New Roman" w:hAnsi="Times New Roman" w:cs="Times New Roman"/>
          <w:b/>
          <w:bCs/>
          <w:sz w:val="24"/>
          <w:szCs w:val="24"/>
        </w:rPr>
        <w:t>References</w:t>
      </w:r>
    </w:p>
    <w:p w:rsidR="00915C48" w:rsidRPr="005406B8" w:rsidRDefault="00915C48" w:rsidP="005406B8">
      <w:pPr>
        <w:numPr>
          <w:ilvl w:val="0"/>
          <w:numId w:val="14"/>
        </w:numPr>
        <w:spacing w:before="100" w:beforeAutospacing="1" w:after="0" w:line="360" w:lineRule="auto"/>
        <w:contextualSpacing/>
        <w:jc w:val="both"/>
        <w:rPr>
          <w:rFonts w:ascii="Times New Roman" w:eastAsia="Times New Roman" w:hAnsi="Times New Roman" w:cs="Times New Roman"/>
          <w:sz w:val="24"/>
          <w:szCs w:val="24"/>
        </w:rPr>
      </w:pPr>
      <w:r w:rsidRPr="005406B8">
        <w:rPr>
          <w:rFonts w:ascii="Times New Roman" w:eastAsia="Times New Roman" w:hAnsi="Times New Roman" w:cs="Times New Roman"/>
          <w:sz w:val="24"/>
          <w:szCs w:val="24"/>
        </w:rPr>
        <w:t xml:space="preserve">Securities and Exchange Board of India (2025). </w:t>
      </w:r>
      <w:r w:rsidRPr="005406B8">
        <w:rPr>
          <w:rFonts w:ascii="Times New Roman" w:eastAsia="Times New Roman" w:hAnsi="Times New Roman" w:cs="Times New Roman"/>
          <w:i/>
          <w:iCs/>
          <w:sz w:val="24"/>
          <w:szCs w:val="24"/>
        </w:rPr>
        <w:t>SEBI Investor Survey 2025</w:t>
      </w:r>
      <w:r w:rsidRPr="005406B8">
        <w:rPr>
          <w:rFonts w:ascii="Times New Roman" w:eastAsia="Times New Roman" w:hAnsi="Times New Roman" w:cs="Times New Roman"/>
          <w:sz w:val="24"/>
          <w:szCs w:val="24"/>
        </w:rPr>
        <w:t xml:space="preserve">. </w:t>
      </w:r>
    </w:p>
    <w:p w:rsidR="00915C48" w:rsidRPr="005406B8" w:rsidRDefault="00915C48" w:rsidP="005406B8">
      <w:pPr>
        <w:numPr>
          <w:ilvl w:val="0"/>
          <w:numId w:val="14"/>
        </w:numPr>
        <w:spacing w:before="100" w:beforeAutospacing="1" w:after="0" w:line="360" w:lineRule="auto"/>
        <w:contextualSpacing/>
        <w:jc w:val="both"/>
        <w:rPr>
          <w:rFonts w:ascii="Times New Roman" w:eastAsia="Times New Roman" w:hAnsi="Times New Roman" w:cs="Times New Roman"/>
          <w:sz w:val="24"/>
          <w:szCs w:val="24"/>
        </w:rPr>
      </w:pPr>
      <w:r w:rsidRPr="005406B8">
        <w:rPr>
          <w:rFonts w:ascii="Times New Roman" w:eastAsia="Times New Roman" w:hAnsi="Times New Roman" w:cs="Times New Roman"/>
          <w:sz w:val="24"/>
          <w:szCs w:val="24"/>
        </w:rPr>
        <w:t xml:space="preserve">Reserve Bank of India Reports on Household Financial Savings. </w:t>
      </w:r>
    </w:p>
    <w:p w:rsidR="00915C48" w:rsidRPr="005406B8" w:rsidRDefault="00915C48" w:rsidP="005406B8">
      <w:pPr>
        <w:numPr>
          <w:ilvl w:val="0"/>
          <w:numId w:val="14"/>
        </w:numPr>
        <w:spacing w:before="100" w:beforeAutospacing="1" w:after="0" w:line="360" w:lineRule="auto"/>
        <w:contextualSpacing/>
        <w:jc w:val="both"/>
        <w:rPr>
          <w:rFonts w:ascii="Times New Roman" w:eastAsia="Times New Roman" w:hAnsi="Times New Roman" w:cs="Times New Roman"/>
          <w:sz w:val="24"/>
          <w:szCs w:val="24"/>
        </w:rPr>
      </w:pPr>
      <w:r w:rsidRPr="005406B8">
        <w:rPr>
          <w:rFonts w:ascii="Times New Roman" w:eastAsia="Times New Roman" w:hAnsi="Times New Roman" w:cs="Times New Roman"/>
          <w:sz w:val="24"/>
          <w:szCs w:val="24"/>
        </w:rPr>
        <w:t xml:space="preserve">Association of Mutual Funds in India Industry Data and Investor Awareness Reports. </w:t>
      </w:r>
    </w:p>
    <w:p w:rsidR="00915C48" w:rsidRPr="005406B8" w:rsidRDefault="00915C48" w:rsidP="005406B8">
      <w:pPr>
        <w:numPr>
          <w:ilvl w:val="0"/>
          <w:numId w:val="14"/>
        </w:numPr>
        <w:spacing w:before="100" w:beforeAutospacing="1" w:after="0" w:line="360" w:lineRule="auto"/>
        <w:contextualSpacing/>
        <w:jc w:val="both"/>
        <w:rPr>
          <w:rFonts w:ascii="Times New Roman" w:eastAsia="Times New Roman" w:hAnsi="Times New Roman" w:cs="Times New Roman"/>
          <w:sz w:val="24"/>
          <w:szCs w:val="24"/>
        </w:rPr>
      </w:pPr>
      <w:r w:rsidRPr="005406B8">
        <w:rPr>
          <w:rFonts w:ascii="Times New Roman" w:eastAsia="Times New Roman" w:hAnsi="Times New Roman" w:cs="Times New Roman"/>
          <w:sz w:val="24"/>
          <w:szCs w:val="24"/>
        </w:rPr>
        <w:t>National Stock Exchange and Bombay Stock Exchange Market Participation Data.</w:t>
      </w:r>
    </w:p>
    <w:p w:rsidR="000A6F66" w:rsidRPr="006F2798" w:rsidRDefault="000A6F66" w:rsidP="006F2798">
      <w:pPr>
        <w:jc w:val="both"/>
        <w:rPr>
          <w:rFonts w:ascii="Times New Roman" w:hAnsi="Times New Roman" w:cs="Times New Roman"/>
          <w:sz w:val="24"/>
          <w:szCs w:val="24"/>
        </w:rPr>
      </w:pPr>
    </w:p>
    <w:sectPr w:rsidR="000A6F66" w:rsidRPr="006F2798" w:rsidSect="00147F5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4D7" w:rsidRDefault="00A704D7" w:rsidP="00ED217C">
      <w:pPr>
        <w:spacing w:after="0" w:line="240" w:lineRule="auto"/>
      </w:pPr>
      <w:r>
        <w:separator/>
      </w:r>
    </w:p>
  </w:endnote>
  <w:endnote w:type="continuationSeparator" w:id="0">
    <w:p w:rsidR="00A704D7" w:rsidRDefault="00A704D7" w:rsidP="00ED2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594992"/>
      <w:docPartObj>
        <w:docPartGallery w:val="Page Numbers (Bottom of Page)"/>
        <w:docPartUnique/>
      </w:docPartObj>
    </w:sdtPr>
    <w:sdtEndPr>
      <w:rPr>
        <w:noProof/>
      </w:rPr>
    </w:sdtEndPr>
    <w:sdtContent>
      <w:p w:rsidR="00ED217C" w:rsidRDefault="00ED217C">
        <w:pPr>
          <w:pStyle w:val="Footer"/>
          <w:jc w:val="right"/>
        </w:pPr>
        <w:r>
          <w:fldChar w:fldCharType="begin"/>
        </w:r>
        <w:r>
          <w:instrText xml:space="preserve"> PAGE   \* MERGEFORMAT </w:instrText>
        </w:r>
        <w:r>
          <w:fldChar w:fldCharType="separate"/>
        </w:r>
        <w:r w:rsidR="00943863">
          <w:rPr>
            <w:noProof/>
          </w:rPr>
          <w:t>6</w:t>
        </w:r>
        <w:r>
          <w:rPr>
            <w:noProof/>
          </w:rPr>
          <w:fldChar w:fldCharType="end"/>
        </w:r>
      </w:p>
    </w:sdtContent>
  </w:sdt>
  <w:p w:rsidR="00ED217C" w:rsidRDefault="00ED21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4D7" w:rsidRDefault="00A704D7" w:rsidP="00ED217C">
      <w:pPr>
        <w:spacing w:after="0" w:line="240" w:lineRule="auto"/>
      </w:pPr>
      <w:r>
        <w:separator/>
      </w:r>
    </w:p>
  </w:footnote>
  <w:footnote w:type="continuationSeparator" w:id="0">
    <w:p w:rsidR="00A704D7" w:rsidRDefault="00A704D7" w:rsidP="00ED21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C79EF"/>
    <w:multiLevelType w:val="multilevel"/>
    <w:tmpl w:val="401A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73398C"/>
    <w:multiLevelType w:val="multilevel"/>
    <w:tmpl w:val="FBB0229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nsid w:val="197C5780"/>
    <w:multiLevelType w:val="multilevel"/>
    <w:tmpl w:val="0D8E693E"/>
    <w:lvl w:ilvl="0">
      <w:start w:val="1"/>
      <w:numFmt w:val="bullet"/>
      <w:lvlText w:val=""/>
      <w:lvlJc w:val="left"/>
      <w:pPr>
        <w:tabs>
          <w:tab w:val="num" w:pos="1710"/>
        </w:tabs>
        <w:ind w:left="1710" w:hanging="360"/>
      </w:pPr>
      <w:rPr>
        <w:rFonts w:ascii="Symbol" w:hAnsi="Symbol" w:hint="default"/>
        <w:sz w:val="20"/>
      </w:rPr>
    </w:lvl>
    <w:lvl w:ilvl="1" w:tentative="1">
      <w:start w:val="1"/>
      <w:numFmt w:val="bullet"/>
      <w:lvlText w:val="o"/>
      <w:lvlJc w:val="left"/>
      <w:pPr>
        <w:tabs>
          <w:tab w:val="num" w:pos="2430"/>
        </w:tabs>
        <w:ind w:left="2430" w:hanging="360"/>
      </w:pPr>
      <w:rPr>
        <w:rFonts w:ascii="Courier New" w:hAnsi="Courier New" w:hint="default"/>
        <w:sz w:val="20"/>
      </w:rPr>
    </w:lvl>
    <w:lvl w:ilvl="2" w:tentative="1">
      <w:start w:val="1"/>
      <w:numFmt w:val="bullet"/>
      <w:lvlText w:val=""/>
      <w:lvlJc w:val="left"/>
      <w:pPr>
        <w:tabs>
          <w:tab w:val="num" w:pos="3150"/>
        </w:tabs>
        <w:ind w:left="3150" w:hanging="360"/>
      </w:pPr>
      <w:rPr>
        <w:rFonts w:ascii="Wingdings" w:hAnsi="Wingdings" w:hint="default"/>
        <w:sz w:val="20"/>
      </w:rPr>
    </w:lvl>
    <w:lvl w:ilvl="3" w:tentative="1">
      <w:start w:val="1"/>
      <w:numFmt w:val="bullet"/>
      <w:lvlText w:val=""/>
      <w:lvlJc w:val="left"/>
      <w:pPr>
        <w:tabs>
          <w:tab w:val="num" w:pos="3870"/>
        </w:tabs>
        <w:ind w:left="3870" w:hanging="360"/>
      </w:pPr>
      <w:rPr>
        <w:rFonts w:ascii="Wingdings" w:hAnsi="Wingdings" w:hint="default"/>
        <w:sz w:val="20"/>
      </w:rPr>
    </w:lvl>
    <w:lvl w:ilvl="4" w:tentative="1">
      <w:start w:val="1"/>
      <w:numFmt w:val="bullet"/>
      <w:lvlText w:val=""/>
      <w:lvlJc w:val="left"/>
      <w:pPr>
        <w:tabs>
          <w:tab w:val="num" w:pos="4590"/>
        </w:tabs>
        <w:ind w:left="4590" w:hanging="360"/>
      </w:pPr>
      <w:rPr>
        <w:rFonts w:ascii="Wingdings" w:hAnsi="Wingdings" w:hint="default"/>
        <w:sz w:val="20"/>
      </w:rPr>
    </w:lvl>
    <w:lvl w:ilvl="5" w:tentative="1">
      <w:start w:val="1"/>
      <w:numFmt w:val="bullet"/>
      <w:lvlText w:val=""/>
      <w:lvlJc w:val="left"/>
      <w:pPr>
        <w:tabs>
          <w:tab w:val="num" w:pos="5310"/>
        </w:tabs>
        <w:ind w:left="5310" w:hanging="360"/>
      </w:pPr>
      <w:rPr>
        <w:rFonts w:ascii="Wingdings" w:hAnsi="Wingdings" w:hint="default"/>
        <w:sz w:val="20"/>
      </w:rPr>
    </w:lvl>
    <w:lvl w:ilvl="6" w:tentative="1">
      <w:start w:val="1"/>
      <w:numFmt w:val="bullet"/>
      <w:lvlText w:val=""/>
      <w:lvlJc w:val="left"/>
      <w:pPr>
        <w:tabs>
          <w:tab w:val="num" w:pos="6030"/>
        </w:tabs>
        <w:ind w:left="6030" w:hanging="360"/>
      </w:pPr>
      <w:rPr>
        <w:rFonts w:ascii="Wingdings" w:hAnsi="Wingdings" w:hint="default"/>
        <w:sz w:val="20"/>
      </w:rPr>
    </w:lvl>
    <w:lvl w:ilvl="7" w:tentative="1">
      <w:start w:val="1"/>
      <w:numFmt w:val="bullet"/>
      <w:lvlText w:val=""/>
      <w:lvlJc w:val="left"/>
      <w:pPr>
        <w:tabs>
          <w:tab w:val="num" w:pos="6750"/>
        </w:tabs>
        <w:ind w:left="6750" w:hanging="360"/>
      </w:pPr>
      <w:rPr>
        <w:rFonts w:ascii="Wingdings" w:hAnsi="Wingdings" w:hint="default"/>
        <w:sz w:val="20"/>
      </w:rPr>
    </w:lvl>
    <w:lvl w:ilvl="8" w:tentative="1">
      <w:start w:val="1"/>
      <w:numFmt w:val="bullet"/>
      <w:lvlText w:val=""/>
      <w:lvlJc w:val="left"/>
      <w:pPr>
        <w:tabs>
          <w:tab w:val="num" w:pos="7470"/>
        </w:tabs>
        <w:ind w:left="7470" w:hanging="360"/>
      </w:pPr>
      <w:rPr>
        <w:rFonts w:ascii="Wingdings" w:hAnsi="Wingdings" w:hint="default"/>
        <w:sz w:val="20"/>
      </w:rPr>
    </w:lvl>
  </w:abstractNum>
  <w:abstractNum w:abstractNumId="3">
    <w:nsid w:val="19934B0E"/>
    <w:multiLevelType w:val="multilevel"/>
    <w:tmpl w:val="287A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43145"/>
    <w:multiLevelType w:val="multilevel"/>
    <w:tmpl w:val="A96A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9E553E"/>
    <w:multiLevelType w:val="multilevel"/>
    <w:tmpl w:val="D18C7D46"/>
    <w:lvl w:ilvl="0">
      <w:start w:val="1"/>
      <w:numFmt w:val="decimal"/>
      <w:lvlText w:val="%1."/>
      <w:lvlJc w:val="left"/>
      <w:pPr>
        <w:tabs>
          <w:tab w:val="num" w:pos="1170"/>
        </w:tabs>
        <w:ind w:left="1170" w:hanging="360"/>
      </w:p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6">
    <w:nsid w:val="34E15F29"/>
    <w:multiLevelType w:val="multilevel"/>
    <w:tmpl w:val="C4EC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753084B"/>
    <w:multiLevelType w:val="multilevel"/>
    <w:tmpl w:val="B170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D974C6"/>
    <w:multiLevelType w:val="multilevel"/>
    <w:tmpl w:val="2514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B90E1A"/>
    <w:multiLevelType w:val="multilevel"/>
    <w:tmpl w:val="7812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0C0FE0"/>
    <w:multiLevelType w:val="multilevel"/>
    <w:tmpl w:val="53AA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E443F5"/>
    <w:multiLevelType w:val="multilevel"/>
    <w:tmpl w:val="DBBA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E13614"/>
    <w:multiLevelType w:val="multilevel"/>
    <w:tmpl w:val="DC4AA2E2"/>
    <w:lvl w:ilvl="0">
      <w:start w:val="1"/>
      <w:numFmt w:val="bullet"/>
      <w:lvlText w:val=""/>
      <w:lvlJc w:val="left"/>
      <w:pPr>
        <w:tabs>
          <w:tab w:val="num" w:pos="1890"/>
        </w:tabs>
        <w:ind w:left="1890" w:hanging="360"/>
      </w:pPr>
      <w:rPr>
        <w:rFonts w:ascii="Symbol" w:hAnsi="Symbol" w:hint="default"/>
        <w:sz w:val="20"/>
      </w:rPr>
    </w:lvl>
    <w:lvl w:ilvl="1" w:tentative="1">
      <w:start w:val="1"/>
      <w:numFmt w:val="bullet"/>
      <w:lvlText w:val="o"/>
      <w:lvlJc w:val="left"/>
      <w:pPr>
        <w:tabs>
          <w:tab w:val="num" w:pos="2610"/>
        </w:tabs>
        <w:ind w:left="2610" w:hanging="360"/>
      </w:pPr>
      <w:rPr>
        <w:rFonts w:ascii="Courier New" w:hAnsi="Courier New" w:hint="default"/>
        <w:sz w:val="20"/>
      </w:rPr>
    </w:lvl>
    <w:lvl w:ilvl="2" w:tentative="1">
      <w:start w:val="1"/>
      <w:numFmt w:val="bullet"/>
      <w:lvlText w:val=""/>
      <w:lvlJc w:val="left"/>
      <w:pPr>
        <w:tabs>
          <w:tab w:val="num" w:pos="3330"/>
        </w:tabs>
        <w:ind w:left="3330" w:hanging="360"/>
      </w:pPr>
      <w:rPr>
        <w:rFonts w:ascii="Wingdings" w:hAnsi="Wingdings" w:hint="default"/>
        <w:sz w:val="20"/>
      </w:rPr>
    </w:lvl>
    <w:lvl w:ilvl="3" w:tentative="1">
      <w:start w:val="1"/>
      <w:numFmt w:val="bullet"/>
      <w:lvlText w:val=""/>
      <w:lvlJc w:val="left"/>
      <w:pPr>
        <w:tabs>
          <w:tab w:val="num" w:pos="4050"/>
        </w:tabs>
        <w:ind w:left="4050" w:hanging="360"/>
      </w:pPr>
      <w:rPr>
        <w:rFonts w:ascii="Wingdings" w:hAnsi="Wingdings" w:hint="default"/>
        <w:sz w:val="20"/>
      </w:rPr>
    </w:lvl>
    <w:lvl w:ilvl="4" w:tentative="1">
      <w:start w:val="1"/>
      <w:numFmt w:val="bullet"/>
      <w:lvlText w:val=""/>
      <w:lvlJc w:val="left"/>
      <w:pPr>
        <w:tabs>
          <w:tab w:val="num" w:pos="4770"/>
        </w:tabs>
        <w:ind w:left="4770" w:hanging="360"/>
      </w:pPr>
      <w:rPr>
        <w:rFonts w:ascii="Wingdings" w:hAnsi="Wingdings" w:hint="default"/>
        <w:sz w:val="20"/>
      </w:rPr>
    </w:lvl>
    <w:lvl w:ilvl="5" w:tentative="1">
      <w:start w:val="1"/>
      <w:numFmt w:val="bullet"/>
      <w:lvlText w:val=""/>
      <w:lvlJc w:val="left"/>
      <w:pPr>
        <w:tabs>
          <w:tab w:val="num" w:pos="5490"/>
        </w:tabs>
        <w:ind w:left="5490" w:hanging="360"/>
      </w:pPr>
      <w:rPr>
        <w:rFonts w:ascii="Wingdings" w:hAnsi="Wingdings" w:hint="default"/>
        <w:sz w:val="20"/>
      </w:rPr>
    </w:lvl>
    <w:lvl w:ilvl="6" w:tentative="1">
      <w:start w:val="1"/>
      <w:numFmt w:val="bullet"/>
      <w:lvlText w:val=""/>
      <w:lvlJc w:val="left"/>
      <w:pPr>
        <w:tabs>
          <w:tab w:val="num" w:pos="6210"/>
        </w:tabs>
        <w:ind w:left="6210" w:hanging="360"/>
      </w:pPr>
      <w:rPr>
        <w:rFonts w:ascii="Wingdings" w:hAnsi="Wingdings" w:hint="default"/>
        <w:sz w:val="20"/>
      </w:rPr>
    </w:lvl>
    <w:lvl w:ilvl="7" w:tentative="1">
      <w:start w:val="1"/>
      <w:numFmt w:val="bullet"/>
      <w:lvlText w:val=""/>
      <w:lvlJc w:val="left"/>
      <w:pPr>
        <w:tabs>
          <w:tab w:val="num" w:pos="6930"/>
        </w:tabs>
        <w:ind w:left="6930" w:hanging="360"/>
      </w:pPr>
      <w:rPr>
        <w:rFonts w:ascii="Wingdings" w:hAnsi="Wingdings" w:hint="default"/>
        <w:sz w:val="20"/>
      </w:rPr>
    </w:lvl>
    <w:lvl w:ilvl="8" w:tentative="1">
      <w:start w:val="1"/>
      <w:numFmt w:val="bullet"/>
      <w:lvlText w:val=""/>
      <w:lvlJc w:val="left"/>
      <w:pPr>
        <w:tabs>
          <w:tab w:val="num" w:pos="7650"/>
        </w:tabs>
        <w:ind w:left="7650" w:hanging="360"/>
      </w:pPr>
      <w:rPr>
        <w:rFonts w:ascii="Wingdings" w:hAnsi="Wingdings" w:hint="default"/>
        <w:sz w:val="20"/>
      </w:rPr>
    </w:lvl>
  </w:abstractNum>
  <w:abstractNum w:abstractNumId="13">
    <w:nsid w:val="7C453F7C"/>
    <w:multiLevelType w:val="multilevel"/>
    <w:tmpl w:val="6586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11372C"/>
    <w:multiLevelType w:val="hybridMultilevel"/>
    <w:tmpl w:val="C89A6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10"/>
  </w:num>
  <w:num w:numId="4">
    <w:abstractNumId w:val="9"/>
  </w:num>
  <w:num w:numId="5">
    <w:abstractNumId w:val="8"/>
  </w:num>
  <w:num w:numId="6">
    <w:abstractNumId w:val="13"/>
  </w:num>
  <w:num w:numId="7">
    <w:abstractNumId w:val="6"/>
  </w:num>
  <w:num w:numId="8">
    <w:abstractNumId w:val="4"/>
  </w:num>
  <w:num w:numId="9">
    <w:abstractNumId w:val="0"/>
  </w:num>
  <w:num w:numId="10">
    <w:abstractNumId w:val="3"/>
  </w:num>
  <w:num w:numId="11">
    <w:abstractNumId w:val="2"/>
  </w:num>
  <w:num w:numId="12">
    <w:abstractNumId w:val="12"/>
  </w:num>
  <w:num w:numId="13">
    <w:abstractNumId w:val="1"/>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20C6C"/>
    <w:rsid w:val="000A6F66"/>
    <w:rsid w:val="00147F54"/>
    <w:rsid w:val="001B5D02"/>
    <w:rsid w:val="00240859"/>
    <w:rsid w:val="003A106A"/>
    <w:rsid w:val="003D248A"/>
    <w:rsid w:val="003D49E5"/>
    <w:rsid w:val="004833E9"/>
    <w:rsid w:val="004A1E7C"/>
    <w:rsid w:val="004C73CB"/>
    <w:rsid w:val="005406B8"/>
    <w:rsid w:val="005A58CB"/>
    <w:rsid w:val="005C4E28"/>
    <w:rsid w:val="006F2798"/>
    <w:rsid w:val="00915C48"/>
    <w:rsid w:val="00925AF5"/>
    <w:rsid w:val="00943863"/>
    <w:rsid w:val="00A704D7"/>
    <w:rsid w:val="00BF1B59"/>
    <w:rsid w:val="00C20C6C"/>
    <w:rsid w:val="00ED217C"/>
    <w:rsid w:val="00FB2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F54"/>
  </w:style>
  <w:style w:type="paragraph" w:styleId="Heading1">
    <w:name w:val="heading 1"/>
    <w:basedOn w:val="Normal"/>
    <w:link w:val="Heading1Char"/>
    <w:uiPriority w:val="9"/>
    <w:qFormat/>
    <w:rsid w:val="00C20C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20C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20C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C6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20C6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20C6C"/>
    <w:rPr>
      <w:rFonts w:ascii="Times New Roman" w:eastAsia="Times New Roman" w:hAnsi="Times New Roman" w:cs="Times New Roman"/>
      <w:b/>
      <w:bCs/>
      <w:sz w:val="27"/>
      <w:szCs w:val="27"/>
    </w:rPr>
  </w:style>
  <w:style w:type="character" w:styleId="Strong">
    <w:name w:val="Strong"/>
    <w:basedOn w:val="DefaultParagraphFont"/>
    <w:uiPriority w:val="22"/>
    <w:qFormat/>
    <w:rsid w:val="00C20C6C"/>
    <w:rPr>
      <w:b/>
      <w:bCs/>
    </w:rPr>
  </w:style>
  <w:style w:type="paragraph" w:styleId="NormalWeb">
    <w:name w:val="Normal (Web)"/>
    <w:basedOn w:val="Normal"/>
    <w:uiPriority w:val="99"/>
    <w:unhideWhenUsed/>
    <w:rsid w:val="00C20C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C20C6C"/>
  </w:style>
  <w:style w:type="character" w:styleId="Emphasis">
    <w:name w:val="Emphasis"/>
    <w:basedOn w:val="DefaultParagraphFont"/>
    <w:uiPriority w:val="20"/>
    <w:qFormat/>
    <w:rsid w:val="00C20C6C"/>
    <w:rPr>
      <w:i/>
      <w:iCs/>
    </w:rPr>
  </w:style>
  <w:style w:type="paragraph" w:styleId="BalloonText">
    <w:name w:val="Balloon Text"/>
    <w:basedOn w:val="Normal"/>
    <w:link w:val="BalloonTextChar"/>
    <w:uiPriority w:val="99"/>
    <w:semiHidden/>
    <w:unhideWhenUsed/>
    <w:rsid w:val="00C20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C6C"/>
    <w:rPr>
      <w:rFonts w:ascii="Tahoma" w:hAnsi="Tahoma" w:cs="Tahoma"/>
      <w:sz w:val="16"/>
      <w:szCs w:val="16"/>
    </w:rPr>
  </w:style>
  <w:style w:type="paragraph" w:styleId="ListParagraph">
    <w:name w:val="List Paragraph"/>
    <w:basedOn w:val="Normal"/>
    <w:uiPriority w:val="34"/>
    <w:qFormat/>
    <w:rsid w:val="00BF1B59"/>
    <w:pPr>
      <w:ind w:left="720"/>
      <w:contextualSpacing/>
    </w:pPr>
  </w:style>
  <w:style w:type="table" w:styleId="TableGrid">
    <w:name w:val="Table Grid"/>
    <w:basedOn w:val="TableNormal"/>
    <w:uiPriority w:val="59"/>
    <w:rsid w:val="005C4E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C73CB"/>
    <w:rPr>
      <w:color w:val="0563C1"/>
      <w:u w:val="single"/>
    </w:rPr>
  </w:style>
  <w:style w:type="paragraph" w:styleId="Header">
    <w:name w:val="header"/>
    <w:basedOn w:val="Normal"/>
    <w:link w:val="HeaderChar"/>
    <w:uiPriority w:val="99"/>
    <w:unhideWhenUsed/>
    <w:rsid w:val="00ED2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17C"/>
  </w:style>
  <w:style w:type="paragraph" w:styleId="Footer">
    <w:name w:val="footer"/>
    <w:basedOn w:val="Normal"/>
    <w:link w:val="FooterChar"/>
    <w:uiPriority w:val="99"/>
    <w:unhideWhenUsed/>
    <w:rsid w:val="00ED2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1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69985">
      <w:bodyDiv w:val="1"/>
      <w:marLeft w:val="0"/>
      <w:marRight w:val="0"/>
      <w:marTop w:val="0"/>
      <w:marBottom w:val="0"/>
      <w:divBdr>
        <w:top w:val="none" w:sz="0" w:space="0" w:color="auto"/>
        <w:left w:val="none" w:sz="0" w:space="0" w:color="auto"/>
        <w:bottom w:val="none" w:sz="0" w:space="0" w:color="auto"/>
        <w:right w:val="none" w:sz="0" w:space="0" w:color="auto"/>
      </w:divBdr>
      <w:divsChild>
        <w:div w:id="2146003176">
          <w:marLeft w:val="0"/>
          <w:marRight w:val="0"/>
          <w:marTop w:val="0"/>
          <w:marBottom w:val="0"/>
          <w:divBdr>
            <w:top w:val="none" w:sz="0" w:space="0" w:color="auto"/>
            <w:left w:val="none" w:sz="0" w:space="0" w:color="auto"/>
            <w:bottom w:val="none" w:sz="0" w:space="0" w:color="auto"/>
            <w:right w:val="none" w:sz="0" w:space="0" w:color="auto"/>
          </w:divBdr>
          <w:divsChild>
            <w:div w:id="2066054176">
              <w:marLeft w:val="0"/>
              <w:marRight w:val="0"/>
              <w:marTop w:val="0"/>
              <w:marBottom w:val="0"/>
              <w:divBdr>
                <w:top w:val="none" w:sz="0" w:space="0" w:color="auto"/>
                <w:left w:val="none" w:sz="0" w:space="0" w:color="auto"/>
                <w:bottom w:val="none" w:sz="0" w:space="0" w:color="auto"/>
                <w:right w:val="none" w:sz="0" w:space="0" w:color="auto"/>
              </w:divBdr>
              <w:divsChild>
                <w:div w:id="326400555">
                  <w:marLeft w:val="0"/>
                  <w:marRight w:val="0"/>
                  <w:marTop w:val="0"/>
                  <w:marBottom w:val="0"/>
                  <w:divBdr>
                    <w:top w:val="none" w:sz="0" w:space="0" w:color="auto"/>
                    <w:left w:val="none" w:sz="0" w:space="0" w:color="auto"/>
                    <w:bottom w:val="none" w:sz="0" w:space="0" w:color="auto"/>
                    <w:right w:val="none" w:sz="0" w:space="0" w:color="auto"/>
                  </w:divBdr>
                  <w:divsChild>
                    <w:div w:id="591356155">
                      <w:marLeft w:val="0"/>
                      <w:marRight w:val="0"/>
                      <w:marTop w:val="0"/>
                      <w:marBottom w:val="0"/>
                      <w:divBdr>
                        <w:top w:val="none" w:sz="0" w:space="0" w:color="auto"/>
                        <w:left w:val="none" w:sz="0" w:space="0" w:color="auto"/>
                        <w:bottom w:val="none" w:sz="0" w:space="0" w:color="auto"/>
                        <w:right w:val="none" w:sz="0" w:space="0" w:color="auto"/>
                      </w:divBdr>
                      <w:divsChild>
                        <w:div w:id="1685790433">
                          <w:marLeft w:val="0"/>
                          <w:marRight w:val="0"/>
                          <w:marTop w:val="0"/>
                          <w:marBottom w:val="0"/>
                          <w:divBdr>
                            <w:top w:val="none" w:sz="0" w:space="0" w:color="auto"/>
                            <w:left w:val="none" w:sz="0" w:space="0" w:color="auto"/>
                            <w:bottom w:val="none" w:sz="0" w:space="0" w:color="auto"/>
                            <w:right w:val="none" w:sz="0" w:space="0" w:color="auto"/>
                          </w:divBdr>
                          <w:divsChild>
                            <w:div w:id="1558203650">
                              <w:marLeft w:val="0"/>
                              <w:marRight w:val="0"/>
                              <w:marTop w:val="0"/>
                              <w:marBottom w:val="0"/>
                              <w:divBdr>
                                <w:top w:val="none" w:sz="0" w:space="0" w:color="auto"/>
                                <w:left w:val="none" w:sz="0" w:space="0" w:color="auto"/>
                                <w:bottom w:val="none" w:sz="0" w:space="0" w:color="auto"/>
                                <w:right w:val="none" w:sz="0" w:space="0" w:color="auto"/>
                              </w:divBdr>
                              <w:divsChild>
                                <w:div w:id="19333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352891">
      <w:bodyDiv w:val="1"/>
      <w:marLeft w:val="0"/>
      <w:marRight w:val="0"/>
      <w:marTop w:val="0"/>
      <w:marBottom w:val="0"/>
      <w:divBdr>
        <w:top w:val="none" w:sz="0" w:space="0" w:color="auto"/>
        <w:left w:val="none" w:sz="0" w:space="0" w:color="auto"/>
        <w:bottom w:val="none" w:sz="0" w:space="0" w:color="auto"/>
        <w:right w:val="none" w:sz="0" w:space="0" w:color="auto"/>
      </w:divBdr>
    </w:div>
    <w:div w:id="1032192220">
      <w:bodyDiv w:val="1"/>
      <w:marLeft w:val="0"/>
      <w:marRight w:val="0"/>
      <w:marTop w:val="0"/>
      <w:marBottom w:val="0"/>
      <w:divBdr>
        <w:top w:val="none" w:sz="0" w:space="0" w:color="auto"/>
        <w:left w:val="none" w:sz="0" w:space="0" w:color="auto"/>
        <w:bottom w:val="none" w:sz="0" w:space="0" w:color="auto"/>
        <w:right w:val="none" w:sz="0" w:space="0" w:color="auto"/>
      </w:divBdr>
      <w:divsChild>
        <w:div w:id="1963731048">
          <w:marLeft w:val="0"/>
          <w:marRight w:val="0"/>
          <w:marTop w:val="0"/>
          <w:marBottom w:val="0"/>
          <w:divBdr>
            <w:top w:val="none" w:sz="0" w:space="0" w:color="auto"/>
            <w:left w:val="none" w:sz="0" w:space="0" w:color="auto"/>
            <w:bottom w:val="none" w:sz="0" w:space="0" w:color="auto"/>
            <w:right w:val="none" w:sz="0" w:space="0" w:color="auto"/>
          </w:divBdr>
          <w:divsChild>
            <w:div w:id="24117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20297">
      <w:bodyDiv w:val="1"/>
      <w:marLeft w:val="0"/>
      <w:marRight w:val="0"/>
      <w:marTop w:val="0"/>
      <w:marBottom w:val="0"/>
      <w:divBdr>
        <w:top w:val="none" w:sz="0" w:space="0" w:color="auto"/>
        <w:left w:val="none" w:sz="0" w:space="0" w:color="auto"/>
        <w:bottom w:val="none" w:sz="0" w:space="0" w:color="auto"/>
        <w:right w:val="none" w:sz="0" w:space="0" w:color="auto"/>
      </w:divBdr>
      <w:divsChild>
        <w:div w:id="1899588677">
          <w:marLeft w:val="0"/>
          <w:marRight w:val="0"/>
          <w:marTop w:val="0"/>
          <w:marBottom w:val="0"/>
          <w:divBdr>
            <w:top w:val="none" w:sz="0" w:space="0" w:color="auto"/>
            <w:left w:val="none" w:sz="0" w:space="0" w:color="auto"/>
            <w:bottom w:val="none" w:sz="0" w:space="0" w:color="auto"/>
            <w:right w:val="none" w:sz="0" w:space="0" w:color="auto"/>
          </w:divBdr>
          <w:divsChild>
            <w:div w:id="631718930">
              <w:marLeft w:val="0"/>
              <w:marRight w:val="0"/>
              <w:marTop w:val="0"/>
              <w:marBottom w:val="0"/>
              <w:divBdr>
                <w:top w:val="none" w:sz="0" w:space="0" w:color="auto"/>
                <w:left w:val="none" w:sz="0" w:space="0" w:color="auto"/>
                <w:bottom w:val="none" w:sz="0" w:space="0" w:color="auto"/>
                <w:right w:val="none" w:sz="0" w:space="0" w:color="auto"/>
              </w:divBdr>
              <w:divsChild>
                <w:div w:id="964506185">
                  <w:marLeft w:val="0"/>
                  <w:marRight w:val="0"/>
                  <w:marTop w:val="0"/>
                  <w:marBottom w:val="0"/>
                  <w:divBdr>
                    <w:top w:val="none" w:sz="0" w:space="0" w:color="auto"/>
                    <w:left w:val="none" w:sz="0" w:space="0" w:color="auto"/>
                    <w:bottom w:val="none" w:sz="0" w:space="0" w:color="auto"/>
                    <w:right w:val="none" w:sz="0" w:space="0" w:color="auto"/>
                  </w:divBdr>
                  <w:divsChild>
                    <w:div w:id="1924222196">
                      <w:marLeft w:val="0"/>
                      <w:marRight w:val="0"/>
                      <w:marTop w:val="0"/>
                      <w:marBottom w:val="0"/>
                      <w:divBdr>
                        <w:top w:val="none" w:sz="0" w:space="0" w:color="auto"/>
                        <w:left w:val="none" w:sz="0" w:space="0" w:color="auto"/>
                        <w:bottom w:val="none" w:sz="0" w:space="0" w:color="auto"/>
                        <w:right w:val="none" w:sz="0" w:space="0" w:color="auto"/>
                      </w:divBdr>
                      <w:divsChild>
                        <w:div w:id="1861969563">
                          <w:marLeft w:val="0"/>
                          <w:marRight w:val="0"/>
                          <w:marTop w:val="0"/>
                          <w:marBottom w:val="0"/>
                          <w:divBdr>
                            <w:top w:val="none" w:sz="0" w:space="0" w:color="auto"/>
                            <w:left w:val="none" w:sz="0" w:space="0" w:color="auto"/>
                            <w:bottom w:val="none" w:sz="0" w:space="0" w:color="auto"/>
                            <w:right w:val="none" w:sz="0" w:space="0" w:color="auto"/>
                          </w:divBdr>
                          <w:divsChild>
                            <w:div w:id="386532328">
                              <w:marLeft w:val="0"/>
                              <w:marRight w:val="0"/>
                              <w:marTop w:val="0"/>
                              <w:marBottom w:val="0"/>
                              <w:divBdr>
                                <w:top w:val="none" w:sz="0" w:space="0" w:color="auto"/>
                                <w:left w:val="none" w:sz="0" w:space="0" w:color="auto"/>
                                <w:bottom w:val="none" w:sz="0" w:space="0" w:color="auto"/>
                                <w:right w:val="none" w:sz="0" w:space="0" w:color="auto"/>
                              </w:divBdr>
                              <w:divsChild>
                                <w:div w:id="29421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72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santosh.b.kabade@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16</cp:revision>
  <cp:lastPrinted>2026-07-04T08:36:00Z</cp:lastPrinted>
  <dcterms:created xsi:type="dcterms:W3CDTF">2026-03-21T09:25:00Z</dcterms:created>
  <dcterms:modified xsi:type="dcterms:W3CDTF">2026-07-04T08:36:00Z</dcterms:modified>
</cp:coreProperties>
</file>