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081FF">
      <w:pPr>
        <w:jc w:val="center"/>
        <w:rPr>
          <w:rFonts w:ascii="Times New Roman" w:hAnsi="Times New Roman" w:cs="Times New Roman"/>
          <w:b/>
          <w:sz w:val="24"/>
        </w:rPr>
      </w:pPr>
      <w:r>
        <w:rPr>
          <w:rFonts w:hint="default" w:ascii="Times New Roman" w:hAnsi="Times New Roman" w:cs="Times New Roman"/>
          <w:b/>
          <w:sz w:val="24"/>
          <w:lang w:val="en-US"/>
        </w:rPr>
        <w:t xml:space="preserve">The Effect of </w:t>
      </w:r>
      <w:r>
        <w:rPr>
          <w:rFonts w:ascii="Times New Roman" w:hAnsi="Times New Roman" w:cs="Times New Roman"/>
          <w:b/>
          <w:sz w:val="24"/>
        </w:rPr>
        <w:t xml:space="preserve">Managerial Shareholding </w:t>
      </w:r>
      <w:r>
        <w:rPr>
          <w:rFonts w:hint="default" w:ascii="Times New Roman" w:hAnsi="Times New Roman" w:cs="Times New Roman"/>
          <w:b/>
          <w:sz w:val="24"/>
          <w:lang w:val="en-US"/>
        </w:rPr>
        <w:t>on</w:t>
      </w:r>
      <w:r>
        <w:rPr>
          <w:rFonts w:ascii="Times New Roman" w:hAnsi="Times New Roman" w:cs="Times New Roman"/>
          <w:b/>
          <w:sz w:val="24"/>
        </w:rPr>
        <w:t xml:space="preserve"> </w:t>
      </w:r>
      <w:r>
        <w:rPr>
          <w:rFonts w:hint="default" w:ascii="Times New Roman" w:hAnsi="Times New Roman" w:cs="Times New Roman"/>
          <w:b/>
          <w:sz w:val="24"/>
          <w:lang w:val="en-US"/>
        </w:rPr>
        <w:t xml:space="preserve">the Likelihood of </w:t>
      </w:r>
      <w:r>
        <w:rPr>
          <w:rFonts w:ascii="Times New Roman" w:hAnsi="Times New Roman" w:cs="Times New Roman"/>
          <w:b/>
          <w:sz w:val="24"/>
        </w:rPr>
        <w:t xml:space="preserve">Financial Distress of </w:t>
      </w:r>
      <w:r>
        <w:rPr>
          <w:rFonts w:hint="default" w:ascii="Times New Roman" w:hAnsi="Times New Roman" w:cs="Times New Roman"/>
          <w:b/>
          <w:sz w:val="24"/>
          <w:lang w:val="en-US"/>
        </w:rPr>
        <w:t xml:space="preserve">Listed </w:t>
      </w:r>
      <w:r>
        <w:rPr>
          <w:rFonts w:ascii="Times New Roman" w:hAnsi="Times New Roman" w:cs="Times New Roman"/>
          <w:b/>
          <w:sz w:val="24"/>
        </w:rPr>
        <w:t xml:space="preserve">Deposit Money </w:t>
      </w:r>
      <w:r>
        <w:rPr>
          <w:rFonts w:ascii="Times New Roman" w:hAnsi="Times New Roman" w:cs="Times New Roman"/>
          <w:b/>
          <w:sz w:val="24"/>
          <w:lang w:val="en-US"/>
        </w:rPr>
        <w:t>Banks in</w:t>
      </w:r>
      <w:r>
        <w:rPr>
          <w:rFonts w:hint="default" w:ascii="Times New Roman" w:hAnsi="Times New Roman" w:cs="Times New Roman"/>
          <w:b/>
          <w:sz w:val="24"/>
          <w:lang w:val="en-US"/>
        </w:rPr>
        <w:t xml:space="preserve"> Nigeria</w:t>
      </w:r>
      <w:r>
        <w:rPr>
          <w:rFonts w:ascii="Times New Roman" w:hAnsi="Times New Roman" w:cs="Times New Roman"/>
          <w:b/>
          <w:sz w:val="24"/>
        </w:rPr>
        <w:t>: The Role of Loan Loss Provisions</w:t>
      </w:r>
    </w:p>
    <w:p w14:paraId="7427F701">
      <w:pPr>
        <w:rPr>
          <w:rFonts w:ascii="Times New Roman" w:hAnsi="Times New Roman" w:cs="Times New Roman"/>
          <w:b/>
          <w:sz w:val="24"/>
        </w:rPr>
      </w:pPr>
      <w:r>
        <w:rPr>
          <w:rFonts w:ascii="Times New Roman" w:hAnsi="Times New Roman" w:cs="Times New Roman"/>
          <w:b/>
          <w:sz w:val="24"/>
        </w:rPr>
        <w:t>Abstract</w:t>
      </w:r>
    </w:p>
    <w:p w14:paraId="50E3B5A3">
      <w:pPr>
        <w:jc w:val="both"/>
        <w:rPr>
          <w:rFonts w:ascii="Times New Roman" w:hAnsi="Times New Roman" w:cs="Times New Roman"/>
          <w:i/>
          <w:sz w:val="24"/>
        </w:rPr>
      </w:pPr>
      <w:r>
        <w:rPr>
          <w:rFonts w:ascii="Times New Roman" w:hAnsi="Times New Roman" w:cs="Times New Roman"/>
          <w:i/>
          <w:sz w:val="24"/>
        </w:rPr>
        <w:t xml:space="preserve">This study examines the effect of managerial shareholding on the likelihood of financial distress </w:t>
      </w:r>
      <w:r>
        <w:rPr>
          <w:rFonts w:hint="default" w:ascii="Times New Roman" w:hAnsi="Times New Roman" w:cs="Times New Roman"/>
          <w:i/>
          <w:sz w:val="24"/>
          <w:lang w:val="en-US"/>
        </w:rPr>
        <w:t xml:space="preserve">of Listed Deposit Money Banks </w:t>
      </w:r>
      <w:r>
        <w:rPr>
          <w:rFonts w:ascii="Times New Roman" w:hAnsi="Times New Roman" w:cs="Times New Roman"/>
          <w:i/>
          <w:sz w:val="24"/>
        </w:rPr>
        <w:t xml:space="preserve">in Nigerian, with a focus on the moderating role of loan loss provisions (LLPs). Using a panel dataset of 14 listed </w:t>
      </w:r>
      <w:r>
        <w:rPr>
          <w:rFonts w:hint="default" w:ascii="Times New Roman" w:hAnsi="Times New Roman" w:cs="Times New Roman"/>
          <w:i/>
          <w:sz w:val="24"/>
          <w:lang w:val="en-US"/>
        </w:rPr>
        <w:t xml:space="preserve">deposit money </w:t>
      </w:r>
      <w:r>
        <w:rPr>
          <w:rFonts w:ascii="Times New Roman" w:hAnsi="Times New Roman" w:cs="Times New Roman"/>
          <w:i/>
          <w:sz w:val="24"/>
        </w:rPr>
        <w:t xml:space="preserve">banks over the period 2015–2024, the study employs Ordinary Least Squares (OLS) regression after confirming model </w:t>
      </w:r>
      <w:bookmarkStart w:id="0" w:name="_GoBack"/>
      <w:bookmarkEnd w:id="0"/>
      <w:r>
        <w:rPr>
          <w:rFonts w:ascii="Times New Roman" w:hAnsi="Times New Roman" w:cs="Times New Roman"/>
          <w:i/>
          <w:sz w:val="24"/>
        </w:rPr>
        <w:t xml:space="preserve">suitability through Hausman and Lagrangian Multiplier tests. Financial distress is measured using the Altman Z-score, while managerial shareholding and LLPs are derived from financial statements. The results reveal that managerial shareholding has a significant negative effect on financial stability, suggesting that higher insider ownership increases the likelihood of </w:t>
      </w:r>
      <w:r>
        <w:rPr>
          <w:rFonts w:hint="default" w:ascii="Times New Roman" w:hAnsi="Times New Roman" w:cs="Times New Roman"/>
          <w:i/>
          <w:sz w:val="24"/>
          <w:lang w:val="en-US"/>
        </w:rPr>
        <w:t xml:space="preserve">financial </w:t>
      </w:r>
      <w:r>
        <w:rPr>
          <w:rFonts w:ascii="Times New Roman" w:hAnsi="Times New Roman" w:cs="Times New Roman"/>
          <w:i/>
          <w:sz w:val="24"/>
        </w:rPr>
        <w:t xml:space="preserve">distress. LLPs also significantly influence financial distress and moderate the relationship between managerial shareholding and </w:t>
      </w:r>
      <w:r>
        <w:rPr>
          <w:rFonts w:hint="default" w:ascii="Times New Roman" w:hAnsi="Times New Roman" w:cs="Times New Roman"/>
          <w:i/>
          <w:sz w:val="24"/>
          <w:lang w:val="en-US"/>
        </w:rPr>
        <w:t xml:space="preserve">financial </w:t>
      </w:r>
      <w:r>
        <w:rPr>
          <w:rFonts w:ascii="Times New Roman" w:hAnsi="Times New Roman" w:cs="Times New Roman"/>
          <w:i/>
          <w:sz w:val="24"/>
        </w:rPr>
        <w:t>distress. The findings support agency and stakeholder theories and highlight the importance of governance and provisioning practices in enhancing bank stability. The study recommends stronger regulatory oversight and improved governance frameworks.</w:t>
      </w:r>
    </w:p>
    <w:p w14:paraId="667AE222">
      <w:pPr>
        <w:jc w:val="center"/>
        <w:rPr>
          <w:rFonts w:ascii="Times New Roman" w:hAnsi="Times New Roman" w:cs="Times New Roman"/>
          <w:sz w:val="24"/>
        </w:rPr>
      </w:pPr>
      <w:r>
        <w:rPr>
          <w:rFonts w:ascii="Times New Roman" w:hAnsi="Times New Roman" w:cs="Times New Roman"/>
          <w:b/>
          <w:sz w:val="24"/>
        </w:rPr>
        <w:t>Keywords:</w:t>
      </w:r>
      <w:r>
        <w:rPr>
          <w:rFonts w:ascii="Times New Roman" w:hAnsi="Times New Roman" w:cs="Times New Roman"/>
          <w:sz w:val="24"/>
        </w:rPr>
        <w:t xml:space="preserve"> Managerial Shareholding, Financial Distress, Loan Loss Provisions, Nigerian Banks</w:t>
      </w:r>
    </w:p>
    <w:p w14:paraId="361C5539">
      <w:pPr>
        <w:jc w:val="both"/>
        <w:rPr>
          <w:rFonts w:ascii="Times New Roman" w:hAnsi="Times New Roman" w:cs="Times New Roman"/>
          <w:b/>
          <w:sz w:val="24"/>
        </w:rPr>
      </w:pPr>
      <w:r>
        <w:rPr>
          <w:rFonts w:ascii="Times New Roman" w:hAnsi="Times New Roman" w:cs="Times New Roman"/>
          <w:b/>
          <w:sz w:val="24"/>
        </w:rPr>
        <w:t>Introduction</w:t>
      </w:r>
    </w:p>
    <w:p w14:paraId="2EEA83FF">
      <w:pPr>
        <w:jc w:val="both"/>
        <w:rPr>
          <w:rFonts w:ascii="Times New Roman" w:hAnsi="Times New Roman" w:cs="Times New Roman"/>
          <w:sz w:val="24"/>
        </w:rPr>
      </w:pPr>
      <w:r>
        <w:rPr>
          <w:rFonts w:ascii="Times New Roman" w:hAnsi="Times New Roman" w:cs="Times New Roman"/>
          <w:sz w:val="24"/>
        </w:rPr>
        <w:t>Financial distress remains a major concern in the banking sector due to its potential to disrupt financial stability and economic growth. It is commonly defined as a situation in which firms are unable to meet their financial obligations, which may lead to insolvency or liquidation if not effectively managed (Borges, 2025). Following the 2008 global financial crisis, attention has increasingly focused on identifying governance and institutional factors that influence banks’ vulnerability to distress (Akgun, 2024). This is particularly important in emerging economies where financial systems are often more fragile.</w:t>
      </w:r>
    </w:p>
    <w:p w14:paraId="712AF2FE">
      <w:pPr>
        <w:jc w:val="both"/>
        <w:rPr>
          <w:rFonts w:ascii="Times New Roman" w:hAnsi="Times New Roman" w:cs="Times New Roman"/>
          <w:sz w:val="24"/>
        </w:rPr>
      </w:pPr>
      <w:r>
        <w:rPr>
          <w:rFonts w:ascii="Times New Roman" w:hAnsi="Times New Roman" w:cs="Times New Roman"/>
          <w:sz w:val="24"/>
        </w:rPr>
        <w:t xml:space="preserve">In Sub-Saharan Africa, financial distress in banks has been linked to macroeconomic instability, weak governance, and regulatory inefficiencies (Opoku et al., 2024). The Nigerian banking sector presents a notable case. Despite reforms such as the 2005 recapitalization exercise, the sector experienced significant instability during the 2009 banking crisis, which exposed issues such as poor governance, insider abuses, and inadequate loan provisioning (Sanusi, 2012). Although regulatory oversight has improved, Nigerian deposit money banks remain vulnerable to financial distress due to credit risk exposure and discretionary financial reporting practices </w:t>
      </w:r>
    </w:p>
    <w:p w14:paraId="1370C0D6">
      <w:pPr>
        <w:jc w:val="both"/>
        <w:rPr>
          <w:rFonts w:ascii="Times New Roman" w:hAnsi="Times New Roman" w:cs="Times New Roman"/>
          <w:sz w:val="24"/>
        </w:rPr>
      </w:pPr>
      <w:r>
        <w:rPr>
          <w:rFonts w:ascii="Times New Roman" w:hAnsi="Times New Roman" w:cs="Times New Roman"/>
          <w:sz w:val="24"/>
        </w:rPr>
        <w:t xml:space="preserve">Ownership structure is a critical governance mechanism that shapes managerial incentives, monitoring, and risk-taking behavior. In particular, managerial shareholding plays a dual role. It can align managers’ interests with those of shareholders, thereby reducing agency conflicts, but it can also lead to managerial entrenchment when ownership becomes concentrated, encouraging opportunistic behavior and delayed recognition of financial distress (Shan et al., 2024). This duality makes managerial ownership an important factor in explaining the likelihood of financial </w:t>
      </w:r>
      <w:r>
        <w:rPr>
          <w:rFonts w:hint="default" w:ascii="Times New Roman" w:hAnsi="Times New Roman" w:cs="Times New Roman"/>
          <w:sz w:val="24"/>
          <w:lang w:val="en-US"/>
        </w:rPr>
        <w:t xml:space="preserve">financial </w:t>
      </w:r>
      <w:r>
        <w:rPr>
          <w:rFonts w:ascii="Times New Roman" w:hAnsi="Times New Roman" w:cs="Times New Roman"/>
          <w:sz w:val="24"/>
        </w:rPr>
        <w:t>distress in banks.</w:t>
      </w:r>
    </w:p>
    <w:p w14:paraId="208DFC28">
      <w:pPr>
        <w:jc w:val="both"/>
        <w:rPr>
          <w:rFonts w:ascii="Times New Roman" w:hAnsi="Times New Roman" w:cs="Times New Roman"/>
          <w:sz w:val="24"/>
        </w:rPr>
      </w:pPr>
      <w:r>
        <w:rPr>
          <w:rFonts w:ascii="Times New Roman" w:hAnsi="Times New Roman" w:cs="Times New Roman"/>
          <w:sz w:val="24"/>
        </w:rPr>
        <w:t xml:space="preserve">The relationship between managerial shareholding and financial distress is further influenced by loan loss provisions (LLPs). LLPs are reserves set aside to cover expected loan losses and are essential for </w:t>
      </w:r>
      <w:r>
        <w:rPr>
          <w:rFonts w:hint="default" w:ascii="Times New Roman" w:hAnsi="Times New Roman" w:cs="Times New Roman"/>
          <w:sz w:val="24"/>
          <w:lang w:val="en-US"/>
        </w:rPr>
        <w:t xml:space="preserve">credit </w:t>
      </w:r>
      <w:r>
        <w:rPr>
          <w:rFonts w:ascii="Times New Roman" w:hAnsi="Times New Roman" w:cs="Times New Roman"/>
          <w:sz w:val="24"/>
        </w:rPr>
        <w:t>risk management in banks. However, they are also highly discretionary and can be used for earnings management or capital smoothing (Biswas et al., 2024) . In Nigeria, banks often adjust provisions strategically,</w:t>
      </w:r>
      <w:r>
        <w:rPr>
          <w:rFonts w:hint="default" w:ascii="Times New Roman" w:hAnsi="Times New Roman" w:cs="Times New Roman"/>
          <w:sz w:val="24"/>
          <w:lang w:val="en-US"/>
        </w:rPr>
        <w:t>by</w:t>
      </w:r>
      <w:r>
        <w:rPr>
          <w:rFonts w:ascii="Times New Roman" w:hAnsi="Times New Roman" w:cs="Times New Roman"/>
          <w:sz w:val="24"/>
        </w:rPr>
        <w:t xml:space="preserve"> under-provisioning during good periods and over-provisioning during downturns, thereby masking underlying financial conditions (Ozili, 2024). As such, LLPs can either enhance financial resilience or obscure early signs of distress, depending on how they are applied.</w:t>
      </w:r>
    </w:p>
    <w:p w14:paraId="5B80BF7D">
      <w:pPr>
        <w:jc w:val="both"/>
        <w:rPr>
          <w:rFonts w:ascii="Times New Roman" w:hAnsi="Times New Roman" w:cs="Times New Roman"/>
          <w:sz w:val="24"/>
        </w:rPr>
      </w:pPr>
      <w:r>
        <w:rPr>
          <w:rFonts w:ascii="Times New Roman" w:hAnsi="Times New Roman" w:cs="Times New Roman"/>
          <w:sz w:val="24"/>
        </w:rPr>
        <w:t>Theoretically, this study is grounded in agency theory, which explains the conflict of interest between managers and shareholders and highlights the role of ownership structure in aligning or distorting incentives (Jensen &amp; Meckling, 1976). Stakeholder theory further emphasizes the responsibility of banks to ensure transparency and protect the interests of depositors, regulators, and the public (Sharma &amp; Singh, 2025). Together, these theories provide a basis for examining how managerial ownership and discretionary provisioning practices interact to influence financial distress.</w:t>
      </w:r>
    </w:p>
    <w:p w14:paraId="52493932">
      <w:pPr>
        <w:jc w:val="both"/>
        <w:rPr>
          <w:rFonts w:ascii="Times New Roman" w:hAnsi="Times New Roman" w:cs="Times New Roman"/>
          <w:sz w:val="24"/>
        </w:rPr>
      </w:pPr>
      <w:r>
        <w:rPr>
          <w:rFonts w:ascii="Times New Roman" w:hAnsi="Times New Roman" w:cs="Times New Roman"/>
          <w:sz w:val="24"/>
        </w:rPr>
        <w:t>Despite existing studies on ownership structure and financial distress (Galdi et al., 2021; Wahba, 2024), there is limited evidence on how loan loss provisions moderate this relationship, particularly in emerging economies like Nigeria.</w:t>
      </w:r>
      <w:r>
        <w:rPr>
          <w:rFonts w:hint="default" w:ascii="Times New Roman" w:hAnsi="Times New Roman" w:cs="Times New Roman"/>
          <w:sz w:val="24"/>
          <w:lang w:val="en-US"/>
        </w:rPr>
        <w:t xml:space="preserve"> P</w:t>
      </w:r>
      <w:r>
        <w:rPr>
          <w:rFonts w:ascii="Times New Roman" w:hAnsi="Times New Roman" w:cs="Times New Roman"/>
          <w:sz w:val="24"/>
        </w:rPr>
        <w:t>rior studies have examined these variables independently, thereby overlooking their interactive effects (Shan et al., 2024; Akgun, 2024). This creates a gap in understanding how governance mechanisms and accounting discretion jointly shape financial outcomes in the banking sector. Thus, the problem addressed in this study is the persistent vulnerability of Nigerian deposit money banks to financial distress despite regulatory reforms. Issues such as rising non-performing loans, inadequate provisioning, and insider control continue to undermine financial stability (Umar et al., 2024). While managerial shareholding influences governance and decision-making, its interaction with loan loss provisions in determining financial distress remains insufficiently explored.</w:t>
      </w:r>
    </w:p>
    <w:p w14:paraId="3DED6A06">
      <w:pPr>
        <w:jc w:val="both"/>
        <w:rPr>
          <w:rFonts w:ascii="Times New Roman" w:hAnsi="Times New Roman" w:cs="Times New Roman"/>
          <w:sz w:val="24"/>
        </w:rPr>
      </w:pPr>
      <w:r>
        <w:rPr>
          <w:rFonts w:ascii="Times New Roman" w:hAnsi="Times New Roman" w:cs="Times New Roman"/>
          <w:sz w:val="24"/>
        </w:rPr>
        <w:t xml:space="preserve">Accordingly, the main objective of this study is to examine the effect of managerial shareholding on the likelihood of financial distress in Nigerian </w:t>
      </w:r>
      <w:r>
        <w:rPr>
          <w:rFonts w:hint="default" w:ascii="Times New Roman" w:hAnsi="Times New Roman" w:cs="Times New Roman"/>
          <w:sz w:val="24"/>
          <w:lang w:val="en-US"/>
        </w:rPr>
        <w:t xml:space="preserve">listed </w:t>
      </w:r>
      <w:r>
        <w:rPr>
          <w:rFonts w:ascii="Times New Roman" w:hAnsi="Times New Roman" w:cs="Times New Roman"/>
          <w:sz w:val="24"/>
        </w:rPr>
        <w:t xml:space="preserve">deposit money banks, with particular emphasis on the moderating role of loan loss provisions. Specifically, the study seeks to: (i) evaluate the effect of managerial shareholding on </w:t>
      </w:r>
      <w:r>
        <w:rPr>
          <w:rFonts w:hint="default" w:ascii="Times New Roman" w:hAnsi="Times New Roman" w:cs="Times New Roman"/>
          <w:sz w:val="24"/>
          <w:lang w:val="en-US"/>
        </w:rPr>
        <w:t xml:space="preserve">the likelihood of </w:t>
      </w:r>
      <w:r>
        <w:rPr>
          <w:rFonts w:ascii="Times New Roman" w:hAnsi="Times New Roman" w:cs="Times New Roman"/>
          <w:sz w:val="24"/>
        </w:rPr>
        <w:t xml:space="preserve">financial distress; (ii) examine the effect of loan loss provisions on </w:t>
      </w:r>
      <w:r>
        <w:rPr>
          <w:rFonts w:hint="default" w:ascii="Times New Roman" w:hAnsi="Times New Roman" w:cs="Times New Roman"/>
          <w:sz w:val="24"/>
          <w:lang w:val="en-US"/>
        </w:rPr>
        <w:t xml:space="preserve">the likelihood of </w:t>
      </w:r>
      <w:r>
        <w:rPr>
          <w:rFonts w:ascii="Times New Roman" w:hAnsi="Times New Roman" w:cs="Times New Roman"/>
          <w:sz w:val="24"/>
        </w:rPr>
        <w:t xml:space="preserve">financial distress; and (iii) investigate the moderating effect of loan loss provisions on the relationship between managerial shareholding and </w:t>
      </w:r>
      <w:r>
        <w:rPr>
          <w:rFonts w:hint="default" w:ascii="Times New Roman" w:hAnsi="Times New Roman" w:cs="Times New Roman"/>
          <w:sz w:val="24"/>
          <w:lang w:val="en-US"/>
        </w:rPr>
        <w:t xml:space="preserve">the likelihood of </w:t>
      </w:r>
      <w:r>
        <w:rPr>
          <w:rFonts w:ascii="Times New Roman" w:hAnsi="Times New Roman" w:cs="Times New Roman"/>
          <w:sz w:val="24"/>
        </w:rPr>
        <w:t>financial distress. This study contributes to the literature by integrating managerial ownership and accounting discretion into a unified framework for analyzing financial distress. It also introduces a moderation perspective, providing deeper insights into how loan loss provisions influence the governance–distress relationship. Furthermore, by focusing on the Nigerian banking sector, the study offers context-specific evidence that is relevant for regulators, policymakers, and practitioners in emerging economies.</w:t>
      </w:r>
    </w:p>
    <w:p w14:paraId="2F3B46CB">
      <w:pPr>
        <w:jc w:val="both"/>
        <w:rPr>
          <w:rFonts w:ascii="Times New Roman" w:hAnsi="Times New Roman" w:cs="Times New Roman"/>
          <w:b/>
          <w:sz w:val="24"/>
        </w:rPr>
      </w:pPr>
      <w:r>
        <w:rPr>
          <w:rFonts w:ascii="Times New Roman" w:hAnsi="Times New Roman" w:cs="Times New Roman"/>
          <w:b/>
          <w:sz w:val="24"/>
        </w:rPr>
        <w:t>2. Theory and Evidence</w:t>
      </w:r>
    </w:p>
    <w:p w14:paraId="68EF6A2C">
      <w:pPr>
        <w:jc w:val="both"/>
        <w:rPr>
          <w:rFonts w:ascii="Times New Roman" w:hAnsi="Times New Roman" w:cs="Times New Roman"/>
          <w:sz w:val="24"/>
        </w:rPr>
      </w:pPr>
      <w:r>
        <w:rPr>
          <w:rFonts w:ascii="Times New Roman" w:hAnsi="Times New Roman" w:cs="Times New Roman"/>
          <w:sz w:val="24"/>
        </w:rPr>
        <w:t>This study is anchored on agency theory, which provides a fundamental explanation for the relationship between managerial shareholding and</w:t>
      </w:r>
      <w:r>
        <w:rPr>
          <w:rFonts w:hint="default" w:ascii="Times New Roman" w:hAnsi="Times New Roman" w:cs="Times New Roman"/>
          <w:sz w:val="24"/>
          <w:lang w:val="en-US"/>
        </w:rPr>
        <w:t xml:space="preserve"> the likelihood of</w:t>
      </w:r>
      <w:r>
        <w:rPr>
          <w:rFonts w:ascii="Times New Roman" w:hAnsi="Times New Roman" w:cs="Times New Roman"/>
          <w:sz w:val="24"/>
        </w:rPr>
        <w:t xml:space="preserve"> financial distress. Agency theory posits that conflicts of interest arise between managers (agents) and shareholders (principals), primarily because managers may pursue personal objectives at the expense of shareholders’ wealth (Jensen &amp; Meckling, 1976). Within the banking context, managerial shareholding is expected to align the interests of managers with those of shareholders by linking managerial wealth to firm performance. However, the theory also recognizes that when managerial ownership becomes excessive, it may lead to entrenchment, where managers gain significant control and reduce external monitoring. This can encourage opportunistic behavior such as earnings manipulation and delayed recognition of financial distress. Loan loss provisions (LLPs), due to their discretionary nature, provide a channel through which such agency conflicts may manifest, as managers can adjust provisions to influence reported earnings and obscure underlying financial conditions (Mnif &amp; Imen, 2023). Thus, agency theory predicts that managerial shareholding may have a non-linear effect on financial distress, influenced by the extent of accounting discretion.</w:t>
      </w:r>
    </w:p>
    <w:p w14:paraId="3D392F63">
      <w:pPr>
        <w:jc w:val="both"/>
        <w:rPr>
          <w:rFonts w:ascii="Times New Roman" w:hAnsi="Times New Roman" w:cs="Times New Roman"/>
          <w:sz w:val="24"/>
        </w:rPr>
      </w:pPr>
      <w:r>
        <w:rPr>
          <w:rFonts w:ascii="Times New Roman" w:hAnsi="Times New Roman" w:cs="Times New Roman"/>
          <w:sz w:val="24"/>
        </w:rPr>
        <w:t xml:space="preserve">Complementing this perspective, stakeholder theory emphasizes the broader responsibility of banks to multiple stakeholders, including depositors, regulators, and the public, whose interests extend beyond those of shareholders (Sharma &amp; Singh, 2025). In the banking sector, where systemic risk is high, financial reporting practices such as loan loss provisioning carry significant implications for stakeholder confidence and financial stability. Stakeholder theory suggests that banks with stronger governance structures and accountability mechanisms are more likely to adopt prudent provisioning practices that enhance transparency and reduce the likelihood of financial distress. Conversely, weak governance and dominant managerial control may lead to the opportunistic use of LLPs, undermining stakeholder trust and increasing vulnerability to distress. Therefore, from a stakeholder perspective, loan loss provisions serve not only as a risk management tool but also as a mechanism for signaling financial health and accountability. The integration of agency and stakeholder theories in this study provides a comprehensive framework for understanding how managerial shareholding and LLPs interact to influence the likelihood of financial distress in Nigerian </w:t>
      </w:r>
      <w:r>
        <w:rPr>
          <w:rFonts w:hint="default" w:ascii="Times New Roman" w:hAnsi="Times New Roman" w:cs="Times New Roman"/>
          <w:sz w:val="24"/>
          <w:lang w:val="en-US"/>
        </w:rPr>
        <w:t xml:space="preserve">listed </w:t>
      </w:r>
      <w:r>
        <w:rPr>
          <w:rFonts w:ascii="Times New Roman" w:hAnsi="Times New Roman" w:cs="Times New Roman"/>
          <w:sz w:val="24"/>
        </w:rPr>
        <w:t>deposit money banks.</w:t>
      </w:r>
    </w:p>
    <w:p w14:paraId="388F771D">
      <w:pPr>
        <w:jc w:val="both"/>
        <w:rPr>
          <w:rFonts w:ascii="Times New Roman" w:hAnsi="Times New Roman" w:cs="Times New Roman"/>
          <w:sz w:val="24"/>
        </w:rPr>
      </w:pPr>
      <w:r>
        <w:rPr>
          <w:rFonts w:ascii="Times New Roman" w:hAnsi="Times New Roman" w:cs="Times New Roman"/>
          <w:sz w:val="24"/>
        </w:rPr>
        <w:t xml:space="preserve">The relationship between managerial shareholding and financial distress has received considerable attention in the corporate governance literature, albeit with mixed empirical evidence. From an agency perspective, managerial ownership is expected to align the interests of managers with those of shareholders, thereby reducing opportunistic behavior and improving firm performance. Empirical studies such as Shan et al. (2024) suggest that moderate levels of managerial ownership can enhance governance effectiveness and reduce the likelihood of financial distress. However, beyond a certain threshold, managerial ownership may lead to entrenchment, where managers gain excessive control and become less accountable to external stakeholders. This can result in inefficient decision-making, delayed recognition of financial problems, and increased risk exposure. Evidence from studies such as </w:t>
      </w:r>
      <w:r>
        <w:rPr>
          <w:rFonts w:hint="default" w:ascii="Times New Roman" w:hAnsi="Times New Roman" w:cs="Times New Roman"/>
          <w:sz w:val="24"/>
          <w:lang w:val="en-US"/>
        </w:rPr>
        <w:t>(</w:t>
      </w:r>
      <w:r>
        <w:rPr>
          <w:rFonts w:ascii="Times New Roman" w:hAnsi="Times New Roman" w:cs="Times New Roman"/>
          <w:sz w:val="24"/>
        </w:rPr>
        <w:t xml:space="preserve">Guizani </w:t>
      </w:r>
      <w:r>
        <w:rPr>
          <w:rFonts w:hint="default" w:ascii="Times New Roman" w:hAnsi="Times New Roman" w:cs="Times New Roman"/>
          <w:sz w:val="24"/>
          <w:lang w:val="en-US"/>
        </w:rPr>
        <w:t xml:space="preserve">&amp; </w:t>
      </w:r>
      <w:r>
        <w:rPr>
          <w:rFonts w:ascii="Times New Roman" w:hAnsi="Times New Roman" w:cs="Times New Roman"/>
          <w:sz w:val="24"/>
        </w:rPr>
        <w:t>Abdalkrim</w:t>
      </w:r>
      <w:r>
        <w:rPr>
          <w:rFonts w:hint="default" w:ascii="Times New Roman" w:hAnsi="Times New Roman" w:cs="Times New Roman"/>
          <w:sz w:val="24"/>
          <w:lang w:val="en-US"/>
        </w:rPr>
        <w:t>,</w:t>
      </w:r>
      <w:r>
        <w:rPr>
          <w:rFonts w:ascii="Times New Roman" w:hAnsi="Times New Roman" w:cs="Times New Roman"/>
          <w:sz w:val="24"/>
        </w:rPr>
        <w:t xml:space="preserve"> 2023</w:t>
      </w:r>
      <w:r>
        <w:rPr>
          <w:rFonts w:hint="default" w:ascii="Times New Roman" w:hAnsi="Times New Roman" w:cs="Times New Roman"/>
          <w:sz w:val="24"/>
          <w:lang w:val="en-US"/>
        </w:rPr>
        <w:t>;</w:t>
      </w:r>
      <w:r>
        <w:rPr>
          <w:rFonts w:ascii="Times New Roman" w:hAnsi="Times New Roman" w:cs="Times New Roman"/>
          <w:sz w:val="24"/>
        </w:rPr>
        <w:t xml:space="preserve"> Metwally et al.</w:t>
      </w:r>
      <w:r>
        <w:rPr>
          <w:rFonts w:hint="default" w:ascii="Times New Roman" w:hAnsi="Times New Roman" w:cs="Times New Roman"/>
          <w:sz w:val="24"/>
          <w:lang w:val="en-US"/>
        </w:rPr>
        <w:t xml:space="preserve">, </w:t>
      </w:r>
      <w:r>
        <w:rPr>
          <w:rFonts w:ascii="Times New Roman" w:hAnsi="Times New Roman" w:cs="Times New Roman"/>
          <w:sz w:val="24"/>
        </w:rPr>
        <w:t>2025) indicates that higher managerial control is associated with weaker monitoring and a greater tendency to obscure early signs of distress. In the Nigerian context, where governance structures may be relatively weak, the entrenchment effect is likely to dominate, suggesting a significant relationship between managerial shareholding and financial distress.</w:t>
      </w:r>
    </w:p>
    <w:p w14:paraId="21E6C0B6">
      <w:pPr>
        <w:jc w:val="both"/>
        <w:rPr>
          <w:rFonts w:ascii="Times New Roman" w:hAnsi="Times New Roman" w:cs="Times New Roman"/>
          <w:sz w:val="24"/>
        </w:rPr>
      </w:pPr>
      <w:r>
        <w:rPr>
          <w:rFonts w:ascii="Times New Roman" w:hAnsi="Times New Roman" w:cs="Times New Roman"/>
          <w:sz w:val="24"/>
        </w:rPr>
        <w:t xml:space="preserve">The role of loan loss provisions (LLPs) in shaping financial distress outcomes has also been widely documented. LLPs are designed to absorb expected credit losses and enhance bank resilience; however, their discretionary nature makes them susceptible to managerial manipulation. Studies such as </w:t>
      </w:r>
      <w:r>
        <w:rPr>
          <w:rFonts w:hint="default" w:ascii="Times New Roman" w:hAnsi="Times New Roman" w:cs="Times New Roman"/>
          <w:sz w:val="24"/>
          <w:lang w:val="en-US"/>
        </w:rPr>
        <w:t>(</w:t>
      </w:r>
      <w:r>
        <w:rPr>
          <w:rFonts w:ascii="Times New Roman" w:hAnsi="Times New Roman" w:cs="Times New Roman"/>
          <w:sz w:val="24"/>
        </w:rPr>
        <w:t>Biswas et al</w:t>
      </w:r>
      <w:r>
        <w:rPr>
          <w:rFonts w:hint="default" w:ascii="Times New Roman" w:hAnsi="Times New Roman" w:cs="Times New Roman"/>
          <w:sz w:val="24"/>
          <w:lang w:val="en-US"/>
        </w:rPr>
        <w:t xml:space="preserve">., </w:t>
      </w:r>
      <w:r>
        <w:rPr>
          <w:rFonts w:ascii="Times New Roman" w:hAnsi="Times New Roman" w:cs="Times New Roman"/>
          <w:sz w:val="24"/>
        </w:rPr>
        <w:t>2024</w:t>
      </w:r>
      <w:r>
        <w:rPr>
          <w:rFonts w:hint="default" w:ascii="Times New Roman" w:hAnsi="Times New Roman" w:cs="Times New Roman"/>
          <w:sz w:val="24"/>
          <w:lang w:val="en-US"/>
        </w:rPr>
        <w:t>;</w:t>
      </w:r>
      <w:r>
        <w:rPr>
          <w:rFonts w:ascii="Times New Roman" w:hAnsi="Times New Roman" w:cs="Times New Roman"/>
          <w:sz w:val="24"/>
        </w:rPr>
        <w:t xml:space="preserve"> Ozili</w:t>
      </w:r>
      <w:r>
        <w:rPr>
          <w:rFonts w:hint="default" w:ascii="Times New Roman" w:hAnsi="Times New Roman" w:cs="Times New Roman"/>
          <w:sz w:val="24"/>
          <w:lang w:val="en-US"/>
        </w:rPr>
        <w:t xml:space="preserve">, </w:t>
      </w:r>
      <w:r>
        <w:rPr>
          <w:rFonts w:ascii="Times New Roman" w:hAnsi="Times New Roman" w:cs="Times New Roman"/>
          <w:sz w:val="24"/>
        </w:rPr>
        <w:t xml:space="preserve">2024) </w:t>
      </w:r>
      <w:r>
        <w:rPr>
          <w:rFonts w:hint="default" w:ascii="Times New Roman" w:hAnsi="Times New Roman" w:cs="Times New Roman"/>
          <w:sz w:val="24"/>
          <w:lang w:val="en-US"/>
        </w:rPr>
        <w:t>found</w:t>
      </w:r>
      <w:r>
        <w:rPr>
          <w:rFonts w:ascii="Times New Roman" w:hAnsi="Times New Roman" w:cs="Times New Roman"/>
          <w:sz w:val="24"/>
        </w:rPr>
        <w:t xml:space="preserve"> that banks often use LLPs for income smoothing and capital management, particularly in environments with weak regulatory enforcement. While prudent provisioning can reduce the likelihood of financial distress by strengthening capital buffers, opportunistic provisioning may conceal underlying financial weaknesses and delay corrective actions. Empirical evidence from African banking systems suggests that inadequate or strategically timed provisioning contributes to the persistence of financial distress, as it distorts the true financial position of banks and misleads stakeholders (Ozili &amp; Thankom, 2023). This dual role of LLPs underscores their importance as both a direct determinant of financial distress and a mechanism through which managerial incentives are expressed.</w:t>
      </w:r>
    </w:p>
    <w:p w14:paraId="67F9F376">
      <w:pPr>
        <w:jc w:val="both"/>
        <w:rPr>
          <w:rFonts w:ascii="Times New Roman" w:hAnsi="Times New Roman" w:cs="Times New Roman"/>
          <w:sz w:val="24"/>
        </w:rPr>
      </w:pPr>
      <w:r>
        <w:rPr>
          <w:rFonts w:ascii="Times New Roman" w:hAnsi="Times New Roman" w:cs="Times New Roman"/>
          <w:sz w:val="24"/>
        </w:rPr>
        <w:t>Beyond their direct effects, recent studies suggest that LLPs may interact with governance mechanisms to influence financial outcomes. Specifically, the discretionary nature of LLPs provides a channel through which managerial shareholding can affect the likelihood of financial distress. For instance,</w:t>
      </w:r>
      <w:r>
        <w:rPr>
          <w:rFonts w:hint="default" w:ascii="Times New Roman" w:hAnsi="Times New Roman" w:cs="Times New Roman"/>
          <w:sz w:val="24"/>
          <w:lang w:val="en-US"/>
        </w:rPr>
        <w:t xml:space="preserve"> (</w:t>
      </w:r>
      <w:r>
        <w:rPr>
          <w:rFonts w:ascii="Times New Roman" w:hAnsi="Times New Roman" w:cs="Times New Roman"/>
          <w:sz w:val="24"/>
        </w:rPr>
        <w:t>Ozili</w:t>
      </w:r>
      <w:r>
        <w:rPr>
          <w:rFonts w:hint="default" w:ascii="Times New Roman" w:hAnsi="Times New Roman" w:cs="Times New Roman"/>
          <w:sz w:val="24"/>
          <w:lang w:val="en-US"/>
        </w:rPr>
        <w:t xml:space="preserve">, </w:t>
      </w:r>
      <w:r>
        <w:rPr>
          <w:rFonts w:ascii="Times New Roman" w:hAnsi="Times New Roman" w:cs="Times New Roman"/>
          <w:sz w:val="24"/>
        </w:rPr>
        <w:t>2024) note</w:t>
      </w:r>
      <w:r>
        <w:rPr>
          <w:rFonts w:hint="default" w:ascii="Times New Roman" w:hAnsi="Times New Roman" w:cs="Times New Roman"/>
          <w:sz w:val="24"/>
          <w:lang w:val="en-US"/>
        </w:rPr>
        <w:t>d</w:t>
      </w:r>
      <w:r>
        <w:rPr>
          <w:rFonts w:ascii="Times New Roman" w:hAnsi="Times New Roman" w:cs="Times New Roman"/>
          <w:sz w:val="24"/>
        </w:rPr>
        <w:t xml:space="preserve"> that banks with stronger insider control are more likely to engage in opportunistic provisioning practices, particularly under conditions of declining performance. Similarly, </w:t>
      </w:r>
      <w:r>
        <w:rPr>
          <w:rFonts w:hint="default" w:ascii="Times New Roman" w:hAnsi="Times New Roman" w:cs="Times New Roman"/>
          <w:sz w:val="24"/>
          <w:lang w:val="en-US"/>
        </w:rPr>
        <w:t>(</w:t>
      </w:r>
      <w:r>
        <w:rPr>
          <w:rFonts w:ascii="Times New Roman" w:hAnsi="Times New Roman" w:cs="Times New Roman"/>
          <w:sz w:val="24"/>
        </w:rPr>
        <w:t>Shan et al.</w:t>
      </w:r>
      <w:r>
        <w:rPr>
          <w:rFonts w:hint="default" w:ascii="Times New Roman" w:hAnsi="Times New Roman" w:cs="Times New Roman"/>
          <w:sz w:val="24"/>
          <w:lang w:val="en-US"/>
        </w:rPr>
        <w:t>,</w:t>
      </w:r>
      <w:r>
        <w:rPr>
          <w:rFonts w:ascii="Times New Roman" w:hAnsi="Times New Roman" w:cs="Times New Roman"/>
          <w:sz w:val="24"/>
        </w:rPr>
        <w:t xml:space="preserve"> 2024) argue</w:t>
      </w:r>
      <w:r>
        <w:rPr>
          <w:rFonts w:hint="default" w:ascii="Times New Roman" w:hAnsi="Times New Roman" w:cs="Times New Roman"/>
          <w:sz w:val="24"/>
          <w:lang w:val="en-US"/>
        </w:rPr>
        <w:t>d</w:t>
      </w:r>
      <w:r>
        <w:rPr>
          <w:rFonts w:ascii="Times New Roman" w:hAnsi="Times New Roman" w:cs="Times New Roman"/>
          <w:sz w:val="24"/>
        </w:rPr>
        <w:t xml:space="preserve"> that managerial dominance can weaken board oversight and constrain the effectiveness of risk management practices, including loan loss provisioning. In such cases, LLPs may amplify the negative effects of managerial entrenchment by enabling managers to smooth earnings and delay the recognition of financial distress. Conversely, when governance structures are strong, LLPs may serve as a stabilizing mechanism that enhances transparency and reduces distress risk. Despite these insights, limited empirical studies have explicitly examined the moderating role of LLPs in the relationship between managerial shareholding and financial distress, particularly in emerging economies such as Nigeria.</w:t>
      </w:r>
    </w:p>
    <w:p w14:paraId="082376CE">
      <w:pPr>
        <w:jc w:val="both"/>
        <w:rPr>
          <w:rFonts w:ascii="Times New Roman" w:hAnsi="Times New Roman" w:cs="Times New Roman"/>
          <w:sz w:val="24"/>
        </w:rPr>
      </w:pPr>
      <w:r>
        <w:rPr>
          <w:rFonts w:ascii="Times New Roman" w:hAnsi="Times New Roman" w:cs="Times New Roman"/>
          <w:sz w:val="24"/>
        </w:rPr>
        <w:t>In line with the foregoing discussion, this study formulates the following hypotheses:</w:t>
      </w:r>
    </w:p>
    <w:p w14:paraId="001C77DF">
      <w:pPr>
        <w:jc w:val="both"/>
        <w:rPr>
          <w:rFonts w:ascii="Times New Roman" w:hAnsi="Times New Roman" w:cs="Times New Roman"/>
          <w:i/>
          <w:sz w:val="24"/>
        </w:rPr>
      </w:pPr>
      <w:r>
        <w:rPr>
          <w:rFonts w:ascii="Times New Roman" w:hAnsi="Times New Roman" w:cs="Times New Roman"/>
          <w:i/>
          <w:sz w:val="24"/>
        </w:rPr>
        <w:t>H</w:t>
      </w:r>
      <w:r>
        <w:rPr>
          <w:rFonts w:hint="default" w:ascii="Times New Roman" w:hAnsi="Times New Roman" w:cs="Times New Roman"/>
          <w:i/>
          <w:sz w:val="24"/>
          <w:vertAlign w:val="subscript"/>
          <w:lang w:val="en-US"/>
        </w:rPr>
        <w:t>0</w:t>
      </w:r>
      <w:r>
        <w:rPr>
          <w:rFonts w:ascii="Times New Roman" w:hAnsi="Times New Roman" w:cs="Times New Roman"/>
          <w:i/>
          <w:sz w:val="24"/>
          <w:vertAlign w:val="subscript"/>
        </w:rPr>
        <w:t>1</w:t>
      </w:r>
      <w:r>
        <w:rPr>
          <w:rFonts w:ascii="Times New Roman" w:hAnsi="Times New Roman" w:cs="Times New Roman"/>
          <w:i/>
          <w:sz w:val="24"/>
        </w:rPr>
        <w:t xml:space="preserve">: Managerial shareholding has a significant effect on the likelihood of financial distress in Nigerian </w:t>
      </w:r>
      <w:r>
        <w:rPr>
          <w:rFonts w:hint="default" w:ascii="Times New Roman" w:hAnsi="Times New Roman" w:cs="Times New Roman"/>
          <w:i/>
          <w:sz w:val="24"/>
          <w:lang w:val="en-US"/>
        </w:rPr>
        <w:t xml:space="preserve">listed </w:t>
      </w:r>
      <w:r>
        <w:rPr>
          <w:rFonts w:ascii="Times New Roman" w:hAnsi="Times New Roman" w:cs="Times New Roman"/>
          <w:i/>
          <w:sz w:val="24"/>
        </w:rPr>
        <w:t>deposit money banks.</w:t>
      </w:r>
    </w:p>
    <w:p w14:paraId="3B4BF840">
      <w:pPr>
        <w:jc w:val="both"/>
        <w:rPr>
          <w:rFonts w:ascii="Times New Roman" w:hAnsi="Times New Roman" w:cs="Times New Roman"/>
          <w:i/>
          <w:sz w:val="24"/>
        </w:rPr>
      </w:pPr>
      <w:r>
        <w:rPr>
          <w:rFonts w:ascii="Times New Roman" w:hAnsi="Times New Roman" w:cs="Times New Roman"/>
          <w:i/>
          <w:sz w:val="24"/>
        </w:rPr>
        <w:t>H</w:t>
      </w:r>
      <w:r>
        <w:rPr>
          <w:rFonts w:hint="default" w:ascii="Times New Roman" w:hAnsi="Times New Roman" w:cs="Times New Roman"/>
          <w:i/>
          <w:sz w:val="24"/>
          <w:vertAlign w:val="subscript"/>
          <w:lang w:val="en-US"/>
        </w:rPr>
        <w:t>0</w:t>
      </w:r>
      <w:r>
        <w:rPr>
          <w:rFonts w:ascii="Times New Roman" w:hAnsi="Times New Roman" w:cs="Times New Roman"/>
          <w:i/>
          <w:sz w:val="24"/>
          <w:vertAlign w:val="subscript"/>
        </w:rPr>
        <w:t>2</w:t>
      </w:r>
      <w:r>
        <w:rPr>
          <w:rFonts w:ascii="Times New Roman" w:hAnsi="Times New Roman" w:cs="Times New Roman"/>
          <w:i/>
          <w:sz w:val="24"/>
        </w:rPr>
        <w:t xml:space="preserve">: Loan loss provisions have a significant effect on the likelihood of financial distress in Nigerian </w:t>
      </w:r>
      <w:r>
        <w:rPr>
          <w:rFonts w:hint="default" w:ascii="Times New Roman" w:hAnsi="Times New Roman" w:cs="Times New Roman"/>
          <w:i/>
          <w:sz w:val="24"/>
          <w:lang w:val="en-US"/>
        </w:rPr>
        <w:t xml:space="preserve">listed </w:t>
      </w:r>
      <w:r>
        <w:rPr>
          <w:rFonts w:ascii="Times New Roman" w:hAnsi="Times New Roman" w:cs="Times New Roman"/>
          <w:i/>
          <w:sz w:val="24"/>
        </w:rPr>
        <w:t>deposit money banks.</w:t>
      </w:r>
    </w:p>
    <w:p w14:paraId="61FF0F9A">
      <w:pPr>
        <w:jc w:val="both"/>
        <w:rPr>
          <w:rFonts w:ascii="Times New Roman" w:hAnsi="Times New Roman" w:cs="Times New Roman"/>
          <w:i/>
          <w:sz w:val="24"/>
        </w:rPr>
      </w:pPr>
      <w:r>
        <w:rPr>
          <w:rFonts w:ascii="Times New Roman" w:hAnsi="Times New Roman" w:cs="Times New Roman"/>
          <w:i/>
          <w:sz w:val="24"/>
        </w:rPr>
        <w:t>H</w:t>
      </w:r>
      <w:r>
        <w:rPr>
          <w:rFonts w:hint="default" w:ascii="Times New Roman" w:hAnsi="Times New Roman" w:cs="Times New Roman"/>
          <w:i/>
          <w:sz w:val="24"/>
          <w:vertAlign w:val="subscript"/>
          <w:lang w:val="en-US"/>
        </w:rPr>
        <w:t>0</w:t>
      </w:r>
      <w:r>
        <w:rPr>
          <w:rFonts w:ascii="Times New Roman" w:hAnsi="Times New Roman" w:cs="Times New Roman"/>
          <w:i/>
          <w:sz w:val="24"/>
          <w:vertAlign w:val="subscript"/>
        </w:rPr>
        <w:t>3</w:t>
      </w:r>
      <w:r>
        <w:rPr>
          <w:rFonts w:ascii="Times New Roman" w:hAnsi="Times New Roman" w:cs="Times New Roman"/>
          <w:i/>
          <w:sz w:val="24"/>
        </w:rPr>
        <w:t xml:space="preserve">: Loan loss provisions significantly moderate the relationship between managerial shareholding and the likelihood of financial distress in Nigerian </w:t>
      </w:r>
      <w:r>
        <w:rPr>
          <w:rFonts w:hint="default" w:ascii="Times New Roman" w:hAnsi="Times New Roman" w:cs="Times New Roman"/>
          <w:i/>
          <w:sz w:val="24"/>
          <w:lang w:val="en-US"/>
        </w:rPr>
        <w:t xml:space="preserve">listed </w:t>
      </w:r>
      <w:r>
        <w:rPr>
          <w:rFonts w:ascii="Times New Roman" w:hAnsi="Times New Roman" w:cs="Times New Roman"/>
          <w:i/>
          <w:sz w:val="24"/>
        </w:rPr>
        <w:t>deposit money banks.</w:t>
      </w:r>
    </w:p>
    <w:p w14:paraId="014FB16B">
      <w:pPr>
        <w:jc w:val="both"/>
        <w:rPr>
          <w:rFonts w:ascii="Times New Roman" w:hAnsi="Times New Roman" w:cs="Times New Roman"/>
          <w:b/>
          <w:sz w:val="24"/>
        </w:rPr>
      </w:pPr>
      <w:r>
        <w:rPr>
          <w:rFonts w:ascii="Times New Roman" w:hAnsi="Times New Roman" w:cs="Times New Roman"/>
          <w:b/>
          <w:sz w:val="24"/>
        </w:rPr>
        <w:t>Methods</w:t>
      </w:r>
    </w:p>
    <w:p w14:paraId="6899C08D">
      <w:pPr>
        <w:jc w:val="both"/>
        <w:rPr>
          <w:rFonts w:ascii="Times New Roman" w:hAnsi="Times New Roman" w:cs="Times New Roman"/>
          <w:sz w:val="24"/>
        </w:rPr>
      </w:pPr>
      <w:r>
        <w:rPr>
          <w:rFonts w:ascii="Times New Roman" w:hAnsi="Times New Roman" w:cs="Times New Roman"/>
          <w:sz w:val="24"/>
        </w:rPr>
        <w:t>This study adopts a quantitative research design to examine the effect of managerial shareholding on the likelihood of financial distress in Nigerian deposit money banks, with particular emphasis on the moderating role of loan loss provisions (LLPs). The choice of a quantitative approach is consistent with the nature of the study, which seeks to establish empirical relationships among measurable variables using statistical techniques (Creswell &amp; Creswell, 2018). The study employs a panel data research design, which combines cross-sectional and time-series observations to provide more efficient estimates and control for unobserved heterogeneity across firms (Baltagi, 2005).</w:t>
      </w:r>
    </w:p>
    <w:p w14:paraId="06B28023">
      <w:pPr>
        <w:jc w:val="both"/>
        <w:rPr>
          <w:rFonts w:ascii="Times New Roman" w:hAnsi="Times New Roman" w:cs="Times New Roman"/>
          <w:sz w:val="24"/>
        </w:rPr>
      </w:pPr>
      <w:r>
        <w:rPr>
          <w:rFonts w:ascii="Times New Roman" w:hAnsi="Times New Roman" w:cs="Times New Roman"/>
          <w:sz w:val="24"/>
        </w:rPr>
        <w:t xml:space="preserve">The population of the study comprises all listed deposit money banks in Nigeria. Specifically, the study focuses on the 14 </w:t>
      </w:r>
      <w:r>
        <w:rPr>
          <w:rFonts w:hint="default" w:ascii="Times New Roman" w:hAnsi="Times New Roman" w:cs="Times New Roman"/>
          <w:sz w:val="24"/>
          <w:lang w:val="en-US"/>
        </w:rPr>
        <w:t xml:space="preserve">deposit money </w:t>
      </w:r>
      <w:r>
        <w:rPr>
          <w:rFonts w:ascii="Times New Roman" w:hAnsi="Times New Roman" w:cs="Times New Roman"/>
          <w:sz w:val="24"/>
        </w:rPr>
        <w:t xml:space="preserve">banks listed on the Nigerian Exchange Group (NGX) as at the end of 2024. These banks </w:t>
      </w:r>
      <w:r>
        <w:rPr>
          <w:rFonts w:hint="default" w:ascii="Times New Roman" w:hAnsi="Times New Roman" w:cs="Times New Roman"/>
          <w:sz w:val="24"/>
          <w:lang w:val="en-US"/>
        </w:rPr>
        <w:t>we</w:t>
      </w:r>
      <w:r>
        <w:rPr>
          <w:rFonts w:ascii="Times New Roman" w:hAnsi="Times New Roman" w:cs="Times New Roman"/>
          <w:sz w:val="24"/>
        </w:rPr>
        <w:t>re selected due to their compliance with uniform regulatory and reporting standards set by relevant authorities such as the Central Bank of Nigeria (CBN) and the Financial Reporting Council of Nigeria (FRCN), ensuring data consistency. Given the manageable population size, the study adopts a census sampling technique, which involves the inclusion of all population elements and eliminates sampling bias (Saunders et al., 2019).</w:t>
      </w:r>
    </w:p>
    <w:p w14:paraId="77B45FCA">
      <w:pPr>
        <w:jc w:val="both"/>
        <w:rPr>
          <w:rFonts w:ascii="Times New Roman" w:hAnsi="Times New Roman" w:cs="Times New Roman"/>
          <w:sz w:val="24"/>
        </w:rPr>
      </w:pPr>
      <w:r>
        <w:rPr>
          <w:rFonts w:ascii="Times New Roman" w:hAnsi="Times New Roman" w:cs="Times New Roman"/>
          <w:sz w:val="24"/>
        </w:rPr>
        <w:t>The study covers a ten-year period from 2015 to 2024. This period is selected to capture significant regulatory and macroeconomic developments within the Nigerian banking sector, including the adoption of International Financial Reporting Standard</w:t>
      </w:r>
      <w:r>
        <w:rPr>
          <w:rFonts w:hint="default" w:ascii="Times New Roman" w:hAnsi="Times New Roman" w:cs="Times New Roman"/>
          <w:sz w:val="24"/>
          <w:lang w:val="en-US"/>
        </w:rPr>
        <w:t>s</w:t>
      </w:r>
      <w:r>
        <w:rPr>
          <w:rFonts w:ascii="Times New Roman" w:hAnsi="Times New Roman" w:cs="Times New Roman"/>
          <w:sz w:val="24"/>
        </w:rPr>
        <w:t xml:space="preserve"> 9 (IFRS 9), which introduced the expected credit loss model for loan loss provisioning. It also encompasses major economic events such as the 2016 recession and the COVID-19 pandemic, both of which had implications for banks’ financial performance. The use of longitudinal data enhances the study’s ability to analyze trends and dynamic relationships over time (Wooldridge, 2010).</w:t>
      </w:r>
    </w:p>
    <w:p w14:paraId="62FED263">
      <w:pPr>
        <w:jc w:val="both"/>
        <w:rPr>
          <w:rFonts w:ascii="Times New Roman" w:hAnsi="Times New Roman" w:cs="Times New Roman"/>
          <w:sz w:val="24"/>
        </w:rPr>
      </w:pPr>
      <w:r>
        <w:rPr>
          <w:rFonts w:ascii="Times New Roman" w:hAnsi="Times New Roman" w:cs="Times New Roman"/>
          <w:sz w:val="24"/>
        </w:rPr>
        <w:t xml:space="preserve">The </w:t>
      </w:r>
      <w:r>
        <w:rPr>
          <w:rFonts w:hint="default" w:ascii="Times New Roman" w:hAnsi="Times New Roman" w:cs="Times New Roman"/>
          <w:sz w:val="24"/>
          <w:lang w:val="en-US"/>
        </w:rPr>
        <w:t xml:space="preserve">data </w:t>
      </w:r>
      <w:r>
        <w:rPr>
          <w:rFonts w:ascii="Times New Roman" w:hAnsi="Times New Roman" w:cs="Times New Roman"/>
          <w:sz w:val="24"/>
        </w:rPr>
        <w:t xml:space="preserve">for the study </w:t>
      </w:r>
      <w:r>
        <w:rPr>
          <w:rFonts w:hint="default" w:ascii="Times New Roman" w:hAnsi="Times New Roman" w:cs="Times New Roman"/>
          <w:sz w:val="24"/>
          <w:lang w:val="en-US"/>
        </w:rPr>
        <w:t>we</w:t>
      </w:r>
      <w:r>
        <w:rPr>
          <w:rFonts w:ascii="Times New Roman" w:hAnsi="Times New Roman" w:cs="Times New Roman"/>
          <w:sz w:val="24"/>
        </w:rPr>
        <w:t>re obtained from secondary sources, primarily the audited annual reports and financial statements of the selected banks. Secondary data are appropriate for this type of research as they provide standardized, objective, and verifiable measures of financial and governance variables (Gujarati &amp; Porter, 2009). The use of audited financial statements ensures reliability and aligns with established practices in financial distress and corporate governance research.</w:t>
      </w:r>
    </w:p>
    <w:p w14:paraId="3891D6B4">
      <w:pPr>
        <w:jc w:val="both"/>
        <w:rPr>
          <w:rFonts w:ascii="Times New Roman" w:hAnsi="Times New Roman" w:cs="Times New Roman"/>
          <w:sz w:val="24"/>
        </w:rPr>
      </w:pPr>
      <w:r>
        <w:rPr>
          <w:rFonts w:ascii="Times New Roman" w:hAnsi="Times New Roman" w:cs="Times New Roman"/>
          <w:sz w:val="24"/>
        </w:rPr>
        <w:t>Loan loss provisions (LLPs), which serve as both an explanatory and moderating variable, are measured as a ratio of provisions to total loans or total assets. This measure reflects the extent of provisioning relative to the loan portfolio and captures managerial discretion in financial reporting. In line with the study’s framework, an interaction term between managerial shareholding and LLPs is included to examine the moderating effect of provisioning on the relationship between managerial ownership and financial distress.</w:t>
      </w:r>
    </w:p>
    <w:p w14:paraId="42F4A418">
      <w:pPr>
        <w:jc w:val="both"/>
        <w:rPr>
          <w:rFonts w:ascii="Times New Roman" w:hAnsi="Times New Roman" w:cs="Times New Roman"/>
          <w:sz w:val="24"/>
        </w:rPr>
      </w:pPr>
      <w:r>
        <w:rPr>
          <w:rFonts w:ascii="Times New Roman" w:hAnsi="Times New Roman" w:cs="Times New Roman"/>
          <w:sz w:val="24"/>
        </w:rPr>
        <w:t>The study controls for firm size, leverage, and profitability as key firm-specific characteristics that may influence financial distress. Firm size (FSZ) is typically measured as the natural logarithm of total assets, reflecting the scale of operations; leverage (LEV) is measured as the ratio of total debt to total assets, capturing financial risk; while profitability (PRO) is proxied by return on assets, indicating operational efficiency. These variables are widely recognized in the literature as important determinants of financial stability and are included to isolate the effect of managerial shareholding and LLPs on financial distress (Shan et al., 2024).</w:t>
      </w:r>
    </w:p>
    <w:p w14:paraId="5B9A1FB5">
      <w:pPr>
        <w:jc w:val="both"/>
        <w:rPr>
          <w:rFonts w:ascii="Times New Roman" w:hAnsi="Times New Roman" w:cs="Times New Roman"/>
          <w:sz w:val="24"/>
        </w:rPr>
      </w:pPr>
      <w:r>
        <w:rPr>
          <w:rFonts w:ascii="Times New Roman" w:hAnsi="Times New Roman" w:cs="Times New Roman"/>
          <w:sz w:val="24"/>
        </w:rPr>
        <w:t>The study employs panel regression techniques for data analysis. Both fixed effects and random effects models are estimated to account for firm-specific heterogeneity. The Hausman specification test is conducted to determine the most appropriate model based on the consistency of the estimators (Hausman, 1978). The functional model is specified as:</w:t>
      </w:r>
    </w:p>
    <w:p w14:paraId="682168B1">
      <w:pPr>
        <w:jc w:val="both"/>
        <w:rPr>
          <w:rFonts w:ascii="Times New Roman" w:hAnsi="Times New Roman" w:cs="Times New Roman"/>
          <w:sz w:val="24"/>
        </w:rPr>
      </w:pPr>
      <m:oMathPara>
        <m:oMath>
          <m:sSub>
            <m:sSubPr>
              <m:ctrlPr>
                <w:rPr>
                  <w:rFonts w:ascii="Cambria Math" w:hAnsi="Cambria Math" w:cs="Times New Roman"/>
                  <w:i/>
                  <w:sz w:val="24"/>
                </w:rPr>
              </m:ctrlPr>
            </m:sSubPr>
            <m:e>
              <m:r>
                <m:rPr/>
                <w:rPr>
                  <w:rFonts w:ascii="Cambria Math" w:hAnsi="Cambria Math" w:cs="Times New Roman"/>
                  <w:sz w:val="24"/>
                </w:rPr>
                <m:t>FD</m:t>
              </m:r>
              <m:ctrlPr>
                <w:rPr>
                  <w:rFonts w:ascii="Cambria Math" w:hAnsi="Cambria Math" w:cs="Times New Roman"/>
                  <w:i/>
                  <w:sz w:val="24"/>
                </w:rPr>
              </m:ctrlPr>
            </m:e>
            <m:sub>
              <m:r>
                <m:rPr/>
                <w:rPr>
                  <w:rFonts w:ascii="Cambria Math" w:hAnsi="Cambria Math" w:cs="Times New Roman"/>
                  <w:sz w:val="24"/>
                </w:rPr>
                <m:t>it</m:t>
              </m:r>
              <m:ctrlPr>
                <w:rPr>
                  <w:rFonts w:ascii="Cambria Math" w:hAnsi="Cambria Math" w:cs="Times New Roman"/>
                  <w:i/>
                  <w:sz w:val="24"/>
                </w:rPr>
              </m:ctrlPr>
            </m:sub>
          </m:sSub>
          <m:r>
            <m:rPr/>
            <w:rPr>
              <w:rFonts w:ascii="Cambria Math" w:hAnsi="Cambria Math" w:cs="Times New Roman"/>
              <w:sz w:val="24"/>
            </w:rPr>
            <m:t>=</m:t>
          </m:r>
          <m:sSub>
            <m:sSubPr>
              <m:ctrlPr>
                <w:rPr>
                  <w:rFonts w:ascii="Cambria Math" w:hAnsi="Cambria Math" w:cs="Times New Roman"/>
                  <w:i/>
                  <w:sz w:val="24"/>
                </w:rPr>
              </m:ctrlPr>
            </m:sSubPr>
            <m:e>
              <m:r>
                <m:rPr/>
                <w:rPr>
                  <w:rFonts w:ascii="Cambria Math" w:hAnsi="Cambria Math" w:cs="Times New Roman"/>
                  <w:sz w:val="24"/>
                </w:rPr>
                <m:t>α</m:t>
              </m:r>
              <m:ctrlPr>
                <w:rPr>
                  <w:rFonts w:ascii="Cambria Math" w:hAnsi="Cambria Math" w:cs="Times New Roman"/>
                  <w:i/>
                  <w:sz w:val="24"/>
                </w:rPr>
              </m:ctrlPr>
            </m:e>
            <m:sub>
              <m:r>
                <m:rPr/>
                <w:rPr>
                  <w:rFonts w:ascii="Cambria Math" w:hAnsi="Cambria Math" w:cs="Times New Roman"/>
                  <w:sz w:val="24"/>
                </w:rPr>
                <m:t>0</m:t>
              </m:r>
              <m:ctrlPr>
                <w:rPr>
                  <w:rFonts w:ascii="Cambria Math" w:hAnsi="Cambria Math" w:cs="Times New Roman"/>
                  <w:i/>
                  <w:sz w:val="24"/>
                </w:rPr>
              </m:ctrlPr>
            </m:sub>
          </m:sSub>
          <m:r>
            <m:rPr/>
            <w:rPr>
              <w:rFonts w:ascii="Cambria Math" w:hAnsi="Cambria Math" w:cs="Times New Roman"/>
              <w:sz w:val="24"/>
            </w:rPr>
            <m:t>+</m:t>
          </m:r>
          <m:sSub>
            <m:sSubPr>
              <m:ctrlPr>
                <w:rPr>
                  <w:rFonts w:ascii="Cambria Math" w:hAnsi="Cambria Math" w:cs="Times New Roman"/>
                  <w:i/>
                  <w:sz w:val="24"/>
                </w:rPr>
              </m:ctrlPr>
            </m:sSubPr>
            <m:e>
              <m:r>
                <m:rPr/>
                <w:rPr>
                  <w:rFonts w:ascii="Cambria Math" w:hAnsi="Cambria Math" w:cs="Times New Roman"/>
                  <w:sz w:val="24"/>
                </w:rPr>
                <m:t>β</m:t>
              </m:r>
              <m:ctrlPr>
                <w:rPr>
                  <w:rFonts w:ascii="Cambria Math" w:hAnsi="Cambria Math" w:cs="Times New Roman"/>
                  <w:i/>
                  <w:sz w:val="24"/>
                </w:rPr>
              </m:ctrlPr>
            </m:e>
            <m:sub>
              <m:r>
                <m:rPr/>
                <w:rPr>
                  <w:rFonts w:ascii="Cambria Math" w:hAnsi="Cambria Math" w:cs="Times New Roman"/>
                  <w:sz w:val="24"/>
                </w:rPr>
                <m:t>1</m:t>
              </m:r>
              <m:ctrlPr>
                <w:rPr>
                  <w:rFonts w:ascii="Cambria Math" w:hAnsi="Cambria Math" w:cs="Times New Roman"/>
                  <w:i/>
                  <w:sz w:val="24"/>
                </w:rPr>
              </m:ctrlPr>
            </m:sub>
          </m:sSub>
          <m:sSub>
            <m:sSubPr>
              <m:ctrlPr>
                <w:rPr>
                  <w:rFonts w:ascii="Cambria Math" w:hAnsi="Cambria Math" w:cs="Times New Roman"/>
                  <w:i/>
                  <w:sz w:val="24"/>
                </w:rPr>
              </m:ctrlPr>
            </m:sSubPr>
            <m:e>
              <m:r>
                <m:rPr/>
                <w:rPr>
                  <w:rFonts w:ascii="Cambria Math" w:hAnsi="Cambria Math" w:cs="Times New Roman"/>
                  <w:sz w:val="24"/>
                </w:rPr>
                <m:t>MSH</m:t>
              </m:r>
              <m:ctrlPr>
                <w:rPr>
                  <w:rFonts w:ascii="Cambria Math" w:hAnsi="Cambria Math" w:cs="Times New Roman"/>
                  <w:i/>
                  <w:sz w:val="24"/>
                </w:rPr>
              </m:ctrlPr>
            </m:e>
            <m:sub>
              <m:r>
                <m:rPr/>
                <w:rPr>
                  <w:rFonts w:ascii="Cambria Math" w:hAnsi="Cambria Math" w:cs="Times New Roman"/>
                  <w:sz w:val="24"/>
                </w:rPr>
                <m:t>it</m:t>
              </m:r>
              <m:ctrlPr>
                <w:rPr>
                  <w:rFonts w:ascii="Cambria Math" w:hAnsi="Cambria Math" w:cs="Times New Roman"/>
                  <w:i/>
                  <w:sz w:val="24"/>
                </w:rPr>
              </m:ctrlPr>
            </m:sub>
          </m:sSub>
          <m:r>
            <m:rPr/>
            <w:rPr>
              <w:rFonts w:ascii="Cambria Math" w:hAnsi="Cambria Math" w:cs="Times New Roman"/>
              <w:sz w:val="24"/>
            </w:rPr>
            <m:t>+</m:t>
          </m:r>
          <m:sSub>
            <m:sSubPr>
              <m:ctrlPr>
                <w:rPr>
                  <w:rFonts w:ascii="Cambria Math" w:hAnsi="Cambria Math" w:cs="Times New Roman"/>
                  <w:i/>
                  <w:sz w:val="24"/>
                </w:rPr>
              </m:ctrlPr>
            </m:sSubPr>
            <m:e>
              <m:r>
                <m:rPr/>
                <w:rPr>
                  <w:rFonts w:ascii="Cambria Math" w:hAnsi="Cambria Math" w:cs="Times New Roman"/>
                  <w:sz w:val="24"/>
                </w:rPr>
                <m:t>β</m:t>
              </m:r>
              <m:ctrlPr>
                <w:rPr>
                  <w:rFonts w:ascii="Cambria Math" w:hAnsi="Cambria Math" w:cs="Times New Roman"/>
                  <w:i/>
                  <w:sz w:val="24"/>
                </w:rPr>
              </m:ctrlPr>
            </m:e>
            <m:sub>
              <m:r>
                <m:rPr/>
                <w:rPr>
                  <w:rFonts w:ascii="Cambria Math" w:hAnsi="Cambria Math" w:cs="Times New Roman"/>
                  <w:sz w:val="24"/>
                </w:rPr>
                <m:t>2</m:t>
              </m:r>
              <m:ctrlPr>
                <w:rPr>
                  <w:rFonts w:ascii="Cambria Math" w:hAnsi="Cambria Math" w:cs="Times New Roman"/>
                  <w:i/>
                  <w:sz w:val="24"/>
                </w:rPr>
              </m:ctrlPr>
            </m:sub>
          </m:sSub>
          <m:sSub>
            <m:sSubPr>
              <m:ctrlPr>
                <w:rPr>
                  <w:rFonts w:ascii="Cambria Math" w:hAnsi="Cambria Math" w:cs="Times New Roman"/>
                  <w:i/>
                  <w:sz w:val="24"/>
                </w:rPr>
              </m:ctrlPr>
            </m:sSubPr>
            <m:e>
              <m:r>
                <m:rPr/>
                <w:rPr>
                  <w:rFonts w:ascii="Cambria Math" w:hAnsi="Cambria Math" w:cs="Times New Roman"/>
                  <w:sz w:val="24"/>
                </w:rPr>
                <m:t>LLP</m:t>
              </m:r>
              <m:ctrlPr>
                <w:rPr>
                  <w:rFonts w:ascii="Cambria Math" w:hAnsi="Cambria Math" w:cs="Times New Roman"/>
                  <w:i/>
                  <w:sz w:val="24"/>
                </w:rPr>
              </m:ctrlPr>
            </m:e>
            <m:sub>
              <m:r>
                <m:rPr/>
                <w:rPr>
                  <w:rFonts w:ascii="Cambria Math" w:hAnsi="Cambria Math" w:cs="Times New Roman"/>
                  <w:sz w:val="24"/>
                </w:rPr>
                <m:t>it</m:t>
              </m:r>
              <m:ctrlPr>
                <w:rPr>
                  <w:rFonts w:ascii="Cambria Math" w:hAnsi="Cambria Math" w:cs="Times New Roman"/>
                  <w:i/>
                  <w:sz w:val="24"/>
                </w:rPr>
              </m:ctrlPr>
            </m:sub>
          </m:sSub>
          <m:r>
            <m:rPr/>
            <w:rPr>
              <w:rFonts w:ascii="Cambria Math" w:hAnsi="Cambria Math" w:cs="Times New Roman"/>
              <w:sz w:val="24"/>
            </w:rPr>
            <m:t>+</m:t>
          </m:r>
          <m:sSub>
            <m:sSubPr>
              <m:ctrlPr>
                <w:rPr>
                  <w:rFonts w:ascii="Cambria Math" w:hAnsi="Cambria Math" w:cs="Times New Roman"/>
                  <w:i/>
                  <w:sz w:val="24"/>
                </w:rPr>
              </m:ctrlPr>
            </m:sSubPr>
            <m:e>
              <m:r>
                <m:rPr/>
                <w:rPr>
                  <w:rFonts w:ascii="Cambria Math" w:hAnsi="Cambria Math" w:cs="Times New Roman"/>
                  <w:sz w:val="24"/>
                </w:rPr>
                <m:t>β</m:t>
              </m:r>
              <m:ctrlPr>
                <w:rPr>
                  <w:rFonts w:ascii="Cambria Math" w:hAnsi="Cambria Math" w:cs="Times New Roman"/>
                  <w:i/>
                  <w:sz w:val="24"/>
                </w:rPr>
              </m:ctrlPr>
            </m:e>
            <m:sub>
              <m:r>
                <m:rPr/>
                <w:rPr>
                  <w:rFonts w:ascii="Cambria Math" w:hAnsi="Cambria Math" w:cs="Times New Roman"/>
                  <w:sz w:val="24"/>
                </w:rPr>
                <m:t>3</m:t>
              </m:r>
              <m:ctrlPr>
                <w:rPr>
                  <w:rFonts w:ascii="Cambria Math" w:hAnsi="Cambria Math" w:cs="Times New Roman"/>
                  <w:i/>
                  <w:sz w:val="24"/>
                </w:rPr>
              </m:ctrlPr>
            </m:sub>
          </m:sSub>
          <m:sSub>
            <m:sSubPr>
              <m:ctrlPr>
                <w:rPr>
                  <w:rFonts w:ascii="Cambria Math" w:hAnsi="Cambria Math" w:cs="Times New Roman"/>
                  <w:i/>
                  <w:sz w:val="24"/>
                </w:rPr>
              </m:ctrlPr>
            </m:sSubPr>
            <m:e>
              <m:r>
                <m:rPr/>
                <w:rPr>
                  <w:rFonts w:ascii="Cambria Math" w:hAnsi="Cambria Math" w:cs="Times New Roman"/>
                  <w:sz w:val="24"/>
                </w:rPr>
                <m:t>LLP∗MSH</m:t>
              </m:r>
              <m:ctrlPr>
                <w:rPr>
                  <w:rFonts w:ascii="Cambria Math" w:hAnsi="Cambria Math" w:cs="Times New Roman"/>
                  <w:i/>
                  <w:sz w:val="24"/>
                </w:rPr>
              </m:ctrlPr>
            </m:e>
            <m:sub>
              <m:r>
                <m:rPr/>
                <w:rPr>
                  <w:rFonts w:ascii="Cambria Math" w:hAnsi="Cambria Math" w:cs="Times New Roman"/>
                  <w:sz w:val="24"/>
                </w:rPr>
                <m:t>it</m:t>
              </m:r>
              <m:ctrlPr>
                <w:rPr>
                  <w:rFonts w:ascii="Cambria Math" w:hAnsi="Cambria Math" w:cs="Times New Roman"/>
                  <w:i/>
                  <w:sz w:val="24"/>
                </w:rPr>
              </m:ctrlPr>
            </m:sub>
          </m:sSub>
          <m:r>
            <m:rPr/>
            <w:rPr>
              <w:rFonts w:ascii="Cambria Math" w:hAnsi="Cambria Math" w:cs="Times New Roman"/>
              <w:sz w:val="24"/>
            </w:rPr>
            <m:t>+</m:t>
          </m:r>
          <m:sSub>
            <m:sSubPr>
              <m:ctrlPr>
                <w:rPr>
                  <w:rFonts w:ascii="Cambria Math" w:hAnsi="Cambria Math" w:cs="Times New Roman"/>
                  <w:i/>
                  <w:sz w:val="24"/>
                </w:rPr>
              </m:ctrlPr>
            </m:sSubPr>
            <m:e>
              <m:r>
                <m:rPr/>
                <w:rPr>
                  <w:rFonts w:ascii="Cambria Math" w:hAnsi="Cambria Math" w:cs="Times New Roman"/>
                  <w:sz w:val="24"/>
                </w:rPr>
                <m:t>β</m:t>
              </m:r>
              <m:ctrlPr>
                <w:rPr>
                  <w:rFonts w:ascii="Cambria Math" w:hAnsi="Cambria Math" w:cs="Times New Roman"/>
                  <w:i/>
                  <w:sz w:val="24"/>
                </w:rPr>
              </m:ctrlPr>
            </m:e>
            <m:sub>
              <m:r>
                <m:rPr/>
                <w:rPr>
                  <w:rFonts w:ascii="Cambria Math" w:hAnsi="Cambria Math" w:cs="Times New Roman"/>
                  <w:sz w:val="24"/>
                </w:rPr>
                <m:t>4</m:t>
              </m:r>
              <m:ctrlPr>
                <w:rPr>
                  <w:rFonts w:ascii="Cambria Math" w:hAnsi="Cambria Math" w:cs="Times New Roman"/>
                  <w:i/>
                  <w:sz w:val="24"/>
                </w:rPr>
              </m:ctrlPr>
            </m:sub>
          </m:sSub>
          <m:sSub>
            <m:sSubPr>
              <m:ctrlPr>
                <w:rPr>
                  <w:rFonts w:ascii="Cambria Math" w:hAnsi="Cambria Math" w:cs="Times New Roman" w:eastAsiaTheme="minorEastAsia"/>
                  <w:i/>
                  <w:sz w:val="24"/>
                </w:rPr>
              </m:ctrlPr>
            </m:sSubPr>
            <m:e>
              <m:r>
                <m:rPr/>
                <w:rPr>
                  <w:rFonts w:ascii="Cambria Math" w:hAnsi="Cambria Math" w:cs="Times New Roman" w:eastAsiaTheme="minorEastAsia"/>
                  <w:sz w:val="24"/>
                </w:rPr>
                <m:t>PRO</m:t>
              </m:r>
              <m:ctrlPr>
                <w:rPr>
                  <w:rFonts w:ascii="Cambria Math" w:hAnsi="Cambria Math" w:cs="Times New Roman" w:eastAsiaTheme="minorEastAsia"/>
                  <w:i/>
                  <w:sz w:val="24"/>
                </w:rPr>
              </m:ctrlPr>
            </m:e>
            <m:sub>
              <m:r>
                <m:rPr/>
                <w:rPr>
                  <w:rFonts w:ascii="Cambria Math" w:hAnsi="Cambria Math" w:cs="Times New Roman" w:eastAsiaTheme="minorEastAsia"/>
                  <w:sz w:val="24"/>
                </w:rPr>
                <m:t>it</m:t>
              </m:r>
              <m:ctrlPr>
                <w:rPr>
                  <w:rFonts w:ascii="Cambria Math" w:hAnsi="Cambria Math" w:cs="Times New Roman" w:eastAsiaTheme="minorEastAsia"/>
                  <w:i/>
                  <w:sz w:val="24"/>
                </w:rPr>
              </m:ctrlPr>
            </m:sub>
          </m:sSub>
          <m:r>
            <m:rPr/>
            <w:rPr>
              <w:rFonts w:ascii="Cambria Math" w:hAnsi="Cambria Math" w:cs="Times New Roman" w:eastAsiaTheme="minorEastAsia"/>
              <w:sz w:val="24"/>
            </w:rPr>
            <m:t>+</m:t>
          </m:r>
          <m:sSub>
            <m:sSubPr>
              <m:ctrlPr>
                <w:rPr>
                  <w:rFonts w:ascii="Cambria Math" w:hAnsi="Cambria Math" w:cs="Times New Roman" w:eastAsiaTheme="minorEastAsia"/>
                  <w:i/>
                  <w:sz w:val="24"/>
                </w:rPr>
              </m:ctrlPr>
            </m:sSubPr>
            <m:e>
              <m:r>
                <m:rPr/>
                <w:rPr>
                  <w:rFonts w:ascii="Cambria Math" w:hAnsi="Cambria Math" w:cs="Times New Roman" w:eastAsiaTheme="minorEastAsia"/>
                  <w:sz w:val="24"/>
                </w:rPr>
                <m:t>β</m:t>
              </m:r>
              <m:ctrlPr>
                <w:rPr>
                  <w:rFonts w:ascii="Cambria Math" w:hAnsi="Cambria Math" w:cs="Times New Roman" w:eastAsiaTheme="minorEastAsia"/>
                  <w:i/>
                  <w:sz w:val="24"/>
                </w:rPr>
              </m:ctrlPr>
            </m:e>
            <m:sub>
              <m:r>
                <m:rPr/>
                <w:rPr>
                  <w:rFonts w:ascii="Cambria Math" w:hAnsi="Cambria Math" w:cs="Times New Roman" w:eastAsiaTheme="minorEastAsia"/>
                  <w:sz w:val="24"/>
                </w:rPr>
                <m:t>5</m:t>
              </m:r>
              <m:ctrlPr>
                <w:rPr>
                  <w:rFonts w:ascii="Cambria Math" w:hAnsi="Cambria Math" w:cs="Times New Roman" w:eastAsiaTheme="minorEastAsia"/>
                  <w:i/>
                  <w:sz w:val="24"/>
                </w:rPr>
              </m:ctrlPr>
            </m:sub>
          </m:sSub>
          <m:sSub>
            <m:sSubPr>
              <m:ctrlPr>
                <w:rPr>
                  <w:rFonts w:ascii="Cambria Math" w:hAnsi="Cambria Math" w:cs="Times New Roman" w:eastAsiaTheme="minorEastAsia"/>
                  <w:i/>
                  <w:sz w:val="24"/>
                </w:rPr>
              </m:ctrlPr>
            </m:sSubPr>
            <m:e>
              <m:r>
                <m:rPr/>
                <w:rPr>
                  <w:rFonts w:ascii="Cambria Math" w:hAnsi="Cambria Math" w:cs="Times New Roman" w:eastAsiaTheme="minorEastAsia"/>
                  <w:sz w:val="24"/>
                </w:rPr>
                <m:t>FSZ</m:t>
              </m:r>
              <m:ctrlPr>
                <w:rPr>
                  <w:rFonts w:ascii="Cambria Math" w:hAnsi="Cambria Math" w:cs="Times New Roman" w:eastAsiaTheme="minorEastAsia"/>
                  <w:i/>
                  <w:sz w:val="24"/>
                </w:rPr>
              </m:ctrlPr>
            </m:e>
            <m:sub>
              <m:r>
                <m:rPr/>
                <w:rPr>
                  <w:rFonts w:ascii="Cambria Math" w:hAnsi="Cambria Math" w:cs="Times New Roman" w:eastAsiaTheme="minorEastAsia"/>
                  <w:sz w:val="24"/>
                </w:rPr>
                <m:t>it</m:t>
              </m:r>
              <m:ctrlPr>
                <w:rPr>
                  <w:rFonts w:ascii="Cambria Math" w:hAnsi="Cambria Math" w:cs="Times New Roman" w:eastAsiaTheme="minorEastAsia"/>
                  <w:i/>
                  <w:sz w:val="24"/>
                </w:rPr>
              </m:ctrlPr>
            </m:sub>
          </m:sSub>
          <m:r>
            <m:rPr/>
            <w:rPr>
              <w:rFonts w:ascii="Cambria Math" w:hAnsi="Cambria Math" w:cs="Times New Roman" w:eastAsiaTheme="minorEastAsia"/>
              <w:sz w:val="24"/>
            </w:rPr>
            <m:t>+</m:t>
          </m:r>
          <m:sSub>
            <m:sSubPr>
              <m:ctrlPr>
                <w:rPr>
                  <w:rFonts w:ascii="Cambria Math" w:hAnsi="Cambria Math" w:cs="Times New Roman" w:eastAsiaTheme="minorEastAsia"/>
                  <w:i/>
                  <w:sz w:val="24"/>
                </w:rPr>
              </m:ctrlPr>
            </m:sSubPr>
            <m:e>
              <m:r>
                <m:rPr/>
                <w:rPr>
                  <w:rFonts w:ascii="Cambria Math" w:hAnsi="Cambria Math" w:cs="Times New Roman" w:eastAsiaTheme="minorEastAsia"/>
                  <w:sz w:val="24"/>
                </w:rPr>
                <m:t>β</m:t>
              </m:r>
              <m:ctrlPr>
                <w:rPr>
                  <w:rFonts w:ascii="Cambria Math" w:hAnsi="Cambria Math" w:cs="Times New Roman" w:eastAsiaTheme="minorEastAsia"/>
                  <w:i/>
                  <w:sz w:val="24"/>
                </w:rPr>
              </m:ctrlPr>
            </m:e>
            <m:sub>
              <m:r>
                <m:rPr/>
                <w:rPr>
                  <w:rFonts w:ascii="Cambria Math" w:hAnsi="Cambria Math" w:cs="Times New Roman" w:eastAsiaTheme="minorEastAsia"/>
                  <w:sz w:val="24"/>
                </w:rPr>
                <m:t>6</m:t>
              </m:r>
              <m:ctrlPr>
                <w:rPr>
                  <w:rFonts w:ascii="Cambria Math" w:hAnsi="Cambria Math" w:cs="Times New Roman" w:eastAsiaTheme="minorEastAsia"/>
                  <w:i/>
                  <w:sz w:val="24"/>
                </w:rPr>
              </m:ctrlPr>
            </m:sub>
          </m:sSub>
          <m:sSub>
            <m:sSubPr>
              <m:ctrlPr>
                <w:rPr>
                  <w:rFonts w:ascii="Cambria Math" w:hAnsi="Cambria Math" w:cs="Times New Roman" w:eastAsiaTheme="minorEastAsia"/>
                  <w:i/>
                  <w:sz w:val="24"/>
                </w:rPr>
              </m:ctrlPr>
            </m:sSubPr>
            <m:e>
              <m:r>
                <m:rPr/>
                <w:rPr>
                  <w:rFonts w:ascii="Cambria Math" w:hAnsi="Cambria Math" w:cs="Times New Roman" w:eastAsiaTheme="minorEastAsia"/>
                  <w:sz w:val="24"/>
                </w:rPr>
                <m:t>LEV</m:t>
              </m:r>
              <m:ctrlPr>
                <w:rPr>
                  <w:rFonts w:ascii="Cambria Math" w:hAnsi="Cambria Math" w:cs="Times New Roman" w:eastAsiaTheme="minorEastAsia"/>
                  <w:i/>
                  <w:sz w:val="24"/>
                </w:rPr>
              </m:ctrlPr>
            </m:e>
            <m:sub>
              <m:r>
                <m:rPr/>
                <w:rPr>
                  <w:rFonts w:ascii="Cambria Math" w:hAnsi="Cambria Math" w:cs="Times New Roman" w:eastAsiaTheme="minorEastAsia"/>
                  <w:sz w:val="24"/>
                </w:rPr>
                <m:t>it</m:t>
              </m:r>
              <m:ctrlPr>
                <w:rPr>
                  <w:rFonts w:ascii="Cambria Math" w:hAnsi="Cambria Math" w:cs="Times New Roman" w:eastAsiaTheme="minorEastAsia"/>
                  <w:i/>
                  <w:sz w:val="24"/>
                </w:rPr>
              </m:ctrlPr>
            </m:sub>
          </m:sSub>
          <m:r>
            <m:rPr/>
            <w:rPr>
              <w:rFonts w:ascii="Cambria Math" w:hAnsi="Cambria Math" w:cs="Times New Roman" w:eastAsiaTheme="minorEastAsia"/>
              <w:sz w:val="24"/>
            </w:rPr>
            <m:t>+</m:t>
          </m:r>
          <m:sSub>
            <m:sSubPr>
              <m:ctrlPr>
                <w:rPr>
                  <w:rFonts w:ascii="Cambria Math" w:hAnsi="Cambria Math" w:cs="Times New Roman" w:eastAsiaTheme="minorEastAsia"/>
                  <w:i/>
                  <w:sz w:val="24"/>
                </w:rPr>
              </m:ctrlPr>
            </m:sSubPr>
            <m:e>
              <m:r>
                <m:rPr/>
                <w:rPr>
                  <w:rFonts w:ascii="Cambria Math" w:hAnsi="Cambria Math" w:cs="Times New Roman" w:eastAsiaTheme="minorEastAsia"/>
                  <w:sz w:val="24"/>
                </w:rPr>
                <m:t>ε</m:t>
              </m:r>
              <m:ctrlPr>
                <w:rPr>
                  <w:rFonts w:ascii="Cambria Math" w:hAnsi="Cambria Math" w:cs="Times New Roman" w:eastAsiaTheme="minorEastAsia"/>
                  <w:i/>
                  <w:sz w:val="24"/>
                </w:rPr>
              </m:ctrlPr>
            </m:e>
            <m:sub>
              <m:r>
                <m:rPr/>
                <w:rPr>
                  <w:rFonts w:ascii="Cambria Math" w:hAnsi="Cambria Math" w:cs="Times New Roman" w:eastAsiaTheme="minorEastAsia"/>
                  <w:sz w:val="24"/>
                </w:rPr>
                <m:t>it</m:t>
              </m:r>
              <m:ctrlPr>
                <w:rPr>
                  <w:rFonts w:ascii="Cambria Math" w:hAnsi="Cambria Math" w:cs="Times New Roman" w:eastAsiaTheme="minorEastAsia"/>
                  <w:i/>
                  <w:sz w:val="24"/>
                </w:rPr>
              </m:ctrlPr>
            </m:sub>
          </m:sSub>
        </m:oMath>
      </m:oMathPara>
    </w:p>
    <w:p w14:paraId="56A6181F">
      <w:pPr>
        <w:jc w:val="both"/>
        <w:rPr>
          <w:rFonts w:ascii="Times New Roman" w:hAnsi="Times New Roman" w:cs="Times New Roman"/>
          <w:sz w:val="24"/>
        </w:rPr>
      </w:pPr>
      <w:r>
        <w:rPr>
          <w:rFonts w:ascii="Times New Roman" w:hAnsi="Times New Roman" w:cs="Times New Roman"/>
          <w:sz w:val="24"/>
        </w:rPr>
        <w:t>Where Financial Distress (FD) represents the dependent variable, MSH denotes managerial shareholding, LLP represents loan loss provisions,</w:t>
      </w:r>
      <w:r>
        <w:rPr>
          <w:rFonts w:hint="default" w:ascii="Times New Roman" w:hAnsi="Times New Roman" w:cs="Times New Roman"/>
          <w:sz w:val="24"/>
          <w:lang w:val="en-US"/>
        </w:rPr>
        <w:t xml:space="preserve"> PRO represents Profitability, FSZ is the firm size, while LEV represents the leverage</w:t>
      </w:r>
      <w:r>
        <w:rPr>
          <w:rFonts w:ascii="Times New Roman" w:hAnsi="Times New Roman" w:cs="Times New Roman"/>
          <w:sz w:val="24"/>
        </w:rPr>
        <w:t xml:space="preserve"> and the interaction term captures the moderating effect. The coefficients represent the magnitude and direction of the relationships, while ε is the error term.</w:t>
      </w:r>
    </w:p>
    <w:p w14:paraId="4D294E59">
      <w:pPr>
        <w:jc w:val="both"/>
        <w:rPr>
          <w:rFonts w:ascii="Times New Roman" w:hAnsi="Times New Roman" w:cs="Times New Roman"/>
          <w:sz w:val="24"/>
        </w:rPr>
      </w:pPr>
      <w:r>
        <w:rPr>
          <w:rFonts w:ascii="Times New Roman" w:hAnsi="Times New Roman" w:cs="Times New Roman"/>
          <w:sz w:val="24"/>
        </w:rPr>
        <w:t>Financial distress, the dependent variable, is measured using the Altman Z-score model, which combines profitability, leverage, liquidity, solvency, and activity ratios to provide a composite indicator of a firm’s likelihood of distress (Altman, 1968). This approach is widely used in financial distress studies due to its predictive accuracy and ability to capture early warning signals of financial instability. The main independent variable, managerial shareholding, is measured as the proportion of shares held by executive directors and top management relative to total outstanding shares, reflecting the degree of insider ownership and control. Loan loss provisions (LLPs), which serve as both an explanatory and moderating variable, are measured as the ratio of loan loss provisions to total loans, capturing the extent of provisioning and managerial discretion in credit risk reporting. The moderating effect is assessed through an interaction term between managerial shareholding and LLPs. In addition, the study includes firm size, leverage, and profitability as control variables. Firm size is measured as the natural logarithm of total assets, leverage is proxied by the ratio of total debt to total assets, and profitability is measured using return on assets (ROA). These variables are included because of their established influence on financial distress and firm performance in the banking sector</w:t>
      </w:r>
    </w:p>
    <w:p w14:paraId="6A6A31E9">
      <w:pPr>
        <w:jc w:val="both"/>
        <w:rPr>
          <w:rFonts w:ascii="Times New Roman" w:hAnsi="Times New Roman" w:cs="Times New Roman"/>
          <w:sz w:val="24"/>
        </w:rPr>
      </w:pPr>
      <w:r>
        <w:rPr>
          <w:rFonts w:ascii="Times New Roman" w:hAnsi="Times New Roman" w:cs="Times New Roman"/>
          <w:sz w:val="24"/>
        </w:rPr>
        <w:t xml:space="preserve">To ensure the validity and reliability of the results, diagnostic tests are conducted, including tests for multicollinearity, heteroskedasticity, and serial correlation. Where violations of classical assumptions are detected, appropriate corrections such as robust standard errors are applied (Wooldridge, 2010). </w:t>
      </w:r>
    </w:p>
    <w:p w14:paraId="53D02C1E">
      <w:pPr>
        <w:jc w:val="both"/>
        <w:rPr>
          <w:rFonts w:ascii="Times New Roman" w:hAnsi="Times New Roman" w:cs="Times New Roman"/>
          <w:b/>
          <w:sz w:val="24"/>
        </w:rPr>
      </w:pPr>
      <w:r>
        <w:rPr>
          <w:rFonts w:ascii="Times New Roman" w:hAnsi="Times New Roman" w:cs="Times New Roman"/>
          <w:b/>
          <w:sz w:val="24"/>
        </w:rPr>
        <w:t>Results and Discussion</w:t>
      </w:r>
    </w:p>
    <w:p w14:paraId="604F880B">
      <w:pPr>
        <w:jc w:val="both"/>
        <w:rPr>
          <w:rFonts w:ascii="Times New Roman" w:hAnsi="Times New Roman" w:cs="Times New Roman"/>
          <w:sz w:val="24"/>
        </w:rPr>
      </w:pPr>
      <w:r>
        <w:rPr>
          <w:rFonts w:ascii="Times New Roman" w:hAnsi="Times New Roman" w:cs="Times New Roman"/>
          <w:sz w:val="24"/>
        </w:rPr>
        <w:t>This section presents the empirical results of the study and provides a comprehensive discussion of the findings. The analysis begins with descriptive statistics to summarize the key characteristics of the variables, followed by diagnostic and inferential analyses to test the study hypotheses. Specifically, the section reports descriptive statistics, normality and correlation analysis, multicollinearity and other diagnostic tests, and the regression results based on Ordinary Least Squares (OLS). The choice of OLS is justified based on the outcomes of the Hausman and Lagrangian Multiplier tests, which indicate that pooled regression is the most appropriate estimation technique for the dataset.</w:t>
      </w:r>
    </w:p>
    <w:p w14:paraId="699DEAE1">
      <w:pPr>
        <w:jc w:val="both"/>
        <w:rPr>
          <w:rFonts w:ascii="Times New Roman" w:hAnsi="Times New Roman" w:cs="Times New Roman"/>
          <w:sz w:val="24"/>
        </w:rPr>
      </w:pPr>
      <w:r>
        <w:rPr>
          <w:rFonts w:ascii="Times New Roman" w:hAnsi="Times New Roman" w:cs="Times New Roman"/>
          <w:sz w:val="24"/>
        </w:rPr>
        <w:t>The descriptive statistics provide an overview of the distribution and central tendencies of the study variables, including financial distress (Altman Z-score), managerial shareholding, loan loss provisions, firm size, leverage, and profitability. The results are presented in Table 1.</w:t>
      </w:r>
    </w:p>
    <w:p w14:paraId="42F6AE32">
      <w:pPr>
        <w:spacing w:after="0"/>
        <w:jc w:val="both"/>
        <w:rPr>
          <w:rFonts w:ascii="Times New Roman" w:hAnsi="Times New Roman" w:cs="Times New Roman"/>
          <w:i/>
          <w:sz w:val="24"/>
        </w:rPr>
      </w:pPr>
      <w:r>
        <w:rPr>
          <w:rFonts w:ascii="Times New Roman" w:hAnsi="Times New Roman" w:cs="Times New Roman"/>
          <w:i/>
          <w:sz w:val="24"/>
        </w:rPr>
        <w:t>Table 1: Descriptive Analysis</w:t>
      </w:r>
    </w:p>
    <w:tbl>
      <w:tblPr>
        <w:tblStyle w:val="3"/>
        <w:tblW w:w="0" w:type="auto"/>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835"/>
        <w:gridCol w:w="1134"/>
        <w:gridCol w:w="1276"/>
        <w:gridCol w:w="1559"/>
        <w:gridCol w:w="1276"/>
      </w:tblGrid>
      <w:tr w14:paraId="18AD46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2790" w:type="dxa"/>
            <w:tcBorders>
              <w:top w:val="single" w:color="auto" w:sz="4" w:space="0"/>
              <w:bottom w:val="single" w:color="auto" w:sz="4" w:space="0"/>
            </w:tcBorders>
            <w:vAlign w:val="center"/>
          </w:tcPr>
          <w:p w14:paraId="22ACD29C">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Variable</w:t>
            </w:r>
          </w:p>
        </w:tc>
        <w:tc>
          <w:tcPr>
            <w:tcW w:w="1104" w:type="dxa"/>
            <w:tcBorders>
              <w:top w:val="single" w:color="auto" w:sz="4" w:space="0"/>
              <w:bottom w:val="single" w:color="auto" w:sz="4" w:space="0"/>
            </w:tcBorders>
            <w:vAlign w:val="center"/>
          </w:tcPr>
          <w:p w14:paraId="5D20A98D">
            <w:pPr>
              <w:spacing w:after="0" w:line="240" w:lineRule="auto"/>
              <w:jc w:val="righ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Mean</w:t>
            </w:r>
          </w:p>
        </w:tc>
        <w:tc>
          <w:tcPr>
            <w:tcW w:w="1246" w:type="dxa"/>
            <w:tcBorders>
              <w:top w:val="single" w:color="auto" w:sz="4" w:space="0"/>
              <w:bottom w:val="single" w:color="auto" w:sz="4" w:space="0"/>
            </w:tcBorders>
            <w:vAlign w:val="center"/>
          </w:tcPr>
          <w:p w14:paraId="3FB20217">
            <w:pPr>
              <w:spacing w:after="0" w:line="240" w:lineRule="auto"/>
              <w:jc w:val="righ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Std. Dev.</w:t>
            </w:r>
          </w:p>
        </w:tc>
        <w:tc>
          <w:tcPr>
            <w:tcW w:w="1529" w:type="dxa"/>
            <w:tcBorders>
              <w:top w:val="single" w:color="auto" w:sz="4" w:space="0"/>
              <w:bottom w:val="single" w:color="auto" w:sz="4" w:space="0"/>
            </w:tcBorders>
            <w:vAlign w:val="center"/>
          </w:tcPr>
          <w:p w14:paraId="55D93792">
            <w:pPr>
              <w:spacing w:after="0" w:line="240" w:lineRule="auto"/>
              <w:jc w:val="righ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Minimum</w:t>
            </w:r>
          </w:p>
        </w:tc>
        <w:tc>
          <w:tcPr>
            <w:tcW w:w="1231" w:type="dxa"/>
            <w:tcBorders>
              <w:top w:val="single" w:color="auto" w:sz="4" w:space="0"/>
              <w:bottom w:val="single" w:color="auto" w:sz="4" w:space="0"/>
            </w:tcBorders>
            <w:vAlign w:val="center"/>
          </w:tcPr>
          <w:p w14:paraId="19C15778">
            <w:pPr>
              <w:spacing w:after="0" w:line="240" w:lineRule="auto"/>
              <w:jc w:val="righ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Maximum</w:t>
            </w:r>
          </w:p>
        </w:tc>
      </w:tr>
      <w:tr w14:paraId="7941F4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790" w:type="dxa"/>
            <w:vAlign w:val="center"/>
          </w:tcPr>
          <w:p w14:paraId="685C78A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Financial Distress (Z)</w:t>
            </w:r>
          </w:p>
        </w:tc>
        <w:tc>
          <w:tcPr>
            <w:tcW w:w="1104" w:type="dxa"/>
            <w:vAlign w:val="center"/>
          </w:tcPr>
          <w:p w14:paraId="225F63F4">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2.145</w:t>
            </w:r>
          </w:p>
        </w:tc>
        <w:tc>
          <w:tcPr>
            <w:tcW w:w="1246" w:type="dxa"/>
            <w:vAlign w:val="center"/>
          </w:tcPr>
          <w:p w14:paraId="1D14A860">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0.873</w:t>
            </w:r>
          </w:p>
        </w:tc>
        <w:tc>
          <w:tcPr>
            <w:tcW w:w="1529" w:type="dxa"/>
            <w:vAlign w:val="center"/>
          </w:tcPr>
          <w:p w14:paraId="4C98D7FA">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0.921</w:t>
            </w:r>
          </w:p>
        </w:tc>
        <w:tc>
          <w:tcPr>
            <w:tcW w:w="1231" w:type="dxa"/>
            <w:vAlign w:val="center"/>
          </w:tcPr>
          <w:p w14:paraId="7800D376">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4.102</w:t>
            </w:r>
          </w:p>
        </w:tc>
      </w:tr>
      <w:tr w14:paraId="4E9923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790" w:type="dxa"/>
            <w:vAlign w:val="center"/>
          </w:tcPr>
          <w:p w14:paraId="1270158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Managerial Shareholding</w:t>
            </w:r>
          </w:p>
        </w:tc>
        <w:tc>
          <w:tcPr>
            <w:tcW w:w="1104" w:type="dxa"/>
            <w:vAlign w:val="center"/>
          </w:tcPr>
          <w:p w14:paraId="4B314071">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0.182</w:t>
            </w:r>
          </w:p>
        </w:tc>
        <w:tc>
          <w:tcPr>
            <w:tcW w:w="1246" w:type="dxa"/>
            <w:vAlign w:val="center"/>
          </w:tcPr>
          <w:p w14:paraId="7C6B1BBE">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0.097</w:t>
            </w:r>
          </w:p>
        </w:tc>
        <w:tc>
          <w:tcPr>
            <w:tcW w:w="1529" w:type="dxa"/>
            <w:vAlign w:val="center"/>
          </w:tcPr>
          <w:p w14:paraId="0FB6FCC1">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0.021</w:t>
            </w:r>
          </w:p>
        </w:tc>
        <w:tc>
          <w:tcPr>
            <w:tcW w:w="1231" w:type="dxa"/>
            <w:vAlign w:val="center"/>
          </w:tcPr>
          <w:p w14:paraId="2A756C1A">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0.451</w:t>
            </w:r>
          </w:p>
        </w:tc>
      </w:tr>
      <w:tr w14:paraId="5D43B6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790" w:type="dxa"/>
            <w:vAlign w:val="center"/>
          </w:tcPr>
          <w:p w14:paraId="20A5355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Loan Loss Provisions</w:t>
            </w:r>
          </w:p>
        </w:tc>
        <w:tc>
          <w:tcPr>
            <w:tcW w:w="1104" w:type="dxa"/>
            <w:vAlign w:val="center"/>
          </w:tcPr>
          <w:p w14:paraId="0ECDAF9E">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0.064</w:t>
            </w:r>
          </w:p>
        </w:tc>
        <w:tc>
          <w:tcPr>
            <w:tcW w:w="1246" w:type="dxa"/>
            <w:vAlign w:val="center"/>
          </w:tcPr>
          <w:p w14:paraId="1F25FDF6">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0.028</w:t>
            </w:r>
          </w:p>
        </w:tc>
        <w:tc>
          <w:tcPr>
            <w:tcW w:w="1529" w:type="dxa"/>
            <w:vAlign w:val="center"/>
          </w:tcPr>
          <w:p w14:paraId="0A303FB5">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0.015</w:t>
            </w:r>
          </w:p>
        </w:tc>
        <w:tc>
          <w:tcPr>
            <w:tcW w:w="1231" w:type="dxa"/>
            <w:vAlign w:val="center"/>
          </w:tcPr>
          <w:p w14:paraId="7B541F57">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0.143</w:t>
            </w:r>
          </w:p>
        </w:tc>
      </w:tr>
      <w:tr w14:paraId="43FDCB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790" w:type="dxa"/>
            <w:vAlign w:val="center"/>
          </w:tcPr>
          <w:p w14:paraId="7AFAD9F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Firm Size</w:t>
            </w:r>
          </w:p>
        </w:tc>
        <w:tc>
          <w:tcPr>
            <w:tcW w:w="1104" w:type="dxa"/>
            <w:vAlign w:val="center"/>
          </w:tcPr>
          <w:p w14:paraId="35D41D53">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14.872</w:t>
            </w:r>
          </w:p>
        </w:tc>
        <w:tc>
          <w:tcPr>
            <w:tcW w:w="1246" w:type="dxa"/>
            <w:vAlign w:val="center"/>
          </w:tcPr>
          <w:p w14:paraId="776FA6B7">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0.963</w:t>
            </w:r>
          </w:p>
        </w:tc>
        <w:tc>
          <w:tcPr>
            <w:tcW w:w="1529" w:type="dxa"/>
            <w:vAlign w:val="center"/>
          </w:tcPr>
          <w:p w14:paraId="4581FAB6">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12.901</w:t>
            </w:r>
          </w:p>
        </w:tc>
        <w:tc>
          <w:tcPr>
            <w:tcW w:w="1231" w:type="dxa"/>
            <w:vAlign w:val="center"/>
          </w:tcPr>
          <w:p w14:paraId="3B1FE574">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16.745</w:t>
            </w:r>
          </w:p>
        </w:tc>
      </w:tr>
      <w:tr w14:paraId="37B327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790" w:type="dxa"/>
            <w:vAlign w:val="center"/>
          </w:tcPr>
          <w:p w14:paraId="7B9B399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Leverage</w:t>
            </w:r>
          </w:p>
        </w:tc>
        <w:tc>
          <w:tcPr>
            <w:tcW w:w="1104" w:type="dxa"/>
            <w:vAlign w:val="center"/>
          </w:tcPr>
          <w:p w14:paraId="1FB5E9CA">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0.812</w:t>
            </w:r>
          </w:p>
        </w:tc>
        <w:tc>
          <w:tcPr>
            <w:tcW w:w="1246" w:type="dxa"/>
            <w:vAlign w:val="center"/>
          </w:tcPr>
          <w:p w14:paraId="6EC264B9">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0.074</w:t>
            </w:r>
          </w:p>
        </w:tc>
        <w:tc>
          <w:tcPr>
            <w:tcW w:w="1529" w:type="dxa"/>
            <w:vAlign w:val="center"/>
          </w:tcPr>
          <w:p w14:paraId="06C7C579">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0.621</w:t>
            </w:r>
          </w:p>
        </w:tc>
        <w:tc>
          <w:tcPr>
            <w:tcW w:w="1231" w:type="dxa"/>
            <w:vAlign w:val="center"/>
          </w:tcPr>
          <w:p w14:paraId="3AB882B9">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0.921</w:t>
            </w:r>
          </w:p>
        </w:tc>
      </w:tr>
      <w:tr w14:paraId="359678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790" w:type="dxa"/>
            <w:vAlign w:val="center"/>
          </w:tcPr>
          <w:p w14:paraId="43A2315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Profitability (ROA)</w:t>
            </w:r>
          </w:p>
        </w:tc>
        <w:tc>
          <w:tcPr>
            <w:tcW w:w="1104" w:type="dxa"/>
            <w:vAlign w:val="center"/>
          </w:tcPr>
          <w:p w14:paraId="51CBABCB">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0.021</w:t>
            </w:r>
          </w:p>
        </w:tc>
        <w:tc>
          <w:tcPr>
            <w:tcW w:w="1246" w:type="dxa"/>
            <w:vAlign w:val="center"/>
          </w:tcPr>
          <w:p w14:paraId="2C09B1CB">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0.013</w:t>
            </w:r>
          </w:p>
        </w:tc>
        <w:tc>
          <w:tcPr>
            <w:tcW w:w="1529" w:type="dxa"/>
            <w:vAlign w:val="center"/>
          </w:tcPr>
          <w:p w14:paraId="5BAE7F00">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-0.012</w:t>
            </w:r>
          </w:p>
        </w:tc>
        <w:tc>
          <w:tcPr>
            <w:tcW w:w="1231" w:type="dxa"/>
            <w:vAlign w:val="center"/>
          </w:tcPr>
          <w:p w14:paraId="2EBD8ECA">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0.058</w:t>
            </w:r>
          </w:p>
        </w:tc>
      </w:tr>
    </w:tbl>
    <w:p w14:paraId="6F157F1E">
      <w:pPr>
        <w:jc w:val="both"/>
        <w:rPr>
          <w:rFonts w:ascii="Times New Roman" w:hAnsi="Times New Roman" w:cs="Times New Roman"/>
          <w:sz w:val="24"/>
        </w:rPr>
      </w:pPr>
      <w:r>
        <w:rPr>
          <w:rFonts w:ascii="Times New Roman" w:hAnsi="Times New Roman" w:cs="Times New Roman"/>
          <w:sz w:val="24"/>
        </w:rPr>
        <w:t>Source: Author’s Computation (2026)</w:t>
      </w:r>
    </w:p>
    <w:p w14:paraId="69E98C90">
      <w:pPr>
        <w:jc w:val="both"/>
        <w:rPr>
          <w:rFonts w:ascii="Times New Roman" w:hAnsi="Times New Roman" w:cs="Times New Roman"/>
          <w:sz w:val="24"/>
        </w:rPr>
      </w:pPr>
      <w:r>
        <w:rPr>
          <w:rFonts w:ascii="Times New Roman" w:hAnsi="Times New Roman" w:cs="Times New Roman"/>
          <w:sz w:val="24"/>
        </w:rPr>
        <w:t>The results indicate that the average Altman Z-score of 2.145 suggests that, on average, Nigerian deposit money banks operate within a grey zone of financial health, implying moderate vulnerability to financial distress. The relatively wide range between the minimum (0.921) and maximum (4.102) values reflects variability in financial stability across banks. Managerial shareholding has a mean value of 18.2%, indicating a moderate level of insider ownership within the banking sector. The dispersion suggests that while some banks have minimal managerial ownership, others exhibit relatively high insider control, which may influence governance outcomes.</w:t>
      </w:r>
    </w:p>
    <w:p w14:paraId="33068643">
      <w:pPr>
        <w:jc w:val="both"/>
        <w:rPr>
          <w:rFonts w:ascii="Times New Roman" w:hAnsi="Times New Roman" w:cs="Times New Roman"/>
          <w:sz w:val="24"/>
        </w:rPr>
      </w:pPr>
      <w:r>
        <w:rPr>
          <w:rFonts w:ascii="Times New Roman" w:hAnsi="Times New Roman" w:cs="Times New Roman"/>
          <w:sz w:val="24"/>
        </w:rPr>
        <w:t>Loan loss provisions have a mean</w:t>
      </w:r>
      <w:r>
        <w:rPr>
          <w:rFonts w:hint="default" w:ascii="Times New Roman" w:hAnsi="Times New Roman" w:cs="Times New Roman"/>
          <w:sz w:val="24"/>
          <w:lang w:val="en-US"/>
        </w:rPr>
        <w:t xml:space="preserve"> value</w:t>
      </w:r>
      <w:r>
        <w:rPr>
          <w:rFonts w:ascii="Times New Roman" w:hAnsi="Times New Roman" w:cs="Times New Roman"/>
          <w:sz w:val="24"/>
        </w:rPr>
        <w:t xml:space="preserve"> of 6.4%, reflecting the extent to which banks set aside reserves for potential credit losses. The variation in LLPs indicates differences in provisioning behavior, which may be influenced by managerial discretion and risk exposure. Firm size shows relatively low variability, suggesting that the sampled banks are fairly comparable in scale. Leverage has a high mean value of 81.2%, consistent with the capital structure of banks, which rely heavily on debt financing. Profitability, measured by return on assets, shows a relatively low average of 2.1%, with some banks recording negative values, indicating periods of poor financial performance.</w:t>
      </w:r>
    </w:p>
    <w:p w14:paraId="78BA3A77">
      <w:pPr>
        <w:jc w:val="both"/>
        <w:rPr>
          <w:rFonts w:ascii="Times New Roman" w:hAnsi="Times New Roman" w:cs="Times New Roman"/>
          <w:sz w:val="24"/>
        </w:rPr>
      </w:pPr>
      <w:r>
        <w:rPr>
          <w:rFonts w:ascii="Times New Roman" w:hAnsi="Times New Roman" w:cs="Times New Roman"/>
          <w:sz w:val="24"/>
        </w:rPr>
        <w:t>To ensure the appropriateness of the data for regression analysis, normality and correlation tests were conducted. The normality test examines whether the variables are approximately normally distributed, which is important for reliable statistical inference, while the correlation analysis evaluates the strength and direction of the relationships among the variables and provides preliminary insights into potential associations.</w:t>
      </w:r>
    </w:p>
    <w:p w14:paraId="046A38C5">
      <w:pPr>
        <w:spacing w:after="0"/>
        <w:jc w:val="both"/>
        <w:rPr>
          <w:rFonts w:ascii="Times New Roman" w:hAnsi="Times New Roman" w:cs="Times New Roman"/>
          <w:i/>
          <w:sz w:val="24"/>
        </w:rPr>
      </w:pPr>
      <w:r>
        <w:rPr>
          <w:rFonts w:ascii="Times New Roman" w:hAnsi="Times New Roman" w:cs="Times New Roman"/>
          <w:i/>
          <w:sz w:val="24"/>
        </w:rPr>
        <w:t>Table 2: Normality Test</w:t>
      </w:r>
    </w:p>
    <w:tbl>
      <w:tblPr>
        <w:tblStyle w:val="3"/>
        <w:tblW w:w="0" w:type="auto"/>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977"/>
        <w:gridCol w:w="1276"/>
        <w:gridCol w:w="1417"/>
      </w:tblGrid>
      <w:tr w14:paraId="37B3C5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2932" w:type="dxa"/>
            <w:tcBorders>
              <w:top w:val="single" w:color="auto" w:sz="4" w:space="0"/>
              <w:bottom w:val="single" w:color="auto" w:sz="4" w:space="0"/>
            </w:tcBorders>
            <w:vAlign w:val="center"/>
          </w:tcPr>
          <w:p w14:paraId="749C01B8">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Variable</w:t>
            </w:r>
          </w:p>
        </w:tc>
        <w:tc>
          <w:tcPr>
            <w:tcW w:w="1246" w:type="dxa"/>
            <w:tcBorders>
              <w:top w:val="single" w:color="auto" w:sz="4" w:space="0"/>
              <w:bottom w:val="single" w:color="auto" w:sz="4" w:space="0"/>
            </w:tcBorders>
            <w:vAlign w:val="center"/>
          </w:tcPr>
          <w:p w14:paraId="0BF5413E">
            <w:pPr>
              <w:spacing w:after="0" w:line="240" w:lineRule="auto"/>
              <w:jc w:val="righ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Skewness</w:t>
            </w:r>
          </w:p>
        </w:tc>
        <w:tc>
          <w:tcPr>
            <w:tcW w:w="1372" w:type="dxa"/>
            <w:tcBorders>
              <w:top w:val="single" w:color="auto" w:sz="4" w:space="0"/>
              <w:bottom w:val="single" w:color="auto" w:sz="4" w:space="0"/>
            </w:tcBorders>
            <w:vAlign w:val="center"/>
          </w:tcPr>
          <w:p w14:paraId="0CA2CC18">
            <w:pPr>
              <w:spacing w:after="0" w:line="240" w:lineRule="auto"/>
              <w:jc w:val="righ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Kurtosis</w:t>
            </w:r>
          </w:p>
        </w:tc>
      </w:tr>
      <w:tr w14:paraId="735DC7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932" w:type="dxa"/>
            <w:vAlign w:val="center"/>
          </w:tcPr>
          <w:p w14:paraId="36ED124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Financial Distress (Z)</w:t>
            </w:r>
          </w:p>
        </w:tc>
        <w:tc>
          <w:tcPr>
            <w:tcW w:w="1246" w:type="dxa"/>
            <w:vAlign w:val="center"/>
          </w:tcPr>
          <w:p w14:paraId="0AC82F1B">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0.312</w:t>
            </w:r>
          </w:p>
        </w:tc>
        <w:tc>
          <w:tcPr>
            <w:tcW w:w="1372" w:type="dxa"/>
            <w:vAlign w:val="center"/>
          </w:tcPr>
          <w:p w14:paraId="4DA38E0D">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2.845</w:t>
            </w:r>
          </w:p>
        </w:tc>
      </w:tr>
      <w:tr w14:paraId="74654B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932" w:type="dxa"/>
            <w:vAlign w:val="center"/>
          </w:tcPr>
          <w:p w14:paraId="7D7EC51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Managerial Shareholding</w:t>
            </w:r>
          </w:p>
        </w:tc>
        <w:tc>
          <w:tcPr>
            <w:tcW w:w="1246" w:type="dxa"/>
            <w:vAlign w:val="center"/>
          </w:tcPr>
          <w:p w14:paraId="627FD9B8">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0.528</w:t>
            </w:r>
          </w:p>
        </w:tc>
        <w:tc>
          <w:tcPr>
            <w:tcW w:w="1372" w:type="dxa"/>
            <w:vAlign w:val="center"/>
          </w:tcPr>
          <w:p w14:paraId="245D1452">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3.112</w:t>
            </w:r>
          </w:p>
        </w:tc>
      </w:tr>
      <w:tr w14:paraId="402871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932" w:type="dxa"/>
            <w:vAlign w:val="center"/>
          </w:tcPr>
          <w:p w14:paraId="25D3FF8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Loan Loss Provisions</w:t>
            </w:r>
          </w:p>
        </w:tc>
        <w:tc>
          <w:tcPr>
            <w:tcW w:w="1246" w:type="dxa"/>
            <w:vAlign w:val="center"/>
          </w:tcPr>
          <w:p w14:paraId="29123DBF">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0.674</w:t>
            </w:r>
          </w:p>
        </w:tc>
        <w:tc>
          <w:tcPr>
            <w:tcW w:w="1372" w:type="dxa"/>
            <w:vAlign w:val="center"/>
          </w:tcPr>
          <w:p w14:paraId="36A26C16">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3.298</w:t>
            </w:r>
          </w:p>
        </w:tc>
      </w:tr>
      <w:tr w14:paraId="377EA5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932" w:type="dxa"/>
            <w:vAlign w:val="center"/>
          </w:tcPr>
          <w:p w14:paraId="439CBA7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Firm Size</w:t>
            </w:r>
          </w:p>
        </w:tc>
        <w:tc>
          <w:tcPr>
            <w:tcW w:w="1246" w:type="dxa"/>
            <w:vAlign w:val="center"/>
          </w:tcPr>
          <w:p w14:paraId="39340A07">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-0.221</w:t>
            </w:r>
          </w:p>
        </w:tc>
        <w:tc>
          <w:tcPr>
            <w:tcW w:w="1372" w:type="dxa"/>
            <w:vAlign w:val="center"/>
          </w:tcPr>
          <w:p w14:paraId="724DFD6D">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2.564</w:t>
            </w:r>
          </w:p>
        </w:tc>
      </w:tr>
      <w:tr w14:paraId="576E4C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932" w:type="dxa"/>
            <w:vAlign w:val="center"/>
          </w:tcPr>
          <w:p w14:paraId="2DBC2C5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Leverage</w:t>
            </w:r>
          </w:p>
        </w:tc>
        <w:tc>
          <w:tcPr>
            <w:tcW w:w="1246" w:type="dxa"/>
            <w:vAlign w:val="center"/>
          </w:tcPr>
          <w:p w14:paraId="28BF64F1">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-0.487</w:t>
            </w:r>
          </w:p>
        </w:tc>
        <w:tc>
          <w:tcPr>
            <w:tcW w:w="1372" w:type="dxa"/>
            <w:vAlign w:val="center"/>
          </w:tcPr>
          <w:p w14:paraId="3C413A66">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2.731</w:t>
            </w:r>
          </w:p>
        </w:tc>
      </w:tr>
      <w:tr w14:paraId="74B9D3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932" w:type="dxa"/>
            <w:vAlign w:val="center"/>
          </w:tcPr>
          <w:p w14:paraId="4D3E08C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Profitability (ROA)</w:t>
            </w:r>
          </w:p>
        </w:tc>
        <w:tc>
          <w:tcPr>
            <w:tcW w:w="1246" w:type="dxa"/>
            <w:vAlign w:val="center"/>
          </w:tcPr>
          <w:p w14:paraId="3071A3E6">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0.593</w:t>
            </w:r>
          </w:p>
        </w:tc>
        <w:tc>
          <w:tcPr>
            <w:tcW w:w="1372" w:type="dxa"/>
            <w:vAlign w:val="center"/>
          </w:tcPr>
          <w:p w14:paraId="3E29ED09">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3.421</w:t>
            </w:r>
          </w:p>
        </w:tc>
      </w:tr>
    </w:tbl>
    <w:p w14:paraId="63A74E27">
      <w:pPr>
        <w:jc w:val="both"/>
        <w:rPr>
          <w:rFonts w:ascii="Times New Roman" w:hAnsi="Times New Roman" w:cs="Times New Roman"/>
          <w:sz w:val="24"/>
        </w:rPr>
      </w:pPr>
      <w:r>
        <w:rPr>
          <w:rFonts w:ascii="Times New Roman" w:hAnsi="Times New Roman" w:cs="Times New Roman"/>
          <w:sz w:val="24"/>
        </w:rPr>
        <w:t>Source: Author’s Computation (2026)</w:t>
      </w:r>
    </w:p>
    <w:p w14:paraId="04ED7FAB">
      <w:pPr>
        <w:jc w:val="both"/>
        <w:rPr>
          <w:rFonts w:ascii="Times New Roman" w:hAnsi="Times New Roman" w:cs="Times New Roman"/>
          <w:sz w:val="24"/>
        </w:rPr>
      </w:pPr>
      <w:r>
        <w:rPr>
          <w:rFonts w:ascii="Times New Roman" w:hAnsi="Times New Roman" w:cs="Times New Roman"/>
          <w:sz w:val="24"/>
        </w:rPr>
        <w:t>The results in Table 2 show that all variables exhibit skewness values within the acceptable threshold of ±1, indicating that the data are fairly symmetrical. Similarly, the kurtosis values are close to 3, suggesting that the variables follow a normal distribution. These results imply that the data do not suffer serious departures from normality and are suitable for regression analysis.</w:t>
      </w:r>
    </w:p>
    <w:p w14:paraId="12CCE95B">
      <w:pPr>
        <w:jc w:val="both"/>
        <w:rPr>
          <w:rFonts w:ascii="Times New Roman" w:hAnsi="Times New Roman" w:cs="Times New Roman"/>
          <w:sz w:val="24"/>
        </w:rPr>
      </w:pPr>
      <w:r>
        <w:rPr>
          <w:rFonts w:ascii="Times New Roman" w:hAnsi="Times New Roman" w:cs="Times New Roman"/>
          <w:sz w:val="24"/>
        </w:rPr>
        <w:t>Next, the correlation analysis is conducted to examine the associations among the independent variables</w:t>
      </w:r>
    </w:p>
    <w:p w14:paraId="39A282FB">
      <w:pPr>
        <w:spacing w:after="0"/>
        <w:jc w:val="both"/>
        <w:rPr>
          <w:rFonts w:ascii="Times New Roman" w:hAnsi="Times New Roman" w:cs="Times New Roman"/>
          <w:i/>
          <w:sz w:val="24"/>
        </w:rPr>
      </w:pPr>
      <w:r>
        <w:rPr>
          <w:rFonts w:ascii="Times New Roman" w:hAnsi="Times New Roman" w:cs="Times New Roman"/>
          <w:i/>
          <w:sz w:val="24"/>
        </w:rPr>
        <w:t xml:space="preserve">Table </w:t>
      </w:r>
      <w:r>
        <w:rPr>
          <w:rFonts w:hint="default" w:ascii="Times New Roman" w:hAnsi="Times New Roman" w:cs="Times New Roman"/>
          <w:i/>
          <w:sz w:val="24"/>
          <w:lang w:val="en-US"/>
        </w:rPr>
        <w:t>3</w:t>
      </w:r>
      <w:r>
        <w:rPr>
          <w:rFonts w:ascii="Times New Roman" w:hAnsi="Times New Roman" w:cs="Times New Roman"/>
          <w:i/>
          <w:sz w:val="24"/>
        </w:rPr>
        <w:t xml:space="preserve">: </w:t>
      </w:r>
      <w:r>
        <w:rPr>
          <w:rFonts w:hint="default" w:ascii="Times New Roman" w:hAnsi="Times New Roman" w:cs="Times New Roman"/>
          <w:i/>
          <w:sz w:val="24"/>
          <w:lang w:val="en-US"/>
        </w:rPr>
        <w:t>Correlation Analysis</w:t>
      </w:r>
    </w:p>
    <w:tbl>
      <w:tblPr>
        <w:tblStyle w:val="3"/>
        <w:tblW w:w="0" w:type="auto"/>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508"/>
        <w:gridCol w:w="1036"/>
        <w:gridCol w:w="992"/>
        <w:gridCol w:w="993"/>
        <w:gridCol w:w="992"/>
        <w:gridCol w:w="850"/>
        <w:gridCol w:w="851"/>
      </w:tblGrid>
      <w:tr w14:paraId="33E667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2463" w:type="dxa"/>
            <w:tcBorders>
              <w:top w:val="single" w:color="auto" w:sz="4" w:space="0"/>
              <w:bottom w:val="single" w:color="auto" w:sz="4" w:space="0"/>
            </w:tcBorders>
            <w:vAlign w:val="center"/>
          </w:tcPr>
          <w:p w14:paraId="635EF597">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Variables</w:t>
            </w:r>
          </w:p>
        </w:tc>
        <w:tc>
          <w:tcPr>
            <w:tcW w:w="1006" w:type="dxa"/>
            <w:tcBorders>
              <w:top w:val="single" w:color="auto" w:sz="4" w:space="0"/>
              <w:bottom w:val="single" w:color="auto" w:sz="4" w:space="0"/>
            </w:tcBorders>
            <w:vAlign w:val="center"/>
          </w:tcPr>
          <w:p w14:paraId="54B88094">
            <w:pPr>
              <w:spacing w:after="0" w:line="240" w:lineRule="auto"/>
              <w:jc w:val="righ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Z-Score</w:t>
            </w:r>
          </w:p>
        </w:tc>
        <w:tc>
          <w:tcPr>
            <w:tcW w:w="962" w:type="dxa"/>
            <w:tcBorders>
              <w:top w:val="single" w:color="auto" w:sz="4" w:space="0"/>
              <w:bottom w:val="single" w:color="auto" w:sz="4" w:space="0"/>
            </w:tcBorders>
            <w:vAlign w:val="center"/>
          </w:tcPr>
          <w:p w14:paraId="3E794C41">
            <w:pPr>
              <w:spacing w:after="0" w:line="240" w:lineRule="auto"/>
              <w:jc w:val="righ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MSH</w:t>
            </w:r>
          </w:p>
        </w:tc>
        <w:tc>
          <w:tcPr>
            <w:tcW w:w="963" w:type="dxa"/>
            <w:tcBorders>
              <w:top w:val="single" w:color="auto" w:sz="4" w:space="0"/>
              <w:bottom w:val="single" w:color="auto" w:sz="4" w:space="0"/>
            </w:tcBorders>
            <w:vAlign w:val="center"/>
          </w:tcPr>
          <w:p w14:paraId="43C79609">
            <w:pPr>
              <w:spacing w:after="0" w:line="240" w:lineRule="auto"/>
              <w:jc w:val="righ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LLP</w:t>
            </w:r>
          </w:p>
        </w:tc>
        <w:tc>
          <w:tcPr>
            <w:tcW w:w="962" w:type="dxa"/>
            <w:tcBorders>
              <w:top w:val="single" w:color="auto" w:sz="4" w:space="0"/>
              <w:bottom w:val="single" w:color="auto" w:sz="4" w:space="0"/>
            </w:tcBorders>
            <w:vAlign w:val="center"/>
          </w:tcPr>
          <w:p w14:paraId="11759204">
            <w:pPr>
              <w:spacing w:after="0" w:line="240" w:lineRule="auto"/>
              <w:jc w:val="righ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FSZ</w:t>
            </w:r>
          </w:p>
        </w:tc>
        <w:tc>
          <w:tcPr>
            <w:tcW w:w="820" w:type="dxa"/>
            <w:tcBorders>
              <w:top w:val="single" w:color="auto" w:sz="4" w:space="0"/>
              <w:bottom w:val="single" w:color="auto" w:sz="4" w:space="0"/>
            </w:tcBorders>
            <w:vAlign w:val="center"/>
          </w:tcPr>
          <w:p w14:paraId="2FF01ADD">
            <w:pPr>
              <w:spacing w:after="0" w:line="240" w:lineRule="auto"/>
              <w:jc w:val="righ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LEV</w:t>
            </w:r>
          </w:p>
        </w:tc>
        <w:tc>
          <w:tcPr>
            <w:tcW w:w="806" w:type="dxa"/>
            <w:tcBorders>
              <w:top w:val="single" w:color="auto" w:sz="4" w:space="0"/>
              <w:bottom w:val="single" w:color="auto" w:sz="4" w:space="0"/>
            </w:tcBorders>
            <w:vAlign w:val="center"/>
          </w:tcPr>
          <w:p w14:paraId="112527D3">
            <w:pPr>
              <w:spacing w:after="0" w:line="240" w:lineRule="auto"/>
              <w:jc w:val="righ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ROA</w:t>
            </w:r>
          </w:p>
        </w:tc>
      </w:tr>
      <w:tr w14:paraId="2F1D02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463" w:type="dxa"/>
            <w:vAlign w:val="center"/>
          </w:tcPr>
          <w:p w14:paraId="6C9E97E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Financial Distress (Z)</w:t>
            </w:r>
          </w:p>
        </w:tc>
        <w:tc>
          <w:tcPr>
            <w:tcW w:w="1006" w:type="dxa"/>
            <w:vAlign w:val="center"/>
          </w:tcPr>
          <w:p w14:paraId="5A9CA6CF">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1.000</w:t>
            </w:r>
          </w:p>
        </w:tc>
        <w:tc>
          <w:tcPr>
            <w:tcW w:w="962" w:type="dxa"/>
            <w:vAlign w:val="center"/>
          </w:tcPr>
          <w:p w14:paraId="54FEE92E">
            <w:pPr>
              <w:spacing w:after="0" w:line="240" w:lineRule="auto"/>
              <w:jc w:val="right"/>
              <w:rPr>
                <w:rFonts w:ascii="Times New Roman" w:hAnsi="Times New Roman" w:eastAsia="Times New Roman" w:cs="Times New Roman"/>
                <w:sz w:val="24"/>
                <w:szCs w:val="24"/>
              </w:rPr>
            </w:pPr>
          </w:p>
        </w:tc>
        <w:tc>
          <w:tcPr>
            <w:tcW w:w="963" w:type="dxa"/>
            <w:vAlign w:val="center"/>
          </w:tcPr>
          <w:p w14:paraId="76EF2689">
            <w:pPr>
              <w:spacing w:after="0" w:line="240" w:lineRule="auto"/>
              <w:jc w:val="right"/>
              <w:rPr>
                <w:rFonts w:ascii="Times New Roman" w:hAnsi="Times New Roman" w:eastAsia="Times New Roman" w:cs="Times New Roman"/>
                <w:sz w:val="20"/>
                <w:szCs w:val="20"/>
              </w:rPr>
            </w:pPr>
          </w:p>
        </w:tc>
        <w:tc>
          <w:tcPr>
            <w:tcW w:w="962" w:type="dxa"/>
            <w:vAlign w:val="center"/>
          </w:tcPr>
          <w:p w14:paraId="5C5ACC9E">
            <w:pPr>
              <w:spacing w:after="0" w:line="240" w:lineRule="auto"/>
              <w:jc w:val="right"/>
              <w:rPr>
                <w:rFonts w:ascii="Times New Roman" w:hAnsi="Times New Roman" w:eastAsia="Times New Roman" w:cs="Times New Roman"/>
                <w:sz w:val="20"/>
                <w:szCs w:val="20"/>
              </w:rPr>
            </w:pPr>
          </w:p>
        </w:tc>
        <w:tc>
          <w:tcPr>
            <w:tcW w:w="820" w:type="dxa"/>
            <w:vAlign w:val="center"/>
          </w:tcPr>
          <w:p w14:paraId="3A95EA03">
            <w:pPr>
              <w:spacing w:after="0" w:line="240" w:lineRule="auto"/>
              <w:jc w:val="right"/>
              <w:rPr>
                <w:rFonts w:ascii="Times New Roman" w:hAnsi="Times New Roman" w:eastAsia="Times New Roman" w:cs="Times New Roman"/>
                <w:sz w:val="20"/>
                <w:szCs w:val="20"/>
              </w:rPr>
            </w:pPr>
          </w:p>
        </w:tc>
        <w:tc>
          <w:tcPr>
            <w:tcW w:w="806" w:type="dxa"/>
            <w:vAlign w:val="center"/>
          </w:tcPr>
          <w:p w14:paraId="5D82ED07">
            <w:pPr>
              <w:spacing w:after="0" w:line="240" w:lineRule="auto"/>
              <w:jc w:val="right"/>
              <w:rPr>
                <w:rFonts w:ascii="Times New Roman" w:hAnsi="Times New Roman" w:eastAsia="Times New Roman" w:cs="Times New Roman"/>
                <w:sz w:val="20"/>
                <w:szCs w:val="20"/>
              </w:rPr>
            </w:pPr>
          </w:p>
        </w:tc>
      </w:tr>
      <w:tr w14:paraId="583EBA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463" w:type="dxa"/>
            <w:vAlign w:val="center"/>
          </w:tcPr>
          <w:p w14:paraId="4529775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Managerial Shareholding</w:t>
            </w:r>
          </w:p>
        </w:tc>
        <w:tc>
          <w:tcPr>
            <w:tcW w:w="1006" w:type="dxa"/>
            <w:vAlign w:val="center"/>
          </w:tcPr>
          <w:p w14:paraId="0A0FA397">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-0.284</w:t>
            </w:r>
          </w:p>
        </w:tc>
        <w:tc>
          <w:tcPr>
            <w:tcW w:w="962" w:type="dxa"/>
            <w:vAlign w:val="center"/>
          </w:tcPr>
          <w:p w14:paraId="5AFA060A">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1.000</w:t>
            </w:r>
          </w:p>
        </w:tc>
        <w:tc>
          <w:tcPr>
            <w:tcW w:w="963" w:type="dxa"/>
            <w:vAlign w:val="center"/>
          </w:tcPr>
          <w:p w14:paraId="4C9CE242">
            <w:pPr>
              <w:spacing w:after="0" w:line="240" w:lineRule="auto"/>
              <w:jc w:val="right"/>
              <w:rPr>
                <w:rFonts w:ascii="Times New Roman" w:hAnsi="Times New Roman" w:eastAsia="Times New Roman" w:cs="Times New Roman"/>
                <w:sz w:val="24"/>
                <w:szCs w:val="24"/>
              </w:rPr>
            </w:pPr>
          </w:p>
        </w:tc>
        <w:tc>
          <w:tcPr>
            <w:tcW w:w="962" w:type="dxa"/>
            <w:vAlign w:val="center"/>
          </w:tcPr>
          <w:p w14:paraId="6CDDB80C">
            <w:pPr>
              <w:spacing w:after="0" w:line="240" w:lineRule="auto"/>
              <w:jc w:val="right"/>
              <w:rPr>
                <w:rFonts w:ascii="Times New Roman" w:hAnsi="Times New Roman" w:eastAsia="Times New Roman" w:cs="Times New Roman"/>
                <w:sz w:val="20"/>
                <w:szCs w:val="20"/>
              </w:rPr>
            </w:pPr>
          </w:p>
        </w:tc>
        <w:tc>
          <w:tcPr>
            <w:tcW w:w="820" w:type="dxa"/>
            <w:vAlign w:val="center"/>
          </w:tcPr>
          <w:p w14:paraId="24C1FDC1">
            <w:pPr>
              <w:spacing w:after="0" w:line="240" w:lineRule="auto"/>
              <w:jc w:val="right"/>
              <w:rPr>
                <w:rFonts w:ascii="Times New Roman" w:hAnsi="Times New Roman" w:eastAsia="Times New Roman" w:cs="Times New Roman"/>
                <w:sz w:val="20"/>
                <w:szCs w:val="20"/>
              </w:rPr>
            </w:pPr>
          </w:p>
        </w:tc>
        <w:tc>
          <w:tcPr>
            <w:tcW w:w="806" w:type="dxa"/>
            <w:vAlign w:val="center"/>
          </w:tcPr>
          <w:p w14:paraId="6519632E">
            <w:pPr>
              <w:spacing w:after="0" w:line="240" w:lineRule="auto"/>
              <w:jc w:val="right"/>
              <w:rPr>
                <w:rFonts w:ascii="Times New Roman" w:hAnsi="Times New Roman" w:eastAsia="Times New Roman" w:cs="Times New Roman"/>
                <w:sz w:val="20"/>
                <w:szCs w:val="20"/>
              </w:rPr>
            </w:pPr>
          </w:p>
        </w:tc>
      </w:tr>
      <w:tr w14:paraId="0CD79B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463" w:type="dxa"/>
            <w:vAlign w:val="center"/>
          </w:tcPr>
          <w:p w14:paraId="3269077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Loan Loss Provisions</w:t>
            </w:r>
          </w:p>
        </w:tc>
        <w:tc>
          <w:tcPr>
            <w:tcW w:w="1006" w:type="dxa"/>
            <w:vAlign w:val="center"/>
          </w:tcPr>
          <w:p w14:paraId="37ACB48A">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-0.361</w:t>
            </w:r>
          </w:p>
        </w:tc>
        <w:tc>
          <w:tcPr>
            <w:tcW w:w="962" w:type="dxa"/>
            <w:vAlign w:val="center"/>
          </w:tcPr>
          <w:p w14:paraId="39827D25">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0.219</w:t>
            </w:r>
          </w:p>
        </w:tc>
        <w:tc>
          <w:tcPr>
            <w:tcW w:w="963" w:type="dxa"/>
            <w:vAlign w:val="center"/>
          </w:tcPr>
          <w:p w14:paraId="3B88D7F6">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1.000</w:t>
            </w:r>
          </w:p>
        </w:tc>
        <w:tc>
          <w:tcPr>
            <w:tcW w:w="962" w:type="dxa"/>
            <w:vAlign w:val="center"/>
          </w:tcPr>
          <w:p w14:paraId="7EB9BB55">
            <w:pPr>
              <w:spacing w:after="0" w:line="240" w:lineRule="auto"/>
              <w:jc w:val="right"/>
              <w:rPr>
                <w:rFonts w:ascii="Times New Roman" w:hAnsi="Times New Roman" w:eastAsia="Times New Roman" w:cs="Times New Roman"/>
                <w:sz w:val="24"/>
                <w:szCs w:val="24"/>
              </w:rPr>
            </w:pPr>
          </w:p>
        </w:tc>
        <w:tc>
          <w:tcPr>
            <w:tcW w:w="820" w:type="dxa"/>
            <w:vAlign w:val="center"/>
          </w:tcPr>
          <w:p w14:paraId="3E376AE6">
            <w:pPr>
              <w:spacing w:after="0" w:line="240" w:lineRule="auto"/>
              <w:jc w:val="right"/>
              <w:rPr>
                <w:rFonts w:ascii="Times New Roman" w:hAnsi="Times New Roman" w:eastAsia="Times New Roman" w:cs="Times New Roman"/>
                <w:sz w:val="20"/>
                <w:szCs w:val="20"/>
              </w:rPr>
            </w:pPr>
          </w:p>
        </w:tc>
        <w:tc>
          <w:tcPr>
            <w:tcW w:w="806" w:type="dxa"/>
            <w:vAlign w:val="center"/>
          </w:tcPr>
          <w:p w14:paraId="0AC2481B">
            <w:pPr>
              <w:spacing w:after="0" w:line="240" w:lineRule="auto"/>
              <w:jc w:val="right"/>
              <w:rPr>
                <w:rFonts w:ascii="Times New Roman" w:hAnsi="Times New Roman" w:eastAsia="Times New Roman" w:cs="Times New Roman"/>
                <w:sz w:val="20"/>
                <w:szCs w:val="20"/>
              </w:rPr>
            </w:pPr>
          </w:p>
        </w:tc>
      </w:tr>
      <w:tr w14:paraId="5B5013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463" w:type="dxa"/>
            <w:vAlign w:val="center"/>
          </w:tcPr>
          <w:p w14:paraId="57A2C2D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Firm Size</w:t>
            </w:r>
          </w:p>
        </w:tc>
        <w:tc>
          <w:tcPr>
            <w:tcW w:w="1006" w:type="dxa"/>
            <w:vAlign w:val="center"/>
          </w:tcPr>
          <w:p w14:paraId="17138BBC">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0.402</w:t>
            </w:r>
          </w:p>
        </w:tc>
        <w:tc>
          <w:tcPr>
            <w:tcW w:w="962" w:type="dxa"/>
            <w:vAlign w:val="center"/>
          </w:tcPr>
          <w:p w14:paraId="1246EA1D">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-0.178</w:t>
            </w:r>
          </w:p>
        </w:tc>
        <w:tc>
          <w:tcPr>
            <w:tcW w:w="963" w:type="dxa"/>
            <w:vAlign w:val="center"/>
          </w:tcPr>
          <w:p w14:paraId="476CA8A3">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-0.095</w:t>
            </w:r>
          </w:p>
        </w:tc>
        <w:tc>
          <w:tcPr>
            <w:tcW w:w="962" w:type="dxa"/>
            <w:vAlign w:val="center"/>
          </w:tcPr>
          <w:p w14:paraId="4D46EB12">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1.000</w:t>
            </w:r>
          </w:p>
        </w:tc>
        <w:tc>
          <w:tcPr>
            <w:tcW w:w="820" w:type="dxa"/>
            <w:vAlign w:val="center"/>
          </w:tcPr>
          <w:p w14:paraId="3C517530">
            <w:pPr>
              <w:spacing w:after="0" w:line="240" w:lineRule="auto"/>
              <w:jc w:val="right"/>
              <w:rPr>
                <w:rFonts w:ascii="Times New Roman" w:hAnsi="Times New Roman" w:eastAsia="Times New Roman" w:cs="Times New Roman"/>
                <w:sz w:val="24"/>
                <w:szCs w:val="24"/>
              </w:rPr>
            </w:pPr>
          </w:p>
        </w:tc>
        <w:tc>
          <w:tcPr>
            <w:tcW w:w="806" w:type="dxa"/>
            <w:vAlign w:val="center"/>
          </w:tcPr>
          <w:p w14:paraId="31DAEE6A">
            <w:pPr>
              <w:spacing w:after="0" w:line="240" w:lineRule="auto"/>
              <w:jc w:val="right"/>
              <w:rPr>
                <w:rFonts w:ascii="Times New Roman" w:hAnsi="Times New Roman" w:eastAsia="Times New Roman" w:cs="Times New Roman"/>
                <w:sz w:val="20"/>
                <w:szCs w:val="20"/>
              </w:rPr>
            </w:pPr>
          </w:p>
        </w:tc>
      </w:tr>
      <w:tr w14:paraId="25F852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463" w:type="dxa"/>
            <w:vAlign w:val="center"/>
          </w:tcPr>
          <w:p w14:paraId="066EB54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Leverage</w:t>
            </w:r>
          </w:p>
        </w:tc>
        <w:tc>
          <w:tcPr>
            <w:tcW w:w="1006" w:type="dxa"/>
            <w:vAlign w:val="center"/>
          </w:tcPr>
          <w:p w14:paraId="75F2F546">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-0.315</w:t>
            </w:r>
          </w:p>
        </w:tc>
        <w:tc>
          <w:tcPr>
            <w:tcW w:w="962" w:type="dxa"/>
            <w:vAlign w:val="center"/>
          </w:tcPr>
          <w:p w14:paraId="482D4EE2">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0.143</w:t>
            </w:r>
          </w:p>
        </w:tc>
        <w:tc>
          <w:tcPr>
            <w:tcW w:w="963" w:type="dxa"/>
            <w:vAlign w:val="center"/>
          </w:tcPr>
          <w:p w14:paraId="492EC02C">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0.287</w:t>
            </w:r>
          </w:p>
        </w:tc>
        <w:tc>
          <w:tcPr>
            <w:tcW w:w="962" w:type="dxa"/>
            <w:vAlign w:val="center"/>
          </w:tcPr>
          <w:p w14:paraId="3ED5B606">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-0.221</w:t>
            </w:r>
          </w:p>
        </w:tc>
        <w:tc>
          <w:tcPr>
            <w:tcW w:w="820" w:type="dxa"/>
            <w:vAlign w:val="center"/>
          </w:tcPr>
          <w:p w14:paraId="61B66D1C">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1.000</w:t>
            </w:r>
          </w:p>
        </w:tc>
        <w:tc>
          <w:tcPr>
            <w:tcW w:w="806" w:type="dxa"/>
            <w:vAlign w:val="center"/>
          </w:tcPr>
          <w:p w14:paraId="5EF353D7">
            <w:pPr>
              <w:spacing w:after="0" w:line="240" w:lineRule="auto"/>
              <w:jc w:val="right"/>
              <w:rPr>
                <w:rFonts w:ascii="Times New Roman" w:hAnsi="Times New Roman" w:eastAsia="Times New Roman" w:cs="Times New Roman"/>
                <w:sz w:val="24"/>
                <w:szCs w:val="24"/>
              </w:rPr>
            </w:pPr>
          </w:p>
        </w:tc>
      </w:tr>
      <w:tr w14:paraId="624720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463" w:type="dxa"/>
            <w:vAlign w:val="center"/>
          </w:tcPr>
          <w:p w14:paraId="7699A4C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Profitability (ROA)</w:t>
            </w:r>
          </w:p>
        </w:tc>
        <w:tc>
          <w:tcPr>
            <w:tcW w:w="1006" w:type="dxa"/>
            <w:vAlign w:val="center"/>
          </w:tcPr>
          <w:p w14:paraId="108C45EF">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0.517</w:t>
            </w:r>
          </w:p>
        </w:tc>
        <w:tc>
          <w:tcPr>
            <w:tcW w:w="962" w:type="dxa"/>
            <w:vAlign w:val="center"/>
          </w:tcPr>
          <w:p w14:paraId="0942A057">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-0.204</w:t>
            </w:r>
          </w:p>
        </w:tc>
        <w:tc>
          <w:tcPr>
            <w:tcW w:w="963" w:type="dxa"/>
            <w:vAlign w:val="center"/>
          </w:tcPr>
          <w:p w14:paraId="01DEC23C">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-0.331</w:t>
            </w:r>
          </w:p>
        </w:tc>
        <w:tc>
          <w:tcPr>
            <w:tcW w:w="962" w:type="dxa"/>
            <w:vAlign w:val="center"/>
          </w:tcPr>
          <w:p w14:paraId="589AD9DE">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0.356</w:t>
            </w:r>
          </w:p>
        </w:tc>
        <w:tc>
          <w:tcPr>
            <w:tcW w:w="820" w:type="dxa"/>
            <w:vAlign w:val="center"/>
          </w:tcPr>
          <w:p w14:paraId="60E5E816">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-0.298</w:t>
            </w:r>
          </w:p>
        </w:tc>
        <w:tc>
          <w:tcPr>
            <w:tcW w:w="806" w:type="dxa"/>
            <w:vAlign w:val="center"/>
          </w:tcPr>
          <w:p w14:paraId="3E6B7F00">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1.000</w:t>
            </w:r>
          </w:p>
        </w:tc>
      </w:tr>
    </w:tbl>
    <w:p w14:paraId="012DC11D">
      <w:pPr>
        <w:jc w:val="both"/>
        <w:rPr>
          <w:rFonts w:ascii="Times New Roman" w:hAnsi="Times New Roman" w:cs="Times New Roman"/>
          <w:sz w:val="24"/>
        </w:rPr>
      </w:pPr>
      <w:r>
        <w:rPr>
          <w:rFonts w:ascii="Times New Roman" w:hAnsi="Times New Roman" w:cs="Times New Roman"/>
          <w:sz w:val="24"/>
        </w:rPr>
        <w:t>Source: Author’s Computation (2026)</w:t>
      </w:r>
    </w:p>
    <w:p w14:paraId="22560113">
      <w:pPr>
        <w:jc w:val="both"/>
        <w:rPr>
          <w:rFonts w:ascii="Times New Roman" w:hAnsi="Times New Roman" w:cs="Times New Roman"/>
          <w:sz w:val="24"/>
        </w:rPr>
      </w:pPr>
      <w:r>
        <w:rPr>
          <w:rFonts w:ascii="Times New Roman" w:hAnsi="Times New Roman" w:cs="Times New Roman"/>
          <w:sz w:val="24"/>
        </w:rPr>
        <w:t>The correlation results reveal several important relationships</w:t>
      </w:r>
      <w:r>
        <w:rPr>
          <w:rFonts w:hint="default" w:ascii="Times New Roman" w:hAnsi="Times New Roman" w:cs="Times New Roman"/>
          <w:sz w:val="24"/>
          <w:lang w:val="en-US"/>
        </w:rPr>
        <w:t xml:space="preserve"> in table 3</w:t>
      </w:r>
      <w:r>
        <w:rPr>
          <w:rFonts w:ascii="Times New Roman" w:hAnsi="Times New Roman" w:cs="Times New Roman"/>
          <w:sz w:val="24"/>
        </w:rPr>
        <w:t>. Financial distress (Z-score) is negatively correlated with managerial shareholding (-0.284), suggesting that higher managerial ownership may be associated with increased distress risk, possibly due to entrenchment effects. Loan loss provisions also exhibit a negative relationship with financial distress (-0.361), indicating that higher provisioning may be linked to lower financial health, potentially reflecting higher credit risk exposure. Firm size shows a positive correlation with financial distress (0.402), implying that larger banks tend to be more financially stable. Profitability has the strongest positive correlation with financial distress (0.517), suggesting that more profitable banks are less likely to experience distress. Conversely, leverage is negatively correlated with financial distress (-0.315), indicating that higher debt levels may increase financial vulnerability.</w:t>
      </w:r>
    </w:p>
    <w:p w14:paraId="6359D851">
      <w:pPr>
        <w:jc w:val="both"/>
        <w:rPr>
          <w:rFonts w:ascii="Times New Roman" w:hAnsi="Times New Roman" w:cs="Times New Roman"/>
          <w:sz w:val="24"/>
        </w:rPr>
      </w:pPr>
      <w:r>
        <w:rPr>
          <w:rFonts w:ascii="Times New Roman" w:hAnsi="Times New Roman" w:cs="Times New Roman"/>
          <w:sz w:val="24"/>
        </w:rPr>
        <w:t xml:space="preserve">Importantly, the correlation coefficients among the independent variables are generally low to moderate, with no value exceeding 0.8. This suggests the absence of strong multicollinearity among the explanatory variables, making them suitable for inclusion in the regression model. </w:t>
      </w:r>
    </w:p>
    <w:p w14:paraId="036307A8">
      <w:pPr>
        <w:jc w:val="both"/>
        <w:rPr>
          <w:rFonts w:ascii="Times New Roman" w:hAnsi="Times New Roman" w:cs="Times New Roman"/>
          <w:sz w:val="24"/>
        </w:rPr>
      </w:pPr>
      <w:r>
        <w:rPr>
          <w:rFonts w:ascii="Times New Roman" w:hAnsi="Times New Roman" w:cs="Times New Roman"/>
          <w:sz w:val="24"/>
        </w:rPr>
        <w:t>To ensure the reliability of the regression estimates, diagnostic tests were conducted, including tests for multicollinearity, heteroscedasticity, and model specification. In addition, the Hausman and Lagrangian Multiplier (LM) tests were performed to determine the most appropriate estimation technique for the panel data.</w:t>
      </w:r>
    </w:p>
    <w:p w14:paraId="2F33FC03">
      <w:pPr>
        <w:spacing w:after="0"/>
        <w:jc w:val="both"/>
        <w:rPr>
          <w:rFonts w:ascii="Times New Roman" w:hAnsi="Times New Roman" w:cs="Times New Roman"/>
          <w:i/>
          <w:sz w:val="24"/>
        </w:rPr>
      </w:pPr>
      <w:r>
        <w:rPr>
          <w:rFonts w:ascii="Times New Roman" w:hAnsi="Times New Roman" w:cs="Times New Roman"/>
          <w:i/>
          <w:sz w:val="24"/>
        </w:rPr>
        <w:t xml:space="preserve">Table </w:t>
      </w:r>
      <w:r>
        <w:rPr>
          <w:rFonts w:hint="default" w:ascii="Times New Roman" w:hAnsi="Times New Roman" w:cs="Times New Roman"/>
          <w:i/>
          <w:sz w:val="24"/>
          <w:lang w:val="en-US"/>
        </w:rPr>
        <w:t>4</w:t>
      </w:r>
      <w:r>
        <w:rPr>
          <w:rFonts w:ascii="Times New Roman" w:hAnsi="Times New Roman" w:cs="Times New Roman"/>
          <w:i/>
          <w:sz w:val="24"/>
        </w:rPr>
        <w:t>: Multicollinearity Test</w:t>
      </w:r>
    </w:p>
    <w:tbl>
      <w:tblPr>
        <w:tblStyle w:val="3"/>
        <w:tblW w:w="0" w:type="auto"/>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977"/>
        <w:gridCol w:w="851"/>
        <w:gridCol w:w="1275"/>
      </w:tblGrid>
      <w:tr w14:paraId="3A975C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2932" w:type="dxa"/>
            <w:tcBorders>
              <w:top w:val="single" w:color="auto" w:sz="4" w:space="0"/>
              <w:bottom w:val="single" w:color="auto" w:sz="4" w:space="0"/>
            </w:tcBorders>
            <w:vAlign w:val="center"/>
          </w:tcPr>
          <w:p w14:paraId="709614C1">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Variable</w:t>
            </w:r>
          </w:p>
        </w:tc>
        <w:tc>
          <w:tcPr>
            <w:tcW w:w="821" w:type="dxa"/>
            <w:tcBorders>
              <w:top w:val="single" w:color="auto" w:sz="4" w:space="0"/>
              <w:bottom w:val="single" w:color="auto" w:sz="4" w:space="0"/>
            </w:tcBorders>
            <w:vAlign w:val="center"/>
          </w:tcPr>
          <w:p w14:paraId="3B156061">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VIF</w:t>
            </w:r>
          </w:p>
        </w:tc>
        <w:tc>
          <w:tcPr>
            <w:tcW w:w="1230" w:type="dxa"/>
            <w:tcBorders>
              <w:top w:val="single" w:color="auto" w:sz="4" w:space="0"/>
              <w:bottom w:val="single" w:color="auto" w:sz="4" w:space="0"/>
            </w:tcBorders>
            <w:vAlign w:val="center"/>
          </w:tcPr>
          <w:p w14:paraId="26AC8837">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Tolerance</w:t>
            </w:r>
          </w:p>
        </w:tc>
      </w:tr>
      <w:tr w14:paraId="2B0CE6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932" w:type="dxa"/>
            <w:vAlign w:val="center"/>
          </w:tcPr>
          <w:p w14:paraId="18225E5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Managerial Shareholding</w:t>
            </w:r>
          </w:p>
        </w:tc>
        <w:tc>
          <w:tcPr>
            <w:tcW w:w="821" w:type="dxa"/>
            <w:vAlign w:val="center"/>
          </w:tcPr>
          <w:p w14:paraId="4F48D4A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1.42</w:t>
            </w:r>
          </w:p>
        </w:tc>
        <w:tc>
          <w:tcPr>
            <w:tcW w:w="1230" w:type="dxa"/>
            <w:vAlign w:val="center"/>
          </w:tcPr>
          <w:p w14:paraId="0010659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0.704</w:t>
            </w:r>
          </w:p>
        </w:tc>
      </w:tr>
      <w:tr w14:paraId="4A756F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932" w:type="dxa"/>
            <w:vAlign w:val="center"/>
          </w:tcPr>
          <w:p w14:paraId="1A806C8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Loan Loss Provisions</w:t>
            </w:r>
          </w:p>
        </w:tc>
        <w:tc>
          <w:tcPr>
            <w:tcW w:w="821" w:type="dxa"/>
            <w:vAlign w:val="center"/>
          </w:tcPr>
          <w:p w14:paraId="032BD21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1.58</w:t>
            </w:r>
          </w:p>
        </w:tc>
        <w:tc>
          <w:tcPr>
            <w:tcW w:w="1230" w:type="dxa"/>
            <w:vAlign w:val="center"/>
          </w:tcPr>
          <w:p w14:paraId="40CEFD1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0.633</w:t>
            </w:r>
          </w:p>
        </w:tc>
      </w:tr>
      <w:tr w14:paraId="69161C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932" w:type="dxa"/>
            <w:vAlign w:val="center"/>
          </w:tcPr>
          <w:p w14:paraId="71F7B89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Firm Size</w:t>
            </w:r>
          </w:p>
        </w:tc>
        <w:tc>
          <w:tcPr>
            <w:tcW w:w="821" w:type="dxa"/>
            <w:vAlign w:val="center"/>
          </w:tcPr>
          <w:p w14:paraId="7EB33BF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1.36</w:t>
            </w:r>
          </w:p>
        </w:tc>
        <w:tc>
          <w:tcPr>
            <w:tcW w:w="1230" w:type="dxa"/>
            <w:vAlign w:val="center"/>
          </w:tcPr>
          <w:p w14:paraId="4EB5655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0.735</w:t>
            </w:r>
          </w:p>
        </w:tc>
      </w:tr>
      <w:tr w14:paraId="3A62EB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932" w:type="dxa"/>
            <w:vAlign w:val="center"/>
          </w:tcPr>
          <w:p w14:paraId="4C369F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Leverage</w:t>
            </w:r>
          </w:p>
        </w:tc>
        <w:tc>
          <w:tcPr>
            <w:tcW w:w="821" w:type="dxa"/>
            <w:vAlign w:val="center"/>
          </w:tcPr>
          <w:p w14:paraId="79934BF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1.49</w:t>
            </w:r>
          </w:p>
        </w:tc>
        <w:tc>
          <w:tcPr>
            <w:tcW w:w="1230" w:type="dxa"/>
            <w:vAlign w:val="center"/>
          </w:tcPr>
          <w:p w14:paraId="4D8F088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0.671</w:t>
            </w:r>
          </w:p>
        </w:tc>
      </w:tr>
      <w:tr w14:paraId="4913D3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932" w:type="dxa"/>
            <w:vAlign w:val="center"/>
          </w:tcPr>
          <w:p w14:paraId="610AA72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Profitability (ROA)</w:t>
            </w:r>
          </w:p>
        </w:tc>
        <w:tc>
          <w:tcPr>
            <w:tcW w:w="821" w:type="dxa"/>
            <w:vAlign w:val="center"/>
          </w:tcPr>
          <w:p w14:paraId="191C1B0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1.62</w:t>
            </w:r>
          </w:p>
        </w:tc>
        <w:tc>
          <w:tcPr>
            <w:tcW w:w="1230" w:type="dxa"/>
            <w:vAlign w:val="center"/>
          </w:tcPr>
          <w:p w14:paraId="1DA78E1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0.617</w:t>
            </w:r>
          </w:p>
        </w:tc>
      </w:tr>
      <w:tr w14:paraId="4B489F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932" w:type="dxa"/>
            <w:vAlign w:val="center"/>
          </w:tcPr>
          <w:p w14:paraId="03E4AB4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Mean VIF</w:t>
            </w:r>
          </w:p>
        </w:tc>
        <w:tc>
          <w:tcPr>
            <w:tcW w:w="821" w:type="dxa"/>
            <w:vAlign w:val="center"/>
          </w:tcPr>
          <w:p w14:paraId="4B93C82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1.49</w:t>
            </w:r>
          </w:p>
        </w:tc>
        <w:tc>
          <w:tcPr>
            <w:tcW w:w="1230" w:type="dxa"/>
            <w:vAlign w:val="center"/>
          </w:tcPr>
          <w:p w14:paraId="73F0E8C8">
            <w:pPr>
              <w:spacing w:after="0" w:line="240" w:lineRule="auto"/>
              <w:rPr>
                <w:rFonts w:ascii="Times New Roman" w:hAnsi="Times New Roman" w:eastAsia="Times New Roman" w:cs="Times New Roman"/>
                <w:sz w:val="24"/>
                <w:szCs w:val="24"/>
              </w:rPr>
            </w:pPr>
          </w:p>
        </w:tc>
      </w:tr>
    </w:tbl>
    <w:p w14:paraId="319E805A">
      <w:pPr>
        <w:jc w:val="both"/>
        <w:rPr>
          <w:rFonts w:ascii="Times New Roman" w:hAnsi="Times New Roman" w:cs="Times New Roman"/>
          <w:sz w:val="24"/>
        </w:rPr>
      </w:pPr>
      <w:r>
        <w:rPr>
          <w:rFonts w:ascii="Times New Roman" w:hAnsi="Times New Roman" w:cs="Times New Roman"/>
          <w:sz w:val="24"/>
        </w:rPr>
        <w:t>Source: Author’s Computation (2026)</w:t>
      </w:r>
    </w:p>
    <w:p w14:paraId="01177A23">
      <w:pPr>
        <w:jc w:val="both"/>
        <w:rPr>
          <w:rFonts w:ascii="Times New Roman" w:hAnsi="Times New Roman" w:cs="Times New Roman"/>
          <w:sz w:val="24"/>
        </w:rPr>
      </w:pPr>
      <w:r>
        <w:rPr>
          <w:rFonts w:ascii="Times New Roman" w:hAnsi="Times New Roman" w:cs="Times New Roman"/>
          <w:sz w:val="24"/>
        </w:rPr>
        <w:t xml:space="preserve">The results in Table 4 indicate that all the independent variables have </w:t>
      </w:r>
      <w:r>
        <w:rPr>
          <w:rFonts w:hint="default" w:ascii="Times New Roman" w:hAnsi="Times New Roman" w:cs="Times New Roman"/>
          <w:sz w:val="24"/>
          <w:lang w:val="en-US"/>
        </w:rPr>
        <w:t>Variance Inflation Factor (</w:t>
      </w:r>
      <w:r>
        <w:rPr>
          <w:rFonts w:ascii="Times New Roman" w:hAnsi="Times New Roman" w:cs="Times New Roman"/>
          <w:sz w:val="24"/>
        </w:rPr>
        <w:t>VIF</w:t>
      </w:r>
      <w:r>
        <w:rPr>
          <w:rFonts w:hint="default" w:ascii="Times New Roman" w:hAnsi="Times New Roman" w:cs="Times New Roman"/>
          <w:sz w:val="24"/>
          <w:lang w:val="en-US"/>
        </w:rPr>
        <w:t xml:space="preserve">) </w:t>
      </w:r>
      <w:r>
        <w:rPr>
          <w:rFonts w:ascii="Times New Roman" w:hAnsi="Times New Roman" w:cs="Times New Roman"/>
          <w:sz w:val="24"/>
        </w:rPr>
        <w:t>values well below the conventional threshold of 10, with a mean VIF of 1.49. Similarly, the tolerance values are all above 0.1, suggesting that multicollinearity is not a concern in the model. This implies that the explanatory variables are not highly correlated with one another, and the estimated coefficients are reliable and stable.</w:t>
      </w:r>
    </w:p>
    <w:p w14:paraId="032D4095">
      <w:pPr>
        <w:jc w:val="both"/>
        <w:rPr>
          <w:rFonts w:ascii="Times New Roman" w:hAnsi="Times New Roman" w:cs="Times New Roman"/>
          <w:sz w:val="24"/>
        </w:rPr>
      </w:pPr>
      <w:r>
        <w:rPr>
          <w:rFonts w:ascii="Times New Roman" w:hAnsi="Times New Roman" w:cs="Times New Roman"/>
          <w:sz w:val="24"/>
        </w:rPr>
        <w:t xml:space="preserve">The Hausman and Breusch–Pagan Lagrangian Multiplier (LM) tests were conducted to determine the most appropriate estimation technique for the panel data. The Hausman test compares the fixed effects and random effects models, with the null hypothesis indicating that the random effects model is consistent and efficient. The result of the Hausman test produced a chi-square statistic of 4.27 with a probability value of 0.639, which is not statistically significant at the 5% level. This implies that the null hypothesis cannot be rejected, suggesting that the random effects model is preferred to the fixed effects model. However, to further ascertain whether a panel model is required, the LM test was performed to compare the random effects model with pooled Ordinary Least Squares (OLS). The LM test yielded a chi-square statistic of 1.12 with a probability value of 0.289, indicating that the null hypothesis </w:t>
      </w:r>
      <w:r>
        <w:rPr>
          <w:rFonts w:hint="default" w:ascii="Times New Roman" w:hAnsi="Times New Roman" w:cs="Times New Roman"/>
          <w:sz w:val="24"/>
          <w:lang w:val="en-US"/>
        </w:rPr>
        <w:t xml:space="preserve">is </w:t>
      </w:r>
      <w:r>
        <w:rPr>
          <w:rFonts w:ascii="Times New Roman" w:hAnsi="Times New Roman" w:cs="Times New Roman"/>
          <w:sz w:val="24"/>
        </w:rPr>
        <w:t xml:space="preserve">of no panel effect </w:t>
      </w:r>
      <w:r>
        <w:rPr>
          <w:rFonts w:hint="default" w:ascii="Times New Roman" w:hAnsi="Times New Roman" w:cs="Times New Roman"/>
          <w:sz w:val="24"/>
          <w:lang w:val="en-US"/>
        </w:rPr>
        <w:t xml:space="preserve">and </w:t>
      </w:r>
      <w:r>
        <w:rPr>
          <w:rFonts w:ascii="Times New Roman" w:hAnsi="Times New Roman" w:cs="Times New Roman"/>
          <w:sz w:val="24"/>
        </w:rPr>
        <w:t>cannot be rejected. This suggests that there is no significant difference between the panel estimator and pooled OLS. Consequently, the results of both tests support the use of pooled OLS as the most appropriate estimation technique for this study. These results were not presented for brevity.</w:t>
      </w:r>
    </w:p>
    <w:p w14:paraId="0473089D">
      <w:pPr>
        <w:jc w:val="both"/>
        <w:rPr>
          <w:rFonts w:ascii="Times New Roman" w:hAnsi="Times New Roman" w:cs="Times New Roman"/>
          <w:sz w:val="24"/>
        </w:rPr>
      </w:pPr>
      <w:r>
        <w:rPr>
          <w:rFonts w:ascii="Times New Roman" w:hAnsi="Times New Roman" w:cs="Times New Roman"/>
          <w:sz w:val="24"/>
        </w:rPr>
        <w:t>Following the diagnostic tests, Ordinary Least Squares (OLS) regression was employed to examine the effect of managerial shareholding and loan loss provisions on financial distress, as well as the moderating role of loan loss provisions. The results are presented in Table 5.</w:t>
      </w:r>
    </w:p>
    <w:p w14:paraId="5963EE15">
      <w:pPr>
        <w:jc w:val="both"/>
        <w:rPr>
          <w:rFonts w:ascii="Times New Roman" w:hAnsi="Times New Roman" w:cs="Times New Roman"/>
          <w:sz w:val="24"/>
        </w:rPr>
      </w:pPr>
      <w:r>
        <w:rPr>
          <w:rFonts w:ascii="Times New Roman" w:hAnsi="Times New Roman" w:cs="Times New Roman"/>
          <w:sz w:val="24"/>
        </w:rPr>
        <w:t>Table 5: OLS Regression Analysis</w:t>
      </w:r>
    </w:p>
    <w:tbl>
      <w:tblPr>
        <w:tblStyle w:val="3"/>
        <w:tblW w:w="0" w:type="auto"/>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248"/>
        <w:gridCol w:w="1288"/>
        <w:gridCol w:w="1701"/>
        <w:gridCol w:w="1418"/>
        <w:gridCol w:w="948"/>
      </w:tblGrid>
      <w:tr w14:paraId="409331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vAlign w:val="center"/>
          </w:tcPr>
          <w:p w14:paraId="15DF8BC7">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Variables</w:t>
            </w:r>
          </w:p>
        </w:tc>
        <w:tc>
          <w:tcPr>
            <w:tcW w:w="1258" w:type="dxa"/>
            <w:tcBorders>
              <w:top w:val="single" w:color="auto" w:sz="4" w:space="0"/>
              <w:bottom w:val="single" w:color="auto" w:sz="4" w:space="0"/>
            </w:tcBorders>
            <w:vAlign w:val="center"/>
          </w:tcPr>
          <w:p w14:paraId="6ACDD2C1">
            <w:pPr>
              <w:spacing w:after="0" w:line="240" w:lineRule="auto"/>
              <w:jc w:val="righ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Coefficient</w:t>
            </w:r>
          </w:p>
        </w:tc>
        <w:tc>
          <w:tcPr>
            <w:tcW w:w="1671" w:type="dxa"/>
            <w:tcBorders>
              <w:top w:val="single" w:color="auto" w:sz="4" w:space="0"/>
              <w:bottom w:val="single" w:color="auto" w:sz="4" w:space="0"/>
            </w:tcBorders>
            <w:vAlign w:val="center"/>
          </w:tcPr>
          <w:p w14:paraId="5F1C16C0">
            <w:pPr>
              <w:spacing w:after="0" w:line="240" w:lineRule="auto"/>
              <w:jc w:val="righ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Std. Error</w:t>
            </w:r>
          </w:p>
        </w:tc>
        <w:tc>
          <w:tcPr>
            <w:tcW w:w="1388" w:type="dxa"/>
            <w:tcBorders>
              <w:top w:val="single" w:color="auto" w:sz="4" w:space="0"/>
              <w:bottom w:val="single" w:color="auto" w:sz="4" w:space="0"/>
            </w:tcBorders>
            <w:vAlign w:val="center"/>
          </w:tcPr>
          <w:p w14:paraId="3B72546C">
            <w:pPr>
              <w:spacing w:after="0" w:line="240" w:lineRule="auto"/>
              <w:jc w:val="righ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t-Statistic</w:t>
            </w:r>
          </w:p>
        </w:tc>
        <w:tc>
          <w:tcPr>
            <w:tcW w:w="903" w:type="dxa"/>
            <w:tcBorders>
              <w:top w:val="single" w:color="auto" w:sz="4" w:space="0"/>
              <w:bottom w:val="single" w:color="auto" w:sz="4" w:space="0"/>
            </w:tcBorders>
            <w:vAlign w:val="center"/>
          </w:tcPr>
          <w:p w14:paraId="55D84095">
            <w:pPr>
              <w:spacing w:after="0" w:line="240" w:lineRule="auto"/>
              <w:jc w:val="righ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Prob.</w:t>
            </w:r>
          </w:p>
        </w:tc>
      </w:tr>
      <w:tr w14:paraId="7A456C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24739D3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Constant</w:t>
            </w:r>
          </w:p>
        </w:tc>
        <w:tc>
          <w:tcPr>
            <w:tcW w:w="1258" w:type="dxa"/>
            <w:vAlign w:val="center"/>
          </w:tcPr>
          <w:p w14:paraId="69EC574F">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1.284</w:t>
            </w:r>
          </w:p>
        </w:tc>
        <w:tc>
          <w:tcPr>
            <w:tcW w:w="1671" w:type="dxa"/>
            <w:vAlign w:val="center"/>
          </w:tcPr>
          <w:p w14:paraId="4FFF4F86">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0.512</w:t>
            </w:r>
          </w:p>
        </w:tc>
        <w:tc>
          <w:tcPr>
            <w:tcW w:w="1388" w:type="dxa"/>
            <w:vAlign w:val="center"/>
          </w:tcPr>
          <w:p w14:paraId="250655C4">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2.51</w:t>
            </w:r>
          </w:p>
        </w:tc>
        <w:tc>
          <w:tcPr>
            <w:tcW w:w="903" w:type="dxa"/>
            <w:vAlign w:val="center"/>
          </w:tcPr>
          <w:p w14:paraId="46373946">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0.013</w:t>
            </w:r>
          </w:p>
        </w:tc>
      </w:tr>
      <w:tr w14:paraId="7B16A2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4B48234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Managerial Shareholding (MSH)</w:t>
            </w:r>
          </w:p>
        </w:tc>
        <w:tc>
          <w:tcPr>
            <w:tcW w:w="1258" w:type="dxa"/>
            <w:vAlign w:val="center"/>
          </w:tcPr>
          <w:p w14:paraId="0CA5836C">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-0.842</w:t>
            </w:r>
          </w:p>
        </w:tc>
        <w:tc>
          <w:tcPr>
            <w:tcW w:w="1671" w:type="dxa"/>
            <w:vAlign w:val="center"/>
          </w:tcPr>
          <w:p w14:paraId="7EFB1DAB">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0.291</w:t>
            </w:r>
          </w:p>
        </w:tc>
        <w:tc>
          <w:tcPr>
            <w:tcW w:w="1388" w:type="dxa"/>
            <w:vAlign w:val="center"/>
          </w:tcPr>
          <w:p w14:paraId="3E29C31B">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-2.89</w:t>
            </w:r>
          </w:p>
        </w:tc>
        <w:tc>
          <w:tcPr>
            <w:tcW w:w="903" w:type="dxa"/>
            <w:vAlign w:val="center"/>
          </w:tcPr>
          <w:p w14:paraId="53CCF419">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0.005</w:t>
            </w:r>
          </w:p>
        </w:tc>
      </w:tr>
      <w:tr w14:paraId="4E7177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45AB46E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Loan Loss Provisions (LLP)</w:t>
            </w:r>
          </w:p>
        </w:tc>
        <w:tc>
          <w:tcPr>
            <w:tcW w:w="1258" w:type="dxa"/>
            <w:vAlign w:val="center"/>
          </w:tcPr>
          <w:p w14:paraId="4973A12A">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-1.376</w:t>
            </w:r>
          </w:p>
        </w:tc>
        <w:tc>
          <w:tcPr>
            <w:tcW w:w="1671" w:type="dxa"/>
            <w:vAlign w:val="center"/>
          </w:tcPr>
          <w:p w14:paraId="2301087A">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0.458</w:t>
            </w:r>
          </w:p>
        </w:tc>
        <w:tc>
          <w:tcPr>
            <w:tcW w:w="1388" w:type="dxa"/>
            <w:vAlign w:val="center"/>
          </w:tcPr>
          <w:p w14:paraId="0016E367">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-3.01</w:t>
            </w:r>
          </w:p>
        </w:tc>
        <w:tc>
          <w:tcPr>
            <w:tcW w:w="903" w:type="dxa"/>
            <w:vAlign w:val="center"/>
          </w:tcPr>
          <w:p w14:paraId="11B61023">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0.003</w:t>
            </w:r>
          </w:p>
        </w:tc>
      </w:tr>
      <w:tr w14:paraId="700F97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31A12A3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MSH × LLP</w:t>
            </w:r>
          </w:p>
        </w:tc>
        <w:tc>
          <w:tcPr>
            <w:tcW w:w="1258" w:type="dxa"/>
            <w:vAlign w:val="center"/>
          </w:tcPr>
          <w:p w14:paraId="2D8CFA09">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0.965</w:t>
            </w:r>
          </w:p>
        </w:tc>
        <w:tc>
          <w:tcPr>
            <w:tcW w:w="1671" w:type="dxa"/>
            <w:vAlign w:val="center"/>
          </w:tcPr>
          <w:p w14:paraId="7BE9F00B">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0.372</w:t>
            </w:r>
          </w:p>
        </w:tc>
        <w:tc>
          <w:tcPr>
            <w:tcW w:w="1388" w:type="dxa"/>
            <w:vAlign w:val="center"/>
          </w:tcPr>
          <w:p w14:paraId="64F757D8">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2.59</w:t>
            </w:r>
          </w:p>
        </w:tc>
        <w:tc>
          <w:tcPr>
            <w:tcW w:w="903" w:type="dxa"/>
            <w:vAlign w:val="center"/>
          </w:tcPr>
          <w:p w14:paraId="0624B96A">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0.011</w:t>
            </w:r>
          </w:p>
        </w:tc>
      </w:tr>
      <w:tr w14:paraId="46F0F2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5FF3FFE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Firm Size</w:t>
            </w:r>
          </w:p>
        </w:tc>
        <w:tc>
          <w:tcPr>
            <w:tcW w:w="1258" w:type="dxa"/>
            <w:vAlign w:val="center"/>
          </w:tcPr>
          <w:p w14:paraId="584AC893">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0.214</w:t>
            </w:r>
          </w:p>
        </w:tc>
        <w:tc>
          <w:tcPr>
            <w:tcW w:w="1671" w:type="dxa"/>
            <w:vAlign w:val="center"/>
          </w:tcPr>
          <w:p w14:paraId="088921B4">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0.076</w:t>
            </w:r>
          </w:p>
        </w:tc>
        <w:tc>
          <w:tcPr>
            <w:tcW w:w="1388" w:type="dxa"/>
            <w:vAlign w:val="center"/>
          </w:tcPr>
          <w:p w14:paraId="1F214378">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2.82</w:t>
            </w:r>
          </w:p>
        </w:tc>
        <w:tc>
          <w:tcPr>
            <w:tcW w:w="903" w:type="dxa"/>
            <w:vAlign w:val="center"/>
          </w:tcPr>
          <w:p w14:paraId="3843835B">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0.006</w:t>
            </w:r>
          </w:p>
        </w:tc>
      </w:tr>
      <w:tr w14:paraId="38F9CA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7B3336A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Leverage</w:t>
            </w:r>
          </w:p>
        </w:tc>
        <w:tc>
          <w:tcPr>
            <w:tcW w:w="1258" w:type="dxa"/>
            <w:vAlign w:val="center"/>
          </w:tcPr>
          <w:p w14:paraId="658AB955">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-1.158</w:t>
            </w:r>
          </w:p>
        </w:tc>
        <w:tc>
          <w:tcPr>
            <w:tcW w:w="1671" w:type="dxa"/>
            <w:vAlign w:val="center"/>
          </w:tcPr>
          <w:p w14:paraId="49FE5449">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0.439</w:t>
            </w:r>
          </w:p>
        </w:tc>
        <w:tc>
          <w:tcPr>
            <w:tcW w:w="1388" w:type="dxa"/>
            <w:vAlign w:val="center"/>
          </w:tcPr>
          <w:p w14:paraId="6149CCAC">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-2.64</w:t>
            </w:r>
          </w:p>
        </w:tc>
        <w:tc>
          <w:tcPr>
            <w:tcW w:w="903" w:type="dxa"/>
            <w:vAlign w:val="center"/>
          </w:tcPr>
          <w:p w14:paraId="68FB3607">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0.009</w:t>
            </w:r>
          </w:p>
        </w:tc>
      </w:tr>
      <w:tr w14:paraId="1847D9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51F0E61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Profitability (ROA)</w:t>
            </w:r>
          </w:p>
        </w:tc>
        <w:tc>
          <w:tcPr>
            <w:tcW w:w="1258" w:type="dxa"/>
            <w:vAlign w:val="center"/>
          </w:tcPr>
          <w:p w14:paraId="1C131B0A">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3.472</w:t>
            </w:r>
          </w:p>
        </w:tc>
        <w:tc>
          <w:tcPr>
            <w:tcW w:w="1671" w:type="dxa"/>
            <w:vAlign w:val="center"/>
          </w:tcPr>
          <w:p w14:paraId="7D0A271F">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1.021</w:t>
            </w:r>
          </w:p>
        </w:tc>
        <w:tc>
          <w:tcPr>
            <w:tcW w:w="1388" w:type="dxa"/>
            <w:vAlign w:val="center"/>
          </w:tcPr>
          <w:p w14:paraId="5F561ADD">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3.40</w:t>
            </w:r>
          </w:p>
        </w:tc>
        <w:tc>
          <w:tcPr>
            <w:tcW w:w="903" w:type="dxa"/>
            <w:vAlign w:val="center"/>
          </w:tcPr>
          <w:p w14:paraId="1EA4644A">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0.001</w:t>
            </w:r>
          </w:p>
        </w:tc>
      </w:tr>
      <w:tr w14:paraId="6B64EA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5D90D8B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R-squared</w:t>
            </w:r>
          </w:p>
        </w:tc>
        <w:tc>
          <w:tcPr>
            <w:tcW w:w="1258" w:type="dxa"/>
            <w:vAlign w:val="center"/>
          </w:tcPr>
          <w:p w14:paraId="0A4FD0E3">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bCs/>
                <w:sz w:val="24"/>
                <w:szCs w:val="24"/>
              </w:rPr>
              <w:t>0.621</w:t>
            </w:r>
          </w:p>
        </w:tc>
        <w:tc>
          <w:tcPr>
            <w:tcW w:w="1671" w:type="dxa"/>
            <w:vAlign w:val="center"/>
          </w:tcPr>
          <w:p w14:paraId="44E25B0A">
            <w:pPr>
              <w:spacing w:after="0" w:line="240" w:lineRule="auto"/>
              <w:jc w:val="right"/>
              <w:rPr>
                <w:rFonts w:ascii="Times New Roman" w:hAnsi="Times New Roman" w:eastAsia="Times New Roman" w:cs="Times New Roman"/>
                <w:sz w:val="24"/>
                <w:szCs w:val="24"/>
              </w:rPr>
            </w:pPr>
          </w:p>
        </w:tc>
        <w:tc>
          <w:tcPr>
            <w:tcW w:w="1388" w:type="dxa"/>
            <w:vAlign w:val="center"/>
          </w:tcPr>
          <w:p w14:paraId="1266AD65">
            <w:pPr>
              <w:spacing w:after="0" w:line="240" w:lineRule="auto"/>
              <w:jc w:val="right"/>
              <w:rPr>
                <w:rFonts w:ascii="Times New Roman" w:hAnsi="Times New Roman" w:eastAsia="Times New Roman" w:cs="Times New Roman"/>
                <w:sz w:val="20"/>
                <w:szCs w:val="20"/>
              </w:rPr>
            </w:pPr>
          </w:p>
        </w:tc>
        <w:tc>
          <w:tcPr>
            <w:tcW w:w="903" w:type="dxa"/>
            <w:vAlign w:val="center"/>
          </w:tcPr>
          <w:p w14:paraId="7007B721">
            <w:pPr>
              <w:spacing w:after="0" w:line="240" w:lineRule="auto"/>
              <w:jc w:val="right"/>
              <w:rPr>
                <w:rFonts w:ascii="Times New Roman" w:hAnsi="Times New Roman" w:eastAsia="Times New Roman" w:cs="Times New Roman"/>
                <w:sz w:val="20"/>
                <w:szCs w:val="20"/>
              </w:rPr>
            </w:pPr>
          </w:p>
        </w:tc>
      </w:tr>
      <w:tr w14:paraId="32AC49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7CE6077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Adj. R-squared</w:t>
            </w:r>
          </w:p>
        </w:tc>
        <w:tc>
          <w:tcPr>
            <w:tcW w:w="1258" w:type="dxa"/>
            <w:vAlign w:val="center"/>
          </w:tcPr>
          <w:p w14:paraId="5973F224">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bCs/>
                <w:sz w:val="24"/>
                <w:szCs w:val="24"/>
              </w:rPr>
              <w:t>0.593</w:t>
            </w:r>
          </w:p>
        </w:tc>
        <w:tc>
          <w:tcPr>
            <w:tcW w:w="1671" w:type="dxa"/>
            <w:vAlign w:val="center"/>
          </w:tcPr>
          <w:p w14:paraId="24CB2681">
            <w:pPr>
              <w:spacing w:after="0" w:line="240" w:lineRule="auto"/>
              <w:jc w:val="right"/>
              <w:rPr>
                <w:rFonts w:ascii="Times New Roman" w:hAnsi="Times New Roman" w:eastAsia="Times New Roman" w:cs="Times New Roman"/>
                <w:sz w:val="24"/>
                <w:szCs w:val="24"/>
              </w:rPr>
            </w:pPr>
          </w:p>
        </w:tc>
        <w:tc>
          <w:tcPr>
            <w:tcW w:w="1388" w:type="dxa"/>
            <w:vAlign w:val="center"/>
          </w:tcPr>
          <w:p w14:paraId="6F2E8500">
            <w:pPr>
              <w:spacing w:after="0" w:line="240" w:lineRule="auto"/>
              <w:jc w:val="right"/>
              <w:rPr>
                <w:rFonts w:ascii="Times New Roman" w:hAnsi="Times New Roman" w:eastAsia="Times New Roman" w:cs="Times New Roman"/>
                <w:sz w:val="20"/>
                <w:szCs w:val="20"/>
              </w:rPr>
            </w:pPr>
          </w:p>
        </w:tc>
        <w:tc>
          <w:tcPr>
            <w:tcW w:w="903" w:type="dxa"/>
            <w:vAlign w:val="center"/>
          </w:tcPr>
          <w:p w14:paraId="224EADCC">
            <w:pPr>
              <w:spacing w:after="0" w:line="240" w:lineRule="auto"/>
              <w:jc w:val="right"/>
              <w:rPr>
                <w:rFonts w:ascii="Times New Roman" w:hAnsi="Times New Roman" w:eastAsia="Times New Roman" w:cs="Times New Roman"/>
                <w:sz w:val="20"/>
                <w:szCs w:val="20"/>
              </w:rPr>
            </w:pPr>
          </w:p>
        </w:tc>
      </w:tr>
      <w:tr w14:paraId="131AC8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01EC750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F-Statistic</w:t>
            </w:r>
          </w:p>
        </w:tc>
        <w:tc>
          <w:tcPr>
            <w:tcW w:w="1258" w:type="dxa"/>
            <w:vAlign w:val="center"/>
          </w:tcPr>
          <w:p w14:paraId="6BB27B82">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bCs/>
                <w:sz w:val="24"/>
                <w:szCs w:val="24"/>
              </w:rPr>
              <w:t>21.47</w:t>
            </w:r>
          </w:p>
        </w:tc>
        <w:tc>
          <w:tcPr>
            <w:tcW w:w="1671" w:type="dxa"/>
            <w:vAlign w:val="center"/>
          </w:tcPr>
          <w:p w14:paraId="72026379">
            <w:pPr>
              <w:spacing w:after="0" w:line="240" w:lineRule="auto"/>
              <w:jc w:val="right"/>
              <w:rPr>
                <w:rFonts w:ascii="Times New Roman" w:hAnsi="Times New Roman" w:eastAsia="Times New Roman" w:cs="Times New Roman"/>
                <w:sz w:val="24"/>
                <w:szCs w:val="24"/>
              </w:rPr>
            </w:pPr>
          </w:p>
        </w:tc>
        <w:tc>
          <w:tcPr>
            <w:tcW w:w="1388" w:type="dxa"/>
            <w:vAlign w:val="center"/>
          </w:tcPr>
          <w:p w14:paraId="73420209">
            <w:pPr>
              <w:spacing w:after="0" w:line="240" w:lineRule="auto"/>
              <w:jc w:val="right"/>
              <w:rPr>
                <w:rFonts w:ascii="Times New Roman" w:hAnsi="Times New Roman" w:eastAsia="Times New Roman" w:cs="Times New Roman"/>
                <w:sz w:val="20"/>
                <w:szCs w:val="20"/>
              </w:rPr>
            </w:pPr>
          </w:p>
        </w:tc>
        <w:tc>
          <w:tcPr>
            <w:tcW w:w="903" w:type="dxa"/>
            <w:vAlign w:val="center"/>
          </w:tcPr>
          <w:p w14:paraId="6B11F8D8">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0.000</w:t>
            </w:r>
          </w:p>
        </w:tc>
      </w:tr>
    </w:tbl>
    <w:p w14:paraId="4A96095F">
      <w:pPr>
        <w:jc w:val="both"/>
        <w:rPr>
          <w:rFonts w:ascii="Times New Roman" w:hAnsi="Times New Roman" w:cs="Times New Roman"/>
          <w:sz w:val="24"/>
        </w:rPr>
      </w:pPr>
      <w:r>
        <w:rPr>
          <w:rFonts w:ascii="Times New Roman" w:hAnsi="Times New Roman" w:cs="Times New Roman"/>
          <w:sz w:val="24"/>
        </w:rPr>
        <w:t>Source: Author’s Computation (2026)</w:t>
      </w:r>
    </w:p>
    <w:p w14:paraId="08A5FFB5">
      <w:pPr>
        <w:jc w:val="both"/>
        <w:rPr>
          <w:rFonts w:ascii="Times New Roman" w:hAnsi="Times New Roman" w:cs="Times New Roman"/>
          <w:sz w:val="24"/>
        </w:rPr>
      </w:pPr>
      <w:r>
        <w:rPr>
          <w:rFonts w:ascii="Times New Roman" w:hAnsi="Times New Roman" w:cs="Times New Roman"/>
          <w:sz w:val="24"/>
        </w:rPr>
        <w:t>The regression results indicate that the model is statistically significant, as evidenced by the F-statistic (21.47) with a probability value of 0.000. The adjusted R² of 0.593 suggests that approximately 59.3% of the variation in financial distress is explained by the independent and control variables included in the model.</w:t>
      </w:r>
    </w:p>
    <w:p w14:paraId="0D35922D">
      <w:pPr>
        <w:jc w:val="both"/>
        <w:rPr>
          <w:rFonts w:ascii="Times New Roman" w:hAnsi="Times New Roman" w:cs="Times New Roman"/>
          <w:sz w:val="24"/>
        </w:rPr>
      </w:pPr>
      <w:r>
        <w:rPr>
          <w:rFonts w:ascii="Times New Roman" w:hAnsi="Times New Roman" w:cs="Times New Roman"/>
          <w:sz w:val="24"/>
        </w:rPr>
        <w:t>Managerial shareholding (MSH) has a negative and statistically significant coefficient (β = -0.842, p &lt; 0.01), indicating that higher managerial ownership is associated with a decrease in the Altman Z-score, and thus an increased likelihood of financial distress. This finding suggests that managerial entrenchment may dominate the alignment effect in the Nigerian banking sector. Therefore, H</w:t>
      </w:r>
      <w:r>
        <w:rPr>
          <w:rFonts w:ascii="Times New Roman" w:hAnsi="Times New Roman" w:cs="Times New Roman"/>
          <w:sz w:val="24"/>
          <w:vertAlign w:val="subscript"/>
        </w:rPr>
        <w:t>01</w:t>
      </w:r>
      <w:r>
        <w:rPr>
          <w:rFonts w:ascii="Times New Roman" w:hAnsi="Times New Roman" w:cs="Times New Roman"/>
          <w:sz w:val="24"/>
        </w:rPr>
        <w:t xml:space="preserve"> is rejected and that managerial shareholding significantly affects financial distress.</w:t>
      </w:r>
      <w:r>
        <w:t xml:space="preserve"> </w:t>
      </w:r>
      <w:r>
        <w:rPr>
          <w:rFonts w:ascii="Times New Roman" w:hAnsi="Times New Roman" w:cs="Times New Roman"/>
          <w:sz w:val="24"/>
        </w:rPr>
        <w:t xml:space="preserve">The findings of this study provide important insights into the relationship between managerial shareholding, loan loss provisions, and financial distress in Nigerian </w:t>
      </w:r>
      <w:r>
        <w:rPr>
          <w:rFonts w:hint="default" w:ascii="Times New Roman" w:hAnsi="Times New Roman" w:cs="Times New Roman"/>
          <w:sz w:val="24"/>
          <w:lang w:val="en-US"/>
        </w:rPr>
        <w:t xml:space="preserve">listed </w:t>
      </w:r>
      <w:r>
        <w:rPr>
          <w:rFonts w:ascii="Times New Roman" w:hAnsi="Times New Roman" w:cs="Times New Roman"/>
          <w:sz w:val="24"/>
        </w:rPr>
        <w:t xml:space="preserve">deposit money banks. The negative and significant effect of managerial shareholding on financial distress suggests that higher insider ownership is associated with increased financial vulnerability. This finding supports the entrenchment argument of agency theory, which posits that while managerial ownership may initially align interests, excessive ownership can reduce monitoring and encourage opportunistic behavior (Jensen &amp; Meckling, 1976). In the context of Nigerian banks, where governance structures may be relatively weak, managers with substantial ownership stakes may have the incentive and ability to delay the recognition of financial distress. This result is consistent with empirical studies such as </w:t>
      </w:r>
      <w:r>
        <w:rPr>
          <w:rFonts w:hint="default" w:ascii="Times New Roman" w:hAnsi="Times New Roman" w:cs="Times New Roman"/>
          <w:sz w:val="24"/>
          <w:lang w:val="en-US"/>
        </w:rPr>
        <w:t>(</w:t>
      </w:r>
      <w:r>
        <w:rPr>
          <w:rFonts w:ascii="Times New Roman" w:hAnsi="Times New Roman" w:cs="Times New Roman"/>
          <w:sz w:val="24"/>
        </w:rPr>
        <w:t xml:space="preserve">Guizani </w:t>
      </w:r>
      <w:r>
        <w:rPr>
          <w:rFonts w:hint="default" w:ascii="Times New Roman" w:hAnsi="Times New Roman" w:cs="Times New Roman"/>
          <w:sz w:val="24"/>
          <w:lang w:val="en-US"/>
        </w:rPr>
        <w:t>&amp;</w:t>
      </w:r>
      <w:r>
        <w:rPr>
          <w:rFonts w:ascii="Times New Roman" w:hAnsi="Times New Roman" w:cs="Times New Roman"/>
          <w:sz w:val="24"/>
        </w:rPr>
        <w:t xml:space="preserve"> Abdalkrim</w:t>
      </w:r>
      <w:r>
        <w:rPr>
          <w:rFonts w:hint="default" w:ascii="Times New Roman" w:hAnsi="Times New Roman" w:cs="Times New Roman"/>
          <w:sz w:val="24"/>
          <w:lang w:val="en-US"/>
        </w:rPr>
        <w:t xml:space="preserve">, </w:t>
      </w:r>
      <w:r>
        <w:rPr>
          <w:rFonts w:ascii="Times New Roman" w:hAnsi="Times New Roman" w:cs="Times New Roman"/>
          <w:sz w:val="24"/>
        </w:rPr>
        <w:t>2023</w:t>
      </w:r>
      <w:r>
        <w:rPr>
          <w:rFonts w:hint="default" w:ascii="Times New Roman" w:hAnsi="Times New Roman" w:cs="Times New Roman"/>
          <w:sz w:val="24"/>
          <w:lang w:val="en-US"/>
        </w:rPr>
        <w:t>;</w:t>
      </w:r>
      <w:r>
        <w:rPr>
          <w:rFonts w:ascii="Times New Roman" w:hAnsi="Times New Roman" w:cs="Times New Roman"/>
          <w:sz w:val="24"/>
        </w:rPr>
        <w:t xml:space="preserve"> Metwally et al.</w:t>
      </w:r>
      <w:r>
        <w:rPr>
          <w:rFonts w:hint="default" w:ascii="Times New Roman" w:hAnsi="Times New Roman" w:cs="Times New Roman"/>
          <w:sz w:val="24"/>
          <w:lang w:val="en-US"/>
        </w:rPr>
        <w:t>,</w:t>
      </w:r>
      <w:r>
        <w:rPr>
          <w:rFonts w:ascii="Times New Roman" w:hAnsi="Times New Roman" w:cs="Times New Roman"/>
          <w:sz w:val="24"/>
        </w:rPr>
        <w:t xml:space="preserve"> 2025), which report</w:t>
      </w:r>
      <w:r>
        <w:rPr>
          <w:rFonts w:hint="default" w:ascii="Times New Roman" w:hAnsi="Times New Roman" w:cs="Times New Roman"/>
          <w:sz w:val="24"/>
          <w:lang w:val="en-US"/>
        </w:rPr>
        <w:t>ed</w:t>
      </w:r>
      <w:r>
        <w:rPr>
          <w:rFonts w:ascii="Times New Roman" w:hAnsi="Times New Roman" w:cs="Times New Roman"/>
          <w:sz w:val="24"/>
        </w:rPr>
        <w:t xml:space="preserve"> that higher managerial control weakens oversight and increases the likelihood of concealing financial </w:t>
      </w:r>
      <w:r>
        <w:rPr>
          <w:rFonts w:hint="default" w:ascii="Times New Roman" w:hAnsi="Times New Roman" w:cs="Times New Roman"/>
          <w:sz w:val="24"/>
          <w:lang w:val="en-US"/>
        </w:rPr>
        <w:t>challenges</w:t>
      </w:r>
      <w:r>
        <w:rPr>
          <w:rFonts w:ascii="Times New Roman" w:hAnsi="Times New Roman" w:cs="Times New Roman"/>
          <w:sz w:val="24"/>
        </w:rPr>
        <w:t>.</w:t>
      </w:r>
    </w:p>
    <w:p w14:paraId="2B175FA1">
      <w:pPr>
        <w:jc w:val="both"/>
        <w:rPr>
          <w:rFonts w:ascii="Times New Roman" w:hAnsi="Times New Roman" w:cs="Times New Roman"/>
          <w:sz w:val="24"/>
        </w:rPr>
      </w:pPr>
      <w:r>
        <w:rPr>
          <w:rFonts w:ascii="Times New Roman" w:hAnsi="Times New Roman" w:cs="Times New Roman"/>
          <w:sz w:val="24"/>
        </w:rPr>
        <w:t>Loan loss provisions (LLP) also exhibit a negative and significant relationship with financial distress (β = -1.376, p &lt; 0.01), implying that higher provisioning is associated with lower financial health, possibly reflecting increased exposure to credit risk. Thus, H</w:t>
      </w:r>
      <w:r>
        <w:rPr>
          <w:rFonts w:ascii="Times New Roman" w:hAnsi="Times New Roman" w:cs="Times New Roman"/>
          <w:sz w:val="24"/>
          <w:vertAlign w:val="subscript"/>
        </w:rPr>
        <w:t>02</w:t>
      </w:r>
      <w:r>
        <w:rPr>
          <w:rFonts w:ascii="Times New Roman" w:hAnsi="Times New Roman" w:cs="Times New Roman"/>
          <w:sz w:val="24"/>
        </w:rPr>
        <w:t xml:space="preserve"> is rejected, implying that loan loss provisions significantly affect financial distress. The significant negative effect of loan loss provisions on financial distress indicates that higher provisioning is associated with lower financial health, reflecting increased exposure to credit risk. This finding aligns with the view that LLPs are closely linked to asset quality and serve as indicators of underlying financial conditions. However, it also highlights the dual nature of LLPs emphasized in the literature. While LLPs are intended to enhance financial stability by absorbing expected losses, they can also be used opportunistically for income smoothing and regulatory compliance (Ozili, 2024; Biswas et al., 2024) . In line with stakeholder theory, this result suggests that inadequate or strategically manipulated provisioning practices may undermine transparency and increase the risk of financial distress, thereby affecting not only shareholders but also depositors and regulators.</w:t>
      </w:r>
    </w:p>
    <w:p w14:paraId="3C37550F">
      <w:pPr>
        <w:jc w:val="both"/>
        <w:rPr>
          <w:rFonts w:ascii="Times New Roman" w:hAnsi="Times New Roman" w:cs="Times New Roman"/>
          <w:sz w:val="24"/>
        </w:rPr>
      </w:pPr>
      <w:r>
        <w:rPr>
          <w:rFonts w:ascii="Times New Roman" w:hAnsi="Times New Roman" w:cs="Times New Roman"/>
          <w:sz w:val="24"/>
        </w:rPr>
        <w:t>The interaction term (MSH × LLP) is positive and statistically significant (β = 0.965, p &lt; 0.05), indicating that loan loss provisions significantly moderate the relationship between managerial shareholding and financial distress. Specifically, the positive coefficient suggests that the adverse effect of managerial shareholding on financial distress is weakened at higher levels of provisioning. This implies that prudent provisioning may mitigate the negative impact of managerial entrenchment on financial stability. Therefore, H</w:t>
      </w:r>
      <w:r>
        <w:rPr>
          <w:rFonts w:ascii="Times New Roman" w:hAnsi="Times New Roman" w:cs="Times New Roman"/>
          <w:sz w:val="24"/>
          <w:vertAlign w:val="subscript"/>
        </w:rPr>
        <w:t>03</w:t>
      </w:r>
      <w:r>
        <w:rPr>
          <w:rFonts w:ascii="Times New Roman" w:hAnsi="Times New Roman" w:cs="Times New Roman"/>
          <w:sz w:val="24"/>
        </w:rPr>
        <w:t xml:space="preserve"> is rejected. Loan loss provisions significantly moderate the relationship between managerial shareholding and financial distress.</w:t>
      </w:r>
    </w:p>
    <w:p w14:paraId="49664F53">
      <w:pPr>
        <w:jc w:val="both"/>
        <w:rPr>
          <w:rFonts w:ascii="Times New Roman" w:hAnsi="Times New Roman" w:cs="Times New Roman"/>
          <w:sz w:val="24"/>
        </w:rPr>
      </w:pPr>
      <w:r>
        <w:rPr>
          <w:rFonts w:ascii="Times New Roman" w:hAnsi="Times New Roman" w:cs="Times New Roman"/>
          <w:sz w:val="24"/>
        </w:rPr>
        <w:t xml:space="preserve">The moderating effect of loan loss provisions provides deeper insight into the governance–distress relationship. The positive and significant interaction between managerial shareholding and LLPs indicates that provisioning weakens the adverse effect of managerial ownership on financial distress. This suggests that when banks maintain higher levels of provisions, the negative consequences of managerial entrenchment are mitigated. From an agency perspective, this implies that LLPs can serve as a monitoring or disciplining mechanism that constrains opportunistic behavior. This finding is consistent with </w:t>
      </w:r>
      <w:r>
        <w:rPr>
          <w:rFonts w:hint="default" w:ascii="Times New Roman" w:hAnsi="Times New Roman" w:cs="Times New Roman"/>
          <w:sz w:val="24"/>
          <w:lang w:val="en-US"/>
        </w:rPr>
        <w:t>(</w:t>
      </w:r>
      <w:r>
        <w:rPr>
          <w:rFonts w:ascii="Times New Roman" w:hAnsi="Times New Roman" w:cs="Times New Roman"/>
          <w:sz w:val="24"/>
        </w:rPr>
        <w:t>Ozili</w:t>
      </w:r>
      <w:r>
        <w:rPr>
          <w:rFonts w:hint="default" w:ascii="Times New Roman" w:hAnsi="Times New Roman" w:cs="Times New Roman"/>
          <w:sz w:val="24"/>
          <w:lang w:val="en-US"/>
        </w:rPr>
        <w:t xml:space="preserve">, </w:t>
      </w:r>
      <w:r>
        <w:rPr>
          <w:rFonts w:ascii="Times New Roman" w:hAnsi="Times New Roman" w:cs="Times New Roman"/>
          <w:sz w:val="24"/>
        </w:rPr>
        <w:t>2024), who argue</w:t>
      </w:r>
      <w:r>
        <w:rPr>
          <w:rFonts w:hint="default" w:ascii="Times New Roman" w:hAnsi="Times New Roman" w:cs="Times New Roman"/>
          <w:sz w:val="24"/>
          <w:lang w:val="en-US"/>
        </w:rPr>
        <w:t>d</w:t>
      </w:r>
      <w:r>
        <w:rPr>
          <w:rFonts w:ascii="Times New Roman" w:hAnsi="Times New Roman" w:cs="Times New Roman"/>
          <w:sz w:val="24"/>
        </w:rPr>
        <w:t xml:space="preserve"> that provisioning practices can reflect managerial incentives and influence financial outcomes. It also aligns with </w:t>
      </w:r>
      <w:r>
        <w:rPr>
          <w:rFonts w:hint="default" w:ascii="Times New Roman" w:hAnsi="Times New Roman" w:cs="Times New Roman"/>
          <w:sz w:val="24"/>
          <w:lang w:val="en-US"/>
        </w:rPr>
        <w:t>(</w:t>
      </w:r>
      <w:r>
        <w:rPr>
          <w:rFonts w:ascii="Times New Roman" w:hAnsi="Times New Roman" w:cs="Times New Roman"/>
          <w:sz w:val="24"/>
        </w:rPr>
        <w:t>Shan et al.</w:t>
      </w:r>
      <w:r>
        <w:rPr>
          <w:rFonts w:hint="default" w:ascii="Times New Roman" w:hAnsi="Times New Roman" w:cs="Times New Roman"/>
          <w:sz w:val="24"/>
          <w:lang w:val="en-US"/>
        </w:rPr>
        <w:t xml:space="preserve">, </w:t>
      </w:r>
      <w:r>
        <w:rPr>
          <w:rFonts w:ascii="Times New Roman" w:hAnsi="Times New Roman" w:cs="Times New Roman"/>
          <w:sz w:val="24"/>
        </w:rPr>
        <w:t>2024), who emphasize</w:t>
      </w:r>
      <w:r>
        <w:rPr>
          <w:rFonts w:hint="default" w:ascii="Times New Roman" w:hAnsi="Times New Roman" w:cs="Times New Roman"/>
          <w:sz w:val="24"/>
          <w:lang w:val="en-US"/>
        </w:rPr>
        <w:t>d</w:t>
      </w:r>
      <w:r>
        <w:rPr>
          <w:rFonts w:ascii="Times New Roman" w:hAnsi="Times New Roman" w:cs="Times New Roman"/>
          <w:sz w:val="24"/>
        </w:rPr>
        <w:t xml:space="preserve"> that governance mechanisms interact with financial reporting practices in shaping risk outcomes</w:t>
      </w:r>
    </w:p>
    <w:p w14:paraId="6D65022F">
      <w:pPr>
        <w:jc w:val="both"/>
        <w:rPr>
          <w:rFonts w:ascii="Times New Roman" w:hAnsi="Times New Roman" w:cs="Times New Roman"/>
          <w:sz w:val="24"/>
        </w:rPr>
      </w:pPr>
      <w:r>
        <w:rPr>
          <w:rFonts w:ascii="Times New Roman" w:hAnsi="Times New Roman" w:cs="Times New Roman"/>
          <w:sz w:val="24"/>
        </w:rPr>
        <w:t>Among the control variables, firm size has a positive and significant effect on financial distress (β = 0.214, p &lt; 0.01), indicating that larger banks are more financially stable. Leverage shows a negative and significant relationship (β = -1.158, p &lt; 0.01), suggesting that higher debt levels increase the likelihood of distress. Profitability (ROA) has a positive and significant coefficient (β = 3.472, p &lt; 0.01), indicating that more profitable banks are less likely to experience financial distress. These findings are consistent with prior empirical studies, which suggest that larger and more profitable banks are better positioned to absorb shocks and maintain financial stability, whereas highly leveraged banks face greater risk of distress (Abdulkadir et al., 2025; Shan et al., 2024). This reinforces the importance of firm-specific characteristics in explaining financial distress alongside governance and accounting variables.</w:t>
      </w:r>
    </w:p>
    <w:p w14:paraId="61321217">
      <w:pPr>
        <w:jc w:val="both"/>
        <w:rPr>
          <w:rFonts w:ascii="Times New Roman" w:hAnsi="Times New Roman" w:cs="Times New Roman"/>
          <w:b/>
          <w:sz w:val="24"/>
        </w:rPr>
      </w:pPr>
      <w:r>
        <w:rPr>
          <w:rFonts w:ascii="Times New Roman" w:hAnsi="Times New Roman" w:cs="Times New Roman"/>
          <w:b/>
          <w:sz w:val="24"/>
        </w:rPr>
        <w:t>Conclusions and Recommendations</w:t>
      </w:r>
    </w:p>
    <w:p w14:paraId="11300201">
      <w:pPr>
        <w:jc w:val="both"/>
        <w:rPr>
          <w:rFonts w:ascii="Times New Roman" w:hAnsi="Times New Roman" w:cs="Times New Roman"/>
          <w:sz w:val="24"/>
        </w:rPr>
      </w:pPr>
      <w:r>
        <w:rPr>
          <w:rFonts w:ascii="Times New Roman" w:hAnsi="Times New Roman" w:cs="Times New Roman"/>
          <w:sz w:val="24"/>
        </w:rPr>
        <w:t xml:space="preserve">This study examined the effect of managerial shareholding on the likelihood of financial distress in Nigerian </w:t>
      </w:r>
      <w:r>
        <w:rPr>
          <w:rFonts w:hint="default" w:ascii="Times New Roman" w:hAnsi="Times New Roman" w:cs="Times New Roman"/>
          <w:sz w:val="24"/>
          <w:lang w:val="en-US"/>
        </w:rPr>
        <w:t xml:space="preserve">listed </w:t>
      </w:r>
      <w:r>
        <w:rPr>
          <w:rFonts w:ascii="Times New Roman" w:hAnsi="Times New Roman" w:cs="Times New Roman"/>
          <w:sz w:val="24"/>
        </w:rPr>
        <w:t>deposit money banks, with a specific focus on the role of loan loss provisions. The findings reveal that managerial shareholding significantly influences financial distress, with evidence suggesting that higher insider ownership may exacerbate financial vulnerability due to entrenchment effects. Loan loss provisions were also found to have a significant effect on financial distress, reflecting their dual role as both a risk management tool and a mechanism for managerial discretion. Importantly, the study established that loan loss provisions significantly moderate the relationship between managerial shareholding and financial distress, indicating that prudent provisioning can mitigate the adverse effects of managerial dominance. Based on these findings, the study</w:t>
      </w:r>
      <w:r>
        <w:rPr>
          <w:rFonts w:hint="default" w:ascii="Times New Roman" w:hAnsi="Times New Roman" w:cs="Times New Roman"/>
          <w:sz w:val="24"/>
          <w:lang w:val="en-US"/>
        </w:rPr>
        <w:t>’s recommendations are as</w:t>
      </w:r>
      <w:r>
        <w:rPr>
          <w:rFonts w:ascii="Times New Roman" w:hAnsi="Times New Roman" w:cs="Times New Roman"/>
          <w:sz w:val="24"/>
        </w:rPr>
        <w:t xml:space="preserve"> follows:</w:t>
      </w:r>
    </w:p>
    <w:p w14:paraId="77B448CA">
      <w:pPr>
        <w:pStyle w:val="10"/>
        <w:numPr>
          <w:ilvl w:val="0"/>
          <w:numId w:val="1"/>
        </w:numPr>
        <w:jc w:val="both"/>
        <w:rPr>
          <w:rFonts w:ascii="Times New Roman" w:hAnsi="Times New Roman" w:cs="Times New Roman"/>
          <w:sz w:val="24"/>
        </w:rPr>
      </w:pPr>
      <w:r>
        <w:rPr>
          <w:rFonts w:ascii="Times New Roman" w:hAnsi="Times New Roman" w:cs="Times New Roman"/>
          <w:sz w:val="24"/>
        </w:rPr>
        <w:t>Regulators such as the Central Bank of Nigeria (CBN) and the Financial Reporting Council of Nigeria (FRCN) should strengthen oversight on managerial ownership structures in banks by introducing clear thresholds and enhanced disclosure requirements. This will help prevent excessive managerial control that may lead to entrenchment and opportunistic behavior, thereby reducing the likelihood of financial distress.</w:t>
      </w:r>
    </w:p>
    <w:p w14:paraId="0AD9C482">
      <w:pPr>
        <w:pStyle w:val="10"/>
        <w:numPr>
          <w:ilvl w:val="0"/>
          <w:numId w:val="1"/>
        </w:numPr>
        <w:jc w:val="both"/>
        <w:rPr>
          <w:rFonts w:ascii="Times New Roman" w:hAnsi="Times New Roman" w:cs="Times New Roman"/>
          <w:sz w:val="24"/>
        </w:rPr>
      </w:pPr>
      <w:r>
        <w:rPr>
          <w:rFonts w:ascii="Times New Roman" w:hAnsi="Times New Roman" w:cs="Times New Roman"/>
          <w:sz w:val="24"/>
        </w:rPr>
        <w:t>There is a need to enforce stricter guidelines on loan loss provisioning to minimize managerial discretion and earnings manipulation. Regulators should ensure full compliance with IFRS 9 and enhance monitoring mechanisms to promote timely and adequate recognition of credit losses, thereby improving transparency and the reliability of financial statements.</w:t>
      </w:r>
    </w:p>
    <w:p w14:paraId="21B0D3FF">
      <w:pPr>
        <w:pStyle w:val="10"/>
        <w:numPr>
          <w:ilvl w:val="0"/>
          <w:numId w:val="1"/>
        </w:numPr>
        <w:jc w:val="both"/>
        <w:rPr>
          <w:rFonts w:ascii="Times New Roman" w:hAnsi="Times New Roman" w:cs="Times New Roman"/>
          <w:sz w:val="24"/>
        </w:rPr>
      </w:pPr>
      <w:r>
        <w:rPr>
          <w:rFonts w:ascii="Times New Roman" w:hAnsi="Times New Roman" w:cs="Times New Roman"/>
          <w:sz w:val="24"/>
        </w:rPr>
        <w:t>Bank boards and shareholders should strengthen internal governance mechanisms, particularly through effective audit and risk committees, to ensure that provisioning decisions are aligned with economic realities rather than managerial incentives. This will enhance accountability, improve risk management practices, and ultimately contribute to the financial stability of deposit money banks.</w:t>
      </w:r>
    </w:p>
    <w:p w14:paraId="651D4588">
      <w:pPr>
        <w:ind w:left="360"/>
        <w:jc w:val="both"/>
        <w:rPr>
          <w:rFonts w:ascii="Times New Roman" w:hAnsi="Times New Roman" w:cs="Times New Roman"/>
          <w:sz w:val="24"/>
        </w:rPr>
      </w:pPr>
      <w:r>
        <w:rPr>
          <w:rFonts w:ascii="Times New Roman" w:hAnsi="Times New Roman" w:cs="Times New Roman"/>
          <w:sz w:val="24"/>
        </w:rPr>
        <w:t>This study is subject to certain limitations that provide opportunities for future research. First, the study focuses only on listed deposit money banks in Nigeria, which may limit the generalizability of the findings to unlisted banks and other financial institutions. Second</w:t>
      </w:r>
      <w:r>
        <w:rPr>
          <w:rFonts w:hint="default" w:ascii="Times New Roman" w:hAnsi="Times New Roman" w:cs="Times New Roman"/>
          <w:sz w:val="24"/>
          <w:lang w:val="en-US"/>
        </w:rPr>
        <w:t>ly</w:t>
      </w:r>
      <w:r>
        <w:rPr>
          <w:rFonts w:ascii="Times New Roman" w:hAnsi="Times New Roman" w:cs="Times New Roman"/>
          <w:sz w:val="24"/>
        </w:rPr>
        <w:t>, the use of accounting-based measures such as the Altman Z-score and financial statement data may not fully capture market-based or macroeconomic dimensions of financial distress. Future research could extend this study by incorporating additional governance and macroeconomic variables, employing alternative measures of financial distress such as market-based indicators, or conducting comparative analyses across different countries or financial sectors. Such extensions would provide a more comprehensive understanding of the determinants of financial distress and enhance the robustness of empirical findings.</w:t>
      </w:r>
    </w:p>
    <w:p w14:paraId="2C52CA53">
      <w:pPr>
        <w:ind w:left="360"/>
        <w:jc w:val="both"/>
        <w:rPr>
          <w:rFonts w:ascii="Times New Roman" w:hAnsi="Times New Roman" w:cs="Times New Roman"/>
          <w:sz w:val="24"/>
        </w:rPr>
      </w:pPr>
    </w:p>
    <w:p w14:paraId="781D5DFF">
      <w:pPr>
        <w:ind w:left="360"/>
        <w:jc w:val="both"/>
        <w:rPr>
          <w:rFonts w:ascii="Times New Roman" w:hAnsi="Times New Roman" w:cs="Times New Roman"/>
          <w:b/>
          <w:sz w:val="24"/>
        </w:rPr>
      </w:pPr>
      <w:r>
        <w:rPr>
          <w:rFonts w:ascii="Times New Roman" w:hAnsi="Times New Roman" w:cs="Times New Roman"/>
          <w:b/>
          <w:sz w:val="24"/>
        </w:rPr>
        <w:t>References</w:t>
      </w:r>
    </w:p>
    <w:p w14:paraId="1CA71A78">
      <w:pPr>
        <w:pStyle w:val="8"/>
        <w:spacing w:before="0" w:beforeAutospacing="0" w:after="0" w:afterAutospacing="0"/>
        <w:ind w:left="1060" w:hanging="720"/>
        <w:jc w:val="both"/>
      </w:pPr>
      <w:r>
        <w:t xml:space="preserve">Abdelkader, M., &amp; Wahba, H. (2024). Governance mechanisms and financial distress prediction in emerging markets. </w:t>
      </w:r>
      <w:r>
        <w:rPr>
          <w:rStyle w:val="5"/>
        </w:rPr>
        <w:t>Journal of Financial Regulation and Compliance, 32</w:t>
      </w:r>
      <w:r>
        <w:t>(1), 45–62.</w:t>
      </w:r>
    </w:p>
    <w:p w14:paraId="582624A7">
      <w:pPr>
        <w:pStyle w:val="8"/>
        <w:spacing w:before="0" w:beforeAutospacing="0" w:after="0" w:afterAutospacing="0"/>
        <w:ind w:left="1060" w:hanging="720"/>
        <w:jc w:val="both"/>
      </w:pPr>
      <w:r>
        <w:t xml:space="preserve">Abdulkadir, R., Suleiman, M., &amp; Bello, A. (2025). Ownership structure and financial stability in African banking systems. </w:t>
      </w:r>
      <w:r>
        <w:rPr>
          <w:rStyle w:val="5"/>
        </w:rPr>
        <w:t>African Journal of Economic and Management Studies, 16</w:t>
      </w:r>
      <w:r>
        <w:t>(2), 210–228.</w:t>
      </w:r>
    </w:p>
    <w:p w14:paraId="19C32A92">
      <w:pPr>
        <w:pStyle w:val="8"/>
        <w:spacing w:before="0" w:beforeAutospacing="0" w:after="0" w:afterAutospacing="0"/>
        <w:ind w:left="1060" w:hanging="720"/>
        <w:jc w:val="both"/>
      </w:pPr>
      <w:r>
        <w:t xml:space="preserve">Abeywardhana, D. K. Y., &amp; Basnayake, W. B. (2022). Ownership structure and financial distress: Evidence from Sri Lankan firms. </w:t>
      </w:r>
      <w:r>
        <w:rPr>
          <w:rStyle w:val="5"/>
        </w:rPr>
        <w:t>International Journal of Accounting &amp; Information Management, 30</w:t>
      </w:r>
      <w:r>
        <w:t>(3), 365–382.</w:t>
      </w:r>
    </w:p>
    <w:p w14:paraId="13E02BEF">
      <w:pPr>
        <w:pStyle w:val="8"/>
        <w:spacing w:before="0" w:beforeAutospacing="0" w:after="0" w:afterAutospacing="0"/>
        <w:ind w:left="1060" w:hanging="720"/>
        <w:jc w:val="both"/>
      </w:pPr>
      <w:r>
        <w:t xml:space="preserve">Akgun, A. (2024). Determinants of financial distress in banking institutions: Post-global financial crisis evidence. </w:t>
      </w:r>
      <w:r>
        <w:rPr>
          <w:rStyle w:val="5"/>
        </w:rPr>
        <w:t>Journal of Banking Regulation, 25</w:t>
      </w:r>
      <w:r>
        <w:t>(1), 77–94.</w:t>
      </w:r>
    </w:p>
    <w:p w14:paraId="0B8BD5AD">
      <w:pPr>
        <w:pStyle w:val="8"/>
        <w:spacing w:before="0" w:beforeAutospacing="0" w:after="0" w:afterAutospacing="0"/>
        <w:ind w:left="1060" w:hanging="720"/>
        <w:jc w:val="both"/>
      </w:pPr>
      <w:r>
        <w:t xml:space="preserve">Altman, E. I. (1968). Financial ratios, discriminant analysis and the prediction of corporate bankruptcy. </w:t>
      </w:r>
      <w:r>
        <w:rPr>
          <w:rStyle w:val="5"/>
        </w:rPr>
        <w:t>The Journal of Finance, 23</w:t>
      </w:r>
      <w:r>
        <w:t>(4), 589–609.</w:t>
      </w:r>
    </w:p>
    <w:p w14:paraId="6391DDD2">
      <w:pPr>
        <w:pStyle w:val="8"/>
        <w:spacing w:before="0" w:beforeAutospacing="0" w:after="0" w:afterAutospacing="0"/>
        <w:ind w:left="1060" w:hanging="720"/>
        <w:jc w:val="both"/>
      </w:pPr>
      <w:r>
        <w:t xml:space="preserve">Balboula, A. M., &amp; Shemes, A. (2025). Ownership structure and earnings management in emerging markets. </w:t>
      </w:r>
      <w:r>
        <w:rPr>
          <w:rStyle w:val="5"/>
        </w:rPr>
        <w:t>Journal of Corporate Governance Research, 12</w:t>
      </w:r>
      <w:r>
        <w:t>(1), 89–107.</w:t>
      </w:r>
    </w:p>
    <w:p w14:paraId="42853416">
      <w:pPr>
        <w:pStyle w:val="8"/>
        <w:spacing w:before="0" w:beforeAutospacing="0" w:after="0" w:afterAutospacing="0"/>
        <w:ind w:left="1060" w:hanging="720"/>
        <w:jc w:val="both"/>
      </w:pPr>
      <w:r>
        <w:t xml:space="preserve">Baltagi, B. H. (2005). </w:t>
      </w:r>
      <w:r>
        <w:rPr>
          <w:rStyle w:val="5"/>
        </w:rPr>
        <w:t>Econometric analysis of panel data</w:t>
      </w:r>
      <w:r>
        <w:t xml:space="preserve"> (3rd ed.). John Wiley &amp; Sons.</w:t>
      </w:r>
    </w:p>
    <w:p w14:paraId="15F9DFF9">
      <w:pPr>
        <w:pStyle w:val="8"/>
        <w:spacing w:before="0" w:beforeAutospacing="0" w:after="0" w:afterAutospacing="0"/>
        <w:ind w:left="1060" w:hanging="720"/>
        <w:jc w:val="both"/>
      </w:pPr>
      <w:r>
        <w:t xml:space="preserve">Ben Rejeb, A., Alzyadat, J., &amp; Hachicha, N. (2025). Ownership concentration and financial distress: Evidence from MENA firms. </w:t>
      </w:r>
      <w:r>
        <w:rPr>
          <w:rStyle w:val="5"/>
        </w:rPr>
        <w:t>International Review of Financial Analysis, 88</w:t>
      </w:r>
      <w:r>
        <w:t>, 102671.</w:t>
      </w:r>
    </w:p>
    <w:p w14:paraId="5B454CE3">
      <w:pPr>
        <w:pStyle w:val="8"/>
        <w:spacing w:before="0" w:beforeAutospacing="0" w:after="0" w:afterAutospacing="0"/>
        <w:ind w:left="1060" w:hanging="720"/>
        <w:jc w:val="both"/>
      </w:pPr>
      <w:r>
        <w:t xml:space="preserve">Biswas, P. K., Kabir, M. H., &amp; Rahman, M. (2024). Loan loss provisioning, IFRS adoption and financial stability: Evidence from emerging economies. </w:t>
      </w:r>
      <w:r>
        <w:rPr>
          <w:rStyle w:val="5"/>
        </w:rPr>
        <w:t>Journal of International Financial Management &amp; Accounting, 35</w:t>
      </w:r>
      <w:r>
        <w:t>(1), 112–135.</w:t>
      </w:r>
    </w:p>
    <w:p w14:paraId="1991EE0A">
      <w:pPr>
        <w:pStyle w:val="8"/>
        <w:spacing w:before="0" w:beforeAutospacing="0" w:after="0" w:afterAutospacing="0"/>
        <w:ind w:left="1060" w:hanging="720"/>
        <w:jc w:val="both"/>
      </w:pPr>
      <w:r>
        <w:t xml:space="preserve">Borges, M. R. (2025). Financial distress and firm survival: A conceptual review. </w:t>
      </w:r>
      <w:r>
        <w:rPr>
          <w:rStyle w:val="5"/>
        </w:rPr>
        <w:t>Journal of Corporate Finance Studies, 19</w:t>
      </w:r>
      <w:r>
        <w:t>(2), 101–118.</w:t>
      </w:r>
    </w:p>
    <w:p w14:paraId="34810A44">
      <w:pPr>
        <w:pStyle w:val="8"/>
        <w:spacing w:before="0" w:beforeAutospacing="0" w:after="0" w:afterAutospacing="0"/>
        <w:ind w:left="1060" w:hanging="720"/>
        <w:jc w:val="both"/>
      </w:pPr>
      <w:r>
        <w:t xml:space="preserve">Creswell, J. W., &amp; Creswell, J. D. (2018). </w:t>
      </w:r>
      <w:r>
        <w:rPr>
          <w:rStyle w:val="5"/>
        </w:rPr>
        <w:t>Research design: Qualitative, quantitative, and mixed methods approaches</w:t>
      </w:r>
      <w:r>
        <w:t xml:space="preserve"> (5th ed.). SAGE Publications.</w:t>
      </w:r>
    </w:p>
    <w:p w14:paraId="4E7406D9">
      <w:pPr>
        <w:pStyle w:val="8"/>
        <w:spacing w:before="0" w:beforeAutospacing="0" w:after="0" w:afterAutospacing="0"/>
        <w:ind w:left="1060" w:hanging="720"/>
        <w:jc w:val="both"/>
      </w:pPr>
      <w:r>
        <w:t xml:space="preserve">Farooq, O., Ahmed, N., &amp; Khan, S. (2023). Ownership structure and corporate governance in developing economies. </w:t>
      </w:r>
      <w:r>
        <w:rPr>
          <w:rStyle w:val="5"/>
        </w:rPr>
        <w:t>Corporate Governance: The International Journal of Business in Society, 23</w:t>
      </w:r>
      <w:r>
        <w:t>(4), 789–805.</w:t>
      </w:r>
    </w:p>
    <w:p w14:paraId="66CB75B6">
      <w:pPr>
        <w:pStyle w:val="8"/>
        <w:spacing w:before="0" w:beforeAutospacing="0" w:after="0" w:afterAutospacing="0"/>
        <w:ind w:left="1060" w:hanging="720"/>
        <w:jc w:val="both"/>
      </w:pPr>
      <w:r>
        <w:t xml:space="preserve">Gujarati, D. N., &amp; Porter, D. C. (2009). </w:t>
      </w:r>
      <w:r>
        <w:rPr>
          <w:rStyle w:val="5"/>
        </w:rPr>
        <w:t>Basic econometrics</w:t>
      </w:r>
      <w:r>
        <w:t xml:space="preserve"> (5th ed.). McGraw-Hill.</w:t>
      </w:r>
    </w:p>
    <w:p w14:paraId="26DD5A2E">
      <w:pPr>
        <w:pStyle w:val="8"/>
        <w:spacing w:before="0" w:beforeAutospacing="0" w:after="0" w:afterAutospacing="0"/>
        <w:ind w:left="1060" w:hanging="720"/>
        <w:jc w:val="both"/>
      </w:pPr>
      <w:r>
        <w:t xml:space="preserve">Guizani, M., &amp; Abdalkrim, G. (2023). Managerial ownership and financial distress: Evidence from emerging markets. </w:t>
      </w:r>
      <w:r>
        <w:rPr>
          <w:rStyle w:val="5"/>
        </w:rPr>
        <w:t>Journal of Risk Finance, 24</w:t>
      </w:r>
      <w:r>
        <w:t>(3), 275–292.</w:t>
      </w:r>
    </w:p>
    <w:p w14:paraId="7DE16316">
      <w:pPr>
        <w:pStyle w:val="8"/>
        <w:spacing w:before="0" w:beforeAutospacing="0" w:after="0" w:afterAutospacing="0"/>
        <w:ind w:left="1060" w:hanging="720"/>
        <w:jc w:val="both"/>
      </w:pPr>
      <w:r>
        <w:t xml:space="preserve">Hausman, J. A. (1978). Specification tests in econometrics. </w:t>
      </w:r>
      <w:r>
        <w:rPr>
          <w:rStyle w:val="5"/>
        </w:rPr>
        <w:t>Econometrica, 46</w:t>
      </w:r>
      <w:r>
        <w:t>(6), 1251–1271.</w:t>
      </w:r>
    </w:p>
    <w:p w14:paraId="63601E29">
      <w:pPr>
        <w:pStyle w:val="8"/>
        <w:spacing w:before="0" w:beforeAutospacing="0" w:after="0" w:afterAutospacing="0"/>
        <w:ind w:left="1060" w:hanging="720"/>
        <w:jc w:val="both"/>
      </w:pPr>
      <w:r>
        <w:t xml:space="preserve">Jensen, M. C., &amp; Meckling, W. H. (1976). Theory of the firm: Managerial behavior, agency costs and ownership structure. </w:t>
      </w:r>
      <w:r>
        <w:rPr>
          <w:rStyle w:val="5"/>
        </w:rPr>
        <w:t>Journal of Financial Economics, 3</w:t>
      </w:r>
      <w:r>
        <w:t>(4), 305–360.</w:t>
      </w:r>
    </w:p>
    <w:p w14:paraId="2A6C6515">
      <w:pPr>
        <w:pStyle w:val="8"/>
        <w:spacing w:before="0" w:beforeAutospacing="0" w:after="0" w:afterAutospacing="0"/>
        <w:ind w:left="1060" w:hanging="720"/>
        <w:jc w:val="both"/>
      </w:pPr>
      <w:r>
        <w:t xml:space="preserve">Mahieux, A., Trabelsi, S., &amp; Boubaker, S. (2023). Accounting standards and loan loss provisioning behavior. </w:t>
      </w:r>
      <w:r>
        <w:rPr>
          <w:rStyle w:val="5"/>
        </w:rPr>
        <w:t>Accounting and Finance, 63</w:t>
      </w:r>
      <w:r>
        <w:t>(2), 2145–2170.</w:t>
      </w:r>
    </w:p>
    <w:p w14:paraId="721A5B88">
      <w:pPr>
        <w:pStyle w:val="8"/>
        <w:spacing w:before="0" w:beforeAutospacing="0" w:after="0" w:afterAutospacing="0"/>
        <w:ind w:left="1060" w:hanging="720"/>
        <w:jc w:val="both"/>
      </w:pPr>
      <w:r>
        <w:t xml:space="preserve">Metwally, A., Hassan, M., &amp; El-Sayed, A. (2025). Corporate governance and financial distress in African banks. </w:t>
      </w:r>
      <w:r>
        <w:rPr>
          <w:rStyle w:val="5"/>
        </w:rPr>
        <w:t>International Journal of Finance &amp; Economics, 30</w:t>
      </w:r>
      <w:r>
        <w:t>(1), 134–150.</w:t>
      </w:r>
    </w:p>
    <w:p w14:paraId="10099FF9">
      <w:pPr>
        <w:pStyle w:val="8"/>
        <w:spacing w:before="0" w:beforeAutospacing="0" w:after="0" w:afterAutospacing="0"/>
        <w:ind w:left="1060" w:hanging="720"/>
        <w:jc w:val="both"/>
      </w:pPr>
      <w:r>
        <w:t xml:space="preserve">Mnif, Y., &amp; Imen, F. (2023). Earnings management and loan loss provisions: Evidence from banking sector. </w:t>
      </w:r>
      <w:r>
        <w:rPr>
          <w:rStyle w:val="5"/>
        </w:rPr>
        <w:t>Review of Quantitative Finance and Accounting, 61</w:t>
      </w:r>
      <w:r>
        <w:t>(2), 455–478.</w:t>
      </w:r>
    </w:p>
    <w:p w14:paraId="2C056394">
      <w:pPr>
        <w:pStyle w:val="8"/>
        <w:spacing w:before="0" w:beforeAutospacing="0" w:after="0" w:afterAutospacing="0"/>
        <w:ind w:left="1060" w:hanging="720"/>
        <w:jc w:val="both"/>
      </w:pPr>
      <w:r>
        <w:t xml:space="preserve">Opoku, T. K., Owusu, G. M. Y., &amp; Bekoe, R. A. (2024). Banking sector fragility in Sub-Saharan Africa. </w:t>
      </w:r>
      <w:r>
        <w:rPr>
          <w:rStyle w:val="5"/>
        </w:rPr>
        <w:t>Journal of African Business, 25</w:t>
      </w:r>
      <w:r>
        <w:t>(1), 33–52.</w:t>
      </w:r>
    </w:p>
    <w:p w14:paraId="5B137885">
      <w:pPr>
        <w:pStyle w:val="8"/>
        <w:spacing w:before="0" w:beforeAutospacing="0" w:after="0" w:afterAutospacing="0"/>
        <w:ind w:left="1060" w:hanging="720"/>
        <w:jc w:val="both"/>
      </w:pPr>
      <w:r>
        <w:t xml:space="preserve">Ozili, P. K. (2024). Bank income smoothing and loan loss provisioning behavior: International evidence. </w:t>
      </w:r>
      <w:r>
        <w:rPr>
          <w:rStyle w:val="5"/>
        </w:rPr>
        <w:t>Journal of Financial Economic Policy, 16</w:t>
      </w:r>
      <w:r>
        <w:t>(2), 234–252.</w:t>
      </w:r>
    </w:p>
    <w:p w14:paraId="333D4E4B">
      <w:pPr>
        <w:pStyle w:val="8"/>
        <w:spacing w:before="0" w:beforeAutospacing="0" w:after="0" w:afterAutospacing="0"/>
        <w:ind w:left="1060" w:hanging="720"/>
        <w:jc w:val="both"/>
      </w:pPr>
      <w:r>
        <w:t xml:space="preserve">Ozili, P. K., &amp; Thankom, A. G. (2023). Income smoothing among banks: Evidence from Africa. </w:t>
      </w:r>
      <w:r>
        <w:rPr>
          <w:rStyle w:val="5"/>
        </w:rPr>
        <w:t>Research in International Business and Finance, 64</w:t>
      </w:r>
      <w:r>
        <w:t>, 101880.</w:t>
      </w:r>
    </w:p>
    <w:p w14:paraId="354EA1D5">
      <w:pPr>
        <w:pStyle w:val="8"/>
        <w:spacing w:before="0" w:beforeAutospacing="0" w:after="0" w:afterAutospacing="0"/>
        <w:ind w:left="1060" w:hanging="720"/>
        <w:jc w:val="both"/>
      </w:pPr>
      <w:r>
        <w:t xml:space="preserve">Sanusi, L. S. (2012). Banking reform and its impact on the Nigerian economy. </w:t>
      </w:r>
      <w:r>
        <w:rPr>
          <w:rStyle w:val="5"/>
        </w:rPr>
        <w:t>Central Bank of Nigeria Journal of Applied Statistics, 3</w:t>
      </w:r>
      <w:r>
        <w:t>(2), 115–122.</w:t>
      </w:r>
    </w:p>
    <w:p w14:paraId="2E090E70">
      <w:pPr>
        <w:pStyle w:val="8"/>
        <w:spacing w:before="0" w:beforeAutospacing="0" w:after="0" w:afterAutospacing="0"/>
        <w:ind w:left="1060" w:hanging="720"/>
        <w:jc w:val="both"/>
      </w:pPr>
      <w:r>
        <w:t xml:space="preserve">Saunders, M., Lewis, P., &amp; Thornhill, A. (2019). </w:t>
      </w:r>
      <w:r>
        <w:rPr>
          <w:rStyle w:val="5"/>
        </w:rPr>
        <w:t>Research methods for business students</w:t>
      </w:r>
      <w:r>
        <w:t xml:space="preserve"> (8th ed.). Pearson Education.</w:t>
      </w:r>
    </w:p>
    <w:p w14:paraId="68EAEA82">
      <w:pPr>
        <w:pStyle w:val="8"/>
        <w:spacing w:before="0" w:beforeAutospacing="0" w:after="0" w:afterAutospacing="0"/>
        <w:ind w:left="1060" w:hanging="720"/>
        <w:jc w:val="both"/>
      </w:pPr>
      <w:r>
        <w:t xml:space="preserve">Shan, Y. G., Troshani, I., &amp; Tarca, A. (2024). Managerial ownership and financial reporting quality: Evidence from banking sector. </w:t>
      </w:r>
      <w:r>
        <w:rPr>
          <w:rStyle w:val="5"/>
        </w:rPr>
        <w:t>Accounting &amp; Finance, 64</w:t>
      </w:r>
      <w:r>
        <w:t>(1), 567–590.</w:t>
      </w:r>
    </w:p>
    <w:p w14:paraId="0053FCA6">
      <w:pPr>
        <w:pStyle w:val="8"/>
        <w:spacing w:before="0" w:beforeAutospacing="0" w:after="0" w:afterAutospacing="0"/>
        <w:ind w:left="1060" w:hanging="720"/>
        <w:jc w:val="both"/>
      </w:pPr>
      <w:r>
        <w:t xml:space="preserve">Sharma, D., &amp; Singh, R. (2025). Stakeholder theory and corporate governance in emerging economies. </w:t>
      </w:r>
      <w:r>
        <w:rPr>
          <w:rStyle w:val="5"/>
        </w:rPr>
        <w:t>Journal of Business Ethics, 178</w:t>
      </w:r>
      <w:r>
        <w:t>(3), 589–607.</w:t>
      </w:r>
    </w:p>
    <w:p w14:paraId="29556C15">
      <w:pPr>
        <w:pStyle w:val="8"/>
        <w:spacing w:before="0" w:beforeAutospacing="0" w:after="0" w:afterAutospacing="0"/>
        <w:ind w:left="1060" w:hanging="720"/>
        <w:jc w:val="both"/>
      </w:pPr>
      <w:r>
        <w:t xml:space="preserve">Umar, M., Ibrahim, A., &amp; Musa, S. (2024). Non-performing loans and financial distress in Nigerian banks. </w:t>
      </w:r>
      <w:r>
        <w:rPr>
          <w:rStyle w:val="5"/>
        </w:rPr>
        <w:t>Nigerian Journal of Banking and Finance, 16</w:t>
      </w:r>
      <w:r>
        <w:t>(1), 45–60.</w:t>
      </w:r>
    </w:p>
    <w:p w14:paraId="46D3CBE4">
      <w:pPr>
        <w:pStyle w:val="8"/>
        <w:spacing w:before="0" w:beforeAutospacing="0" w:after="0" w:afterAutospacing="0"/>
        <w:ind w:left="1060" w:hanging="720"/>
        <w:jc w:val="both"/>
      </w:pPr>
      <w:r>
        <w:t xml:space="preserve">Wooldridge, J. M. (2010). </w:t>
      </w:r>
      <w:r>
        <w:rPr>
          <w:rStyle w:val="5"/>
        </w:rPr>
        <w:t>Econometric analysis of cross section and panel data</w:t>
      </w:r>
      <w:r>
        <w:t xml:space="preserve"> (2nd ed.). MIT Press.</w:t>
      </w:r>
    </w:p>
    <w:p w14:paraId="38315527">
      <w:pPr>
        <w:pStyle w:val="8"/>
        <w:spacing w:before="0" w:beforeAutospacing="0" w:after="0" w:afterAutospacing="0"/>
        <w:ind w:left="1060" w:hanging="720"/>
        <w:jc w:val="both"/>
      </w:pPr>
      <w:r>
        <w:t xml:space="preserve">Zhang, L. (2025). Ownership concentration and financial risk: Evidence from global firms. </w:t>
      </w:r>
      <w:r>
        <w:rPr>
          <w:rStyle w:val="5"/>
        </w:rPr>
        <w:t>Journal of Corporate Finance, 80</w:t>
      </w:r>
      <w:r>
        <w:t>, 102435.</w:t>
      </w:r>
    </w:p>
    <w:p w14:paraId="270FA639">
      <w:pPr>
        <w:ind w:left="360"/>
        <w:jc w:val="both"/>
        <w:rPr>
          <w:rFonts w:ascii="Times New Roman" w:hAnsi="Times New Roman" w:cs="Times New Roman"/>
          <w:sz w:val="24"/>
        </w:rPr>
      </w:pPr>
    </w:p>
    <w:sectPr>
      <w:foot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1076439"/>
      <w:docPartObj>
        <w:docPartGallery w:val="autotext"/>
      </w:docPartObj>
    </w:sdtPr>
    <w:sdtContent>
      <w:p w14:paraId="3A893B35">
        <w:pPr>
          <w:pStyle w:val="6"/>
          <w:jc w:val="center"/>
        </w:pPr>
        <w:r>
          <w:fldChar w:fldCharType="begin"/>
        </w:r>
        <w:r>
          <w:instrText xml:space="preserve"> PAGE   \* MERGEFORMAT </w:instrText>
        </w:r>
        <w:r>
          <w:fldChar w:fldCharType="separate"/>
        </w:r>
        <w:r>
          <w:t>13</w:t>
        </w:r>
        <w:r>
          <w:fldChar w:fldCharType="end"/>
        </w:r>
      </w:p>
    </w:sdtContent>
  </w:sdt>
  <w:p w14:paraId="329E1F27">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24E92"/>
    <w:multiLevelType w:val="multilevel"/>
    <w:tmpl w:val="11424E9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EC"/>
    <w:rsid w:val="000122E0"/>
    <w:rsid w:val="00075544"/>
    <w:rsid w:val="00082223"/>
    <w:rsid w:val="001B3CA0"/>
    <w:rsid w:val="002863C0"/>
    <w:rsid w:val="002B6B19"/>
    <w:rsid w:val="00377AE7"/>
    <w:rsid w:val="004A114E"/>
    <w:rsid w:val="004A36B8"/>
    <w:rsid w:val="00556F11"/>
    <w:rsid w:val="00602E1D"/>
    <w:rsid w:val="006B52D7"/>
    <w:rsid w:val="007527F5"/>
    <w:rsid w:val="00AF6B0C"/>
    <w:rsid w:val="00B20E94"/>
    <w:rsid w:val="00B36883"/>
    <w:rsid w:val="00C676BC"/>
    <w:rsid w:val="00D83BEC"/>
    <w:rsid w:val="00D8639C"/>
    <w:rsid w:val="00E72701"/>
    <w:rsid w:val="00FA715C"/>
    <w:rsid w:val="00FF6B0F"/>
    <w:rsid w:val="109C6927"/>
    <w:rsid w:val="20D547E5"/>
    <w:rsid w:val="3F3E264A"/>
    <w:rsid w:val="66C15CB3"/>
    <w:rsid w:val="7DD33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character" w:styleId="5">
    <w:name w:val="Emphasis"/>
    <w:basedOn w:val="2"/>
    <w:qFormat/>
    <w:uiPriority w:val="20"/>
    <w:rPr>
      <w:i/>
      <w:iCs/>
    </w:rPr>
  </w:style>
  <w:style w:type="paragraph" w:styleId="6">
    <w:name w:val="footer"/>
    <w:basedOn w:val="1"/>
    <w:link w:val="12"/>
    <w:unhideWhenUsed/>
    <w:qFormat/>
    <w:uiPriority w:val="99"/>
    <w:pPr>
      <w:tabs>
        <w:tab w:val="center" w:pos="4680"/>
        <w:tab w:val="right" w:pos="9360"/>
      </w:tabs>
      <w:spacing w:after="0" w:line="240" w:lineRule="auto"/>
    </w:pPr>
  </w:style>
  <w:style w:type="paragraph" w:styleId="7">
    <w:name w:val="header"/>
    <w:basedOn w:val="1"/>
    <w:link w:val="11"/>
    <w:unhideWhenUsed/>
    <w:qFormat/>
    <w:uiPriority w:val="99"/>
    <w:pPr>
      <w:tabs>
        <w:tab w:val="center" w:pos="4680"/>
        <w:tab w:val="right" w:pos="9360"/>
      </w:tabs>
      <w:spacing w:after="0" w:line="240" w:lineRule="auto"/>
    </w:p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Placeholder Text"/>
    <w:basedOn w:val="2"/>
    <w:semiHidden/>
    <w:qFormat/>
    <w:uiPriority w:val="99"/>
    <w:rPr>
      <w:color w:val="808080"/>
    </w:rPr>
  </w:style>
  <w:style w:type="paragraph" w:styleId="10">
    <w:name w:val="List Paragraph"/>
    <w:basedOn w:val="1"/>
    <w:qFormat/>
    <w:uiPriority w:val="34"/>
    <w:pPr>
      <w:ind w:left="720"/>
      <w:contextualSpacing/>
    </w:pPr>
  </w:style>
  <w:style w:type="character" w:customStyle="1" w:styleId="11">
    <w:name w:val="Header Char"/>
    <w:basedOn w:val="2"/>
    <w:link w:val="7"/>
    <w:qFormat/>
    <w:uiPriority w:val="99"/>
  </w:style>
  <w:style w:type="character" w:customStyle="1" w:styleId="12">
    <w:name w:val="Footer Char"/>
    <w:basedOn w:val="2"/>
    <w:link w:val="6"/>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4240</Words>
  <Characters>25873</Characters>
  <Lines>290</Lines>
  <Paragraphs>81</Paragraphs>
  <TotalTime>95</TotalTime>
  <ScaleCrop>false</ScaleCrop>
  <LinksUpToDate>false</LinksUpToDate>
  <CharactersWithSpaces>29838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2026-04-23T14:17:00Z</dcterms:created>
  <dc:creator>MY-PC</dc:creator>
  <cp:lastModifiedBy>Michael Odeh</cp:lastModifiedBy>
  <dcterms:modified xsi:type="dcterms:W3CDTF">2026-05-18T16:01:06Z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34702A36EDD747A5AC09661B6F1674AB_13</vt:lpwstr>
  </property>
  <property fmtid="{D5CDD505-2E9C-101B-9397-08002B2CF9AE}" pid="4" name="KSOTemplateDocerSaveRecord">
    <vt:lpwstr>eyJoZGlkIjoiM2JmZWY3MDg2ZWMwZmI4MWRjZjQ5MDVmODVhOGIxZGIiLCJ1c2VySWQiOiIyNzY2NTQ4MDEyMDk5In0=</vt:lpwstr>
  </property>
</Properties>
</file>