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65B7" w14:textId="5BAB7296" w:rsidR="00ED1468" w:rsidRPr="00684E02" w:rsidRDefault="008C413C" w:rsidP="00ED14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  <w14:ligatures w14:val="none"/>
        </w:rPr>
      </w:pPr>
      <w:r w:rsidRPr="00684E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  <w14:ligatures w14:val="none"/>
        </w:rPr>
        <w:t>Recent Advances in Pharmacology of Senotherapeutics</w:t>
      </w:r>
      <w:r w:rsidR="00115D8F" w:rsidRPr="00684E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IN"/>
          <w14:ligatures w14:val="none"/>
        </w:rPr>
        <w:t xml:space="preserve">: </w:t>
      </w:r>
      <w:r w:rsidR="00115D8F" w:rsidRPr="00684E02">
        <w:rPr>
          <w:rFonts w:ascii="Times New Roman" w:hAnsi="Times New Roman" w:cs="Times New Roman"/>
          <w:b/>
          <w:bCs/>
          <w:sz w:val="36"/>
          <w:szCs w:val="36"/>
        </w:rPr>
        <w:t>A Review</w:t>
      </w:r>
    </w:p>
    <w:p w14:paraId="71B98C99" w14:textId="7B22DBE3" w:rsidR="00AB7E60" w:rsidRPr="008502AF" w:rsidRDefault="005E54B4" w:rsidP="00F007A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szCs w:val="24"/>
        </w:rPr>
        <w:t>Sonali Jondhale1, Sushma Ghadigaonkar</w:t>
      </w:r>
      <w:r w:rsidR="00BD417D">
        <w:rPr>
          <w:rFonts w:ascii="Times New Roman" w:hAnsi="Times New Roman" w:cs="Times New Roman"/>
          <w:szCs w:val="24"/>
        </w:rPr>
        <w:t>*</w:t>
      </w:r>
      <w:r w:rsidRPr="008502AF">
        <w:rPr>
          <w:rFonts w:ascii="Times New Roman" w:hAnsi="Times New Roman" w:cs="Times New Roman"/>
          <w:szCs w:val="24"/>
        </w:rPr>
        <w:t xml:space="preserve">2, Sushant Sole3, Siddheshwar Wanve 4, Rushikesh Patil5, Rhushikesh Pingale6 </w:t>
      </w:r>
      <w:r w:rsidR="00FB22B6">
        <w:rPr>
          <w:rFonts w:ascii="Times New Roman" w:hAnsi="Times New Roman" w:cs="Times New Roman"/>
          <w:szCs w:val="24"/>
        </w:rPr>
        <w:t>and Sangram Chavan7</w:t>
      </w:r>
      <w:r w:rsidR="00F007AC" w:rsidRPr="008502AF">
        <w:rPr>
          <w:rFonts w:ascii="Times New Roman" w:hAnsi="Times New Roman" w:cs="Times New Roman"/>
          <w:szCs w:val="24"/>
        </w:rPr>
        <w:t xml:space="preserve"> </w:t>
      </w:r>
    </w:p>
    <w:p w14:paraId="3AE05769" w14:textId="77777777" w:rsidR="00971865" w:rsidRDefault="00F007AC" w:rsidP="00ED146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szCs w:val="24"/>
        </w:rPr>
        <w:t xml:space="preserve">1,2,3,4,5,6 </w:t>
      </w:r>
      <w:r w:rsidR="005E54B4" w:rsidRPr="008502AF">
        <w:rPr>
          <w:rFonts w:ascii="Times New Roman" w:hAnsi="Times New Roman" w:cs="Times New Roman"/>
          <w:szCs w:val="24"/>
        </w:rPr>
        <w:t>Department Of Veterinary Pharmacology and Toxicology</w:t>
      </w:r>
      <w:r w:rsidR="00AB7E60" w:rsidRPr="008502AF">
        <w:rPr>
          <w:rFonts w:ascii="Times New Roman" w:hAnsi="Times New Roman" w:cs="Times New Roman"/>
          <w:szCs w:val="24"/>
        </w:rPr>
        <w:t>,</w:t>
      </w:r>
      <w:r w:rsidR="005E54B4" w:rsidRPr="008502AF">
        <w:rPr>
          <w:rFonts w:ascii="Times New Roman" w:hAnsi="Times New Roman" w:cs="Times New Roman"/>
          <w:szCs w:val="24"/>
        </w:rPr>
        <w:t xml:space="preserve"> </w:t>
      </w:r>
    </w:p>
    <w:p w14:paraId="75572D9F" w14:textId="77777777" w:rsidR="00971865" w:rsidRDefault="005E54B4" w:rsidP="00ED146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szCs w:val="24"/>
        </w:rPr>
        <w:t xml:space="preserve">Mumbai Veterinary College, Mumbai-12, </w:t>
      </w:r>
    </w:p>
    <w:p w14:paraId="44D87DE7" w14:textId="4B862C1D" w:rsidR="00FD30A8" w:rsidRPr="008502AF" w:rsidRDefault="005E54B4" w:rsidP="00ED14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  <w:lang w:eastAsia="en-IN"/>
          <w14:ligatures w14:val="none"/>
        </w:rPr>
      </w:pPr>
      <w:r w:rsidRPr="008502AF">
        <w:rPr>
          <w:rFonts w:ascii="Times New Roman" w:hAnsi="Times New Roman" w:cs="Times New Roman"/>
          <w:szCs w:val="24"/>
        </w:rPr>
        <w:t>Maharashtra Animal and Fishery Sciences University, Nagpur -02</w:t>
      </w:r>
    </w:p>
    <w:p w14:paraId="32828070" w14:textId="78C3E7B7" w:rsidR="008C413C" w:rsidRPr="00FB22B6" w:rsidRDefault="00FB22B6" w:rsidP="00FB22B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ABSTRACT</w:t>
      </w:r>
      <w:r>
        <w:rPr>
          <w:rFonts w:ascii="Times New Roman" w:eastAsia="Times New Roman" w:hAnsi="Times New Roman" w:cs="Times New Roman"/>
          <w:b/>
          <w:bCs/>
          <w:kern w:val="36"/>
          <w:szCs w:val="24"/>
          <w:lang w:eastAsia="en-IN"/>
          <w14:ligatures w14:val="none"/>
        </w:rPr>
        <w:t xml:space="preserve">: 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Cellular senescence, a hallmark of </w:t>
      </w:r>
      <w:r w:rsidR="00C54094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ageing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, is </w:t>
      </w:r>
      <w:r w:rsidR="00C54094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characterised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 by irreversible proliferative arrest and the secretion of inflammatory mediators that influence tissue microenvironments. While senescence is protective in development, wound healing, and </w:t>
      </w:r>
      <w:r w:rsidR="00C54094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tumour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 suppression, the chronic accumulation of senescent cells accelerates inflammation, fibrosis, and organ dysfunction. Senotherapeutics, a novel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 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pharmacological class </w:t>
      </w:r>
      <w:r w:rsidR="008329F3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encompass</w:t>
      </w:r>
      <w:r w:rsidR="008329F3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S</w:t>
      </w:r>
      <w:r w:rsidR="008329F3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enolytics and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S</w:t>
      </w:r>
      <w:r w:rsidR="008329F3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enomorphics, aims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 </w:t>
      </w:r>
      <w:r w:rsidR="008329F3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selectively </w:t>
      </w:r>
      <w:r w:rsidR="008329F3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eliminate senescent cells or suppress their harmful secretory activity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. This review, based on seminar discussions and recent literature, outlines the mechanisms of senescence, associated biomarkers, links to chronic diseases, and current advances in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S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enotherapeutic strategies. Preclinical evidence and early clinical studies suggest their potential to extend </w:t>
      </w: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health span</w:t>
      </w:r>
      <w:r w:rsidR="008C413C"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 xml:space="preserve"> in humans and animals.</w:t>
      </w:r>
    </w:p>
    <w:p w14:paraId="0EDC903D" w14:textId="6A175D5F" w:rsidR="00E50F87" w:rsidRPr="008502AF" w:rsidRDefault="008C413C" w:rsidP="00E50F87">
      <w:pPr>
        <w:rPr>
          <w:rFonts w:ascii="Times New Roman" w:hAnsi="Times New Roman" w:cs="Times New Roman"/>
          <w:szCs w:val="24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Keywords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: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</w:t>
      </w:r>
      <w:r w:rsidR="00C54094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geing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C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ellular senescence, SASP,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enolytics,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enomorphics,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="006A0120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enotherapeutics</w:t>
      </w:r>
      <w:r w:rsidR="00E50F87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</w:t>
      </w:r>
      <w:r w:rsidR="00E50F87" w:rsidRPr="008502AF">
        <w:rPr>
          <w:rFonts w:ascii="Times New Roman" w:hAnsi="Times New Roman" w:cs="Times New Roman"/>
          <w:szCs w:val="24"/>
        </w:rPr>
        <w:t>Geroscience, Pharmacology</w:t>
      </w:r>
    </w:p>
    <w:p w14:paraId="5A469977" w14:textId="3E963652" w:rsidR="008C413C" w:rsidRPr="00E45163" w:rsidRDefault="008C413C" w:rsidP="006A0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</w:p>
    <w:p w14:paraId="617A59B9" w14:textId="77777777" w:rsidR="008C413C" w:rsidRPr="00E45163" w:rsidRDefault="008C413C" w:rsidP="00FB22B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E451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Introduction</w:t>
      </w:r>
    </w:p>
    <w:p w14:paraId="62B85843" w14:textId="568CF144" w:rsidR="00FB22B6" w:rsidRDefault="00234200" w:rsidP="00FB22B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bookmarkStart w:id="0" w:name="_Hlk217990314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Ageing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is a complex biological process marked by progressive functional decline, increased 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disease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susceptibility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and reduced resilience to stressors. The conceptual framework of the “hallmarks of ag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ing” highlights interconnected processes such as genomic instability, telomere attrition, mitochondrial dysfunction, and stem cell exhaustion (L</w:t>
      </w:r>
      <w:r w:rsidR="00F0059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o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pez-</w:t>
      </w:r>
      <w:proofErr w:type="spellStart"/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Ot</w:t>
      </w:r>
      <w:r w:rsidR="00F0059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n</w:t>
      </w:r>
      <w:proofErr w:type="spellEnd"/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="008C413C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</w:t>
      </w:r>
      <w:r w:rsidR="008C413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., 2013). Among these, cellular senescence has emerged as a central mechanism</w:t>
      </w:r>
      <w:r w:rsidR="0002477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(Baker </w:t>
      </w:r>
      <w:r w:rsidR="00024771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02477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2011)</w:t>
      </w:r>
    </w:p>
    <w:p w14:paraId="017F5560" w14:textId="3A15B393" w:rsidR="008329F3" w:rsidRPr="008502AF" w:rsidRDefault="008329F3" w:rsidP="00FB22B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The geroscience hypothesis proposes that targeting fundamental ag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ing mechanisms such as senescence can delay multiple chronic disorders simultaneously (Kirkland &amp; Tchkonia, 2020). This paradigm has led to the development of senotherapeutics—agents that selectively target senescent cells or modulate their pathological effects (Zhang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2023).</w:t>
      </w:r>
    </w:p>
    <w:p w14:paraId="12730700" w14:textId="370CC904" w:rsidR="00653015" w:rsidRPr="008502AF" w:rsidRDefault="008C413C" w:rsidP="00FB22B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lastRenderedPageBreak/>
        <w:t>Senescence is defined as a state of stable cell-cycle arrest, usually mediated by p16^INK4a^, p21^CIP1/WAF1^, and p53 pathways, accompanied by persistent metabolic activity and secretion of the senescence-associated secretory phenotype (SASP) (Aratani &amp; Nakanishi, 2023). While short-term senescence contributes to tumo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u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 suppression and tissue repair, chronic persistence of senescent cells is linked to inflammaging, tissue degeneration, and age-related pathologies (Raffaele &amp; Vinciguerra, 2022).</w:t>
      </w:r>
    </w:p>
    <w:p w14:paraId="2F6FAB04" w14:textId="77777777" w:rsidR="00FB22B6" w:rsidRDefault="00FB22B6" w:rsidP="00FB22B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</w:p>
    <w:p w14:paraId="42798EF4" w14:textId="6DB76377" w:rsidR="00FA7E46" w:rsidRPr="00FA7E46" w:rsidRDefault="00FA7E46" w:rsidP="00FB22B6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FA7E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Molecular Basis of Cellular Senescence</w:t>
      </w:r>
    </w:p>
    <w:p w14:paraId="4EEF4FAD" w14:textId="613607E3" w:rsidR="00653015" w:rsidRPr="00FB22B6" w:rsidRDefault="00FA7E46" w:rsidP="00FB22B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Cellular senescence is primarily regulated through the p53–p21 and p16^INK4a^–Rb pathways in response to DNA damage, oxidative stress, and mitochondrial dysfunction (Han </w:t>
      </w:r>
      <w:r w:rsidRPr="00FA7E46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2024). Senescent cells secrete a complex array of cytokines, chemokines, proteases</w:t>
      </w:r>
      <w:r w:rsidR="003E0DC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and growth factors known as SASP, which promote chronic inflammation, fibrosis</w:t>
      </w:r>
      <w:r w:rsidR="003E0DC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and tissue degeneration (Muthamil </w:t>
      </w:r>
      <w:r w:rsidRPr="00FA7E46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2024).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Recent guidelines emphasi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 multi-marker strategies for accurate in vivo detection of senescence due to its heterogeneous nature (Ogrodnik </w:t>
      </w:r>
      <w:r w:rsidRPr="00FA7E46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Pr="00FA7E4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2024).</w:t>
      </w:r>
    </w:p>
    <w:p w14:paraId="1D5C4109" w14:textId="77777777" w:rsidR="008C413C" w:rsidRPr="00E45163" w:rsidRDefault="008C413C" w:rsidP="00FB22B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bookmarkStart w:id="1" w:name="_Hlk217990392"/>
      <w:bookmarkEnd w:id="0"/>
      <w:r w:rsidRPr="00E451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Markers of Senescence</w:t>
      </w:r>
    </w:p>
    <w:p w14:paraId="7737B9A1" w14:textId="77777777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bookmarkStart w:id="2" w:name="_Hlk217990408"/>
      <w:bookmarkEnd w:id="1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Because senescence is a multifactorial process, its detection requires a panel of markers rather than a single indicator. Commonly used features include:</w:t>
      </w:r>
    </w:p>
    <w:p w14:paraId="2FD93AA5" w14:textId="77777777" w:rsidR="008C413C" w:rsidRPr="008502AF" w:rsidRDefault="008C413C" w:rsidP="00FB22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Morphological changes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flattened, enlarged cell shape with altered chromatin architecture.</w:t>
      </w:r>
    </w:p>
    <w:p w14:paraId="3BAB87CF" w14:textId="77777777" w:rsidR="008C413C" w:rsidRPr="008502AF" w:rsidRDefault="008C413C" w:rsidP="00FB22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Biochemical markers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senescence-associated β-galactosidase (SA-β-gal) activity at pH 6.</w:t>
      </w:r>
    </w:p>
    <w:p w14:paraId="3E85EF0F" w14:textId="77777777" w:rsidR="008C413C" w:rsidRPr="008502AF" w:rsidRDefault="008C413C" w:rsidP="00FB22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Molecular indicators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upregulation of p16^INK4a^, p21, and DNA damage foci marked by γ-H2AX.</w:t>
      </w:r>
    </w:p>
    <w:p w14:paraId="3330EAA4" w14:textId="77777777" w:rsidR="008C413C" w:rsidRPr="008502AF" w:rsidRDefault="008C413C" w:rsidP="00FB22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Nuclear changes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reduction of Lamin B1 expression.</w:t>
      </w:r>
    </w:p>
    <w:p w14:paraId="76A66766" w14:textId="77777777" w:rsidR="008C413C" w:rsidRPr="008502AF" w:rsidRDefault="008C413C" w:rsidP="00FB22B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Secretory profile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elevated SASP factors such as IL-6, IL-8, TNF-α, and matrix metalloproteinases (Aratani &amp; Nakanishi, 2023).</w:t>
      </w:r>
    </w:p>
    <w:p w14:paraId="1E9872CF" w14:textId="53C80C9C" w:rsidR="00653015" w:rsidRPr="00FB22B6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These markers are used in combination to identify senescent cells in tissues and experimental models.</w:t>
      </w:r>
    </w:p>
    <w:p w14:paraId="33071DCB" w14:textId="77777777" w:rsidR="007F6AE5" w:rsidRPr="00E45163" w:rsidRDefault="007F6AE5" w:rsidP="00FB22B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5163">
        <w:rPr>
          <w:rFonts w:ascii="Times New Roman" w:hAnsi="Times New Roman" w:cs="Times New Roman"/>
          <w:b/>
          <w:bCs/>
          <w:sz w:val="28"/>
          <w:szCs w:val="28"/>
        </w:rPr>
        <w:t>Role of Senescence in Age-Related Disorders</w:t>
      </w:r>
    </w:p>
    <w:p w14:paraId="330ECCDD" w14:textId="77777777" w:rsidR="007F6AE5" w:rsidRPr="008502AF" w:rsidRDefault="007F6AE5" w:rsidP="00FB22B6">
      <w:pPr>
        <w:spacing w:line="360" w:lineRule="auto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szCs w:val="24"/>
        </w:rPr>
        <w:t>Progressive accumulation of senescent cells contributes significantly to the pathogenesis of multiple chronic diseases:</w:t>
      </w:r>
    </w:p>
    <w:p w14:paraId="59D60523" w14:textId="77777777" w:rsidR="007F6AE5" w:rsidRPr="008502AF" w:rsidRDefault="007F6AE5" w:rsidP="00FB22B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b/>
          <w:bCs/>
          <w:szCs w:val="24"/>
        </w:rPr>
        <w:lastRenderedPageBreak/>
        <w:t>Cardiovascular diseases:</w:t>
      </w:r>
      <w:r w:rsidRPr="008502AF">
        <w:rPr>
          <w:rFonts w:ascii="Times New Roman" w:hAnsi="Times New Roman" w:cs="Times New Roman"/>
          <w:szCs w:val="24"/>
        </w:rPr>
        <w:t xml:space="preserve"> vascular stiffening, atherosclerosis, myocardial fibrosis</w:t>
      </w:r>
    </w:p>
    <w:p w14:paraId="028FFB2B" w14:textId="77777777" w:rsidR="007F6AE5" w:rsidRPr="008502AF" w:rsidRDefault="007F6AE5" w:rsidP="00FB22B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b/>
          <w:bCs/>
          <w:szCs w:val="24"/>
        </w:rPr>
        <w:t>Neurodegenerative disorders:</w:t>
      </w:r>
      <w:r w:rsidRPr="008502AF">
        <w:rPr>
          <w:rFonts w:ascii="Times New Roman" w:hAnsi="Times New Roman" w:cs="Times New Roman"/>
          <w:szCs w:val="24"/>
        </w:rPr>
        <w:t xml:space="preserve"> exacerbation of neuroinflammation in Alzheimer’s and Parkinson’s disease</w:t>
      </w:r>
    </w:p>
    <w:p w14:paraId="68A33FDD" w14:textId="77777777" w:rsidR="007F6AE5" w:rsidRPr="008502AF" w:rsidRDefault="007F6AE5" w:rsidP="00FB22B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b/>
          <w:bCs/>
          <w:szCs w:val="24"/>
        </w:rPr>
        <w:t>Metabolic disorders:</w:t>
      </w:r>
      <w:r w:rsidRPr="008502AF">
        <w:rPr>
          <w:rFonts w:ascii="Times New Roman" w:hAnsi="Times New Roman" w:cs="Times New Roman"/>
          <w:szCs w:val="24"/>
        </w:rPr>
        <w:t xml:space="preserve"> insulin resistance and type 2 diabetes</w:t>
      </w:r>
    </w:p>
    <w:p w14:paraId="59D5F7AC" w14:textId="1D65F66E" w:rsidR="007F6AE5" w:rsidRPr="008502AF" w:rsidRDefault="007F6AE5" w:rsidP="00FB22B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b/>
          <w:bCs/>
          <w:szCs w:val="24"/>
        </w:rPr>
        <w:t>Cancer:</w:t>
      </w:r>
      <w:r w:rsidRPr="008502AF">
        <w:rPr>
          <w:rFonts w:ascii="Times New Roman" w:hAnsi="Times New Roman" w:cs="Times New Roman"/>
          <w:szCs w:val="24"/>
        </w:rPr>
        <w:t xml:space="preserve"> SASP-mediated tumo</w:t>
      </w:r>
      <w:r w:rsidR="00BD417D">
        <w:rPr>
          <w:rFonts w:ascii="Times New Roman" w:hAnsi="Times New Roman" w:cs="Times New Roman"/>
          <w:szCs w:val="24"/>
        </w:rPr>
        <w:t>u</w:t>
      </w:r>
      <w:r w:rsidRPr="008502AF">
        <w:rPr>
          <w:rFonts w:ascii="Times New Roman" w:hAnsi="Times New Roman" w:cs="Times New Roman"/>
          <w:szCs w:val="24"/>
        </w:rPr>
        <w:t>r promotion and metastasis</w:t>
      </w:r>
    </w:p>
    <w:p w14:paraId="6EAB7EF5" w14:textId="2043A86E" w:rsidR="007F6AE5" w:rsidRPr="00FB22B6" w:rsidRDefault="007F6AE5" w:rsidP="00FB22B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Cs w:val="24"/>
        </w:rPr>
      </w:pPr>
      <w:r w:rsidRPr="008502AF">
        <w:rPr>
          <w:rFonts w:ascii="Times New Roman" w:hAnsi="Times New Roman" w:cs="Times New Roman"/>
          <w:b/>
          <w:bCs/>
          <w:szCs w:val="24"/>
        </w:rPr>
        <w:t>Fibrotic diseases:</w:t>
      </w:r>
      <w:r w:rsidRPr="008502AF">
        <w:rPr>
          <w:rFonts w:ascii="Times New Roman" w:hAnsi="Times New Roman" w:cs="Times New Roman"/>
          <w:szCs w:val="24"/>
        </w:rPr>
        <w:t xml:space="preserve"> pulmonary fibrosis, chronic kidney disease, and liver cirrhosis (Aratani &amp; Nakanishi, 2023)</w:t>
      </w:r>
      <w:r w:rsidR="008502AF" w:rsidRPr="008502AF">
        <w:rPr>
          <w:rFonts w:ascii="Times New Roman" w:hAnsi="Times New Roman" w:cs="Times New Roman"/>
          <w:szCs w:val="24"/>
        </w:rPr>
        <w:t>.</w:t>
      </w:r>
    </w:p>
    <w:p w14:paraId="26C75ADE" w14:textId="77777777" w:rsidR="008C413C" w:rsidRPr="00E45163" w:rsidRDefault="008C413C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bookmarkStart w:id="3" w:name="_Hlk217990432"/>
      <w:bookmarkEnd w:id="2"/>
      <w:r w:rsidRPr="00E451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Induction and Detection of Senescence</w:t>
      </w:r>
    </w:p>
    <w:p w14:paraId="48F5B79C" w14:textId="77777777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Senescence may arise from diverse stimuli, including:</w:t>
      </w:r>
    </w:p>
    <w:p w14:paraId="1591C805" w14:textId="77777777" w:rsidR="008C413C" w:rsidRPr="008502AF" w:rsidRDefault="008C413C" w:rsidP="00FB22B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Replicative exhaustion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due to telomere attrition.</w:t>
      </w:r>
    </w:p>
    <w:p w14:paraId="14B33452" w14:textId="77777777" w:rsidR="008C413C" w:rsidRPr="008502AF" w:rsidRDefault="008C413C" w:rsidP="00FB22B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Oncogene-induced senescence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triggered by abnormal Ras or Myc activity.</w:t>
      </w:r>
    </w:p>
    <w:p w14:paraId="39EAF2B9" w14:textId="3393C2DD" w:rsidR="008C413C" w:rsidRPr="008502AF" w:rsidRDefault="008C413C" w:rsidP="00FB22B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DNA damage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caused by oxidative stress, ioni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ing radiation, or chemotherapy.</w:t>
      </w:r>
    </w:p>
    <w:p w14:paraId="056E813F" w14:textId="77777777" w:rsidR="008C413C" w:rsidRPr="008502AF" w:rsidRDefault="008C413C" w:rsidP="00FB22B6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Mitochondrial dysfunction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and metabolic stress (López-Otín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., 2013).</w:t>
      </w:r>
    </w:p>
    <w:p w14:paraId="4A114E02" w14:textId="4A0D5659" w:rsidR="007B7269" w:rsidRPr="00FB22B6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Detection techniques range from histochemical assays (SA-β-gal staining) and flow cytometry for cell cycle inhibitors to molecular profiling of SASP-related gene expression (Raffaele &amp; Vinciguerra, 2022).</w:t>
      </w:r>
    </w:p>
    <w:p w14:paraId="1C9C9844" w14:textId="1EB80C56" w:rsidR="008C413C" w:rsidRPr="00E45163" w:rsidRDefault="008C413C" w:rsidP="00FB22B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E451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Senescence and Age-Related Diseases</w:t>
      </w:r>
    </w:p>
    <w:p w14:paraId="3E8A3608" w14:textId="77777777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Senescent cell accumulation contributes to a variety of chronic disorders:</w:t>
      </w:r>
    </w:p>
    <w:p w14:paraId="574795C4" w14:textId="77777777" w:rsidR="008C413C" w:rsidRPr="008502AF" w:rsidRDefault="008C413C" w:rsidP="00FB22B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Cardiovascular diseases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vascular stiffness, atherosclerotic lesion development, and myocardial fibrosis.</w:t>
      </w:r>
    </w:p>
    <w:p w14:paraId="70495744" w14:textId="77777777" w:rsidR="008C413C" w:rsidRPr="008502AF" w:rsidRDefault="008C413C" w:rsidP="00FB22B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Neurodegenerative disorders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astrocyte and microglial senescence exacerbate neuroinflammation in Alzheimer’s and Parkinson’s disease.</w:t>
      </w:r>
    </w:p>
    <w:p w14:paraId="48A5CE74" w14:textId="77777777" w:rsidR="008C413C" w:rsidRPr="008502AF" w:rsidRDefault="008C413C" w:rsidP="00FB22B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Metabolic dysfunction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adipose tissue senescence promotes insulin resistance and type 2 diabetes.</w:t>
      </w:r>
    </w:p>
    <w:p w14:paraId="1BEE10A2" w14:textId="6A93CAFC" w:rsidR="008C413C" w:rsidRPr="008502AF" w:rsidRDefault="008C413C" w:rsidP="00FB22B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Cancer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while senescence halts tumo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u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 initiation, chronic SASP supports tumo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u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 progression and metastasis.</w:t>
      </w:r>
    </w:p>
    <w:p w14:paraId="04F6E8C2" w14:textId="29ACF5B9" w:rsidR="003E0DCC" w:rsidRPr="00FB22B6" w:rsidRDefault="008C413C" w:rsidP="00FB22B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Fibrosis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senescent fibroblasts are implicated in idiopathic pulmonary fibrosis, chronic kidney disease, and cirrhosis (Aratani &amp; Nakanishi, 2023).</w:t>
      </w:r>
    </w:p>
    <w:p w14:paraId="1F22DAB3" w14:textId="77777777" w:rsidR="00BD417D" w:rsidRDefault="00BD417D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bookmarkStart w:id="4" w:name="_Hlk217990477"/>
      <w:bookmarkEnd w:id="3"/>
    </w:p>
    <w:p w14:paraId="2A4477D0" w14:textId="77777777" w:rsidR="00BD417D" w:rsidRDefault="00BD417D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</w:p>
    <w:p w14:paraId="77A98DD5" w14:textId="172CBC67" w:rsidR="003E0DCC" w:rsidRPr="00AD741F" w:rsidRDefault="008C413C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Senotherapeutic Strategies</w:t>
      </w:r>
    </w:p>
    <w:p w14:paraId="6A603A0F" w14:textId="5AD6EC1F" w:rsidR="008C413C" w:rsidRPr="00FB22B6" w:rsidRDefault="008C413C" w:rsidP="00BD417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Senolytics</w:t>
      </w:r>
      <w:r w:rsidR="00FB22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: 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Senolytic drugs selectively induce apoptosis in senescent cells by targeting pro-survival signal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l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ing pathways, including the BCL-2/BCL-XL and PI3K/AKT networks</w:t>
      </w:r>
      <w:r w:rsidR="007B7269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(Lelarg </w:t>
      </w:r>
      <w:r w:rsidR="007B7269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7B7269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2024).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Prominent examples include:</w:t>
      </w:r>
    </w:p>
    <w:p w14:paraId="08A036FB" w14:textId="612BB375" w:rsidR="008C413C" w:rsidRPr="008502AF" w:rsidRDefault="008C413C" w:rsidP="00BD41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Dasatinib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(tyrosine kinase inhibitor) and </w:t>
      </w: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quercetin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(flavonoid), often used in combination to clear multiple senescent cell types</w:t>
      </w:r>
      <w:r w:rsidR="003930D2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(Zhu </w:t>
      </w:r>
      <w:r w:rsidR="003930D2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3930D2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2015)</w:t>
      </w:r>
      <w:r w:rsidR="00B7294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&amp; (Xu </w:t>
      </w:r>
      <w:r w:rsidR="00B72941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B7294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2018)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</w:p>
    <w:p w14:paraId="0569F362" w14:textId="48FD79A4" w:rsidR="008C413C" w:rsidRPr="008502AF" w:rsidRDefault="008C413C" w:rsidP="00FB22B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Fisetin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a natural flavonoid with broad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enolytic activity.</w:t>
      </w:r>
    </w:p>
    <w:p w14:paraId="4CAAB2EB" w14:textId="77777777" w:rsidR="008C413C" w:rsidRPr="008502AF" w:rsidRDefault="008C413C" w:rsidP="00FB22B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Navitoclax (ABT-263)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a BCL-2 family inhibitor with clinical promise but limited by thrombocytopenia.</w:t>
      </w:r>
    </w:p>
    <w:p w14:paraId="36A983F7" w14:textId="36F04351" w:rsidR="003E0DCC" w:rsidRPr="00FB22B6" w:rsidRDefault="008C413C" w:rsidP="00FB22B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FOXO4-DRI peptide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which disrupts FOXO4–p53 interaction to trigger senescent cell apoptosis (Aratani &amp; Nakanishi, 2023).</w:t>
      </w:r>
      <w:r w:rsidR="003E0DC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</w:p>
    <w:p w14:paraId="24C5A9AD" w14:textId="77777777" w:rsidR="008C413C" w:rsidRPr="00AD741F" w:rsidRDefault="008C413C" w:rsidP="00FB22B6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bookmarkStart w:id="5" w:name="_Hlk217990501"/>
      <w:bookmarkEnd w:id="4"/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Senomorphics</w:t>
      </w:r>
    </w:p>
    <w:p w14:paraId="4E0B25EB" w14:textId="77777777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Senomorphics reprogram senescent cells to reduce SASP without killing them. Notable agents include:</w:t>
      </w:r>
    </w:p>
    <w:p w14:paraId="1CBA7A92" w14:textId="77777777" w:rsidR="008C413C" w:rsidRPr="008502AF" w:rsidRDefault="008C413C" w:rsidP="00FB22B6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Rapamycin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which inhibits mTOR to suppress SASP factor synthesis.</w:t>
      </w:r>
    </w:p>
    <w:p w14:paraId="38FCF07B" w14:textId="77777777" w:rsidR="008C413C" w:rsidRPr="008502AF" w:rsidRDefault="008C413C" w:rsidP="00FB22B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Metformin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which activates AMPK to reduce oxidative stress and inflammation.</w:t>
      </w:r>
    </w:p>
    <w:p w14:paraId="1E8446C6" w14:textId="7A7022DC" w:rsidR="00AD741F" w:rsidRPr="00FB22B6" w:rsidRDefault="008C413C" w:rsidP="00FB22B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JAK inhibitors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such as ruxolitinib, which dampen IL-6–STAT3 signal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l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ing and SASP output</w:t>
      </w:r>
      <w:r w:rsidR="00083EFA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(Matsubayashi </w:t>
      </w:r>
      <w:r w:rsidR="00083EFA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083EFA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2023; Alqahtani </w:t>
      </w:r>
      <w:r w:rsidR="00083EFA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083EFA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2025)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</w:p>
    <w:p w14:paraId="6CA68725" w14:textId="77777777" w:rsidR="008C413C" w:rsidRPr="00AD741F" w:rsidRDefault="008C413C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Evidence from Preclinical and Clinical Studies</w:t>
      </w:r>
    </w:p>
    <w:p w14:paraId="4B9B808A" w14:textId="77777777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Preclinical animal models demonstrate broad therapeutic effects:</w:t>
      </w:r>
    </w:p>
    <w:p w14:paraId="279F0FC4" w14:textId="6D0B10DF" w:rsidR="008C413C" w:rsidRPr="008502AF" w:rsidRDefault="008C413C" w:rsidP="00FB22B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Metabolic diseases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Dasatinib–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Q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uercetin reduced adipose senescence and improved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nsulin sensitivity.</w:t>
      </w:r>
    </w:p>
    <w:p w14:paraId="1C2C9FAE" w14:textId="3D8D1C6F" w:rsidR="008C413C" w:rsidRPr="008502AF" w:rsidRDefault="008C413C" w:rsidP="00FB22B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Cardiovascular health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: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enolytics improved vascular elasticity and reduced hypertrophy.</w:t>
      </w:r>
    </w:p>
    <w:p w14:paraId="76F6A901" w14:textId="77777777" w:rsidR="008C413C" w:rsidRPr="008502AF" w:rsidRDefault="008C413C" w:rsidP="00FB22B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Neurodegeneration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clearance of senescent astrocytes improved cognition and attenuated tau pathology.</w:t>
      </w:r>
    </w:p>
    <w:p w14:paraId="6FBE808C" w14:textId="3804A352" w:rsidR="008C413C" w:rsidRPr="008502AF" w:rsidRDefault="008C413C" w:rsidP="00FB22B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Fibrotic diseases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: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enolytics alleviated pulmonary, renal, and hepatic fibrosis (Raffaele &amp; Vinciguerra, 2022).</w:t>
      </w:r>
    </w:p>
    <w:p w14:paraId="401D6D9F" w14:textId="77777777" w:rsidR="00BD417D" w:rsidRDefault="008C413C" w:rsidP="00BD417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Early human studies show promise. In idiopathic pulmonary fibrosis and diabetic kidney disease, Dasatinib–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Q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uercetin improved physical function and lowered senescence biomarkers 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lastRenderedPageBreak/>
        <w:t xml:space="preserve">(Justice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., 2019; The Lancet Healthy Longevity, 2022). However, larger controlled trials are required to validate efficacy and safety.</w:t>
      </w:r>
    </w:p>
    <w:p w14:paraId="7815C6D5" w14:textId="057C2280" w:rsidR="00AD741F" w:rsidRPr="00BD417D" w:rsidRDefault="008C413C" w:rsidP="00BD417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Veterinary Relevance</w:t>
      </w:r>
      <w:r w:rsidR="00FB22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: 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In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V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eterinary medicine,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enotherapeutics could be applied to extend the healthy lifespan of companion animals and improve productivity in livestock. </w:t>
      </w:r>
      <w:r w:rsidR="0070220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It could be helpful in companion animal research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;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studies in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dogs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and cats are exploring the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potential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of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enotherapeutics to address age</w:t>
      </w:r>
      <w:r w:rsidR="00A16B18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-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relate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con</w:t>
      </w:r>
      <w:r w:rsidR="00B0304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</w:t>
      </w:r>
      <w:r w:rsidR="00F72FC6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ition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="00B0304C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 Common in pets, including arthritis and kidney diseases</w:t>
      </w:r>
      <w:r w:rsidR="00F244FB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Dogs and cats develop osteoarthritis, heart failure, and neurodegenerative conditions similar to humans, suggesting translational potential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(Guelfi </w:t>
      </w:r>
      <w:r w:rsidR="00A26561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2024). </w:t>
      </w:r>
      <w:r w:rsidR="00A62ECA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C</w:t>
      </w:r>
      <w:r w:rsidR="008A7227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ompanion animal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="008A7227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provide valuable transitional mode</w:t>
      </w:r>
      <w:r w:rsidR="00C126BF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ls for human application, as they develop many age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-</w:t>
      </w:r>
      <w:r w:rsidR="00C126BF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related condition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="00C126BF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naturally in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a </w:t>
      </w:r>
      <w:r w:rsidR="00C126BF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shared environment</w:t>
      </w:r>
      <w:r w:rsidR="00EF5A0E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with humans</w:t>
      </w:r>
      <w:r w:rsidR="00A16FF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(Simon </w:t>
      </w:r>
      <w:r w:rsidR="00A16FF1"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="00A16FF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2024).</w:t>
      </w:r>
      <w:r w:rsidR="00EF5A0E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This offers advantages over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traditional</w:t>
      </w:r>
      <w:r w:rsidR="00EF5A0E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laboratory </w:t>
      </w:r>
      <w:r w:rsidR="00A62ECA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animal studies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. </w:t>
      </w:r>
      <w:r w:rsidR="00207CA7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Market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potential</w:t>
      </w:r>
      <w:r w:rsidR="00207CA7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it has</w:t>
      </w:r>
      <w:r w:rsidR="00750275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the clinical</w:t>
      </w:r>
      <w:r w:rsidR="00E4225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trial landscape for senotherapeutics</w:t>
      </w:r>
      <w:r w:rsidR="004C40FD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has rapidly expanded since 2018. </w:t>
      </w:r>
      <w:r w:rsidR="00A2656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Nonetheless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V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eterinary-specific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P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harmacokinetic and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oxicological studies are scarce, and further research is essential</w:t>
      </w:r>
      <w:r w:rsidR="004722D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="004722D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 </w:t>
      </w:r>
    </w:p>
    <w:p w14:paraId="522C4A59" w14:textId="77777777" w:rsidR="008C413C" w:rsidRPr="00AD741F" w:rsidRDefault="008C413C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Challenges and Future Directions</w:t>
      </w:r>
    </w:p>
    <w:p w14:paraId="082D0DC1" w14:textId="77777777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Key challenges include:</w:t>
      </w:r>
    </w:p>
    <w:p w14:paraId="43755B49" w14:textId="04DFDEED" w:rsidR="008C413C" w:rsidRPr="008502AF" w:rsidRDefault="008C413C" w:rsidP="00FB22B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Safety and specificity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: avoiding off-target effects such as thrombocytopenia with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N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avitoclax.</w:t>
      </w:r>
    </w:p>
    <w:p w14:paraId="083BE5E0" w14:textId="77777777" w:rsidR="008C413C" w:rsidRPr="008502AF" w:rsidRDefault="008C413C" w:rsidP="00FB22B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Heterogeneity of senescent cells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requiring tissue-specific or cell-type–selective approaches.</w:t>
      </w:r>
    </w:p>
    <w:p w14:paraId="7CEE7A7E" w14:textId="77777777" w:rsidR="008C413C" w:rsidRPr="008502AF" w:rsidRDefault="008C413C" w:rsidP="00FB22B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Optimal dosing regimens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: intermittent “hit-and-run” dosing may reduce toxicity.</w:t>
      </w:r>
    </w:p>
    <w:p w14:paraId="63DE35D9" w14:textId="5E0F3E02" w:rsidR="008C413C" w:rsidRPr="008502AF" w:rsidRDefault="008C413C" w:rsidP="00FB22B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Translational gaps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: moving from preclinical models to clinical and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V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eterinary practice (Raffaele &amp; Vinciguerra, 2022).</w:t>
      </w:r>
    </w:p>
    <w:p w14:paraId="214111CA" w14:textId="4064BBAD" w:rsidR="00733A12" w:rsidRPr="008502AF" w:rsidRDefault="008C413C" w:rsidP="00FB22B6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Future directions should focus on combination therapies, precision delivery systems, and integration with regenerative medicine strategies.</w:t>
      </w:r>
      <w:r w:rsidR="00E50F87" w:rsidRPr="008502AF">
        <w:rPr>
          <w:rFonts w:ascii="Times New Roman" w:hAnsi="Times New Roman" w:cs="Times New Roman"/>
          <w:szCs w:val="24"/>
        </w:rPr>
        <w:t xml:space="preserve"> Future research should prioriti</w:t>
      </w:r>
      <w:r w:rsidR="00FB22B6">
        <w:rPr>
          <w:rFonts w:ascii="Times New Roman" w:hAnsi="Times New Roman" w:cs="Times New Roman"/>
          <w:szCs w:val="24"/>
        </w:rPr>
        <w:t>s</w:t>
      </w:r>
      <w:r w:rsidR="00E50F87" w:rsidRPr="008502AF">
        <w:rPr>
          <w:rFonts w:ascii="Times New Roman" w:hAnsi="Times New Roman" w:cs="Times New Roman"/>
          <w:szCs w:val="24"/>
        </w:rPr>
        <w:t xml:space="preserve">e precision </w:t>
      </w:r>
      <w:r w:rsidR="00BD417D">
        <w:rPr>
          <w:rFonts w:ascii="Times New Roman" w:hAnsi="Times New Roman" w:cs="Times New Roman"/>
          <w:szCs w:val="24"/>
        </w:rPr>
        <w:t>S</w:t>
      </w:r>
      <w:r w:rsidR="00E50F87" w:rsidRPr="008502AF">
        <w:rPr>
          <w:rFonts w:ascii="Times New Roman" w:hAnsi="Times New Roman" w:cs="Times New Roman"/>
          <w:szCs w:val="24"/>
        </w:rPr>
        <w:t>enotherapeutics, targeted delivery platforms, and combination strategies integrating regenerative medicine.</w:t>
      </w:r>
    </w:p>
    <w:p w14:paraId="43A1648D" w14:textId="5438372E" w:rsidR="008C413C" w:rsidRPr="00AD741F" w:rsidRDefault="008C413C" w:rsidP="00FB22B6">
      <w:p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Conclusion</w:t>
      </w:r>
      <w:r w:rsidR="00AD74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:</w:t>
      </w:r>
    </w:p>
    <w:p w14:paraId="60732291" w14:textId="28AD964E" w:rsidR="00E05381" w:rsidRPr="008502AF" w:rsidRDefault="008C413C" w:rsidP="00FB22B6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Senotherapeutics </w:t>
      </w:r>
      <w:r w:rsidR="00EF4EE2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offers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 transformative approach to the pharmacology of ag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ing by selectively eliminating or reprogramming senescent cells</w:t>
      </w:r>
      <w:r w:rsidR="00EF4EE2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and represents a paradigm shift in pharmacology by targeting ag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e</w:t>
      </w:r>
      <w:r w:rsidR="00EF4EE2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ing itself. With emerging veterinary and human translational evidence, </w:t>
      </w:r>
      <w:r w:rsidR="00BD417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="00EF4EE2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enotherapy may soon become a cornerstone of preventive and therapeutic strategies </w:t>
      </w:r>
      <w:r w:rsidR="00EF4EE2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lastRenderedPageBreak/>
        <w:t>in veterinary medicine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 While early evidence demonstrates potential in treating chronic human and animal diseases, optimi</w:t>
      </w:r>
      <w:r w:rsidR="00FB22B6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ing safety, efficacy, and translational feasibility remains essential. Continued research is expected to establish senotherapeutics as an integral component of future healthcare and veterinary practice</w:t>
      </w:r>
      <w:bookmarkEnd w:id="5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  <w:r w:rsidR="00E05381"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="00E05381" w:rsidRPr="008502AF">
        <w:rPr>
          <w:rFonts w:ascii="Times New Roman" w:hAnsi="Times New Roman" w:cs="Times New Roman"/>
          <w:szCs w:val="24"/>
        </w:rPr>
        <w:t xml:space="preserve">Senotherapeutics </w:t>
      </w:r>
      <w:r w:rsidR="00733A12" w:rsidRPr="008502AF">
        <w:rPr>
          <w:rFonts w:ascii="Times New Roman" w:hAnsi="Times New Roman" w:cs="Times New Roman"/>
          <w:szCs w:val="24"/>
        </w:rPr>
        <w:t>holds</w:t>
      </w:r>
      <w:r w:rsidR="00E05381" w:rsidRPr="008502AF">
        <w:rPr>
          <w:rFonts w:ascii="Times New Roman" w:hAnsi="Times New Roman" w:cs="Times New Roman"/>
          <w:szCs w:val="24"/>
        </w:rPr>
        <w:t xml:space="preserve"> remarkable promise for preventing and treating chronic degenerative disorders in both humans and animals. Continued translational research will be pivotal in establishing these agents as cornerstone interventions in longevity medicine.</w:t>
      </w:r>
    </w:p>
    <w:p w14:paraId="6026341C" w14:textId="349C7B0A" w:rsidR="008C413C" w:rsidRPr="008502AF" w:rsidRDefault="008C413C" w:rsidP="00FB22B6">
      <w:pPr>
        <w:spacing w:after="0" w:line="36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</w:p>
    <w:p w14:paraId="34A9FF86" w14:textId="3CF46DCF" w:rsidR="008C413C" w:rsidRPr="00E45163" w:rsidRDefault="00FB22B6" w:rsidP="00FB22B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bookmarkStart w:id="6" w:name="_Hlk217990527"/>
      <w:r w:rsidRPr="00E451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REFERENCES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 xml:space="preserve">: </w:t>
      </w:r>
    </w:p>
    <w:bookmarkEnd w:id="6"/>
    <w:p w14:paraId="498983CC" w14:textId="77777777" w:rsidR="00733A12" w:rsidRPr="008502AF" w:rsidRDefault="00733A12" w:rsidP="00FB22B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Alqahtani, S., Alameen, A. A., Alshammari, F. D., Aljohani, N. J., &amp; Alqahtani, M. S. (2025). Senescence-associated secretory phenotype modulation for cellular rejuvenation and tissue restoration.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Cells, 14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(8), 608.</w:t>
      </w:r>
    </w:p>
    <w:p w14:paraId="3B9201FA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Aratani, S., &amp; Nakanishi, M. (2023). Recent advances in senolysis for age-related diseases.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Frontiers in Aging, 4,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1–12. </w:t>
      </w:r>
    </w:p>
    <w:p w14:paraId="6B6297A1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Baker, D. J., </w:t>
      </w:r>
      <w:proofErr w:type="spellStart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Wijshake</w:t>
      </w:r>
      <w:proofErr w:type="spellEnd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T., Tchkonia, T., LeBrasseur, N. K., Childs, B. G., van de Sluis, B., Kirkland, J. L., &amp; van Deursen, J. M. (2011). Clearance of p16Ink4a-positive senescent cells delays ageing-associated disorders.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Nature, 479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(7372), 232–236.</w:t>
      </w:r>
    </w:p>
    <w:p w14:paraId="405FE417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Guelfi, G., Ferracini, R., Marengo, B., Fato, R., &amp; Picco, F. (2024). Dog aging: A comprehensive review of molecular mechanisms and related pathways.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Cells, 13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(24), 2101.</w:t>
      </w:r>
    </w:p>
    <w:p w14:paraId="39BE0FB6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Han, Z., Zhang, H., Tao, Z., &amp; Wang, Y. (2024). Cross-talk of inflammation and cellular senescence.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Cell Death Discovery, 10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49</w:t>
      </w:r>
    </w:p>
    <w:p w14:paraId="4B6D8C4A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Justice, J. N., et al. (2019). Senolytics in idiopathic pulmonary fibrosis: Results from a first-in-human, open-label pilot study. </w:t>
      </w:r>
      <w:proofErr w:type="spellStart"/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EBioMedicine</w:t>
      </w:r>
      <w:proofErr w:type="spellEnd"/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, 40,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554–563. </w:t>
      </w:r>
    </w:p>
    <w:p w14:paraId="44ABBE30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Lelarge, V., Bouchard, B., Poirier, M., &amp; Després, J. P. (2024). Senolytics: From pharmacological inhibitors to emerging therapeutic strategies.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NPJ Aging and Mechanisms of Disease, 10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7.</w:t>
      </w:r>
    </w:p>
    <w:p w14:paraId="0BABFFF9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López-Otín, C., Blasco, M. A., Partridge, L., Serrano, M., &amp; Kroemer, G. (2013). The hallmarks of aging.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Cell, 153(6),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1194–1217. </w:t>
      </w:r>
    </w:p>
    <w:p w14:paraId="6087A056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Matsubayashi, S., Fujita, Y., &amp; Yamamoto, M. (2023). Drugs against metabolic diseases as potential senotherapeutics.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Frontiers in Endocrinology, 14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1149337.</w:t>
      </w:r>
    </w:p>
    <w:p w14:paraId="4E1EFBE0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lastRenderedPageBreak/>
        <w:t xml:space="preserve">Muthamil, S., Nirmal, N., &amp; Senthilkumar, K. (2024). Biomarkers of cellular senescence and aging: Current state and future directions.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Advanced Biology, 8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(1), e2300109.</w:t>
      </w:r>
    </w:p>
    <w:p w14:paraId="15B1AB27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Ogrodnik, M., Zhu, Y., Langhi Prata, L. G. P., Tchkonia, T., &amp; Kirkland, J. L. (2024). Guidelines for minimal information on cellular senescence experimentation in vivo (MICSE).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Cell, 187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(2), 340–356.</w:t>
      </w:r>
    </w:p>
    <w:p w14:paraId="5BFFA46C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Raffaele, M., &amp; Vinciguerra, M. (2022). The costs and benefits of senotherapeutics for human health.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The Lancet Healthy Longevity, 3(1),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e67–e77. </w:t>
      </w:r>
    </w:p>
    <w:p w14:paraId="7953B858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Simon, K. E., Reilly, S., Matheson, A., &amp; </w:t>
      </w:r>
      <w:proofErr w:type="spellStart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Kaeberlein</w:t>
      </w:r>
      <w:proofErr w:type="spellEnd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M. (2024). A randomized, controlled clinical trial demonstrates improved owner-assessed cognitive function in senior dogs receiving a senolytic and NAD⁺ precursor combination.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Scientific Reports, 14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1122.</w:t>
      </w:r>
    </w:p>
    <w:p w14:paraId="1BD40481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The Lancet Healthy Longevity. (2022). Pharmacological interventions targeting cellular senescence.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The Lancet Healthy Longevity, 3(2),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91–93. </w:t>
      </w:r>
    </w:p>
    <w:p w14:paraId="2FBD7825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Xu, M., Pirtskhalava, T., Farr, J. N., Weigand, B. M., Palmer, A. K., </w:t>
      </w:r>
      <w:proofErr w:type="spellStart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Weivoda</w:t>
      </w:r>
      <w:proofErr w:type="spellEnd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M. M.,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et al.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(2018). Senolytics improve physical function and increase lifespan in old age.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Nature Medicine, 24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(8), 1246–1256.</w:t>
      </w:r>
    </w:p>
    <w:p w14:paraId="12B6EE86" w14:textId="77777777" w:rsidR="00733A12" w:rsidRPr="008502AF" w:rsidRDefault="00733A12" w:rsidP="00FB22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Zhang, L., Pitcher, L. E., Yousefzadeh, M. J., </w:t>
      </w:r>
      <w:proofErr w:type="spellStart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Niedernhofer</w:t>
      </w:r>
      <w:proofErr w:type="spellEnd"/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L. J., &amp; Robbins, P. D. (2023). Targeting cellular senescence with senotherapeutics. </w:t>
      </w:r>
      <w:r w:rsidRPr="008502AF">
        <w:rPr>
          <w:rFonts w:ascii="Times New Roman" w:eastAsia="Times New Roman" w:hAnsi="Times New Roman" w:cs="Times New Roman"/>
          <w:i/>
          <w:iCs/>
          <w:kern w:val="0"/>
          <w:szCs w:val="24"/>
          <w:lang w:eastAsia="en-IN"/>
          <w14:ligatures w14:val="none"/>
        </w:rPr>
        <w:t>The FEBS Journal, 290</w:t>
      </w:r>
      <w:r w:rsidRPr="008502AF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(3), 636–657.</w:t>
      </w:r>
    </w:p>
    <w:sectPr w:rsidR="00733A12" w:rsidRPr="00850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7E1"/>
    <w:multiLevelType w:val="multilevel"/>
    <w:tmpl w:val="FD0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66BC2"/>
    <w:multiLevelType w:val="multilevel"/>
    <w:tmpl w:val="968A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C78FF"/>
    <w:multiLevelType w:val="multilevel"/>
    <w:tmpl w:val="4320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D6AF1"/>
    <w:multiLevelType w:val="multilevel"/>
    <w:tmpl w:val="D8AA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33A5B"/>
    <w:multiLevelType w:val="multilevel"/>
    <w:tmpl w:val="FE80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514D2"/>
    <w:multiLevelType w:val="multilevel"/>
    <w:tmpl w:val="C01A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A7C7F"/>
    <w:multiLevelType w:val="multilevel"/>
    <w:tmpl w:val="ABC6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330F5"/>
    <w:multiLevelType w:val="multilevel"/>
    <w:tmpl w:val="D332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E6B95"/>
    <w:multiLevelType w:val="multilevel"/>
    <w:tmpl w:val="E6FA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421BF"/>
    <w:multiLevelType w:val="multilevel"/>
    <w:tmpl w:val="C088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50143"/>
    <w:multiLevelType w:val="multilevel"/>
    <w:tmpl w:val="1994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C5CB7"/>
    <w:multiLevelType w:val="multilevel"/>
    <w:tmpl w:val="49D8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D3ADF"/>
    <w:multiLevelType w:val="multilevel"/>
    <w:tmpl w:val="6B56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230AB"/>
    <w:multiLevelType w:val="multilevel"/>
    <w:tmpl w:val="838E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667854">
    <w:abstractNumId w:val="1"/>
  </w:num>
  <w:num w:numId="2" w16cid:durableId="1731688791">
    <w:abstractNumId w:val="8"/>
  </w:num>
  <w:num w:numId="3" w16cid:durableId="1197498805">
    <w:abstractNumId w:val="11"/>
  </w:num>
  <w:num w:numId="4" w16cid:durableId="1123888368">
    <w:abstractNumId w:val="5"/>
  </w:num>
  <w:num w:numId="5" w16cid:durableId="1236162524">
    <w:abstractNumId w:val="6"/>
  </w:num>
  <w:num w:numId="6" w16cid:durableId="1901865186">
    <w:abstractNumId w:val="12"/>
  </w:num>
  <w:num w:numId="7" w16cid:durableId="717316168">
    <w:abstractNumId w:val="4"/>
  </w:num>
  <w:num w:numId="8" w16cid:durableId="79301413">
    <w:abstractNumId w:val="0"/>
  </w:num>
  <w:num w:numId="9" w16cid:durableId="685714615">
    <w:abstractNumId w:val="7"/>
  </w:num>
  <w:num w:numId="10" w16cid:durableId="1285119941">
    <w:abstractNumId w:val="10"/>
  </w:num>
  <w:num w:numId="11" w16cid:durableId="1040976996">
    <w:abstractNumId w:val="9"/>
  </w:num>
  <w:num w:numId="12" w16cid:durableId="1312636790">
    <w:abstractNumId w:val="3"/>
  </w:num>
  <w:num w:numId="13" w16cid:durableId="1128400979">
    <w:abstractNumId w:val="13"/>
  </w:num>
  <w:num w:numId="14" w16cid:durableId="2098863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3C"/>
    <w:rsid w:val="00024771"/>
    <w:rsid w:val="000419B3"/>
    <w:rsid w:val="00056A7A"/>
    <w:rsid w:val="00062338"/>
    <w:rsid w:val="00083EFA"/>
    <w:rsid w:val="00115D8F"/>
    <w:rsid w:val="00207CA7"/>
    <w:rsid w:val="00234200"/>
    <w:rsid w:val="003012E5"/>
    <w:rsid w:val="003930D2"/>
    <w:rsid w:val="003E0DCC"/>
    <w:rsid w:val="004217FE"/>
    <w:rsid w:val="004722D1"/>
    <w:rsid w:val="004C40FD"/>
    <w:rsid w:val="005E1897"/>
    <w:rsid w:val="005E54B4"/>
    <w:rsid w:val="00614D1F"/>
    <w:rsid w:val="00653015"/>
    <w:rsid w:val="00684E02"/>
    <w:rsid w:val="006A0120"/>
    <w:rsid w:val="006B7D5C"/>
    <w:rsid w:val="0070220C"/>
    <w:rsid w:val="00733A12"/>
    <w:rsid w:val="00750275"/>
    <w:rsid w:val="007B7269"/>
    <w:rsid w:val="007F1AFA"/>
    <w:rsid w:val="007F6AE5"/>
    <w:rsid w:val="008329F3"/>
    <w:rsid w:val="0083339E"/>
    <w:rsid w:val="008502AF"/>
    <w:rsid w:val="008A7227"/>
    <w:rsid w:val="008C413C"/>
    <w:rsid w:val="00971865"/>
    <w:rsid w:val="009F53DF"/>
    <w:rsid w:val="00A06B40"/>
    <w:rsid w:val="00A16B18"/>
    <w:rsid w:val="00A16FF1"/>
    <w:rsid w:val="00A26561"/>
    <w:rsid w:val="00A3540E"/>
    <w:rsid w:val="00A62ECA"/>
    <w:rsid w:val="00AB247A"/>
    <w:rsid w:val="00AB3A03"/>
    <w:rsid w:val="00AB7E60"/>
    <w:rsid w:val="00AD741F"/>
    <w:rsid w:val="00B02698"/>
    <w:rsid w:val="00B0304C"/>
    <w:rsid w:val="00B72941"/>
    <w:rsid w:val="00BD417D"/>
    <w:rsid w:val="00C126BF"/>
    <w:rsid w:val="00C54094"/>
    <w:rsid w:val="00D125CE"/>
    <w:rsid w:val="00D82761"/>
    <w:rsid w:val="00E05381"/>
    <w:rsid w:val="00E42251"/>
    <w:rsid w:val="00E45163"/>
    <w:rsid w:val="00E50F87"/>
    <w:rsid w:val="00E80F61"/>
    <w:rsid w:val="00ED1468"/>
    <w:rsid w:val="00ED6A42"/>
    <w:rsid w:val="00EF4EE2"/>
    <w:rsid w:val="00EF5A0E"/>
    <w:rsid w:val="00F00591"/>
    <w:rsid w:val="00F007AC"/>
    <w:rsid w:val="00F244FB"/>
    <w:rsid w:val="00F72FC6"/>
    <w:rsid w:val="00FA7E46"/>
    <w:rsid w:val="00FB22B6"/>
    <w:rsid w:val="00FD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D7D8"/>
  <w15:chartTrackingRefBased/>
  <w15:docId w15:val="{70A495DD-30A3-47CD-AF02-62A539C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13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1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13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1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1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C413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C413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C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1718</Words>
  <Characters>11654</Characters>
  <Application>Microsoft Office Word</Application>
  <DocSecurity>0</DocSecurity>
  <Lines>208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Siddheshwar Wanve</dc:creator>
  <cp:keywords/>
  <dc:description/>
  <cp:lastModifiedBy>Mangesh Ghadigaonkar</cp:lastModifiedBy>
  <cp:revision>6</cp:revision>
  <dcterms:created xsi:type="dcterms:W3CDTF">2026-01-06T13:12:00Z</dcterms:created>
  <dcterms:modified xsi:type="dcterms:W3CDTF">2026-03-23T06:14:00Z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4a0238c8-b7fb-4e13-9535-032284bfb410</vt:lpwstr>
  </property>
</Properties>
</file>