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E54" w:rsidRPr="00C41164" w:rsidRDefault="00EC6E54" w:rsidP="00C41164">
      <w:pPr>
        <w:jc w:val="center"/>
        <w:rPr>
          <w:rFonts w:ascii="Times New Roman" w:hAnsi="Times New Roman" w:cs="Times New Roman"/>
          <w:b/>
          <w:sz w:val="32"/>
          <w:szCs w:val="32"/>
          <w:lang w:val="en-US"/>
        </w:rPr>
      </w:pPr>
      <w:r w:rsidRPr="00C41164">
        <w:rPr>
          <w:rFonts w:ascii="Times New Roman" w:eastAsia="Times New Roman" w:hAnsi="Times New Roman" w:cs="Times New Roman"/>
          <w:b/>
          <w:bCs/>
          <w:kern w:val="36"/>
          <w:sz w:val="32"/>
          <w:szCs w:val="32"/>
          <w:lang w:eastAsia="en-IN"/>
        </w:rPr>
        <w:t xml:space="preserve">ESG </w:t>
      </w:r>
      <w:r w:rsidR="00C41164" w:rsidRPr="00C41164">
        <w:rPr>
          <w:rFonts w:ascii="Times New Roman" w:hAnsi="Times New Roman" w:cs="Times New Roman"/>
          <w:b/>
          <w:sz w:val="32"/>
          <w:szCs w:val="32"/>
          <w:lang w:val="en-US"/>
        </w:rPr>
        <w:t>and Commercial Sustainability: A Commercial Threat and Value Perspective</w:t>
      </w:r>
    </w:p>
    <w:p w:rsidR="00EC6E54" w:rsidRPr="00761EEC" w:rsidRDefault="00EC6E54" w:rsidP="00EC6E54">
      <w:pPr>
        <w:spacing w:before="120" w:after="120" w:line="240" w:lineRule="auto"/>
        <w:jc w:val="center"/>
        <w:outlineLvl w:val="0"/>
        <w:rPr>
          <w:rFonts w:ascii="Times New Roman" w:eastAsia="Times New Roman" w:hAnsi="Times New Roman" w:cs="Times New Roman"/>
          <w:b/>
          <w:bCs/>
          <w:sz w:val="28"/>
          <w:szCs w:val="28"/>
          <w:lang w:eastAsia="en-IN"/>
        </w:rPr>
      </w:pPr>
      <w:r w:rsidRPr="00761EEC">
        <w:rPr>
          <w:rFonts w:ascii="Times New Roman" w:eastAsia="Times New Roman" w:hAnsi="Times New Roman" w:cs="Times New Roman"/>
          <w:b/>
          <w:bCs/>
          <w:sz w:val="28"/>
          <w:szCs w:val="28"/>
          <w:lang w:eastAsia="en-IN"/>
        </w:rPr>
        <w:t>Dr. Ashraf.E</w:t>
      </w:r>
    </w:p>
    <w:p w:rsidR="00EC6E54" w:rsidRPr="00761EEC" w:rsidRDefault="00EC6E54" w:rsidP="00EC6E54">
      <w:pPr>
        <w:spacing w:before="120" w:after="0" w:line="240" w:lineRule="auto"/>
        <w:jc w:val="center"/>
        <w:outlineLvl w:val="0"/>
        <w:rPr>
          <w:rFonts w:ascii="Times New Roman" w:eastAsia="Times New Roman" w:hAnsi="Times New Roman" w:cs="Times New Roman"/>
          <w:b/>
          <w:bCs/>
          <w:vertAlign w:val="superscript"/>
          <w:lang w:eastAsia="en-IN"/>
        </w:rPr>
      </w:pPr>
      <w:r w:rsidRPr="00761EEC">
        <w:rPr>
          <w:rFonts w:ascii="Times New Roman" w:eastAsia="Times New Roman" w:hAnsi="Times New Roman" w:cs="Times New Roman"/>
          <w:b/>
          <w:bCs/>
          <w:lang w:eastAsia="en-IN"/>
        </w:rPr>
        <w:t>Assistant Professor</w:t>
      </w:r>
    </w:p>
    <w:p w:rsidR="00EC6E54" w:rsidRPr="00761EEC" w:rsidRDefault="00EC6E54" w:rsidP="00EC6E54">
      <w:pPr>
        <w:spacing w:after="0" w:line="240" w:lineRule="auto"/>
        <w:jc w:val="center"/>
        <w:outlineLvl w:val="0"/>
        <w:rPr>
          <w:rFonts w:ascii="Times New Roman" w:eastAsia="Times New Roman" w:hAnsi="Times New Roman" w:cs="Times New Roman"/>
          <w:b/>
          <w:bCs/>
          <w:lang w:eastAsia="en-IN"/>
        </w:rPr>
      </w:pPr>
      <w:bookmarkStart w:id="0" w:name="_GoBack"/>
      <w:r w:rsidRPr="00761EEC">
        <w:rPr>
          <w:rFonts w:ascii="Times New Roman" w:eastAsia="Times New Roman" w:hAnsi="Times New Roman" w:cs="Times New Roman"/>
          <w:b/>
          <w:bCs/>
          <w:lang w:eastAsia="en-IN"/>
        </w:rPr>
        <w:t>Postgraduate Deaprtment of Commerce</w:t>
      </w:r>
    </w:p>
    <w:p w:rsidR="00EC6E54" w:rsidRPr="00761EEC" w:rsidRDefault="00EC6E54" w:rsidP="00EC6E54">
      <w:pPr>
        <w:spacing w:after="0" w:line="240" w:lineRule="auto"/>
        <w:jc w:val="center"/>
        <w:outlineLvl w:val="0"/>
        <w:rPr>
          <w:rFonts w:ascii="Times New Roman" w:hAnsi="Times New Roman" w:cs="Times New Roman"/>
          <w:vertAlign w:val="superscript"/>
        </w:rPr>
      </w:pPr>
      <w:r w:rsidRPr="00761EEC">
        <w:rPr>
          <w:rFonts w:ascii="Times New Roman" w:eastAsia="Times New Roman" w:hAnsi="Times New Roman" w:cs="Times New Roman"/>
          <w:b/>
          <w:bCs/>
          <w:lang w:eastAsia="en-IN"/>
        </w:rPr>
        <w:t>N.A.M College Kallikkandy,</w:t>
      </w:r>
      <w:r w:rsidRPr="00761EEC">
        <w:rPr>
          <w:rFonts w:ascii="Times New Roman" w:hAnsi="Times New Roman" w:cs="Times New Roman"/>
        </w:rPr>
        <w:t xml:space="preserve"> Kannur, Kerala</w:t>
      </w:r>
    </w:p>
    <w:bookmarkEnd w:id="0"/>
    <w:p w:rsidR="008F0529" w:rsidRPr="008F0529" w:rsidRDefault="008F0529" w:rsidP="008F0529">
      <w:pPr>
        <w:spacing w:after="0" w:line="240" w:lineRule="auto"/>
        <w:jc w:val="center"/>
        <w:outlineLvl w:val="0"/>
        <w:rPr>
          <w:rFonts w:ascii="Times New Roman" w:eastAsia="Times New Roman" w:hAnsi="Times New Roman" w:cs="Times New Roman"/>
          <w:b/>
          <w:bCs/>
          <w:kern w:val="36"/>
          <w:lang w:eastAsia="en-IN"/>
        </w:rPr>
      </w:pPr>
    </w:p>
    <w:p w:rsidR="006433E0" w:rsidRPr="006433E0" w:rsidRDefault="006433E0" w:rsidP="006433E0">
      <w:pPr>
        <w:spacing w:before="120" w:after="120"/>
        <w:jc w:val="both"/>
        <w:rPr>
          <w:rFonts w:ascii="Times New Roman" w:eastAsia="Times New Roman" w:hAnsi="Times New Roman" w:cs="Times New Roman"/>
          <w:b/>
          <w:sz w:val="28"/>
          <w:szCs w:val="24"/>
          <w:lang w:eastAsia="en-IN"/>
        </w:rPr>
      </w:pPr>
      <w:r w:rsidRPr="006433E0">
        <w:rPr>
          <w:rFonts w:ascii="Times New Roman" w:eastAsia="Times New Roman" w:hAnsi="Times New Roman" w:cs="Times New Roman"/>
          <w:b/>
          <w:sz w:val="28"/>
          <w:szCs w:val="24"/>
          <w:lang w:eastAsia="en-IN"/>
        </w:rPr>
        <w:t xml:space="preserve">Abstract </w:t>
      </w:r>
    </w:p>
    <w:p w:rsidR="00845572" w:rsidRDefault="00845572" w:rsidP="00845572">
      <w:pPr>
        <w:pStyle w:val="NormalWeb"/>
        <w:spacing w:before="120" w:beforeAutospacing="0" w:after="120" w:afterAutospacing="0" w:line="276" w:lineRule="auto"/>
        <w:jc w:val="both"/>
      </w:pPr>
      <w:r w:rsidRPr="00EC6E54">
        <w:rPr>
          <w:lang w:val="en-US"/>
        </w:rPr>
        <w:t xml:space="preserve">Environmental, Social, and Governance( ESG) has come central to commercial strategy worldwide. </w:t>
      </w:r>
      <w:r w:rsidR="00CA70EB" w:rsidRPr="00CA70EB">
        <w:rPr>
          <w:lang w:val="en-US"/>
        </w:rPr>
        <w:t>However, ESG is a framework for business risk management and value preservation rather than philanthropy or activism. This chapter makes the case that ESG is not a moral requirement but rather a tool for lowering risk, safeguarding capital availability, and guaranteeing long-term business sustainability. by combining the concepts of fiscal threat pricing, agency proposition, legality proposition, and stakeholder proposition.</w:t>
      </w:r>
      <w:r w:rsidRPr="00EC6E54">
        <w:rPr>
          <w:lang w:val="en-US"/>
        </w:rPr>
        <w:t xml:space="preserve"> </w:t>
      </w:r>
      <w:r>
        <w:rPr>
          <w:lang w:val="en-US"/>
        </w:rPr>
        <w:t>T</w:t>
      </w:r>
      <w:r w:rsidRPr="00EC6E54">
        <w:rPr>
          <w:lang w:val="en-US"/>
        </w:rPr>
        <w:t>h</w:t>
      </w:r>
      <w:r>
        <w:rPr>
          <w:lang w:val="en-US"/>
        </w:rPr>
        <w:t xml:space="preserve">is </w:t>
      </w:r>
      <w:r w:rsidRPr="00EC6E54">
        <w:rPr>
          <w:lang w:val="en-US"/>
        </w:rPr>
        <w:t xml:space="preserve">chapter </w:t>
      </w:r>
      <w:r>
        <w:rPr>
          <w:lang w:val="en-US"/>
        </w:rPr>
        <w:t>make an attempt to explain</w:t>
      </w:r>
      <w:r w:rsidRPr="00EC6E54">
        <w:rPr>
          <w:lang w:val="en-US"/>
        </w:rPr>
        <w:t xml:space="preserve"> how ESG capability reduces  functional  threat, </w:t>
      </w:r>
      <w:r>
        <w:rPr>
          <w:lang w:val="en-US"/>
        </w:rPr>
        <w:t>imporve</w:t>
      </w:r>
      <w:r w:rsidRPr="00EC6E54">
        <w:rPr>
          <w:lang w:val="en-US"/>
        </w:rPr>
        <w:t xml:space="preserve"> stakeholder trust, </w:t>
      </w:r>
      <w:r>
        <w:rPr>
          <w:lang w:val="en-US"/>
        </w:rPr>
        <w:t>minimize</w:t>
      </w:r>
      <w:r w:rsidRPr="00EC6E54">
        <w:rPr>
          <w:lang w:val="en-US"/>
        </w:rPr>
        <w:t xml:space="preserve"> cost of capital, and enhances </w:t>
      </w:r>
      <w:r>
        <w:rPr>
          <w:lang w:val="en-US"/>
        </w:rPr>
        <w:t>companies</w:t>
      </w:r>
      <w:r w:rsidRPr="00EC6E54">
        <w:rPr>
          <w:lang w:val="en-US"/>
        </w:rPr>
        <w:t xml:space="preserve"> value. </w:t>
      </w:r>
      <w:r w:rsidR="00CA70EB" w:rsidRPr="00CA70EB">
        <w:rPr>
          <w:lang w:val="en-US"/>
        </w:rPr>
        <w:t xml:space="preserve">Additionally, it looks at ESG challenges as valuation </w:t>
      </w:r>
      <w:r w:rsidR="00CA70EB">
        <w:rPr>
          <w:lang w:val="en-US"/>
        </w:rPr>
        <w:t>catalysts</w:t>
      </w:r>
      <w:r w:rsidR="00CA70EB" w:rsidRPr="00CA70EB">
        <w:rPr>
          <w:lang w:val="en-US"/>
        </w:rPr>
        <w:t xml:space="preserve"> that lead to unusual returns and heightened perceptions of danger.</w:t>
      </w:r>
      <w:r w:rsidRPr="00EC6E54">
        <w:rPr>
          <w:lang w:val="en-US"/>
        </w:rPr>
        <w:t xml:space="preserve">. </w:t>
      </w:r>
      <w:r>
        <w:t>Further, it provids a corporate-focused interpretation of ESG issues that is relevant to directors, policymakers, and researchers.</w:t>
      </w:r>
    </w:p>
    <w:p w:rsidR="006433E0" w:rsidRPr="006433E0" w:rsidRDefault="00845572" w:rsidP="00845572">
      <w:pPr>
        <w:pStyle w:val="NormalWeb"/>
        <w:spacing w:before="120" w:beforeAutospacing="0" w:after="120" w:afterAutospacing="0" w:line="276" w:lineRule="auto"/>
        <w:jc w:val="both"/>
      </w:pPr>
      <w:r>
        <w:t>Keywords: ESG, corporate sustainability, governance, cost of capital, controversies, company value</w:t>
      </w:r>
    </w:p>
    <w:p w:rsidR="00845572" w:rsidRPr="007D377C" w:rsidRDefault="00845572" w:rsidP="00845572">
      <w:pPr>
        <w:spacing w:before="120" w:after="120"/>
        <w:jc w:val="both"/>
        <w:rPr>
          <w:rFonts w:ascii="Times New Roman" w:hAnsi="Times New Roman" w:cs="Times New Roman"/>
          <w:b/>
          <w:sz w:val="28"/>
          <w:szCs w:val="24"/>
          <w:lang w:val="en-US"/>
        </w:rPr>
      </w:pPr>
      <w:r w:rsidRPr="007D377C">
        <w:rPr>
          <w:rFonts w:ascii="Times New Roman" w:hAnsi="Times New Roman" w:cs="Times New Roman"/>
          <w:b/>
          <w:sz w:val="28"/>
          <w:szCs w:val="24"/>
          <w:lang w:val="en-US"/>
        </w:rPr>
        <w:t>Introduction</w:t>
      </w:r>
    </w:p>
    <w:p w:rsidR="00845572" w:rsidRDefault="00845572" w:rsidP="00845572">
      <w:pPr>
        <w:pStyle w:val="NormalWeb"/>
        <w:spacing w:before="120" w:beforeAutospacing="0" w:after="120" w:afterAutospacing="0" w:line="276" w:lineRule="auto"/>
        <w:jc w:val="both"/>
      </w:pPr>
      <w:r>
        <w:t>During the past decade, ESG issues have shifted from voluntary reporting to a corporate strategic focus. Moreover, investors, governments, and consumers assess firms on the basis of environmental, social, and governance criteria.</w:t>
      </w:r>
    </w:p>
    <w:p w:rsidR="00845572" w:rsidRDefault="00845572" w:rsidP="00845572">
      <w:pPr>
        <w:pStyle w:val="NormalWeb"/>
        <w:spacing w:before="120" w:beforeAutospacing="0" w:after="120" w:afterAutospacing="0" w:line="276" w:lineRule="auto"/>
        <w:jc w:val="both"/>
      </w:pPr>
      <w:r>
        <w:t>However, from the managerial perspective, ESG issues are not about “doing good”, they are about risk management and corporate survival.</w:t>
      </w:r>
    </w:p>
    <w:p w:rsidR="00845572" w:rsidRDefault="00845572" w:rsidP="00845572">
      <w:pPr>
        <w:pStyle w:val="NormalWeb"/>
        <w:spacing w:before="120" w:beforeAutospacing="0" w:after="120" w:afterAutospacing="0" w:line="276" w:lineRule="auto"/>
        <w:jc w:val="both"/>
      </w:pPr>
      <w:r>
        <w:t>Managers analyse decisions on the basis of four fundamental questions:</w:t>
      </w:r>
    </w:p>
    <w:p w:rsidR="00845572" w:rsidRPr="00CA70EB" w:rsidRDefault="00845572" w:rsidP="00CA70EB">
      <w:pPr>
        <w:pStyle w:val="NormalWeb"/>
        <w:spacing w:before="120" w:beforeAutospacing="0" w:after="120" w:afterAutospacing="0" w:line="276" w:lineRule="auto"/>
        <w:jc w:val="both"/>
      </w:pPr>
      <w:r w:rsidRPr="00CA70EB">
        <w:t>Does this raise costs?</w:t>
      </w:r>
    </w:p>
    <w:p w:rsidR="00CA70EB" w:rsidRPr="00CA70EB" w:rsidRDefault="00CA70EB" w:rsidP="00CA70EB">
      <w:pPr>
        <w:spacing w:before="120" w:after="120"/>
        <w:jc w:val="both"/>
        <w:rPr>
          <w:rFonts w:ascii="Times New Roman" w:eastAsia="Times New Roman" w:hAnsi="Times New Roman" w:cs="Times New Roman"/>
          <w:sz w:val="24"/>
          <w:szCs w:val="24"/>
          <w:lang w:eastAsia="en-IN"/>
        </w:rPr>
      </w:pPr>
      <w:r w:rsidRPr="00CA70EB">
        <w:rPr>
          <w:rFonts w:ascii="Times New Roman" w:eastAsia="Times New Roman" w:hAnsi="Times New Roman" w:cs="Times New Roman"/>
          <w:sz w:val="24"/>
          <w:szCs w:val="24"/>
          <w:lang w:eastAsia="en-IN"/>
        </w:rPr>
        <w:t>Does this create risks?</w:t>
      </w:r>
    </w:p>
    <w:p w:rsidR="00CA70EB" w:rsidRPr="00CA70EB" w:rsidRDefault="00CA70EB" w:rsidP="00CA70EB">
      <w:pPr>
        <w:spacing w:before="120" w:after="120"/>
        <w:jc w:val="both"/>
        <w:rPr>
          <w:rFonts w:ascii="Times New Roman" w:eastAsia="Times New Roman" w:hAnsi="Times New Roman" w:cs="Times New Roman"/>
          <w:sz w:val="24"/>
          <w:szCs w:val="24"/>
          <w:lang w:eastAsia="en-IN"/>
        </w:rPr>
      </w:pPr>
      <w:r w:rsidRPr="00CA70EB">
        <w:rPr>
          <w:rFonts w:ascii="Times New Roman" w:eastAsia="Times New Roman" w:hAnsi="Times New Roman" w:cs="Times New Roman"/>
          <w:sz w:val="24"/>
          <w:szCs w:val="24"/>
          <w:lang w:eastAsia="en-IN"/>
        </w:rPr>
        <w:t>Will investors react?</w:t>
      </w:r>
    </w:p>
    <w:p w:rsidR="00CA70EB" w:rsidRPr="00CA70EB" w:rsidRDefault="00CA70EB" w:rsidP="00CA70EB">
      <w:pPr>
        <w:spacing w:before="120" w:after="120"/>
        <w:jc w:val="both"/>
        <w:rPr>
          <w:rFonts w:ascii="Times New Roman" w:eastAsia="Times New Roman" w:hAnsi="Times New Roman" w:cs="Times New Roman"/>
          <w:sz w:val="24"/>
          <w:szCs w:val="24"/>
          <w:lang w:eastAsia="en-IN"/>
        </w:rPr>
      </w:pPr>
      <w:r w:rsidRPr="00CA70EB">
        <w:rPr>
          <w:rFonts w:ascii="Times New Roman" w:eastAsia="Times New Roman" w:hAnsi="Times New Roman" w:cs="Times New Roman"/>
          <w:sz w:val="24"/>
          <w:szCs w:val="24"/>
          <w:lang w:eastAsia="en-IN"/>
        </w:rPr>
        <w:t>Are regulators going to intervene?</w:t>
      </w:r>
    </w:p>
    <w:p w:rsidR="00CA70EB" w:rsidRPr="00CA70EB" w:rsidRDefault="00CA70EB" w:rsidP="00CA70EB">
      <w:pPr>
        <w:spacing w:before="120" w:after="120"/>
        <w:jc w:val="both"/>
        <w:rPr>
          <w:rFonts w:ascii="Times New Roman" w:eastAsia="Times New Roman" w:hAnsi="Times New Roman" w:cs="Times New Roman"/>
          <w:sz w:val="24"/>
          <w:szCs w:val="24"/>
          <w:lang w:eastAsia="en-IN"/>
        </w:rPr>
      </w:pPr>
      <w:r w:rsidRPr="00CA70EB">
        <w:rPr>
          <w:rFonts w:ascii="Times New Roman" w:eastAsia="Times New Roman" w:hAnsi="Times New Roman" w:cs="Times New Roman"/>
          <w:sz w:val="24"/>
          <w:szCs w:val="24"/>
          <w:lang w:eastAsia="en-IN"/>
        </w:rPr>
        <w:t>ESG factors are pertinent exclusively when they influence these four domains. Therefore, ESG should be regarded as a business strategy, rather than merely a social initiative.</w:t>
      </w:r>
    </w:p>
    <w:p w:rsidR="00CA70EB" w:rsidRPr="00CA70EB" w:rsidRDefault="00CA70EB" w:rsidP="00CA70EB">
      <w:pPr>
        <w:spacing w:before="120" w:after="120"/>
        <w:jc w:val="both"/>
        <w:rPr>
          <w:rFonts w:ascii="Times New Roman" w:eastAsia="Times New Roman" w:hAnsi="Times New Roman" w:cs="Times New Roman"/>
          <w:b/>
          <w:sz w:val="28"/>
          <w:szCs w:val="24"/>
          <w:lang w:eastAsia="en-IN"/>
        </w:rPr>
      </w:pPr>
      <w:r w:rsidRPr="00CA70EB">
        <w:rPr>
          <w:rFonts w:ascii="Times New Roman" w:eastAsia="Times New Roman" w:hAnsi="Times New Roman" w:cs="Times New Roman"/>
          <w:b/>
          <w:sz w:val="28"/>
          <w:szCs w:val="24"/>
          <w:lang w:eastAsia="en-IN"/>
        </w:rPr>
        <w:t>Conceptual Basis</w:t>
      </w:r>
    </w:p>
    <w:p w:rsidR="00CA70EB" w:rsidRPr="00CA70EB" w:rsidRDefault="00CA70EB" w:rsidP="00CA70EB">
      <w:pPr>
        <w:spacing w:before="120" w:after="120"/>
        <w:jc w:val="both"/>
        <w:rPr>
          <w:rFonts w:ascii="Times New Roman" w:eastAsia="Times New Roman" w:hAnsi="Times New Roman" w:cs="Times New Roman"/>
          <w:b/>
          <w:sz w:val="24"/>
          <w:szCs w:val="24"/>
          <w:lang w:eastAsia="en-IN"/>
        </w:rPr>
      </w:pPr>
      <w:r w:rsidRPr="00CA70EB">
        <w:rPr>
          <w:rFonts w:ascii="Times New Roman" w:eastAsia="Times New Roman" w:hAnsi="Times New Roman" w:cs="Times New Roman"/>
          <w:b/>
          <w:sz w:val="24"/>
          <w:szCs w:val="24"/>
          <w:lang w:eastAsia="en-IN"/>
        </w:rPr>
        <w:t>Theory of stakeholders</w:t>
      </w:r>
    </w:p>
    <w:p w:rsidR="00CA70EB" w:rsidRPr="00CA70EB" w:rsidRDefault="00CA70EB" w:rsidP="00CA70EB">
      <w:pPr>
        <w:spacing w:before="120" w:after="120"/>
        <w:jc w:val="both"/>
        <w:rPr>
          <w:rFonts w:ascii="Times New Roman" w:eastAsia="Times New Roman" w:hAnsi="Times New Roman" w:cs="Times New Roman"/>
          <w:sz w:val="24"/>
          <w:szCs w:val="24"/>
          <w:lang w:eastAsia="en-IN"/>
        </w:rPr>
      </w:pPr>
      <w:r w:rsidRPr="00CA70EB">
        <w:rPr>
          <w:rFonts w:ascii="Times New Roman" w:eastAsia="Times New Roman" w:hAnsi="Times New Roman" w:cs="Times New Roman"/>
          <w:sz w:val="24"/>
          <w:szCs w:val="24"/>
          <w:lang w:eastAsia="en-IN"/>
        </w:rPr>
        <w:lastRenderedPageBreak/>
        <w:t>This theory highlights the reliance of businesses on different stakeholders: employees, customers, suppliers, communities, and investors. When stakeholders have confidence in the business, business operations become more consistent. ESG investments foster stakeholder confidence and reduce conflict.</w:t>
      </w:r>
    </w:p>
    <w:p w:rsidR="00CA70EB" w:rsidRPr="00CA70EB" w:rsidRDefault="00CA70EB" w:rsidP="00CA70EB">
      <w:pPr>
        <w:spacing w:before="120" w:after="120"/>
        <w:jc w:val="both"/>
        <w:rPr>
          <w:rFonts w:ascii="Times New Roman" w:eastAsia="Times New Roman" w:hAnsi="Times New Roman" w:cs="Times New Roman"/>
          <w:b/>
          <w:sz w:val="24"/>
          <w:szCs w:val="24"/>
          <w:lang w:eastAsia="en-IN"/>
        </w:rPr>
      </w:pPr>
      <w:r w:rsidRPr="00CA70EB">
        <w:rPr>
          <w:rFonts w:ascii="Times New Roman" w:eastAsia="Times New Roman" w:hAnsi="Times New Roman" w:cs="Times New Roman"/>
          <w:b/>
          <w:sz w:val="24"/>
          <w:szCs w:val="24"/>
          <w:lang w:eastAsia="en-IN"/>
        </w:rPr>
        <w:t>Theory of Legitimacy</w:t>
      </w:r>
    </w:p>
    <w:p w:rsidR="00CA70EB" w:rsidRPr="00CA70EB" w:rsidRDefault="00CA70EB" w:rsidP="00CA70EB">
      <w:pPr>
        <w:spacing w:before="120" w:after="120"/>
        <w:jc w:val="both"/>
        <w:rPr>
          <w:rFonts w:ascii="Times New Roman" w:eastAsia="Times New Roman" w:hAnsi="Times New Roman" w:cs="Times New Roman"/>
          <w:sz w:val="24"/>
          <w:szCs w:val="24"/>
          <w:lang w:eastAsia="en-IN"/>
        </w:rPr>
      </w:pPr>
      <w:r w:rsidRPr="00CA70EB">
        <w:rPr>
          <w:rFonts w:ascii="Times New Roman" w:eastAsia="Times New Roman" w:hAnsi="Times New Roman" w:cs="Times New Roman"/>
          <w:sz w:val="24"/>
          <w:szCs w:val="24"/>
          <w:lang w:eastAsia="en-IN"/>
        </w:rPr>
        <w:t>"Legitimacy theory is a framework highlighting how an organization functions within societal values and norms, focusing on a social contract between businesses and society that directs their relationship and expectations, incorporating non-financial disclosures regarding environmental and social matters."</w:t>
      </w:r>
    </w:p>
    <w:p w:rsidR="00845572" w:rsidRPr="0081170A" w:rsidRDefault="00845572" w:rsidP="00845572">
      <w:pPr>
        <w:spacing w:before="120" w:after="120"/>
        <w:jc w:val="both"/>
        <w:rPr>
          <w:rFonts w:ascii="Times New Roman" w:hAnsi="Times New Roman" w:cs="Times New Roman"/>
          <w:b/>
          <w:sz w:val="24"/>
          <w:szCs w:val="24"/>
          <w:lang w:val="en-US"/>
        </w:rPr>
      </w:pPr>
      <w:r w:rsidRPr="0081170A">
        <w:rPr>
          <w:rFonts w:ascii="Times New Roman" w:hAnsi="Times New Roman" w:cs="Times New Roman"/>
          <w:b/>
          <w:sz w:val="24"/>
          <w:szCs w:val="24"/>
          <w:lang w:val="en-US"/>
        </w:rPr>
        <w:t xml:space="preserve">Agency Theory </w:t>
      </w:r>
    </w:p>
    <w:p w:rsidR="00845572" w:rsidRPr="007D377C" w:rsidRDefault="00845572" w:rsidP="00845572">
      <w:pPr>
        <w:spacing w:before="120" w:after="120"/>
        <w:jc w:val="both"/>
        <w:rPr>
          <w:rFonts w:ascii="Times New Roman" w:hAnsi="Times New Roman" w:cs="Times New Roman"/>
          <w:sz w:val="24"/>
          <w:szCs w:val="24"/>
          <w:lang w:val="en-US"/>
        </w:rPr>
      </w:pPr>
      <w:r>
        <w:rPr>
          <w:rFonts w:ascii="Times New Roman" w:hAnsi="Times New Roman" w:cs="Times New Roman"/>
          <w:sz w:val="24"/>
          <w:szCs w:val="24"/>
        </w:rPr>
        <w:t xml:space="preserve">This theory is used to realize the relationship between the managers and shareholders. </w:t>
      </w:r>
      <w:r w:rsidRPr="007D377C">
        <w:rPr>
          <w:rFonts w:ascii="Times New Roman" w:hAnsi="Times New Roman" w:cs="Times New Roman"/>
          <w:sz w:val="24"/>
          <w:szCs w:val="24"/>
        </w:rPr>
        <w:t>Business managers face pressure to perform short-term rather than long-term. Effective governance mechanisms mitigate the</w:t>
      </w:r>
      <w:r>
        <w:rPr>
          <w:rFonts w:ascii="Times New Roman" w:hAnsi="Times New Roman" w:cs="Times New Roman"/>
          <w:sz w:val="24"/>
          <w:szCs w:val="24"/>
        </w:rPr>
        <w:t>shareholders</w:t>
      </w:r>
      <w:r w:rsidRPr="007D377C">
        <w:rPr>
          <w:rFonts w:ascii="Times New Roman" w:hAnsi="Times New Roman" w:cs="Times New Roman"/>
          <w:sz w:val="24"/>
          <w:szCs w:val="24"/>
        </w:rPr>
        <w:t xml:space="preserve"> problem by aligning managers’ incentives with long-term ESG objectives</w:t>
      </w:r>
      <w:r w:rsidRPr="007D377C">
        <w:rPr>
          <w:rFonts w:ascii="Times New Roman" w:hAnsi="Times New Roman" w:cs="Times New Roman"/>
          <w:sz w:val="24"/>
          <w:szCs w:val="24"/>
          <w:lang w:val="en-US"/>
        </w:rPr>
        <w:t xml:space="preserve"> </w:t>
      </w:r>
    </w:p>
    <w:p w:rsidR="00845572" w:rsidRPr="0056537D" w:rsidRDefault="00845572" w:rsidP="00845572">
      <w:pPr>
        <w:pStyle w:val="NormalWeb"/>
        <w:spacing w:before="120" w:beforeAutospacing="0" w:after="120" w:afterAutospacing="0" w:line="276" w:lineRule="auto"/>
        <w:rPr>
          <w:b/>
        </w:rPr>
      </w:pPr>
      <w:r w:rsidRPr="0056537D">
        <w:rPr>
          <w:b/>
        </w:rPr>
        <w:t>Resource-Based View (RBV)</w:t>
      </w:r>
    </w:p>
    <w:p w:rsidR="00845572" w:rsidRDefault="00845572" w:rsidP="00845572">
      <w:pPr>
        <w:pStyle w:val="NormalWeb"/>
        <w:spacing w:before="120" w:beforeAutospacing="0" w:after="120" w:afterAutospacing="0" w:line="276" w:lineRule="auto"/>
        <w:jc w:val="both"/>
      </w:pPr>
      <w:r w:rsidRPr="007D377C">
        <w:t xml:space="preserve">ESG investment can be viewed as a strategic resource. </w:t>
      </w:r>
      <w:r w:rsidRPr="00602C55">
        <w:t>Companies that set up solid environmental processes, ethical supplier chains, and governance systems have a competitive edge that others can't copy.</w:t>
      </w:r>
    </w:p>
    <w:p w:rsidR="00CA70EB" w:rsidRDefault="00845572" w:rsidP="00845572">
      <w:pPr>
        <w:pStyle w:val="NormalWeb"/>
        <w:spacing w:before="120" w:beforeAutospacing="0" w:after="120" w:afterAutospacing="0" w:line="276" w:lineRule="auto"/>
        <w:rPr>
          <w:b/>
        </w:rPr>
      </w:pPr>
      <w:r w:rsidRPr="0056537D">
        <w:rPr>
          <w:b/>
        </w:rPr>
        <w:t xml:space="preserve">Financial-Economic Model </w:t>
      </w:r>
      <w:r w:rsidR="00CA70EB">
        <w:rPr>
          <w:b/>
        </w:rPr>
        <w:t>baed on Risk Pricing</w:t>
      </w:r>
    </w:p>
    <w:p w:rsidR="00845572" w:rsidRPr="007D377C" w:rsidRDefault="00845572" w:rsidP="00845572">
      <w:pPr>
        <w:pStyle w:val="NormalWeb"/>
        <w:spacing w:before="120" w:beforeAutospacing="0" w:after="120" w:afterAutospacing="0" w:line="276" w:lineRule="auto"/>
      </w:pPr>
      <w:r w:rsidRPr="007D377C">
        <w:t xml:space="preserve">Finance is at the core of business decision-making. </w:t>
      </w:r>
      <w:r w:rsidR="00CA70EB">
        <w:t>A simple structural model is</w:t>
      </w:r>
    </w:p>
    <w:p w:rsidR="00845572" w:rsidRDefault="00845572" w:rsidP="00845572">
      <w:pPr>
        <w:pStyle w:val="NormalWeb"/>
        <w:spacing w:before="120" w:beforeAutospacing="0" w:after="120" w:afterAutospacing="0" w:line="276" w:lineRule="auto"/>
        <w:jc w:val="center"/>
      </w:pPr>
      <w:r w:rsidRPr="007D377C">
        <w:t>Firm Value = f(Financial Controls, Operational Risk, ESG Capability, Governance, Macroeconomic Controls)</w:t>
      </w:r>
    </w:p>
    <w:p w:rsidR="00845572" w:rsidRPr="007D377C" w:rsidRDefault="00845572" w:rsidP="00845572">
      <w:pPr>
        <w:pStyle w:val="NormalWeb"/>
        <w:spacing w:before="120" w:beforeAutospacing="0" w:after="120" w:afterAutospacing="0" w:line="276" w:lineRule="auto"/>
        <w:jc w:val="both"/>
      </w:pPr>
      <w:r w:rsidRPr="007D377C">
        <w:t>Where:</w:t>
      </w:r>
    </w:p>
    <w:p w:rsidR="00845572" w:rsidRPr="007D377C" w:rsidRDefault="00845572" w:rsidP="00845572">
      <w:pPr>
        <w:pStyle w:val="NormalWeb"/>
        <w:spacing w:before="120" w:beforeAutospacing="0" w:after="120" w:afterAutospacing="0" w:line="276" w:lineRule="auto"/>
        <w:jc w:val="both"/>
      </w:pPr>
      <w:r w:rsidRPr="007D377C">
        <w:t>ESG Capability decreases the expected future volatility of operational and regulatory cash flows.</w:t>
      </w:r>
    </w:p>
    <w:p w:rsidR="00845572" w:rsidRDefault="00845572" w:rsidP="00845572">
      <w:pPr>
        <w:pStyle w:val="NormalWeb"/>
        <w:spacing w:before="120" w:beforeAutospacing="0" w:after="120" w:afterAutospacing="0" w:line="276" w:lineRule="auto"/>
        <w:jc w:val="both"/>
      </w:pPr>
      <w:r w:rsidRPr="007D377C">
        <w:t>ESG Contro</w:t>
      </w:r>
      <w:r>
        <w:t>versies increase perceived risk</w:t>
      </w:r>
      <w:r w:rsidRPr="007D377C">
        <w:t xml:space="preserve"> </w:t>
      </w:r>
      <w:r w:rsidRPr="00DB68FB">
        <w:t>which consequently elevates the anticipated</w:t>
      </w:r>
      <w:r>
        <w:t xml:space="preserve"> cost of capital.</w:t>
      </w:r>
    </w:p>
    <w:p w:rsidR="00845572" w:rsidRDefault="00845572" w:rsidP="00845572">
      <w:pPr>
        <w:pStyle w:val="NormalWeb"/>
        <w:spacing w:before="120" w:beforeAutospacing="0" w:after="120" w:afterAutospacing="0" w:line="276" w:lineRule="auto"/>
        <w:jc w:val="both"/>
      </w:pPr>
      <w:r w:rsidRPr="007D377C">
        <w:t xml:space="preserve">This corresponds to traditional asset pricing theory: lower expected volatility and better governance imply lower risk premium and higher valuation. </w:t>
      </w:r>
      <w:r w:rsidRPr="00845572">
        <w:t xml:space="preserve">The cost of capital and ESG ratings have been demonstrated to be significantly correlated by </w:t>
      </w:r>
      <w:r w:rsidRPr="007D377C">
        <w:t>Empirical research in the industry</w:t>
      </w:r>
    </w:p>
    <w:p w:rsidR="006433E0" w:rsidRPr="006433E0" w:rsidRDefault="006433E0" w:rsidP="00845572">
      <w:pPr>
        <w:pStyle w:val="NormalWeb"/>
        <w:spacing w:before="120" w:beforeAutospacing="0" w:after="120" w:afterAutospacing="0" w:line="276" w:lineRule="auto"/>
        <w:jc w:val="both"/>
        <w:rPr>
          <w:b/>
          <w:sz w:val="28"/>
        </w:rPr>
      </w:pPr>
      <w:r w:rsidRPr="006433E0">
        <w:rPr>
          <w:b/>
          <w:sz w:val="28"/>
        </w:rPr>
        <w:t xml:space="preserve">Literature Review </w:t>
      </w:r>
    </w:p>
    <w:p w:rsidR="006433E0" w:rsidRPr="006433E0" w:rsidRDefault="006433E0" w:rsidP="006433E0">
      <w:pPr>
        <w:spacing w:before="120" w:after="120"/>
        <w:jc w:val="both"/>
        <w:rPr>
          <w:rFonts w:ascii="Times New Roman" w:eastAsia="Times New Roman" w:hAnsi="Times New Roman" w:cs="Times New Roman"/>
          <w:b/>
          <w:sz w:val="24"/>
          <w:szCs w:val="24"/>
          <w:lang w:eastAsia="en-IN"/>
        </w:rPr>
      </w:pPr>
      <w:r w:rsidRPr="006433E0">
        <w:rPr>
          <w:rFonts w:ascii="Times New Roman" w:eastAsia="Times New Roman" w:hAnsi="Times New Roman" w:cs="Times New Roman"/>
          <w:b/>
          <w:sz w:val="24"/>
          <w:szCs w:val="24"/>
          <w:lang w:eastAsia="en-IN"/>
        </w:rPr>
        <w:t>Meta-studies and bibliometric syntheses</w:t>
      </w:r>
    </w:p>
    <w:p w:rsidR="006433E0" w:rsidRPr="006433E0" w:rsidRDefault="006433E0" w:rsidP="006433E0">
      <w:p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There is an increasing number of meta-analyses and bibliometric syntheses that present mixed but enlightening evidence: ESG-firm performance links are industry-, region-, and method-specific; negative valuation effects of controversy events are robust; and measurement heterogeneity is a fundamental challenge.</w:t>
      </w:r>
    </w:p>
    <w:p w:rsidR="006433E0" w:rsidRPr="006433E0" w:rsidRDefault="006433E0" w:rsidP="006433E0">
      <w:pPr>
        <w:spacing w:before="120" w:after="120"/>
        <w:jc w:val="both"/>
        <w:rPr>
          <w:rFonts w:ascii="Times New Roman" w:eastAsia="Times New Roman" w:hAnsi="Times New Roman" w:cs="Times New Roman"/>
          <w:b/>
          <w:sz w:val="24"/>
          <w:szCs w:val="24"/>
          <w:lang w:eastAsia="en-IN"/>
        </w:rPr>
      </w:pPr>
      <w:r w:rsidRPr="006433E0">
        <w:rPr>
          <w:rFonts w:ascii="Times New Roman" w:eastAsia="Times New Roman" w:hAnsi="Times New Roman" w:cs="Times New Roman"/>
          <w:b/>
          <w:sz w:val="24"/>
          <w:szCs w:val="24"/>
          <w:lang w:eastAsia="en-IN"/>
        </w:rPr>
        <w:lastRenderedPageBreak/>
        <w:t xml:space="preserve">ESG and Cost of Capital </w:t>
      </w:r>
    </w:p>
    <w:p w:rsidR="006433E0" w:rsidRPr="006433E0" w:rsidRDefault="006433E0" w:rsidP="006433E0">
      <w:p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Industry studies and consulting reports demonstrate that improved ESG scores are linked to a reduced cost of capital for equity and debt capital, a finding that fits perfectly into the risk-value pricing paradigm. Empirical academic research (2023-2025) increasingly confirms the link, with a focus on endogeneity and measurement specifics.</w:t>
      </w:r>
    </w:p>
    <w:p w:rsidR="00845572" w:rsidRPr="00845572" w:rsidRDefault="00845572" w:rsidP="00845572">
      <w:pPr>
        <w:spacing w:before="120" w:after="120"/>
        <w:jc w:val="both"/>
        <w:rPr>
          <w:rFonts w:ascii="Times New Roman" w:eastAsia="Times New Roman" w:hAnsi="Times New Roman" w:cs="Times New Roman"/>
          <w:b/>
          <w:sz w:val="24"/>
          <w:szCs w:val="24"/>
          <w:lang w:eastAsia="en-IN"/>
        </w:rPr>
      </w:pPr>
      <w:r w:rsidRPr="00845572">
        <w:rPr>
          <w:rFonts w:ascii="Times New Roman" w:eastAsia="Times New Roman" w:hAnsi="Times New Roman" w:cs="Times New Roman"/>
          <w:b/>
          <w:sz w:val="24"/>
          <w:szCs w:val="24"/>
          <w:lang w:eastAsia="en-IN"/>
        </w:rPr>
        <w:t>Market responses and disputes</w:t>
      </w:r>
    </w:p>
    <w:p w:rsidR="006433E0" w:rsidRPr="00C41164" w:rsidRDefault="00845572" w:rsidP="00845572">
      <w:pPr>
        <w:spacing w:before="120" w:after="120"/>
        <w:jc w:val="both"/>
        <w:rPr>
          <w:rFonts w:ascii="Times New Roman" w:eastAsia="Times New Roman" w:hAnsi="Times New Roman" w:cs="Times New Roman"/>
          <w:sz w:val="24"/>
          <w:szCs w:val="24"/>
          <w:lang w:eastAsia="en-IN"/>
        </w:rPr>
      </w:pPr>
      <w:r w:rsidRPr="00845572">
        <w:rPr>
          <w:rFonts w:ascii="Times New Roman" w:eastAsia="Times New Roman" w:hAnsi="Times New Roman" w:cs="Times New Roman"/>
          <w:sz w:val="24"/>
          <w:szCs w:val="24"/>
          <w:lang w:eastAsia="en-IN"/>
        </w:rPr>
        <w:t>According to recent research,</w:t>
      </w:r>
      <w:r w:rsidRPr="00845572">
        <w:rPr>
          <w:rFonts w:ascii="Times New Roman" w:eastAsia="Times New Roman" w:hAnsi="Times New Roman" w:cs="Times New Roman"/>
          <w:b/>
          <w:sz w:val="24"/>
          <w:szCs w:val="24"/>
          <w:lang w:eastAsia="en-IN"/>
        </w:rPr>
        <w:t xml:space="preserve"> </w:t>
      </w:r>
      <w:r w:rsidR="006433E0" w:rsidRPr="006433E0">
        <w:rPr>
          <w:rFonts w:ascii="Times New Roman" w:eastAsia="Times New Roman" w:hAnsi="Times New Roman" w:cs="Times New Roman"/>
          <w:sz w:val="24"/>
          <w:szCs w:val="24"/>
          <w:lang w:eastAsia="en-IN"/>
        </w:rPr>
        <w:t xml:space="preserve">ESG </w:t>
      </w:r>
      <w:r>
        <w:rPr>
          <w:rFonts w:ascii="Times New Roman" w:eastAsia="Times New Roman" w:hAnsi="Times New Roman" w:cs="Times New Roman"/>
          <w:sz w:val="24"/>
          <w:szCs w:val="24"/>
          <w:lang w:eastAsia="en-IN"/>
        </w:rPr>
        <w:t>disputes</w:t>
      </w:r>
      <w:r w:rsidR="006433E0" w:rsidRPr="006433E0">
        <w:rPr>
          <w:rFonts w:ascii="Times New Roman" w:eastAsia="Times New Roman" w:hAnsi="Times New Roman" w:cs="Times New Roman"/>
          <w:sz w:val="24"/>
          <w:szCs w:val="24"/>
          <w:lang w:eastAsia="en-IN"/>
        </w:rPr>
        <w:t xml:space="preserve"> are associated with immediate abnormal returns, </w:t>
      </w:r>
      <w:r w:rsidRPr="00845572">
        <w:rPr>
          <w:rFonts w:ascii="Times New Roman" w:eastAsia="Times New Roman" w:hAnsi="Times New Roman" w:cs="Times New Roman"/>
          <w:sz w:val="24"/>
          <w:szCs w:val="24"/>
          <w:lang w:eastAsia="en-IN"/>
        </w:rPr>
        <w:t>greater volatility, and lo</w:t>
      </w:r>
      <w:r>
        <w:rPr>
          <w:rFonts w:ascii="Times New Roman" w:eastAsia="Times New Roman" w:hAnsi="Times New Roman" w:cs="Times New Roman"/>
          <w:sz w:val="24"/>
          <w:szCs w:val="24"/>
          <w:lang w:eastAsia="en-IN"/>
        </w:rPr>
        <w:t>ng-term reputation consequences</w:t>
      </w:r>
      <w:r w:rsidR="006433E0" w:rsidRPr="006433E0">
        <w:rPr>
          <w:rFonts w:ascii="Times New Roman" w:eastAsia="Times New Roman" w:hAnsi="Times New Roman" w:cs="Times New Roman"/>
          <w:sz w:val="24"/>
          <w:szCs w:val="24"/>
          <w:lang w:eastAsia="en-IN"/>
        </w:rPr>
        <w:t>. Controversial studies demonstrate that they represent more reliable valuation events than standard ESG disclosures.</w:t>
      </w:r>
    </w:p>
    <w:p w:rsidR="006433E0" w:rsidRPr="006433E0" w:rsidRDefault="006433E0" w:rsidP="006433E0">
      <w:pPr>
        <w:spacing w:before="120" w:after="120"/>
        <w:jc w:val="both"/>
        <w:rPr>
          <w:rFonts w:ascii="Times New Roman" w:eastAsia="Times New Roman" w:hAnsi="Times New Roman" w:cs="Times New Roman"/>
          <w:b/>
          <w:sz w:val="28"/>
          <w:szCs w:val="24"/>
          <w:lang w:eastAsia="en-IN"/>
        </w:rPr>
      </w:pPr>
      <w:r w:rsidRPr="006433E0">
        <w:rPr>
          <w:rFonts w:ascii="Times New Roman" w:eastAsia="Times New Roman" w:hAnsi="Times New Roman" w:cs="Times New Roman"/>
          <w:b/>
          <w:sz w:val="28"/>
          <w:szCs w:val="24"/>
          <w:lang w:eastAsia="en-IN"/>
        </w:rPr>
        <w:t>ESG as a Risk-Value Framework</w:t>
      </w:r>
    </w:p>
    <w:p w:rsidR="006433E0" w:rsidRPr="006433E0" w:rsidRDefault="006433E0" w:rsidP="006433E0">
      <w:p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From a corporate finance point of view, ESG has two channels of impact on firm value:</w:t>
      </w:r>
    </w:p>
    <w:p w:rsidR="006433E0" w:rsidRPr="006433E0" w:rsidRDefault="006433E0" w:rsidP="006433E0">
      <w:pPr>
        <w:pStyle w:val="ListParagraph"/>
        <w:numPr>
          <w:ilvl w:val="0"/>
          <w:numId w:val="13"/>
        </w:num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Risk reduction</w:t>
      </w:r>
    </w:p>
    <w:p w:rsidR="006433E0" w:rsidRPr="006433E0" w:rsidRDefault="006433E0" w:rsidP="006433E0">
      <w:pPr>
        <w:pStyle w:val="ListParagraph"/>
        <w:numPr>
          <w:ilvl w:val="0"/>
          <w:numId w:val="13"/>
        </w:num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Capital market perception</w:t>
      </w:r>
    </w:p>
    <w:p w:rsidR="006433E0" w:rsidRPr="006433E0" w:rsidRDefault="006433E0" w:rsidP="006433E0">
      <w:p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Having high ESG capability is associated with lower:</w:t>
      </w:r>
    </w:p>
    <w:p w:rsidR="006433E0" w:rsidRDefault="006433E0" w:rsidP="006433E0">
      <w:pPr>
        <w:pStyle w:val="ListParagraph"/>
        <w:numPr>
          <w:ilvl w:val="0"/>
          <w:numId w:val="12"/>
        </w:num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Regulatory fines</w:t>
      </w:r>
    </w:p>
    <w:p w:rsidR="006433E0" w:rsidRDefault="006433E0" w:rsidP="006433E0">
      <w:pPr>
        <w:pStyle w:val="ListParagraph"/>
        <w:numPr>
          <w:ilvl w:val="0"/>
          <w:numId w:val="12"/>
        </w:num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Environmental risks</w:t>
      </w:r>
    </w:p>
    <w:p w:rsidR="006433E0" w:rsidRDefault="006433E0" w:rsidP="006433E0">
      <w:pPr>
        <w:pStyle w:val="ListParagraph"/>
        <w:numPr>
          <w:ilvl w:val="0"/>
          <w:numId w:val="12"/>
        </w:num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Legal risks</w:t>
      </w:r>
    </w:p>
    <w:p w:rsidR="006433E0" w:rsidRDefault="006433E0" w:rsidP="006433E0">
      <w:pPr>
        <w:pStyle w:val="ListParagraph"/>
        <w:numPr>
          <w:ilvl w:val="0"/>
          <w:numId w:val="12"/>
        </w:num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Reputational shocks</w:t>
      </w:r>
    </w:p>
    <w:p w:rsidR="006433E0" w:rsidRPr="006433E0" w:rsidRDefault="006433E0" w:rsidP="006433E0">
      <w:pPr>
        <w:pStyle w:val="ListParagraph"/>
        <w:numPr>
          <w:ilvl w:val="0"/>
          <w:numId w:val="12"/>
        </w:num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Earnings volatility</w:t>
      </w:r>
    </w:p>
    <w:p w:rsidR="006433E0" w:rsidRPr="006433E0" w:rsidRDefault="006433E0" w:rsidP="006433E0">
      <w:p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Lower risk translates into lower cost of capital. When investors perceive lower risk, the firm enjoys:</w:t>
      </w:r>
    </w:p>
    <w:p w:rsidR="006433E0" w:rsidRPr="006433E0" w:rsidRDefault="006433E0" w:rsidP="006433E0">
      <w:pPr>
        <w:pStyle w:val="ListParagraph"/>
        <w:numPr>
          <w:ilvl w:val="0"/>
          <w:numId w:val="14"/>
        </w:num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Lower equity risk premium</w:t>
      </w:r>
    </w:p>
    <w:p w:rsidR="006433E0" w:rsidRPr="006433E0" w:rsidRDefault="006433E0" w:rsidP="006433E0">
      <w:pPr>
        <w:pStyle w:val="ListParagraph"/>
        <w:numPr>
          <w:ilvl w:val="0"/>
          <w:numId w:val="14"/>
        </w:num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Lower borrowing costs</w:t>
      </w:r>
    </w:p>
    <w:p w:rsidR="006433E0" w:rsidRPr="006433E0" w:rsidRDefault="006433E0" w:rsidP="006433E0">
      <w:pPr>
        <w:pStyle w:val="ListParagraph"/>
        <w:numPr>
          <w:ilvl w:val="0"/>
          <w:numId w:val="14"/>
        </w:num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Increased institutional investment access</w:t>
      </w:r>
    </w:p>
    <w:p w:rsidR="006433E0" w:rsidRPr="006433E0" w:rsidRDefault="006433E0" w:rsidP="006433E0">
      <w:p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Ultimately, a lower cost of capital translates into higher firm value.</w:t>
      </w:r>
    </w:p>
    <w:p w:rsidR="006433E0" w:rsidRDefault="006433E0" w:rsidP="006433E0">
      <w:pPr>
        <w:spacing w:before="120" w:after="120"/>
        <w:jc w:val="both"/>
        <w:rPr>
          <w:rFonts w:ascii="Times New Roman" w:eastAsia="Times New Roman" w:hAnsi="Times New Roman" w:cs="Times New Roman"/>
          <w:b/>
          <w:sz w:val="28"/>
          <w:szCs w:val="24"/>
          <w:lang w:eastAsia="en-IN"/>
        </w:rPr>
      </w:pPr>
      <w:r w:rsidRPr="006433E0">
        <w:rPr>
          <w:rFonts w:ascii="Times New Roman" w:eastAsia="Times New Roman" w:hAnsi="Times New Roman" w:cs="Times New Roman"/>
          <w:b/>
          <w:sz w:val="28"/>
          <w:szCs w:val="24"/>
          <w:lang w:eastAsia="en-IN"/>
        </w:rPr>
        <w:t xml:space="preserve">ESG Controversies as Valuation </w:t>
      </w:r>
      <w:r w:rsidR="003072BA">
        <w:rPr>
          <w:rFonts w:ascii="Times New Roman" w:eastAsia="Times New Roman" w:hAnsi="Times New Roman" w:cs="Times New Roman"/>
          <w:b/>
          <w:sz w:val="28"/>
          <w:szCs w:val="24"/>
          <w:lang w:eastAsia="en-IN"/>
        </w:rPr>
        <w:t>Catelysts</w:t>
      </w:r>
    </w:p>
    <w:p w:rsidR="006433E0" w:rsidRPr="003072BA" w:rsidRDefault="003072BA" w:rsidP="006433E0">
      <w:pPr>
        <w:spacing w:before="120" w:after="120"/>
        <w:jc w:val="both"/>
        <w:rPr>
          <w:rFonts w:ascii="Times New Roman" w:eastAsia="Times New Roman" w:hAnsi="Times New Roman" w:cs="Times New Roman"/>
          <w:b/>
          <w:sz w:val="28"/>
          <w:szCs w:val="24"/>
          <w:lang w:eastAsia="en-IN"/>
        </w:rPr>
      </w:pPr>
      <w:r w:rsidRPr="003072BA">
        <w:rPr>
          <w:rFonts w:ascii="Times New Roman" w:eastAsia="Times New Roman" w:hAnsi="Times New Roman" w:cs="Times New Roman"/>
          <w:sz w:val="24"/>
          <w:szCs w:val="24"/>
          <w:lang w:eastAsia="en-IN"/>
        </w:rPr>
        <w:t>When a company's activities contradict publicly declared ESG commitments, an ESG controversy occurs.</w:t>
      </w:r>
      <w:r w:rsidRPr="003072BA">
        <w:rPr>
          <w:rFonts w:ascii="Times New Roman" w:eastAsia="Times New Roman" w:hAnsi="Times New Roman" w:cs="Times New Roman"/>
          <w:b/>
          <w:sz w:val="24"/>
          <w:szCs w:val="24"/>
          <w:lang w:eastAsia="en-IN"/>
        </w:rPr>
        <w:t xml:space="preserve"> </w:t>
      </w:r>
      <w:r w:rsidR="006433E0" w:rsidRPr="006433E0">
        <w:rPr>
          <w:rFonts w:ascii="Times New Roman" w:eastAsia="Times New Roman" w:hAnsi="Times New Roman" w:cs="Times New Roman"/>
          <w:sz w:val="24"/>
          <w:szCs w:val="24"/>
          <w:lang w:eastAsia="en-IN"/>
        </w:rPr>
        <w:t>Environmental infractions, labor misconduct, data privacy violations, governance scandals, etc., are examples. When these events happen, it will leads to stock prices fall, investor confidence erodes, debt spreads widen, regulatory probes rise, etc. Financial markets may be willing to forgo temporary financial losses but will not abide the loss of trust. Therefore, ESG controversies are not merely ethical failures—they are financial events.</w:t>
      </w:r>
    </w:p>
    <w:p w:rsidR="006433E0" w:rsidRPr="006433E0" w:rsidRDefault="006433E0" w:rsidP="006433E0">
      <w:pPr>
        <w:spacing w:before="120" w:after="120"/>
        <w:jc w:val="both"/>
        <w:rPr>
          <w:rFonts w:ascii="Times New Roman" w:eastAsia="Times New Roman" w:hAnsi="Times New Roman" w:cs="Times New Roman"/>
          <w:b/>
          <w:sz w:val="28"/>
          <w:szCs w:val="24"/>
          <w:lang w:eastAsia="en-IN"/>
        </w:rPr>
      </w:pPr>
      <w:r w:rsidRPr="006433E0">
        <w:rPr>
          <w:rFonts w:ascii="Times New Roman" w:eastAsia="Times New Roman" w:hAnsi="Times New Roman" w:cs="Times New Roman"/>
          <w:b/>
          <w:sz w:val="28"/>
          <w:szCs w:val="24"/>
          <w:lang w:eastAsia="en-IN"/>
        </w:rPr>
        <w:t>Proposed Conceptual Model</w:t>
      </w:r>
    </w:p>
    <w:p w:rsidR="006433E0" w:rsidRPr="006433E0" w:rsidRDefault="00C41164" w:rsidP="006433E0">
      <w:pPr>
        <w:spacing w:before="120" w:after="1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“Dominent</w:t>
      </w:r>
      <w:r w:rsidR="006433E0" w:rsidRPr="006433E0">
        <w:rPr>
          <w:rFonts w:ascii="Times New Roman" w:eastAsia="Times New Roman" w:hAnsi="Times New Roman" w:cs="Times New Roman"/>
          <w:sz w:val="24"/>
          <w:szCs w:val="24"/>
          <w:lang w:eastAsia="en-IN"/>
        </w:rPr>
        <w:t xml:space="preserve"> Governance → </w:t>
      </w:r>
      <w:r>
        <w:rPr>
          <w:rFonts w:ascii="Times New Roman" w:eastAsia="Times New Roman" w:hAnsi="Times New Roman" w:cs="Times New Roman"/>
          <w:sz w:val="24"/>
          <w:szCs w:val="24"/>
          <w:lang w:eastAsia="en-IN"/>
        </w:rPr>
        <w:t>Sueprior</w:t>
      </w:r>
      <w:r w:rsidR="006433E0" w:rsidRPr="006433E0">
        <w:rPr>
          <w:rFonts w:ascii="Times New Roman" w:eastAsia="Times New Roman" w:hAnsi="Times New Roman" w:cs="Times New Roman"/>
          <w:sz w:val="24"/>
          <w:szCs w:val="24"/>
          <w:lang w:eastAsia="en-IN"/>
        </w:rPr>
        <w:t xml:space="preserve"> ESG Capability → Low</w:t>
      </w:r>
      <w:r>
        <w:rPr>
          <w:rFonts w:ascii="Times New Roman" w:eastAsia="Times New Roman" w:hAnsi="Times New Roman" w:cs="Times New Roman"/>
          <w:sz w:val="24"/>
          <w:szCs w:val="24"/>
          <w:lang w:eastAsia="en-IN"/>
        </w:rPr>
        <w:t>e</w:t>
      </w:r>
      <w:r w:rsidR="006433E0" w:rsidRPr="006433E0">
        <w:rPr>
          <w:rFonts w:ascii="Times New Roman" w:eastAsia="Times New Roman" w:hAnsi="Times New Roman" w:cs="Times New Roman"/>
          <w:sz w:val="24"/>
          <w:szCs w:val="24"/>
          <w:lang w:eastAsia="en-IN"/>
        </w:rPr>
        <w:t xml:space="preserve"> Operational Risk &amp; High Stakeholder Relationships → Low Cost of Capital → </w:t>
      </w:r>
      <w:r>
        <w:rPr>
          <w:rFonts w:ascii="Times New Roman" w:eastAsia="Times New Roman" w:hAnsi="Times New Roman" w:cs="Times New Roman"/>
          <w:sz w:val="24"/>
          <w:szCs w:val="24"/>
          <w:lang w:eastAsia="en-IN"/>
        </w:rPr>
        <w:t>Better</w:t>
      </w:r>
      <w:r w:rsidR="006433E0" w:rsidRPr="006433E0">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Company</w:t>
      </w:r>
      <w:r w:rsidR="006433E0" w:rsidRPr="006433E0">
        <w:rPr>
          <w:rFonts w:ascii="Times New Roman" w:eastAsia="Times New Roman" w:hAnsi="Times New Roman" w:cs="Times New Roman"/>
          <w:sz w:val="24"/>
          <w:szCs w:val="24"/>
          <w:lang w:eastAsia="en-IN"/>
        </w:rPr>
        <w:t xml:space="preserve"> Value</w:t>
      </w:r>
      <w:r>
        <w:rPr>
          <w:rFonts w:ascii="Times New Roman" w:eastAsia="Times New Roman" w:hAnsi="Times New Roman" w:cs="Times New Roman"/>
          <w:sz w:val="24"/>
          <w:szCs w:val="24"/>
          <w:lang w:eastAsia="en-IN"/>
        </w:rPr>
        <w:t xml:space="preserve">”- </w:t>
      </w:r>
      <w:r w:rsidR="006433E0" w:rsidRPr="006433E0">
        <w:rPr>
          <w:rFonts w:ascii="Times New Roman" w:eastAsia="Times New Roman" w:hAnsi="Times New Roman" w:cs="Times New Roman"/>
          <w:sz w:val="24"/>
          <w:szCs w:val="24"/>
          <w:lang w:eastAsia="en-IN"/>
        </w:rPr>
        <w:t>Negative chain:</w:t>
      </w:r>
    </w:p>
    <w:p w:rsidR="006433E0" w:rsidRPr="006433E0" w:rsidRDefault="006433E0" w:rsidP="006433E0">
      <w:p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t>Low Governance/Greenwashing → ESG Controversy → High Perceived Risk → High Cost of Capital → Firm Value Loss</w:t>
      </w:r>
    </w:p>
    <w:p w:rsidR="00C41164" w:rsidRPr="006433E0" w:rsidRDefault="006433E0" w:rsidP="006433E0">
      <w:pPr>
        <w:spacing w:before="120" w:after="120"/>
        <w:jc w:val="both"/>
        <w:rPr>
          <w:rFonts w:ascii="Times New Roman" w:eastAsia="Times New Roman" w:hAnsi="Times New Roman" w:cs="Times New Roman"/>
          <w:sz w:val="24"/>
          <w:szCs w:val="24"/>
          <w:lang w:eastAsia="en-IN"/>
        </w:rPr>
      </w:pPr>
      <w:r w:rsidRPr="006433E0">
        <w:rPr>
          <w:rFonts w:ascii="Times New Roman" w:eastAsia="Times New Roman" w:hAnsi="Times New Roman" w:cs="Times New Roman"/>
          <w:sz w:val="24"/>
          <w:szCs w:val="24"/>
          <w:lang w:eastAsia="en-IN"/>
        </w:rPr>
        <w:lastRenderedPageBreak/>
        <w:t>This conceptual framework illustrates that ESG has financial outcomes through risk transmission and capital market perception.</w:t>
      </w:r>
    </w:p>
    <w:p w:rsidR="006433E0" w:rsidRDefault="006433E0" w:rsidP="006433E0">
      <w:pPr>
        <w:spacing w:before="120" w:after="120"/>
        <w:jc w:val="both"/>
        <w:rPr>
          <w:rFonts w:ascii="Times New Roman" w:eastAsia="Times New Roman" w:hAnsi="Times New Roman" w:cs="Times New Roman"/>
          <w:b/>
          <w:sz w:val="28"/>
          <w:szCs w:val="24"/>
          <w:lang w:eastAsia="en-IN"/>
        </w:rPr>
      </w:pPr>
      <w:r w:rsidRPr="006433E0">
        <w:rPr>
          <w:rFonts w:ascii="Times New Roman" w:eastAsia="Times New Roman" w:hAnsi="Times New Roman" w:cs="Times New Roman"/>
          <w:b/>
          <w:sz w:val="28"/>
          <w:szCs w:val="24"/>
          <w:lang w:eastAsia="en-IN"/>
        </w:rPr>
        <w:t>Managerial Implications</w:t>
      </w:r>
    </w:p>
    <w:p w:rsidR="003072BA" w:rsidRPr="003072BA" w:rsidRDefault="003072BA" w:rsidP="003072BA">
      <w:pPr>
        <w:spacing w:before="120" w:after="120"/>
        <w:jc w:val="both"/>
        <w:rPr>
          <w:rFonts w:ascii="Times New Roman" w:eastAsia="Times New Roman" w:hAnsi="Times New Roman" w:cs="Times New Roman"/>
          <w:sz w:val="24"/>
          <w:szCs w:val="24"/>
          <w:lang w:eastAsia="en-IN"/>
        </w:rPr>
      </w:pPr>
      <w:r w:rsidRPr="003072BA">
        <w:rPr>
          <w:rFonts w:ascii="Times New Roman" w:eastAsia="Times New Roman" w:hAnsi="Times New Roman" w:cs="Times New Roman"/>
          <w:sz w:val="24"/>
          <w:szCs w:val="24"/>
          <w:lang w:eastAsia="en-IN"/>
        </w:rPr>
        <w:t>ESG must be seen by managers as risk infrastructure rather than marketing. As a result, managerial responsibilities include improving internal controls, coordinating executive compensation with long-term plans, opposing insignificant ESG reporting, and closely monitoring ESG risks.</w:t>
      </w:r>
    </w:p>
    <w:p w:rsidR="003072BA" w:rsidRPr="003072BA" w:rsidRDefault="003072BA" w:rsidP="003072BA">
      <w:pPr>
        <w:spacing w:before="120" w:after="120"/>
        <w:jc w:val="both"/>
        <w:rPr>
          <w:rFonts w:ascii="Times New Roman" w:eastAsia="Times New Roman" w:hAnsi="Times New Roman" w:cs="Times New Roman"/>
          <w:sz w:val="24"/>
          <w:szCs w:val="24"/>
          <w:lang w:eastAsia="en-IN"/>
        </w:rPr>
      </w:pPr>
      <w:r w:rsidRPr="003072BA">
        <w:rPr>
          <w:rFonts w:ascii="Times New Roman" w:eastAsia="Times New Roman" w:hAnsi="Times New Roman" w:cs="Times New Roman"/>
          <w:sz w:val="24"/>
          <w:szCs w:val="24"/>
          <w:lang w:eastAsia="en-IN"/>
        </w:rPr>
        <w:t xml:space="preserve">Short-term thinking and decisions on environmental or social issues may result in long-term financial </w:t>
      </w:r>
      <w:r>
        <w:rPr>
          <w:rFonts w:ascii="Times New Roman" w:eastAsia="Times New Roman" w:hAnsi="Times New Roman" w:cs="Times New Roman"/>
          <w:sz w:val="24"/>
          <w:szCs w:val="24"/>
          <w:lang w:eastAsia="en-IN"/>
        </w:rPr>
        <w:t>consequences</w:t>
      </w:r>
      <w:r w:rsidRPr="003072BA">
        <w:rPr>
          <w:rFonts w:ascii="Times New Roman" w:eastAsia="Times New Roman" w:hAnsi="Times New Roman" w:cs="Times New Roman"/>
          <w:sz w:val="24"/>
          <w:szCs w:val="24"/>
          <w:lang w:eastAsia="en-IN"/>
        </w:rPr>
        <w:t>.</w:t>
      </w:r>
    </w:p>
    <w:p w:rsidR="006433E0" w:rsidRPr="006433E0" w:rsidRDefault="006433E0" w:rsidP="006433E0">
      <w:pPr>
        <w:spacing w:before="120" w:after="120"/>
        <w:jc w:val="both"/>
        <w:rPr>
          <w:rFonts w:ascii="Times New Roman" w:eastAsia="Times New Roman" w:hAnsi="Times New Roman" w:cs="Times New Roman"/>
          <w:b/>
          <w:sz w:val="28"/>
          <w:szCs w:val="24"/>
          <w:lang w:eastAsia="en-IN"/>
        </w:rPr>
      </w:pPr>
      <w:r w:rsidRPr="006433E0">
        <w:rPr>
          <w:rFonts w:ascii="Times New Roman" w:eastAsia="Times New Roman" w:hAnsi="Times New Roman" w:cs="Times New Roman"/>
          <w:b/>
          <w:sz w:val="28"/>
          <w:szCs w:val="24"/>
          <w:lang w:eastAsia="en-IN"/>
        </w:rPr>
        <w:t>Policy Implications</w:t>
      </w:r>
    </w:p>
    <w:p w:rsidR="003072BA" w:rsidRDefault="003072BA" w:rsidP="006433E0">
      <w:pPr>
        <w:spacing w:before="120" w:after="120"/>
        <w:jc w:val="both"/>
        <w:rPr>
          <w:rFonts w:ascii="Times New Roman" w:eastAsia="Times New Roman" w:hAnsi="Times New Roman" w:cs="Times New Roman"/>
          <w:sz w:val="24"/>
          <w:szCs w:val="24"/>
          <w:lang w:eastAsia="en-IN"/>
        </w:rPr>
      </w:pPr>
      <w:r w:rsidRPr="003072BA">
        <w:rPr>
          <w:rFonts w:ascii="Times New Roman" w:eastAsia="Times New Roman" w:hAnsi="Times New Roman" w:cs="Times New Roman"/>
          <w:sz w:val="24"/>
          <w:szCs w:val="24"/>
          <w:lang w:eastAsia="en-IN"/>
        </w:rPr>
        <w:t>It is essential that</w:t>
      </w:r>
      <w:r>
        <w:rPr>
          <w:rFonts w:ascii="Times New Roman" w:eastAsia="Times New Roman" w:hAnsi="Times New Roman" w:cs="Times New Roman"/>
          <w:sz w:val="24"/>
          <w:szCs w:val="24"/>
          <w:lang w:eastAsia="en-IN"/>
        </w:rPr>
        <w:t xml:space="preserve"> p</w:t>
      </w:r>
      <w:r w:rsidR="006433E0" w:rsidRPr="006433E0">
        <w:rPr>
          <w:rFonts w:ascii="Times New Roman" w:eastAsia="Times New Roman" w:hAnsi="Times New Roman" w:cs="Times New Roman"/>
          <w:sz w:val="24"/>
          <w:szCs w:val="24"/>
          <w:lang w:eastAsia="en-IN"/>
        </w:rPr>
        <w:t xml:space="preserve">olicymakers must formalize ESG reporting practices, </w:t>
      </w:r>
      <w:r w:rsidRPr="003072BA">
        <w:rPr>
          <w:rFonts w:ascii="Times New Roman" w:eastAsia="Times New Roman" w:hAnsi="Times New Roman" w:cs="Times New Roman"/>
          <w:sz w:val="24"/>
          <w:szCs w:val="24"/>
          <w:lang w:eastAsia="en-IN"/>
        </w:rPr>
        <w:t>improve</w:t>
      </w:r>
      <w:r>
        <w:rPr>
          <w:rFonts w:ascii="Times New Roman" w:eastAsia="Times New Roman" w:hAnsi="Times New Roman" w:cs="Times New Roman"/>
          <w:sz w:val="24"/>
          <w:szCs w:val="24"/>
          <w:lang w:eastAsia="en-IN"/>
        </w:rPr>
        <w:t xml:space="preserve"> </w:t>
      </w:r>
      <w:r w:rsidR="006433E0" w:rsidRPr="006433E0">
        <w:rPr>
          <w:rFonts w:ascii="Times New Roman" w:eastAsia="Times New Roman" w:hAnsi="Times New Roman" w:cs="Times New Roman"/>
          <w:sz w:val="24"/>
          <w:szCs w:val="24"/>
          <w:lang w:eastAsia="en-IN"/>
        </w:rPr>
        <w:t xml:space="preserve">transparency and comparability, </w:t>
      </w:r>
      <w:r w:rsidRPr="003072BA">
        <w:rPr>
          <w:rFonts w:ascii="Times New Roman" w:eastAsia="Times New Roman" w:hAnsi="Times New Roman" w:cs="Times New Roman"/>
          <w:sz w:val="24"/>
          <w:szCs w:val="24"/>
          <w:lang w:eastAsia="en-IN"/>
        </w:rPr>
        <w:t>reduce the possibility of greenwashing, and strengthen governance practice enforcement.</w:t>
      </w:r>
    </w:p>
    <w:p w:rsidR="003072BA" w:rsidRPr="006433E0" w:rsidRDefault="003072BA" w:rsidP="003072BA">
      <w:pPr>
        <w:spacing w:before="120" w:after="1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Clear regularity requirement not only reduce the information asymmetry but also uplift the</w:t>
      </w:r>
      <w:r w:rsidRPr="006433E0">
        <w:rPr>
          <w:rFonts w:ascii="Times New Roman" w:eastAsia="Times New Roman" w:hAnsi="Times New Roman" w:cs="Times New Roman"/>
          <w:sz w:val="24"/>
          <w:szCs w:val="24"/>
          <w:lang w:eastAsia="en-IN"/>
        </w:rPr>
        <w:t xml:space="preserve"> investor confidence.</w:t>
      </w:r>
    </w:p>
    <w:p w:rsidR="006433E0" w:rsidRPr="006433E0" w:rsidRDefault="006433E0" w:rsidP="006433E0">
      <w:pPr>
        <w:spacing w:before="120" w:after="120"/>
        <w:jc w:val="both"/>
        <w:rPr>
          <w:rFonts w:ascii="Times New Roman" w:eastAsia="Times New Roman" w:hAnsi="Times New Roman" w:cs="Times New Roman"/>
          <w:b/>
          <w:sz w:val="28"/>
          <w:szCs w:val="24"/>
          <w:lang w:eastAsia="en-IN"/>
        </w:rPr>
      </w:pPr>
      <w:r w:rsidRPr="006433E0">
        <w:rPr>
          <w:rFonts w:ascii="Times New Roman" w:eastAsia="Times New Roman" w:hAnsi="Times New Roman" w:cs="Times New Roman"/>
          <w:b/>
          <w:sz w:val="28"/>
          <w:szCs w:val="24"/>
          <w:lang w:eastAsia="en-IN"/>
        </w:rPr>
        <w:t xml:space="preserve">Conclusion </w:t>
      </w:r>
    </w:p>
    <w:p w:rsidR="00CA70EB" w:rsidRPr="00CA70EB" w:rsidRDefault="00CA70EB" w:rsidP="00CA70EB">
      <w:pPr>
        <w:spacing w:before="120" w:after="120"/>
        <w:jc w:val="both"/>
        <w:rPr>
          <w:rFonts w:ascii="Times New Roman" w:eastAsia="Times New Roman" w:hAnsi="Times New Roman" w:cs="Times New Roman"/>
          <w:sz w:val="24"/>
          <w:szCs w:val="24"/>
          <w:lang w:eastAsia="en-IN"/>
        </w:rPr>
      </w:pPr>
      <w:r w:rsidRPr="00CA70EB">
        <w:rPr>
          <w:rFonts w:ascii="Times New Roman" w:eastAsia="Times New Roman" w:hAnsi="Times New Roman" w:cs="Times New Roman"/>
          <w:sz w:val="24"/>
          <w:szCs w:val="24"/>
          <w:lang w:eastAsia="en-IN"/>
        </w:rPr>
        <w:t xml:space="preserve">ESG needs to be acknowledged as a corporate survival tactic. Long-term competitiveness, investor perception, risk profiles, and capital access are all impacted. A strong ESG capacity increases corporate value and reduces perceptions of risk. Financial penalties and controversy are more likely to result from subpar ESG performance. ESG is therefore not about altruism or ethics. Maintaining operational viability, credibility, and investability in a cutthroat global marketplace is the goal. </w:t>
      </w:r>
    </w:p>
    <w:p w:rsidR="00CA70EB" w:rsidRPr="00CA70EB" w:rsidRDefault="00CA70EB" w:rsidP="00CA70EB">
      <w:pPr>
        <w:spacing w:before="120" w:after="120"/>
        <w:jc w:val="both"/>
        <w:rPr>
          <w:rFonts w:ascii="Times New Roman" w:eastAsia="Times New Roman" w:hAnsi="Times New Roman" w:cs="Times New Roman"/>
          <w:sz w:val="24"/>
          <w:szCs w:val="24"/>
          <w:lang w:eastAsia="en-IN"/>
        </w:rPr>
      </w:pPr>
      <w:r w:rsidRPr="00CA70EB">
        <w:rPr>
          <w:rFonts w:ascii="Times New Roman" w:eastAsia="Times New Roman" w:hAnsi="Times New Roman" w:cs="Times New Roman"/>
          <w:sz w:val="24"/>
          <w:szCs w:val="24"/>
          <w:lang w:eastAsia="en-IN"/>
        </w:rPr>
        <w:t>The most crucial question facing company leaders is still, "How does this ESG issue impact long-term risk, investor confidence, and capital expenses?"</w:t>
      </w:r>
    </w:p>
    <w:p w:rsidR="00CA70EB" w:rsidRDefault="00CA70EB" w:rsidP="00CA70EB">
      <w:pPr>
        <w:spacing w:before="120" w:after="120"/>
        <w:jc w:val="both"/>
        <w:rPr>
          <w:rFonts w:ascii="Times New Roman" w:eastAsia="Times New Roman" w:hAnsi="Times New Roman" w:cs="Times New Roman"/>
          <w:sz w:val="24"/>
          <w:szCs w:val="24"/>
          <w:lang w:eastAsia="en-IN"/>
        </w:rPr>
      </w:pPr>
      <w:r w:rsidRPr="00CA70EB">
        <w:rPr>
          <w:rFonts w:ascii="Times New Roman" w:eastAsia="Times New Roman" w:hAnsi="Times New Roman" w:cs="Times New Roman"/>
          <w:sz w:val="24"/>
          <w:szCs w:val="24"/>
          <w:lang w:eastAsia="en-IN"/>
        </w:rPr>
        <w:t>Incorporating ESG into this framework turns it from a regulatory burden into a source of competitive advantage.</w:t>
      </w:r>
    </w:p>
    <w:p w:rsidR="00EC6E54" w:rsidRPr="00EC6E54" w:rsidRDefault="00EC6E54" w:rsidP="00CA70EB">
      <w:pPr>
        <w:spacing w:before="120" w:after="120"/>
        <w:jc w:val="both"/>
        <w:rPr>
          <w:rFonts w:ascii="Times New Roman" w:hAnsi="Times New Roman" w:cs="Times New Roman"/>
          <w:b/>
          <w:sz w:val="28"/>
          <w:szCs w:val="24"/>
          <w:lang w:val="en-US"/>
        </w:rPr>
      </w:pPr>
      <w:r w:rsidRPr="00EC6E54">
        <w:rPr>
          <w:rFonts w:ascii="Times New Roman" w:hAnsi="Times New Roman" w:cs="Times New Roman"/>
          <w:b/>
          <w:sz w:val="28"/>
          <w:szCs w:val="24"/>
          <w:lang w:val="en-US"/>
        </w:rPr>
        <w:t xml:space="preserve">References </w:t>
      </w:r>
    </w:p>
    <w:p w:rsidR="00EC6E54" w:rsidRPr="00EC6E54" w:rsidRDefault="00EC6E54" w:rsidP="008F0529">
      <w:pPr>
        <w:spacing w:before="120" w:after="120"/>
        <w:jc w:val="both"/>
        <w:rPr>
          <w:rFonts w:ascii="Times New Roman" w:hAnsi="Times New Roman" w:cs="Times New Roman"/>
          <w:sz w:val="24"/>
          <w:szCs w:val="24"/>
          <w:lang w:val="en-US"/>
        </w:rPr>
      </w:pPr>
      <w:r w:rsidRPr="00EC6E54">
        <w:rPr>
          <w:rFonts w:ascii="Times New Roman" w:hAnsi="Times New Roman" w:cs="Times New Roman"/>
          <w:sz w:val="24"/>
          <w:szCs w:val="24"/>
          <w:lang w:val="en-US"/>
        </w:rPr>
        <w:t xml:space="preserve">Dare, J. O., et al.( 2021). A critical review of the  operation of the  legality  proposition to commercial social responsibility. International Journal of Managerial Studies and Research( IJMSR), 9( 3), </w:t>
      </w:r>
      <w:r w:rsidR="008F0529">
        <w:rPr>
          <w:rFonts w:ascii="Times New Roman" w:hAnsi="Times New Roman" w:cs="Times New Roman"/>
          <w:sz w:val="24"/>
          <w:szCs w:val="24"/>
          <w:lang w:val="en-US"/>
        </w:rPr>
        <w:t xml:space="preserve">pp </w:t>
      </w:r>
      <w:r w:rsidRPr="00EC6E54">
        <w:rPr>
          <w:rFonts w:ascii="Times New Roman" w:hAnsi="Times New Roman" w:cs="Times New Roman"/>
          <w:sz w:val="24"/>
          <w:szCs w:val="24"/>
          <w:lang w:val="en-US"/>
        </w:rPr>
        <w:t>1 – 6. https//doi.org/10.20431/2349-0349.0903001</w:t>
      </w:r>
    </w:p>
    <w:p w:rsidR="00EC6E54" w:rsidRPr="00EC6E54" w:rsidRDefault="00EC6E54" w:rsidP="008F0529">
      <w:pPr>
        <w:spacing w:before="120" w:after="120"/>
        <w:jc w:val="both"/>
        <w:rPr>
          <w:rFonts w:ascii="Times New Roman" w:hAnsi="Times New Roman" w:cs="Times New Roman"/>
          <w:sz w:val="24"/>
          <w:szCs w:val="24"/>
          <w:lang w:val="en-US"/>
        </w:rPr>
      </w:pPr>
      <w:r w:rsidRPr="00EC6E54">
        <w:rPr>
          <w:rFonts w:ascii="Times New Roman" w:hAnsi="Times New Roman" w:cs="Times New Roman"/>
          <w:sz w:val="24"/>
          <w:szCs w:val="24"/>
          <w:lang w:val="en-US"/>
        </w:rPr>
        <w:t xml:space="preserve">Eccles, R. G., Ioannou, I., &amp; Serafeim, G.( 2014). The impact of commercial sustainability on organizational processes and performance. Management Science, 60( 11), </w:t>
      </w:r>
      <w:r w:rsidR="008F0529">
        <w:rPr>
          <w:rFonts w:ascii="Times New Roman" w:hAnsi="Times New Roman" w:cs="Times New Roman"/>
          <w:sz w:val="24"/>
          <w:szCs w:val="24"/>
          <w:lang w:val="en-US"/>
        </w:rPr>
        <w:t xml:space="preserve">pp </w:t>
      </w:r>
      <w:r w:rsidRPr="00EC6E54">
        <w:rPr>
          <w:rFonts w:ascii="Times New Roman" w:hAnsi="Times New Roman" w:cs="Times New Roman"/>
          <w:sz w:val="24"/>
          <w:szCs w:val="24"/>
          <w:lang w:val="en-US"/>
        </w:rPr>
        <w:t>2835 – 2857. https// doi.org/10.1287/mnsc.2014.1984</w:t>
      </w:r>
    </w:p>
    <w:p w:rsidR="00EC6E54" w:rsidRPr="008F0529" w:rsidRDefault="00EC6E54" w:rsidP="008F0529">
      <w:pPr>
        <w:spacing w:before="120" w:after="120"/>
        <w:jc w:val="both"/>
        <w:rPr>
          <w:rFonts w:ascii="Times New Roman" w:hAnsi="Times New Roman" w:cs="Times New Roman"/>
          <w:sz w:val="24"/>
          <w:szCs w:val="24"/>
          <w:lang w:val="en-US"/>
        </w:rPr>
      </w:pPr>
      <w:r w:rsidRPr="00EC6E54">
        <w:rPr>
          <w:rFonts w:ascii="Times New Roman" w:hAnsi="Times New Roman" w:cs="Times New Roman"/>
          <w:sz w:val="24"/>
          <w:szCs w:val="24"/>
          <w:lang w:val="en-US"/>
        </w:rPr>
        <w:t xml:space="preserve">Flammer, C.( 2015). Does commercial social responsibility lead to superior  fiscal performance? A retrogression discontinuity approach. Management Science, 61( 11), </w:t>
      </w:r>
      <w:r w:rsidR="008F0529" w:rsidRPr="008F0529">
        <w:rPr>
          <w:rFonts w:ascii="Times New Roman" w:hAnsi="Times New Roman" w:cs="Times New Roman"/>
          <w:sz w:val="24"/>
          <w:szCs w:val="24"/>
          <w:lang w:val="en-US"/>
        </w:rPr>
        <w:t xml:space="preserve">pp </w:t>
      </w:r>
      <w:r w:rsidR="008F0529" w:rsidRPr="008F0529">
        <w:rPr>
          <w:rFonts w:ascii="Arial" w:hAnsi="Arial" w:cs="Arial"/>
          <w:sz w:val="21"/>
          <w:szCs w:val="21"/>
          <w:shd w:val="clear" w:color="auto" w:fill="FAFAFA"/>
        </w:rPr>
        <w:t> iv-vi,</w:t>
      </w:r>
      <w:r w:rsidRPr="008F0529">
        <w:rPr>
          <w:rFonts w:ascii="Times New Roman" w:hAnsi="Times New Roman" w:cs="Times New Roman"/>
          <w:sz w:val="24"/>
          <w:szCs w:val="24"/>
          <w:lang w:val="en-US"/>
        </w:rPr>
        <w:t>2549 – 2568. https// doi.org/10.1287/mnsc.2014.2038</w:t>
      </w:r>
    </w:p>
    <w:p w:rsidR="00EC6E54" w:rsidRPr="00EC6E54" w:rsidRDefault="00EC6E54" w:rsidP="008F0529">
      <w:pPr>
        <w:spacing w:before="120" w:after="120"/>
        <w:jc w:val="both"/>
        <w:rPr>
          <w:rFonts w:ascii="Times New Roman" w:hAnsi="Times New Roman" w:cs="Times New Roman"/>
          <w:sz w:val="24"/>
          <w:szCs w:val="24"/>
          <w:lang w:val="en-US"/>
        </w:rPr>
      </w:pPr>
      <w:r w:rsidRPr="00EC6E54">
        <w:rPr>
          <w:rFonts w:ascii="Times New Roman" w:hAnsi="Times New Roman" w:cs="Times New Roman"/>
          <w:sz w:val="24"/>
          <w:szCs w:val="24"/>
          <w:lang w:val="en-US"/>
        </w:rPr>
        <w:lastRenderedPageBreak/>
        <w:t xml:space="preserve">Friede, G., Busch, T., &amp; Bassen, A.( 2015). ESG and  fiscal performance Added up  substantiation from  further than 2000 empirical studies. Journal of Sustainable Finance &amp; Investment, 5( 4), </w:t>
      </w:r>
      <w:r w:rsidR="008F0529">
        <w:rPr>
          <w:rFonts w:ascii="Times New Roman" w:hAnsi="Times New Roman" w:cs="Times New Roman"/>
          <w:sz w:val="24"/>
          <w:szCs w:val="24"/>
          <w:lang w:val="en-US"/>
        </w:rPr>
        <w:t xml:space="preserve">pp </w:t>
      </w:r>
      <w:r w:rsidRPr="00EC6E54">
        <w:rPr>
          <w:rFonts w:ascii="Times New Roman" w:hAnsi="Times New Roman" w:cs="Times New Roman"/>
          <w:sz w:val="24"/>
          <w:szCs w:val="24"/>
          <w:lang w:val="en-US"/>
        </w:rPr>
        <w:t>210 – 233. https// doi.org/10.1080/20430795.2015.1118917</w:t>
      </w:r>
    </w:p>
    <w:p w:rsidR="00EC6E54" w:rsidRPr="00EC6E54" w:rsidRDefault="00EC6E54" w:rsidP="008F0529">
      <w:pPr>
        <w:spacing w:before="120" w:after="120"/>
        <w:jc w:val="both"/>
        <w:rPr>
          <w:rFonts w:ascii="Times New Roman" w:hAnsi="Times New Roman" w:cs="Times New Roman"/>
          <w:sz w:val="24"/>
          <w:szCs w:val="24"/>
          <w:lang w:val="en-US"/>
        </w:rPr>
      </w:pPr>
      <w:r w:rsidRPr="00EC6E54">
        <w:rPr>
          <w:rFonts w:ascii="Times New Roman" w:hAnsi="Times New Roman" w:cs="Times New Roman"/>
          <w:sz w:val="24"/>
          <w:szCs w:val="24"/>
          <w:lang w:val="en-US"/>
        </w:rPr>
        <w:t xml:space="preserve">Giese, G., Lee, L. E., Melas, D., Nagy, Z., &amp; Nishikawa, L.( 2019). Foundations of ESG investing How ESG affects equity valuation,  threat, and performance. The Journal of Portfolio Management, 45( 5), </w:t>
      </w:r>
      <w:r w:rsidR="008F0529">
        <w:rPr>
          <w:rFonts w:ascii="Times New Roman" w:hAnsi="Times New Roman" w:cs="Times New Roman"/>
          <w:sz w:val="24"/>
          <w:szCs w:val="24"/>
          <w:lang w:val="en-US"/>
        </w:rPr>
        <w:t xml:space="preserve">pp </w:t>
      </w:r>
      <w:r w:rsidRPr="00EC6E54">
        <w:rPr>
          <w:rFonts w:ascii="Times New Roman" w:hAnsi="Times New Roman" w:cs="Times New Roman"/>
          <w:sz w:val="24"/>
          <w:szCs w:val="24"/>
          <w:lang w:val="en-US"/>
        </w:rPr>
        <w:t>69 – 83. https// doi.org/10.3905/jpm.2019.45.5.069</w:t>
      </w:r>
    </w:p>
    <w:p w:rsidR="00EC6E54" w:rsidRDefault="00EC6E54" w:rsidP="008F0529">
      <w:pPr>
        <w:spacing w:before="120" w:after="120"/>
        <w:jc w:val="both"/>
        <w:rPr>
          <w:rFonts w:ascii="Times New Roman" w:hAnsi="Times New Roman" w:cs="Times New Roman"/>
          <w:sz w:val="24"/>
          <w:szCs w:val="24"/>
          <w:lang w:val="en-US"/>
        </w:rPr>
      </w:pPr>
      <w:r w:rsidRPr="00EC6E54">
        <w:rPr>
          <w:rFonts w:ascii="Times New Roman" w:hAnsi="Times New Roman" w:cs="Times New Roman"/>
          <w:sz w:val="24"/>
          <w:szCs w:val="24"/>
          <w:lang w:val="en-US"/>
        </w:rPr>
        <w:t xml:space="preserve">Godfrey, P. C., Merrill, C. B., &amp; Hansen, J. M.( 2009). The relationship between commercial social responsibility and shareholder value An insurance- suchlike effect. Strategic Management Journal, 30( 4), </w:t>
      </w:r>
      <w:r w:rsidR="008F0529">
        <w:rPr>
          <w:rFonts w:ascii="Times New Roman" w:hAnsi="Times New Roman" w:cs="Times New Roman"/>
          <w:sz w:val="24"/>
          <w:szCs w:val="24"/>
          <w:lang w:val="en-US"/>
        </w:rPr>
        <w:t xml:space="preserve">pp </w:t>
      </w:r>
      <w:r w:rsidRPr="00EC6E54">
        <w:rPr>
          <w:rFonts w:ascii="Times New Roman" w:hAnsi="Times New Roman" w:cs="Times New Roman"/>
          <w:sz w:val="24"/>
          <w:szCs w:val="24"/>
          <w:lang w:val="en-US"/>
        </w:rPr>
        <w:t>425 – 445. https// doi.org/10.1002/smj.750</w:t>
      </w:r>
    </w:p>
    <w:p w:rsidR="00613C9E" w:rsidRPr="00613C9E" w:rsidRDefault="00CC5DC6" w:rsidP="00613C9E">
      <w:pPr>
        <w:spacing w:before="120" w:after="120"/>
        <w:rPr>
          <w:rFonts w:ascii="Times New Roman" w:hAnsi="Times New Roman" w:cs="Times New Roman"/>
          <w:lang w:val="en-US"/>
        </w:rPr>
      </w:pPr>
      <w:hyperlink r:id="rId6" w:history="1">
        <w:r w:rsidR="00613C9E" w:rsidRPr="00A4454E">
          <w:rPr>
            <w:rStyle w:val="Hyperlink"/>
            <w:rFonts w:ascii="Times New Roman" w:hAnsi="Times New Roman" w:cs="Times New Roman"/>
            <w:lang w:val="en-US"/>
          </w:rPr>
          <w:t>https://www.sciencedirect.com/topics/social-sciences/legitimacy-theory</w:t>
        </w:r>
      </w:hyperlink>
      <w:r w:rsidR="00613C9E">
        <w:rPr>
          <w:rFonts w:ascii="Times New Roman" w:hAnsi="Times New Roman" w:cs="Times New Roman"/>
          <w:lang w:val="en-US"/>
        </w:rPr>
        <w:t xml:space="preserve"> </w:t>
      </w:r>
    </w:p>
    <w:p w:rsidR="00EC6E54" w:rsidRPr="00EC6E54" w:rsidRDefault="00EC6E54" w:rsidP="008F0529">
      <w:pPr>
        <w:spacing w:before="120" w:after="120"/>
        <w:jc w:val="both"/>
        <w:rPr>
          <w:rFonts w:ascii="Times New Roman" w:hAnsi="Times New Roman" w:cs="Times New Roman"/>
          <w:sz w:val="24"/>
          <w:szCs w:val="24"/>
          <w:lang w:val="en-US"/>
        </w:rPr>
      </w:pPr>
      <w:r w:rsidRPr="00EC6E54">
        <w:rPr>
          <w:rFonts w:ascii="Times New Roman" w:hAnsi="Times New Roman" w:cs="Times New Roman"/>
          <w:sz w:val="24"/>
          <w:szCs w:val="24"/>
          <w:lang w:val="en-US"/>
        </w:rPr>
        <w:t>Jensen, M. C., &amp; Meckling, W. H.( 1976). proposition of the  es</w:t>
      </w:r>
      <w:r>
        <w:rPr>
          <w:rFonts w:ascii="Times New Roman" w:hAnsi="Times New Roman" w:cs="Times New Roman"/>
          <w:sz w:val="24"/>
          <w:szCs w:val="24"/>
          <w:lang w:val="en-US"/>
        </w:rPr>
        <w:t>tablishment directorial  geste</w:t>
      </w:r>
      <w:r w:rsidRPr="00EC6E54">
        <w:rPr>
          <w:rFonts w:ascii="Times New Roman" w:hAnsi="Times New Roman" w:cs="Times New Roman"/>
          <w:sz w:val="24"/>
          <w:szCs w:val="24"/>
          <w:lang w:val="en-US"/>
        </w:rPr>
        <w:t xml:space="preserve">, agency costs and power structure. Journal of Financial Economics, 3( 4), </w:t>
      </w:r>
      <w:r w:rsidR="008F0529">
        <w:rPr>
          <w:rFonts w:ascii="Times New Roman" w:hAnsi="Times New Roman" w:cs="Times New Roman"/>
          <w:sz w:val="24"/>
          <w:szCs w:val="24"/>
          <w:lang w:val="en-US"/>
        </w:rPr>
        <w:t xml:space="preserve">pp </w:t>
      </w:r>
      <w:r w:rsidRPr="00EC6E54">
        <w:rPr>
          <w:rFonts w:ascii="Times New Roman" w:hAnsi="Times New Roman" w:cs="Times New Roman"/>
          <w:sz w:val="24"/>
          <w:szCs w:val="24"/>
          <w:lang w:val="en-US"/>
        </w:rPr>
        <w:t xml:space="preserve">305 – 360. </w:t>
      </w:r>
    </w:p>
    <w:p w:rsidR="00EC6E54" w:rsidRPr="00EC6E54" w:rsidRDefault="00EC6E54" w:rsidP="008F0529">
      <w:pPr>
        <w:spacing w:before="120" w:after="120"/>
        <w:jc w:val="both"/>
        <w:rPr>
          <w:rFonts w:ascii="Times New Roman" w:hAnsi="Times New Roman" w:cs="Times New Roman"/>
          <w:sz w:val="24"/>
          <w:szCs w:val="24"/>
          <w:lang w:val="en-US"/>
        </w:rPr>
      </w:pPr>
      <w:r w:rsidRPr="00EC6E54">
        <w:rPr>
          <w:rFonts w:ascii="Times New Roman" w:hAnsi="Times New Roman" w:cs="Times New Roman"/>
          <w:sz w:val="24"/>
          <w:szCs w:val="24"/>
          <w:lang w:val="en-US"/>
        </w:rPr>
        <w:t xml:space="preserve"> Kero, C., &amp; Bogale, A.( 2023). A methodical  review of resource- grounded view and dynamic capabilities of  enterprises and  unborn  exploration avenues. International Journal of Sustainable Development and Pla</w:t>
      </w:r>
      <w:r>
        <w:rPr>
          <w:rFonts w:ascii="Times New Roman" w:hAnsi="Times New Roman" w:cs="Times New Roman"/>
          <w:sz w:val="24"/>
          <w:szCs w:val="24"/>
          <w:lang w:val="en-US"/>
        </w:rPr>
        <w:t xml:space="preserve">nning, 18, </w:t>
      </w:r>
      <w:r w:rsidR="008F0529">
        <w:rPr>
          <w:rFonts w:ascii="Times New Roman" w:hAnsi="Times New Roman" w:cs="Times New Roman"/>
          <w:sz w:val="24"/>
          <w:szCs w:val="24"/>
          <w:lang w:val="en-US"/>
        </w:rPr>
        <w:t xml:space="preserve">pp </w:t>
      </w:r>
      <w:r>
        <w:rPr>
          <w:rFonts w:ascii="Times New Roman" w:hAnsi="Times New Roman" w:cs="Times New Roman"/>
          <w:sz w:val="24"/>
          <w:szCs w:val="24"/>
          <w:lang w:val="en-US"/>
        </w:rPr>
        <w:t xml:space="preserve">3137 – 3154. https// </w:t>
      </w:r>
      <w:r w:rsidRPr="00EC6E54">
        <w:rPr>
          <w:rFonts w:ascii="Times New Roman" w:hAnsi="Times New Roman" w:cs="Times New Roman"/>
          <w:sz w:val="24"/>
          <w:szCs w:val="24"/>
          <w:lang w:val="en-US"/>
        </w:rPr>
        <w:t>doi.org/10.18280/ijsdp.181016</w:t>
      </w:r>
    </w:p>
    <w:p w:rsidR="00EC6E54" w:rsidRPr="00EC6E54" w:rsidRDefault="00EC6E54" w:rsidP="008F0529">
      <w:pPr>
        <w:spacing w:before="120" w:after="120"/>
        <w:jc w:val="both"/>
        <w:rPr>
          <w:rFonts w:ascii="Times New Roman" w:hAnsi="Times New Roman" w:cs="Times New Roman"/>
          <w:sz w:val="24"/>
          <w:szCs w:val="24"/>
          <w:lang w:val="en-US"/>
        </w:rPr>
      </w:pPr>
      <w:r w:rsidRPr="00EC6E54">
        <w:rPr>
          <w:rFonts w:ascii="Times New Roman" w:hAnsi="Times New Roman" w:cs="Times New Roman"/>
          <w:sz w:val="24"/>
          <w:szCs w:val="24"/>
          <w:lang w:val="en-US"/>
        </w:rPr>
        <w:t>Khan, M.( 2022). ESG  exposure and  establishment performance A bibliometric and meta- analysis. exploration in International Business and Finance, 61, https// doi.org/10.1016/j.ribaf.2022.101668</w:t>
      </w:r>
    </w:p>
    <w:p w:rsidR="00EC6E54" w:rsidRPr="00EC6E54" w:rsidRDefault="00EC6E54" w:rsidP="008F0529">
      <w:pPr>
        <w:spacing w:before="120" w:after="120"/>
        <w:jc w:val="both"/>
        <w:rPr>
          <w:rFonts w:ascii="Times New Roman" w:hAnsi="Times New Roman" w:cs="Times New Roman"/>
          <w:sz w:val="24"/>
          <w:szCs w:val="24"/>
          <w:lang w:val="en-US"/>
        </w:rPr>
      </w:pPr>
      <w:r w:rsidRPr="00EC6E54">
        <w:rPr>
          <w:rFonts w:ascii="Times New Roman" w:hAnsi="Times New Roman" w:cs="Times New Roman"/>
          <w:sz w:val="24"/>
          <w:szCs w:val="24"/>
          <w:lang w:val="en-US"/>
        </w:rPr>
        <w:t xml:space="preserve">Khan, M., Serafeim, G., &amp; Yoon, A.( 2016). Commercial sustainability First  substantiation on materiality. The Accounting Review, 91( 6), </w:t>
      </w:r>
      <w:r w:rsidR="008F0529">
        <w:rPr>
          <w:rFonts w:ascii="Times New Roman" w:hAnsi="Times New Roman" w:cs="Times New Roman"/>
          <w:sz w:val="24"/>
          <w:szCs w:val="24"/>
          <w:lang w:val="en-US"/>
        </w:rPr>
        <w:t xml:space="preserve">pp </w:t>
      </w:r>
      <w:r w:rsidRPr="00EC6E54">
        <w:rPr>
          <w:rFonts w:ascii="Times New Roman" w:hAnsi="Times New Roman" w:cs="Times New Roman"/>
          <w:sz w:val="24"/>
          <w:szCs w:val="24"/>
          <w:lang w:val="en-US"/>
        </w:rPr>
        <w:t>1697 – 1724. https//doi.org/10.2308/accr-51383</w:t>
      </w:r>
    </w:p>
    <w:p w:rsidR="00EC6E54" w:rsidRPr="00EC6E54" w:rsidRDefault="00EC6E54" w:rsidP="008F0529">
      <w:pPr>
        <w:spacing w:before="120" w:after="120"/>
        <w:jc w:val="both"/>
        <w:rPr>
          <w:rFonts w:ascii="Times New Roman" w:hAnsi="Times New Roman" w:cs="Times New Roman"/>
          <w:sz w:val="24"/>
          <w:szCs w:val="24"/>
          <w:lang w:val="en-US"/>
        </w:rPr>
      </w:pPr>
      <w:r w:rsidRPr="00EC6E54">
        <w:rPr>
          <w:rFonts w:ascii="Times New Roman" w:hAnsi="Times New Roman" w:cs="Times New Roman"/>
          <w:sz w:val="24"/>
          <w:szCs w:val="24"/>
          <w:lang w:val="en-US"/>
        </w:rPr>
        <w:t xml:space="preserve">Lins, K. V., Servaes, H., &amp; Tamayo, A.( 2017). Social capital, trust, and firm performance The value of commercial social responsibility during the  fiscal  extremity. The Journal of Finance, 72( 4), </w:t>
      </w:r>
      <w:r w:rsidR="008F0529">
        <w:rPr>
          <w:rFonts w:ascii="Times New Roman" w:hAnsi="Times New Roman" w:cs="Times New Roman"/>
          <w:sz w:val="24"/>
          <w:szCs w:val="24"/>
          <w:lang w:val="en-US"/>
        </w:rPr>
        <w:t xml:space="preserve">pp </w:t>
      </w:r>
      <w:r w:rsidRPr="00EC6E54">
        <w:rPr>
          <w:rFonts w:ascii="Times New Roman" w:hAnsi="Times New Roman" w:cs="Times New Roman"/>
          <w:sz w:val="24"/>
          <w:szCs w:val="24"/>
          <w:lang w:val="en-US"/>
        </w:rPr>
        <w:t>1785 – 1824. https// doi.org/10.1111/jofi.12505</w:t>
      </w:r>
    </w:p>
    <w:p w:rsidR="00EC6E54" w:rsidRPr="00EC6E54" w:rsidRDefault="00EC6E54" w:rsidP="008F0529">
      <w:pPr>
        <w:spacing w:before="120" w:after="120"/>
        <w:jc w:val="both"/>
        <w:rPr>
          <w:rFonts w:ascii="Times New Roman" w:hAnsi="Times New Roman" w:cs="Times New Roman"/>
          <w:sz w:val="24"/>
          <w:szCs w:val="24"/>
          <w:lang w:val="en-US"/>
        </w:rPr>
      </w:pPr>
      <w:r w:rsidRPr="00EC6E54">
        <w:rPr>
          <w:rFonts w:ascii="Times New Roman" w:hAnsi="Times New Roman" w:cs="Times New Roman"/>
          <w:sz w:val="24"/>
          <w:szCs w:val="24"/>
          <w:lang w:val="en-US"/>
        </w:rPr>
        <w:t xml:space="preserve">Liu, H., Yu, X., Xu, X., &amp; Isik, I.( 2025). The impact of ESG  difficulties on abnormal ESG performance substantiation from China. </w:t>
      </w:r>
      <w:r w:rsidR="008F0529">
        <w:rPr>
          <w:rFonts w:ascii="Times New Roman" w:hAnsi="Times New Roman" w:cs="Times New Roman"/>
          <w:sz w:val="24"/>
          <w:szCs w:val="24"/>
          <w:lang w:val="en-US"/>
        </w:rPr>
        <w:t xml:space="preserve">Sustainability, 17( 24), </w:t>
      </w:r>
      <w:r w:rsidRPr="00EC6E54">
        <w:rPr>
          <w:rFonts w:ascii="Times New Roman" w:hAnsi="Times New Roman" w:cs="Times New Roman"/>
          <w:sz w:val="24"/>
          <w:szCs w:val="24"/>
          <w:lang w:val="en-US"/>
        </w:rPr>
        <w:t>https// doi.org/10.3390/su172411212</w:t>
      </w:r>
    </w:p>
    <w:p w:rsidR="00EC6E54" w:rsidRPr="00EC6E54" w:rsidRDefault="00EC6E54" w:rsidP="008F0529">
      <w:pPr>
        <w:spacing w:before="120" w:after="120"/>
        <w:jc w:val="both"/>
        <w:rPr>
          <w:rFonts w:ascii="Times New Roman" w:hAnsi="Times New Roman" w:cs="Times New Roman"/>
          <w:sz w:val="24"/>
          <w:szCs w:val="24"/>
          <w:lang w:val="en-US"/>
        </w:rPr>
      </w:pPr>
      <w:r w:rsidRPr="00EC6E54">
        <w:rPr>
          <w:rFonts w:ascii="Times New Roman" w:hAnsi="Times New Roman" w:cs="Times New Roman"/>
          <w:sz w:val="24"/>
          <w:szCs w:val="24"/>
          <w:lang w:val="en-US"/>
        </w:rPr>
        <w:t xml:space="preserve">Mitchell, R. K., Agle, B. R., &amp; Wood, D. J.( 1997). Toward a  proposition of stakeholder identification and salience. Academy of Management Review, 22( 4), </w:t>
      </w:r>
      <w:r w:rsidR="008F0529">
        <w:rPr>
          <w:rFonts w:ascii="Times New Roman" w:hAnsi="Times New Roman" w:cs="Times New Roman"/>
          <w:sz w:val="24"/>
          <w:szCs w:val="24"/>
          <w:lang w:val="en-US"/>
        </w:rPr>
        <w:t xml:space="preserve">pp </w:t>
      </w:r>
      <w:r w:rsidRPr="00EC6E54">
        <w:rPr>
          <w:rFonts w:ascii="Times New Roman" w:hAnsi="Times New Roman" w:cs="Times New Roman"/>
          <w:sz w:val="24"/>
          <w:szCs w:val="24"/>
          <w:lang w:val="en-US"/>
        </w:rPr>
        <w:t xml:space="preserve">853 – 886. </w:t>
      </w:r>
    </w:p>
    <w:p w:rsidR="00EC6E54" w:rsidRPr="00EC6E54" w:rsidRDefault="00EC6E54" w:rsidP="008F0529">
      <w:pPr>
        <w:spacing w:before="120" w:after="120"/>
        <w:jc w:val="both"/>
        <w:rPr>
          <w:rFonts w:ascii="Times New Roman" w:hAnsi="Times New Roman" w:cs="Times New Roman"/>
          <w:sz w:val="24"/>
          <w:szCs w:val="24"/>
          <w:lang w:val="en-US"/>
        </w:rPr>
      </w:pPr>
      <w:r w:rsidRPr="00EC6E54">
        <w:rPr>
          <w:rFonts w:ascii="Times New Roman" w:hAnsi="Times New Roman" w:cs="Times New Roman"/>
          <w:sz w:val="24"/>
          <w:szCs w:val="24"/>
          <w:lang w:val="en-US"/>
        </w:rPr>
        <w:t xml:space="preserve">Porter, M. E., &amp; Kramer, M. R.( 2006). Strategy and society The link between competitive advantage and commercial social responsibility. Harvard Business Review, 84( 12), </w:t>
      </w:r>
      <w:r w:rsidR="008F0529">
        <w:rPr>
          <w:rFonts w:ascii="Times New Roman" w:hAnsi="Times New Roman" w:cs="Times New Roman"/>
          <w:sz w:val="24"/>
          <w:szCs w:val="24"/>
          <w:lang w:val="en-US"/>
        </w:rPr>
        <w:t xml:space="preserve">pp </w:t>
      </w:r>
      <w:r w:rsidRPr="00EC6E54">
        <w:rPr>
          <w:rFonts w:ascii="Times New Roman" w:hAnsi="Times New Roman" w:cs="Times New Roman"/>
          <w:sz w:val="24"/>
          <w:szCs w:val="24"/>
          <w:lang w:val="en-US"/>
        </w:rPr>
        <w:t xml:space="preserve">78 – 92. </w:t>
      </w:r>
    </w:p>
    <w:p w:rsidR="00EC6E54" w:rsidRPr="00EC6E54" w:rsidRDefault="00EC6E54" w:rsidP="008F0529">
      <w:pPr>
        <w:spacing w:before="120" w:after="120"/>
        <w:jc w:val="both"/>
        <w:rPr>
          <w:rFonts w:ascii="Times New Roman" w:hAnsi="Times New Roman" w:cs="Times New Roman"/>
          <w:lang w:val="en-US"/>
        </w:rPr>
      </w:pPr>
      <w:r w:rsidRPr="00EC6E54">
        <w:rPr>
          <w:rFonts w:ascii="Times New Roman" w:hAnsi="Times New Roman" w:cs="Times New Roman"/>
          <w:lang w:val="en-US"/>
        </w:rPr>
        <w:t xml:space="preserve">Servaes, H., &amp; Tamayo, A.( 2013). The impact of commercial social responsibility on firm value The  part of  client  mindfulness. Management Science, 59( 5), </w:t>
      </w:r>
      <w:r w:rsidR="008F0529">
        <w:rPr>
          <w:rFonts w:ascii="Times New Roman" w:hAnsi="Times New Roman" w:cs="Times New Roman"/>
          <w:lang w:val="en-US"/>
        </w:rPr>
        <w:t xml:space="preserve">pp 1045 – 1061. https// </w:t>
      </w:r>
      <w:r w:rsidRPr="00EC6E54">
        <w:rPr>
          <w:rFonts w:ascii="Times New Roman" w:hAnsi="Times New Roman" w:cs="Times New Roman"/>
          <w:lang w:val="en-US"/>
        </w:rPr>
        <w:t>doi.org/10.1287/mnsc.1120.1630</w:t>
      </w:r>
    </w:p>
    <w:p w:rsidR="00EC6E54" w:rsidRPr="00EC6E54" w:rsidRDefault="00EC6E54" w:rsidP="008F0529">
      <w:pPr>
        <w:spacing w:before="120" w:after="120"/>
        <w:rPr>
          <w:rFonts w:ascii="Times New Roman" w:hAnsi="Times New Roman" w:cs="Times New Roman"/>
          <w:lang w:val="en-US"/>
        </w:rPr>
      </w:pPr>
      <w:r w:rsidRPr="00EC6E54">
        <w:rPr>
          <w:rFonts w:ascii="Times New Roman" w:hAnsi="Times New Roman" w:cs="Times New Roman"/>
          <w:lang w:val="en-US"/>
        </w:rPr>
        <w:t xml:space="preserve">Sharfman, M. P., &amp; Fernando, C. S.( 2008). Environmental  threat  operation and the cost of capital. Strategic Management Journal, 29( 6), </w:t>
      </w:r>
      <w:r w:rsidR="008F0529">
        <w:rPr>
          <w:rFonts w:ascii="Times New Roman" w:hAnsi="Times New Roman" w:cs="Times New Roman"/>
          <w:lang w:val="en-US"/>
        </w:rPr>
        <w:t xml:space="preserve">pp </w:t>
      </w:r>
      <w:r w:rsidRPr="00EC6E54">
        <w:rPr>
          <w:rFonts w:ascii="Times New Roman" w:hAnsi="Times New Roman" w:cs="Times New Roman"/>
          <w:lang w:val="en-US"/>
        </w:rPr>
        <w:t>569 – 592. https// doi.org/10.1002/smj.678</w:t>
      </w:r>
    </w:p>
    <w:p w:rsidR="00EC6E54" w:rsidRPr="00EC6E54" w:rsidRDefault="00EC6E54" w:rsidP="008F0529">
      <w:pPr>
        <w:spacing w:before="120" w:after="120"/>
        <w:rPr>
          <w:rFonts w:ascii="Times New Roman" w:hAnsi="Times New Roman" w:cs="Times New Roman"/>
          <w:lang w:val="en-US"/>
        </w:rPr>
      </w:pPr>
    </w:p>
    <w:sectPr w:rsidR="00EC6E54" w:rsidRPr="00EC6E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79EA"/>
    <w:multiLevelType w:val="multilevel"/>
    <w:tmpl w:val="9350FE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809A9"/>
    <w:multiLevelType w:val="hybridMultilevel"/>
    <w:tmpl w:val="89C6166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D465979"/>
    <w:multiLevelType w:val="hybridMultilevel"/>
    <w:tmpl w:val="77C2CDC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BC4DB9"/>
    <w:multiLevelType w:val="hybridMultilevel"/>
    <w:tmpl w:val="CC86E630"/>
    <w:lvl w:ilvl="0" w:tplc="4009000B">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4" w15:restartNumberingAfterBreak="0">
    <w:nsid w:val="1C8D0568"/>
    <w:multiLevelType w:val="multilevel"/>
    <w:tmpl w:val="4FCA92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2F124B"/>
    <w:multiLevelType w:val="multilevel"/>
    <w:tmpl w:val="EED880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D458FF"/>
    <w:multiLevelType w:val="hybridMultilevel"/>
    <w:tmpl w:val="C3E482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8120B6E"/>
    <w:multiLevelType w:val="hybridMultilevel"/>
    <w:tmpl w:val="4FD4F9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C0B74C0"/>
    <w:multiLevelType w:val="multilevel"/>
    <w:tmpl w:val="601ECA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CF5E7B"/>
    <w:multiLevelType w:val="multilevel"/>
    <w:tmpl w:val="BCC8CF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D46479"/>
    <w:multiLevelType w:val="multilevel"/>
    <w:tmpl w:val="64EC4E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B22418"/>
    <w:multiLevelType w:val="multilevel"/>
    <w:tmpl w:val="C17E8F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F73BFD"/>
    <w:multiLevelType w:val="hybridMultilevel"/>
    <w:tmpl w:val="F12010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DF73816"/>
    <w:multiLevelType w:val="hybridMultilevel"/>
    <w:tmpl w:val="A3E4CB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4"/>
  </w:num>
  <w:num w:numId="3">
    <w:abstractNumId w:val="10"/>
  </w:num>
  <w:num w:numId="4">
    <w:abstractNumId w:val="5"/>
  </w:num>
  <w:num w:numId="5">
    <w:abstractNumId w:val="11"/>
  </w:num>
  <w:num w:numId="6">
    <w:abstractNumId w:val="8"/>
  </w:num>
  <w:num w:numId="7">
    <w:abstractNumId w:val="9"/>
  </w:num>
  <w:num w:numId="8">
    <w:abstractNumId w:val="0"/>
  </w:num>
  <w:num w:numId="9">
    <w:abstractNumId w:val="13"/>
  </w:num>
  <w:num w:numId="10">
    <w:abstractNumId w:val="3"/>
  </w:num>
  <w:num w:numId="11">
    <w:abstractNumId w:val="2"/>
  </w:num>
  <w:num w:numId="12">
    <w:abstractNumId w:val="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DA"/>
    <w:rsid w:val="00224DA2"/>
    <w:rsid w:val="003072BA"/>
    <w:rsid w:val="0046209C"/>
    <w:rsid w:val="0056537D"/>
    <w:rsid w:val="00613C9E"/>
    <w:rsid w:val="00623ADA"/>
    <w:rsid w:val="006433E0"/>
    <w:rsid w:val="00704773"/>
    <w:rsid w:val="00797E1E"/>
    <w:rsid w:val="007D377C"/>
    <w:rsid w:val="00845572"/>
    <w:rsid w:val="008F0529"/>
    <w:rsid w:val="00C41164"/>
    <w:rsid w:val="00CA70EB"/>
    <w:rsid w:val="00CC5DC6"/>
    <w:rsid w:val="00EC4C78"/>
    <w:rsid w:val="00EC6E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0ABA"/>
  <w15:chartTrackingRefBased/>
  <w15:docId w15:val="{0DEA2E53-3D92-4E6F-AC87-A2307A3D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C6E5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ultisyn">
    <w:name w:val="multi_syn"/>
    <w:basedOn w:val="DefaultParagraphFont"/>
    <w:rsid w:val="00EC6E54"/>
  </w:style>
  <w:style w:type="character" w:customStyle="1" w:styleId="singlesyn">
    <w:name w:val="single_syn"/>
    <w:basedOn w:val="DefaultParagraphFont"/>
    <w:rsid w:val="00EC6E54"/>
  </w:style>
  <w:style w:type="character" w:customStyle="1" w:styleId="Heading1Char">
    <w:name w:val="Heading 1 Char"/>
    <w:basedOn w:val="DefaultParagraphFont"/>
    <w:link w:val="Heading1"/>
    <w:uiPriority w:val="9"/>
    <w:rsid w:val="00EC6E54"/>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7D377C"/>
    <w:rPr>
      <w:b/>
      <w:bCs/>
    </w:rPr>
  </w:style>
  <w:style w:type="paragraph" w:styleId="NormalWeb">
    <w:name w:val="Normal (Web)"/>
    <w:basedOn w:val="Normal"/>
    <w:uiPriority w:val="99"/>
    <w:unhideWhenUsed/>
    <w:rsid w:val="007D377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7D377C"/>
    <w:pPr>
      <w:ind w:left="720"/>
      <w:contextualSpacing/>
    </w:pPr>
  </w:style>
  <w:style w:type="character" w:styleId="Hyperlink">
    <w:name w:val="Hyperlink"/>
    <w:basedOn w:val="DefaultParagraphFont"/>
    <w:uiPriority w:val="99"/>
    <w:unhideWhenUsed/>
    <w:rsid w:val="00C41164"/>
    <w:rPr>
      <w:color w:val="0000FF"/>
      <w:u w:val="single"/>
    </w:rPr>
  </w:style>
  <w:style w:type="character" w:customStyle="1" w:styleId="red">
    <w:name w:val="red"/>
    <w:basedOn w:val="DefaultParagraphFont"/>
    <w:rsid w:val="00CA70EB"/>
  </w:style>
  <w:style w:type="character" w:customStyle="1" w:styleId="blue">
    <w:name w:val="blue"/>
    <w:basedOn w:val="DefaultParagraphFont"/>
    <w:rsid w:val="00CA7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74001">
      <w:bodyDiv w:val="1"/>
      <w:marLeft w:val="0"/>
      <w:marRight w:val="0"/>
      <w:marTop w:val="0"/>
      <w:marBottom w:val="0"/>
      <w:divBdr>
        <w:top w:val="none" w:sz="0" w:space="0" w:color="auto"/>
        <w:left w:val="none" w:sz="0" w:space="0" w:color="auto"/>
        <w:bottom w:val="none" w:sz="0" w:space="0" w:color="auto"/>
        <w:right w:val="none" w:sz="0" w:space="0" w:color="auto"/>
      </w:divBdr>
      <w:divsChild>
        <w:div w:id="357779771">
          <w:marLeft w:val="0"/>
          <w:marRight w:val="0"/>
          <w:marTop w:val="0"/>
          <w:marBottom w:val="0"/>
          <w:divBdr>
            <w:top w:val="none" w:sz="0" w:space="0" w:color="auto"/>
            <w:left w:val="none" w:sz="0" w:space="0" w:color="auto"/>
            <w:bottom w:val="none" w:sz="0" w:space="0" w:color="auto"/>
            <w:right w:val="none" w:sz="0" w:space="0" w:color="auto"/>
          </w:divBdr>
        </w:div>
        <w:div w:id="1775203457">
          <w:marLeft w:val="0"/>
          <w:marRight w:val="0"/>
          <w:marTop w:val="0"/>
          <w:marBottom w:val="0"/>
          <w:divBdr>
            <w:top w:val="none" w:sz="0" w:space="0" w:color="auto"/>
            <w:left w:val="none" w:sz="0" w:space="0" w:color="auto"/>
            <w:bottom w:val="none" w:sz="0" w:space="0" w:color="auto"/>
            <w:right w:val="none" w:sz="0" w:space="0" w:color="auto"/>
          </w:divBdr>
        </w:div>
        <w:div w:id="460536395">
          <w:marLeft w:val="0"/>
          <w:marRight w:val="0"/>
          <w:marTop w:val="0"/>
          <w:marBottom w:val="0"/>
          <w:divBdr>
            <w:top w:val="none" w:sz="0" w:space="0" w:color="auto"/>
            <w:left w:val="none" w:sz="0" w:space="0" w:color="auto"/>
            <w:bottom w:val="none" w:sz="0" w:space="0" w:color="auto"/>
            <w:right w:val="none" w:sz="0" w:space="0" w:color="auto"/>
          </w:divBdr>
        </w:div>
        <w:div w:id="1781682194">
          <w:marLeft w:val="0"/>
          <w:marRight w:val="0"/>
          <w:marTop w:val="0"/>
          <w:marBottom w:val="0"/>
          <w:divBdr>
            <w:top w:val="none" w:sz="0" w:space="0" w:color="auto"/>
            <w:left w:val="none" w:sz="0" w:space="0" w:color="auto"/>
            <w:bottom w:val="none" w:sz="0" w:space="0" w:color="auto"/>
            <w:right w:val="none" w:sz="0" w:space="0" w:color="auto"/>
          </w:divBdr>
        </w:div>
        <w:div w:id="1560940934">
          <w:marLeft w:val="0"/>
          <w:marRight w:val="0"/>
          <w:marTop w:val="0"/>
          <w:marBottom w:val="0"/>
          <w:divBdr>
            <w:top w:val="none" w:sz="0" w:space="0" w:color="auto"/>
            <w:left w:val="none" w:sz="0" w:space="0" w:color="auto"/>
            <w:bottom w:val="none" w:sz="0" w:space="0" w:color="auto"/>
            <w:right w:val="none" w:sz="0" w:space="0" w:color="auto"/>
          </w:divBdr>
        </w:div>
        <w:div w:id="1260285945">
          <w:marLeft w:val="0"/>
          <w:marRight w:val="0"/>
          <w:marTop w:val="0"/>
          <w:marBottom w:val="0"/>
          <w:divBdr>
            <w:top w:val="none" w:sz="0" w:space="0" w:color="auto"/>
            <w:left w:val="none" w:sz="0" w:space="0" w:color="auto"/>
            <w:bottom w:val="none" w:sz="0" w:space="0" w:color="auto"/>
            <w:right w:val="none" w:sz="0" w:space="0" w:color="auto"/>
          </w:divBdr>
        </w:div>
        <w:div w:id="1347829745">
          <w:marLeft w:val="0"/>
          <w:marRight w:val="0"/>
          <w:marTop w:val="0"/>
          <w:marBottom w:val="0"/>
          <w:divBdr>
            <w:top w:val="none" w:sz="0" w:space="0" w:color="auto"/>
            <w:left w:val="none" w:sz="0" w:space="0" w:color="auto"/>
            <w:bottom w:val="none" w:sz="0" w:space="0" w:color="auto"/>
            <w:right w:val="none" w:sz="0" w:space="0" w:color="auto"/>
          </w:divBdr>
        </w:div>
        <w:div w:id="503016354">
          <w:marLeft w:val="0"/>
          <w:marRight w:val="0"/>
          <w:marTop w:val="0"/>
          <w:marBottom w:val="0"/>
          <w:divBdr>
            <w:top w:val="none" w:sz="0" w:space="0" w:color="auto"/>
            <w:left w:val="none" w:sz="0" w:space="0" w:color="auto"/>
            <w:bottom w:val="none" w:sz="0" w:space="0" w:color="auto"/>
            <w:right w:val="none" w:sz="0" w:space="0" w:color="auto"/>
          </w:divBdr>
        </w:div>
        <w:div w:id="1217010196">
          <w:marLeft w:val="0"/>
          <w:marRight w:val="0"/>
          <w:marTop w:val="0"/>
          <w:marBottom w:val="0"/>
          <w:divBdr>
            <w:top w:val="none" w:sz="0" w:space="0" w:color="auto"/>
            <w:left w:val="none" w:sz="0" w:space="0" w:color="auto"/>
            <w:bottom w:val="none" w:sz="0" w:space="0" w:color="auto"/>
            <w:right w:val="none" w:sz="0" w:space="0" w:color="auto"/>
          </w:divBdr>
        </w:div>
      </w:divsChild>
    </w:div>
    <w:div w:id="191849455">
      <w:bodyDiv w:val="1"/>
      <w:marLeft w:val="0"/>
      <w:marRight w:val="0"/>
      <w:marTop w:val="0"/>
      <w:marBottom w:val="0"/>
      <w:divBdr>
        <w:top w:val="none" w:sz="0" w:space="0" w:color="auto"/>
        <w:left w:val="none" w:sz="0" w:space="0" w:color="auto"/>
        <w:bottom w:val="none" w:sz="0" w:space="0" w:color="auto"/>
        <w:right w:val="none" w:sz="0" w:space="0" w:color="auto"/>
      </w:divBdr>
    </w:div>
    <w:div w:id="252327618">
      <w:bodyDiv w:val="1"/>
      <w:marLeft w:val="0"/>
      <w:marRight w:val="0"/>
      <w:marTop w:val="0"/>
      <w:marBottom w:val="0"/>
      <w:divBdr>
        <w:top w:val="none" w:sz="0" w:space="0" w:color="auto"/>
        <w:left w:val="none" w:sz="0" w:space="0" w:color="auto"/>
        <w:bottom w:val="none" w:sz="0" w:space="0" w:color="auto"/>
        <w:right w:val="none" w:sz="0" w:space="0" w:color="auto"/>
      </w:divBdr>
    </w:div>
    <w:div w:id="678774856">
      <w:bodyDiv w:val="1"/>
      <w:marLeft w:val="0"/>
      <w:marRight w:val="0"/>
      <w:marTop w:val="0"/>
      <w:marBottom w:val="0"/>
      <w:divBdr>
        <w:top w:val="none" w:sz="0" w:space="0" w:color="auto"/>
        <w:left w:val="none" w:sz="0" w:space="0" w:color="auto"/>
        <w:bottom w:val="none" w:sz="0" w:space="0" w:color="auto"/>
        <w:right w:val="none" w:sz="0" w:space="0" w:color="auto"/>
      </w:divBdr>
    </w:div>
    <w:div w:id="816266171">
      <w:bodyDiv w:val="1"/>
      <w:marLeft w:val="0"/>
      <w:marRight w:val="0"/>
      <w:marTop w:val="0"/>
      <w:marBottom w:val="0"/>
      <w:divBdr>
        <w:top w:val="none" w:sz="0" w:space="0" w:color="auto"/>
        <w:left w:val="none" w:sz="0" w:space="0" w:color="auto"/>
        <w:bottom w:val="none" w:sz="0" w:space="0" w:color="auto"/>
        <w:right w:val="none" w:sz="0" w:space="0" w:color="auto"/>
      </w:divBdr>
    </w:div>
    <w:div w:id="940837701">
      <w:bodyDiv w:val="1"/>
      <w:marLeft w:val="0"/>
      <w:marRight w:val="0"/>
      <w:marTop w:val="0"/>
      <w:marBottom w:val="0"/>
      <w:divBdr>
        <w:top w:val="none" w:sz="0" w:space="0" w:color="auto"/>
        <w:left w:val="none" w:sz="0" w:space="0" w:color="auto"/>
        <w:bottom w:val="none" w:sz="0" w:space="0" w:color="auto"/>
        <w:right w:val="none" w:sz="0" w:space="0" w:color="auto"/>
      </w:divBdr>
    </w:div>
    <w:div w:id="1090202498">
      <w:bodyDiv w:val="1"/>
      <w:marLeft w:val="0"/>
      <w:marRight w:val="0"/>
      <w:marTop w:val="0"/>
      <w:marBottom w:val="0"/>
      <w:divBdr>
        <w:top w:val="none" w:sz="0" w:space="0" w:color="auto"/>
        <w:left w:val="none" w:sz="0" w:space="0" w:color="auto"/>
        <w:bottom w:val="none" w:sz="0" w:space="0" w:color="auto"/>
        <w:right w:val="none" w:sz="0" w:space="0" w:color="auto"/>
      </w:divBdr>
    </w:div>
    <w:div w:id="1197693429">
      <w:bodyDiv w:val="1"/>
      <w:marLeft w:val="0"/>
      <w:marRight w:val="0"/>
      <w:marTop w:val="0"/>
      <w:marBottom w:val="0"/>
      <w:divBdr>
        <w:top w:val="none" w:sz="0" w:space="0" w:color="auto"/>
        <w:left w:val="none" w:sz="0" w:space="0" w:color="auto"/>
        <w:bottom w:val="none" w:sz="0" w:space="0" w:color="auto"/>
        <w:right w:val="none" w:sz="0" w:space="0" w:color="auto"/>
      </w:divBdr>
      <w:divsChild>
        <w:div w:id="545795847">
          <w:marLeft w:val="0"/>
          <w:marRight w:val="0"/>
          <w:marTop w:val="0"/>
          <w:marBottom w:val="0"/>
          <w:divBdr>
            <w:top w:val="none" w:sz="0" w:space="0" w:color="auto"/>
            <w:left w:val="none" w:sz="0" w:space="0" w:color="auto"/>
            <w:bottom w:val="none" w:sz="0" w:space="0" w:color="auto"/>
            <w:right w:val="none" w:sz="0" w:space="0" w:color="auto"/>
          </w:divBdr>
        </w:div>
      </w:divsChild>
    </w:div>
    <w:div w:id="1237090297">
      <w:bodyDiv w:val="1"/>
      <w:marLeft w:val="0"/>
      <w:marRight w:val="0"/>
      <w:marTop w:val="0"/>
      <w:marBottom w:val="0"/>
      <w:divBdr>
        <w:top w:val="none" w:sz="0" w:space="0" w:color="auto"/>
        <w:left w:val="none" w:sz="0" w:space="0" w:color="auto"/>
        <w:bottom w:val="none" w:sz="0" w:space="0" w:color="auto"/>
        <w:right w:val="none" w:sz="0" w:space="0" w:color="auto"/>
      </w:divBdr>
    </w:div>
    <w:div w:id="1467897878">
      <w:bodyDiv w:val="1"/>
      <w:marLeft w:val="0"/>
      <w:marRight w:val="0"/>
      <w:marTop w:val="0"/>
      <w:marBottom w:val="0"/>
      <w:divBdr>
        <w:top w:val="none" w:sz="0" w:space="0" w:color="auto"/>
        <w:left w:val="none" w:sz="0" w:space="0" w:color="auto"/>
        <w:bottom w:val="none" w:sz="0" w:space="0" w:color="auto"/>
        <w:right w:val="none" w:sz="0" w:space="0" w:color="auto"/>
      </w:divBdr>
    </w:div>
    <w:div w:id="1493064715">
      <w:bodyDiv w:val="1"/>
      <w:marLeft w:val="0"/>
      <w:marRight w:val="0"/>
      <w:marTop w:val="0"/>
      <w:marBottom w:val="0"/>
      <w:divBdr>
        <w:top w:val="none" w:sz="0" w:space="0" w:color="auto"/>
        <w:left w:val="none" w:sz="0" w:space="0" w:color="auto"/>
        <w:bottom w:val="none" w:sz="0" w:space="0" w:color="auto"/>
        <w:right w:val="none" w:sz="0" w:space="0" w:color="auto"/>
      </w:divBdr>
    </w:div>
    <w:div w:id="1654870385">
      <w:bodyDiv w:val="1"/>
      <w:marLeft w:val="0"/>
      <w:marRight w:val="0"/>
      <w:marTop w:val="0"/>
      <w:marBottom w:val="0"/>
      <w:divBdr>
        <w:top w:val="none" w:sz="0" w:space="0" w:color="auto"/>
        <w:left w:val="none" w:sz="0" w:space="0" w:color="auto"/>
        <w:bottom w:val="none" w:sz="0" w:space="0" w:color="auto"/>
        <w:right w:val="none" w:sz="0" w:space="0" w:color="auto"/>
      </w:divBdr>
      <w:divsChild>
        <w:div w:id="1977374254">
          <w:marLeft w:val="0"/>
          <w:marRight w:val="0"/>
          <w:marTop w:val="120"/>
          <w:marBottom w:val="120"/>
          <w:divBdr>
            <w:top w:val="none" w:sz="0" w:space="0" w:color="auto"/>
            <w:left w:val="none" w:sz="0" w:space="0" w:color="auto"/>
            <w:bottom w:val="none" w:sz="0" w:space="0" w:color="auto"/>
            <w:right w:val="none" w:sz="0" w:space="0" w:color="auto"/>
          </w:divBdr>
        </w:div>
        <w:div w:id="847672706">
          <w:marLeft w:val="0"/>
          <w:marRight w:val="0"/>
          <w:marTop w:val="120"/>
          <w:marBottom w:val="120"/>
          <w:divBdr>
            <w:top w:val="none" w:sz="0" w:space="0" w:color="auto"/>
            <w:left w:val="none" w:sz="0" w:space="0" w:color="auto"/>
            <w:bottom w:val="none" w:sz="0" w:space="0" w:color="auto"/>
            <w:right w:val="none" w:sz="0" w:space="0" w:color="auto"/>
          </w:divBdr>
        </w:div>
        <w:div w:id="423766756">
          <w:marLeft w:val="0"/>
          <w:marRight w:val="0"/>
          <w:marTop w:val="120"/>
          <w:marBottom w:val="120"/>
          <w:divBdr>
            <w:top w:val="none" w:sz="0" w:space="0" w:color="auto"/>
            <w:left w:val="none" w:sz="0" w:space="0" w:color="auto"/>
            <w:bottom w:val="none" w:sz="0" w:space="0" w:color="auto"/>
            <w:right w:val="none" w:sz="0" w:space="0" w:color="auto"/>
          </w:divBdr>
        </w:div>
        <w:div w:id="296254386">
          <w:marLeft w:val="0"/>
          <w:marRight w:val="0"/>
          <w:marTop w:val="120"/>
          <w:marBottom w:val="120"/>
          <w:divBdr>
            <w:top w:val="none" w:sz="0" w:space="0" w:color="auto"/>
            <w:left w:val="none" w:sz="0" w:space="0" w:color="auto"/>
            <w:bottom w:val="none" w:sz="0" w:space="0" w:color="auto"/>
            <w:right w:val="none" w:sz="0" w:space="0" w:color="auto"/>
          </w:divBdr>
        </w:div>
        <w:div w:id="2007127286">
          <w:marLeft w:val="0"/>
          <w:marRight w:val="0"/>
          <w:marTop w:val="120"/>
          <w:marBottom w:val="120"/>
          <w:divBdr>
            <w:top w:val="none" w:sz="0" w:space="0" w:color="auto"/>
            <w:left w:val="none" w:sz="0" w:space="0" w:color="auto"/>
            <w:bottom w:val="none" w:sz="0" w:space="0" w:color="auto"/>
            <w:right w:val="none" w:sz="0" w:space="0" w:color="auto"/>
          </w:divBdr>
        </w:div>
        <w:div w:id="9064362">
          <w:marLeft w:val="0"/>
          <w:marRight w:val="0"/>
          <w:marTop w:val="120"/>
          <w:marBottom w:val="120"/>
          <w:divBdr>
            <w:top w:val="none" w:sz="0" w:space="0" w:color="auto"/>
            <w:left w:val="none" w:sz="0" w:space="0" w:color="auto"/>
            <w:bottom w:val="none" w:sz="0" w:space="0" w:color="auto"/>
            <w:right w:val="none" w:sz="0" w:space="0" w:color="auto"/>
          </w:divBdr>
        </w:div>
        <w:div w:id="1459685295">
          <w:marLeft w:val="0"/>
          <w:marRight w:val="0"/>
          <w:marTop w:val="120"/>
          <w:marBottom w:val="120"/>
          <w:divBdr>
            <w:top w:val="none" w:sz="0" w:space="0" w:color="auto"/>
            <w:left w:val="none" w:sz="0" w:space="0" w:color="auto"/>
            <w:bottom w:val="none" w:sz="0" w:space="0" w:color="auto"/>
            <w:right w:val="none" w:sz="0" w:space="0" w:color="auto"/>
          </w:divBdr>
        </w:div>
        <w:div w:id="1179005624">
          <w:marLeft w:val="0"/>
          <w:marRight w:val="0"/>
          <w:marTop w:val="120"/>
          <w:marBottom w:val="120"/>
          <w:divBdr>
            <w:top w:val="none" w:sz="0" w:space="0" w:color="auto"/>
            <w:left w:val="none" w:sz="0" w:space="0" w:color="auto"/>
            <w:bottom w:val="none" w:sz="0" w:space="0" w:color="auto"/>
            <w:right w:val="none" w:sz="0" w:space="0" w:color="auto"/>
          </w:divBdr>
        </w:div>
        <w:div w:id="1607885800">
          <w:marLeft w:val="0"/>
          <w:marRight w:val="0"/>
          <w:marTop w:val="120"/>
          <w:marBottom w:val="120"/>
          <w:divBdr>
            <w:top w:val="none" w:sz="0" w:space="0" w:color="auto"/>
            <w:left w:val="none" w:sz="0" w:space="0" w:color="auto"/>
            <w:bottom w:val="none" w:sz="0" w:space="0" w:color="auto"/>
            <w:right w:val="none" w:sz="0" w:space="0" w:color="auto"/>
          </w:divBdr>
        </w:div>
        <w:div w:id="1412848458">
          <w:marLeft w:val="0"/>
          <w:marRight w:val="0"/>
          <w:marTop w:val="120"/>
          <w:marBottom w:val="120"/>
          <w:divBdr>
            <w:top w:val="none" w:sz="0" w:space="0" w:color="auto"/>
            <w:left w:val="none" w:sz="0" w:space="0" w:color="auto"/>
            <w:bottom w:val="none" w:sz="0" w:space="0" w:color="auto"/>
            <w:right w:val="none" w:sz="0" w:space="0" w:color="auto"/>
          </w:divBdr>
        </w:div>
        <w:div w:id="1446997580">
          <w:marLeft w:val="0"/>
          <w:marRight w:val="0"/>
          <w:marTop w:val="120"/>
          <w:marBottom w:val="120"/>
          <w:divBdr>
            <w:top w:val="none" w:sz="0" w:space="0" w:color="auto"/>
            <w:left w:val="none" w:sz="0" w:space="0" w:color="auto"/>
            <w:bottom w:val="none" w:sz="0" w:space="0" w:color="auto"/>
            <w:right w:val="none" w:sz="0" w:space="0" w:color="auto"/>
          </w:divBdr>
        </w:div>
        <w:div w:id="2003268234">
          <w:marLeft w:val="0"/>
          <w:marRight w:val="0"/>
          <w:marTop w:val="120"/>
          <w:marBottom w:val="120"/>
          <w:divBdr>
            <w:top w:val="none" w:sz="0" w:space="0" w:color="auto"/>
            <w:left w:val="none" w:sz="0" w:space="0" w:color="auto"/>
            <w:bottom w:val="none" w:sz="0" w:space="0" w:color="auto"/>
            <w:right w:val="none" w:sz="0" w:space="0" w:color="auto"/>
          </w:divBdr>
        </w:div>
        <w:div w:id="1380855663">
          <w:marLeft w:val="0"/>
          <w:marRight w:val="0"/>
          <w:marTop w:val="120"/>
          <w:marBottom w:val="120"/>
          <w:divBdr>
            <w:top w:val="none" w:sz="0" w:space="0" w:color="auto"/>
            <w:left w:val="none" w:sz="0" w:space="0" w:color="auto"/>
            <w:bottom w:val="none" w:sz="0" w:space="0" w:color="auto"/>
            <w:right w:val="none" w:sz="0" w:space="0" w:color="auto"/>
          </w:divBdr>
        </w:div>
        <w:div w:id="1307660220">
          <w:marLeft w:val="0"/>
          <w:marRight w:val="0"/>
          <w:marTop w:val="120"/>
          <w:marBottom w:val="120"/>
          <w:divBdr>
            <w:top w:val="none" w:sz="0" w:space="0" w:color="auto"/>
            <w:left w:val="none" w:sz="0" w:space="0" w:color="auto"/>
            <w:bottom w:val="none" w:sz="0" w:space="0" w:color="auto"/>
            <w:right w:val="none" w:sz="0" w:space="0" w:color="auto"/>
          </w:divBdr>
        </w:div>
        <w:div w:id="19210103">
          <w:marLeft w:val="0"/>
          <w:marRight w:val="0"/>
          <w:marTop w:val="120"/>
          <w:marBottom w:val="120"/>
          <w:divBdr>
            <w:top w:val="none" w:sz="0" w:space="0" w:color="auto"/>
            <w:left w:val="none" w:sz="0" w:space="0" w:color="auto"/>
            <w:bottom w:val="none" w:sz="0" w:space="0" w:color="auto"/>
            <w:right w:val="none" w:sz="0" w:space="0" w:color="auto"/>
          </w:divBdr>
        </w:div>
        <w:div w:id="536939692">
          <w:marLeft w:val="0"/>
          <w:marRight w:val="0"/>
          <w:marTop w:val="120"/>
          <w:marBottom w:val="120"/>
          <w:divBdr>
            <w:top w:val="none" w:sz="0" w:space="0" w:color="auto"/>
            <w:left w:val="none" w:sz="0" w:space="0" w:color="auto"/>
            <w:bottom w:val="none" w:sz="0" w:space="0" w:color="auto"/>
            <w:right w:val="none" w:sz="0" w:space="0" w:color="auto"/>
          </w:divBdr>
        </w:div>
        <w:div w:id="790056099">
          <w:marLeft w:val="0"/>
          <w:marRight w:val="0"/>
          <w:marTop w:val="120"/>
          <w:marBottom w:val="120"/>
          <w:divBdr>
            <w:top w:val="none" w:sz="0" w:space="0" w:color="auto"/>
            <w:left w:val="none" w:sz="0" w:space="0" w:color="auto"/>
            <w:bottom w:val="none" w:sz="0" w:space="0" w:color="auto"/>
            <w:right w:val="none" w:sz="0" w:space="0" w:color="auto"/>
          </w:divBdr>
        </w:div>
        <w:div w:id="795753562">
          <w:marLeft w:val="0"/>
          <w:marRight w:val="0"/>
          <w:marTop w:val="120"/>
          <w:marBottom w:val="120"/>
          <w:divBdr>
            <w:top w:val="none" w:sz="0" w:space="0" w:color="auto"/>
            <w:left w:val="none" w:sz="0" w:space="0" w:color="auto"/>
            <w:bottom w:val="none" w:sz="0" w:space="0" w:color="auto"/>
            <w:right w:val="none" w:sz="0" w:space="0" w:color="auto"/>
          </w:divBdr>
        </w:div>
        <w:div w:id="1725180305">
          <w:marLeft w:val="0"/>
          <w:marRight w:val="0"/>
          <w:marTop w:val="120"/>
          <w:marBottom w:val="120"/>
          <w:divBdr>
            <w:top w:val="none" w:sz="0" w:space="0" w:color="auto"/>
            <w:left w:val="none" w:sz="0" w:space="0" w:color="auto"/>
            <w:bottom w:val="none" w:sz="0" w:space="0" w:color="auto"/>
            <w:right w:val="none" w:sz="0" w:space="0" w:color="auto"/>
          </w:divBdr>
        </w:div>
        <w:div w:id="905186557">
          <w:marLeft w:val="0"/>
          <w:marRight w:val="0"/>
          <w:marTop w:val="120"/>
          <w:marBottom w:val="120"/>
          <w:divBdr>
            <w:top w:val="none" w:sz="0" w:space="0" w:color="auto"/>
            <w:left w:val="none" w:sz="0" w:space="0" w:color="auto"/>
            <w:bottom w:val="none" w:sz="0" w:space="0" w:color="auto"/>
            <w:right w:val="none" w:sz="0" w:space="0" w:color="auto"/>
          </w:divBdr>
        </w:div>
        <w:div w:id="1514764147">
          <w:marLeft w:val="0"/>
          <w:marRight w:val="0"/>
          <w:marTop w:val="120"/>
          <w:marBottom w:val="120"/>
          <w:divBdr>
            <w:top w:val="none" w:sz="0" w:space="0" w:color="auto"/>
            <w:left w:val="none" w:sz="0" w:space="0" w:color="auto"/>
            <w:bottom w:val="none" w:sz="0" w:space="0" w:color="auto"/>
            <w:right w:val="none" w:sz="0" w:space="0" w:color="auto"/>
          </w:divBdr>
        </w:div>
        <w:div w:id="289360351">
          <w:marLeft w:val="0"/>
          <w:marRight w:val="0"/>
          <w:marTop w:val="120"/>
          <w:marBottom w:val="120"/>
          <w:divBdr>
            <w:top w:val="none" w:sz="0" w:space="0" w:color="auto"/>
            <w:left w:val="none" w:sz="0" w:space="0" w:color="auto"/>
            <w:bottom w:val="none" w:sz="0" w:space="0" w:color="auto"/>
            <w:right w:val="none" w:sz="0" w:space="0" w:color="auto"/>
          </w:divBdr>
        </w:div>
        <w:div w:id="201408307">
          <w:marLeft w:val="0"/>
          <w:marRight w:val="0"/>
          <w:marTop w:val="120"/>
          <w:marBottom w:val="120"/>
          <w:divBdr>
            <w:top w:val="none" w:sz="0" w:space="0" w:color="auto"/>
            <w:left w:val="none" w:sz="0" w:space="0" w:color="auto"/>
            <w:bottom w:val="none" w:sz="0" w:space="0" w:color="auto"/>
            <w:right w:val="none" w:sz="0" w:space="0" w:color="auto"/>
          </w:divBdr>
        </w:div>
        <w:div w:id="742878320">
          <w:marLeft w:val="0"/>
          <w:marRight w:val="0"/>
          <w:marTop w:val="120"/>
          <w:marBottom w:val="120"/>
          <w:divBdr>
            <w:top w:val="none" w:sz="0" w:space="0" w:color="auto"/>
            <w:left w:val="none" w:sz="0" w:space="0" w:color="auto"/>
            <w:bottom w:val="none" w:sz="0" w:space="0" w:color="auto"/>
            <w:right w:val="none" w:sz="0" w:space="0" w:color="auto"/>
          </w:divBdr>
        </w:div>
        <w:div w:id="925117925">
          <w:marLeft w:val="0"/>
          <w:marRight w:val="0"/>
          <w:marTop w:val="120"/>
          <w:marBottom w:val="120"/>
          <w:divBdr>
            <w:top w:val="none" w:sz="0" w:space="0" w:color="auto"/>
            <w:left w:val="none" w:sz="0" w:space="0" w:color="auto"/>
            <w:bottom w:val="none" w:sz="0" w:space="0" w:color="auto"/>
            <w:right w:val="none" w:sz="0" w:space="0" w:color="auto"/>
          </w:divBdr>
        </w:div>
        <w:div w:id="850531509">
          <w:marLeft w:val="0"/>
          <w:marRight w:val="0"/>
          <w:marTop w:val="120"/>
          <w:marBottom w:val="120"/>
          <w:divBdr>
            <w:top w:val="none" w:sz="0" w:space="0" w:color="auto"/>
            <w:left w:val="none" w:sz="0" w:space="0" w:color="auto"/>
            <w:bottom w:val="none" w:sz="0" w:space="0" w:color="auto"/>
            <w:right w:val="none" w:sz="0" w:space="0" w:color="auto"/>
          </w:divBdr>
        </w:div>
        <w:div w:id="1605721174">
          <w:marLeft w:val="0"/>
          <w:marRight w:val="0"/>
          <w:marTop w:val="120"/>
          <w:marBottom w:val="120"/>
          <w:divBdr>
            <w:top w:val="none" w:sz="0" w:space="0" w:color="auto"/>
            <w:left w:val="none" w:sz="0" w:space="0" w:color="auto"/>
            <w:bottom w:val="none" w:sz="0" w:space="0" w:color="auto"/>
            <w:right w:val="none" w:sz="0" w:space="0" w:color="auto"/>
          </w:divBdr>
        </w:div>
        <w:div w:id="1630672187">
          <w:marLeft w:val="0"/>
          <w:marRight w:val="0"/>
          <w:marTop w:val="120"/>
          <w:marBottom w:val="120"/>
          <w:divBdr>
            <w:top w:val="none" w:sz="0" w:space="0" w:color="auto"/>
            <w:left w:val="none" w:sz="0" w:space="0" w:color="auto"/>
            <w:bottom w:val="none" w:sz="0" w:space="0" w:color="auto"/>
            <w:right w:val="none" w:sz="0" w:space="0" w:color="auto"/>
          </w:divBdr>
        </w:div>
        <w:div w:id="1988977527">
          <w:marLeft w:val="0"/>
          <w:marRight w:val="0"/>
          <w:marTop w:val="120"/>
          <w:marBottom w:val="120"/>
          <w:divBdr>
            <w:top w:val="none" w:sz="0" w:space="0" w:color="auto"/>
            <w:left w:val="none" w:sz="0" w:space="0" w:color="auto"/>
            <w:bottom w:val="none" w:sz="0" w:space="0" w:color="auto"/>
            <w:right w:val="none" w:sz="0" w:space="0" w:color="auto"/>
          </w:divBdr>
        </w:div>
        <w:div w:id="1824269728">
          <w:marLeft w:val="0"/>
          <w:marRight w:val="0"/>
          <w:marTop w:val="120"/>
          <w:marBottom w:val="120"/>
          <w:divBdr>
            <w:top w:val="none" w:sz="0" w:space="0" w:color="auto"/>
            <w:left w:val="none" w:sz="0" w:space="0" w:color="auto"/>
            <w:bottom w:val="none" w:sz="0" w:space="0" w:color="auto"/>
            <w:right w:val="none" w:sz="0" w:space="0" w:color="auto"/>
          </w:divBdr>
        </w:div>
        <w:div w:id="1981570841">
          <w:marLeft w:val="0"/>
          <w:marRight w:val="0"/>
          <w:marTop w:val="120"/>
          <w:marBottom w:val="120"/>
          <w:divBdr>
            <w:top w:val="none" w:sz="0" w:space="0" w:color="auto"/>
            <w:left w:val="none" w:sz="0" w:space="0" w:color="auto"/>
            <w:bottom w:val="none" w:sz="0" w:space="0" w:color="auto"/>
            <w:right w:val="none" w:sz="0" w:space="0" w:color="auto"/>
          </w:divBdr>
        </w:div>
        <w:div w:id="1432312301">
          <w:marLeft w:val="0"/>
          <w:marRight w:val="0"/>
          <w:marTop w:val="120"/>
          <w:marBottom w:val="120"/>
          <w:divBdr>
            <w:top w:val="none" w:sz="0" w:space="0" w:color="auto"/>
            <w:left w:val="none" w:sz="0" w:space="0" w:color="auto"/>
            <w:bottom w:val="none" w:sz="0" w:space="0" w:color="auto"/>
            <w:right w:val="none" w:sz="0" w:space="0" w:color="auto"/>
          </w:divBdr>
        </w:div>
        <w:div w:id="228806469">
          <w:marLeft w:val="0"/>
          <w:marRight w:val="0"/>
          <w:marTop w:val="120"/>
          <w:marBottom w:val="120"/>
          <w:divBdr>
            <w:top w:val="none" w:sz="0" w:space="0" w:color="auto"/>
            <w:left w:val="none" w:sz="0" w:space="0" w:color="auto"/>
            <w:bottom w:val="none" w:sz="0" w:space="0" w:color="auto"/>
            <w:right w:val="none" w:sz="0" w:space="0" w:color="auto"/>
          </w:divBdr>
        </w:div>
        <w:div w:id="1017391629">
          <w:marLeft w:val="0"/>
          <w:marRight w:val="0"/>
          <w:marTop w:val="120"/>
          <w:marBottom w:val="120"/>
          <w:divBdr>
            <w:top w:val="none" w:sz="0" w:space="0" w:color="auto"/>
            <w:left w:val="none" w:sz="0" w:space="0" w:color="auto"/>
            <w:bottom w:val="none" w:sz="0" w:space="0" w:color="auto"/>
            <w:right w:val="none" w:sz="0" w:space="0" w:color="auto"/>
          </w:divBdr>
        </w:div>
        <w:div w:id="1361201753">
          <w:marLeft w:val="0"/>
          <w:marRight w:val="0"/>
          <w:marTop w:val="120"/>
          <w:marBottom w:val="120"/>
          <w:divBdr>
            <w:top w:val="none" w:sz="0" w:space="0" w:color="auto"/>
            <w:left w:val="none" w:sz="0" w:space="0" w:color="auto"/>
            <w:bottom w:val="none" w:sz="0" w:space="0" w:color="auto"/>
            <w:right w:val="none" w:sz="0" w:space="0" w:color="auto"/>
          </w:divBdr>
        </w:div>
        <w:div w:id="1610816379">
          <w:marLeft w:val="0"/>
          <w:marRight w:val="0"/>
          <w:marTop w:val="120"/>
          <w:marBottom w:val="120"/>
          <w:divBdr>
            <w:top w:val="none" w:sz="0" w:space="0" w:color="auto"/>
            <w:left w:val="none" w:sz="0" w:space="0" w:color="auto"/>
            <w:bottom w:val="none" w:sz="0" w:space="0" w:color="auto"/>
            <w:right w:val="none" w:sz="0" w:space="0" w:color="auto"/>
          </w:divBdr>
        </w:div>
        <w:div w:id="1121991987">
          <w:marLeft w:val="0"/>
          <w:marRight w:val="0"/>
          <w:marTop w:val="120"/>
          <w:marBottom w:val="120"/>
          <w:divBdr>
            <w:top w:val="none" w:sz="0" w:space="0" w:color="auto"/>
            <w:left w:val="none" w:sz="0" w:space="0" w:color="auto"/>
            <w:bottom w:val="none" w:sz="0" w:space="0" w:color="auto"/>
            <w:right w:val="none" w:sz="0" w:space="0" w:color="auto"/>
          </w:divBdr>
        </w:div>
        <w:div w:id="1759672237">
          <w:marLeft w:val="0"/>
          <w:marRight w:val="0"/>
          <w:marTop w:val="120"/>
          <w:marBottom w:val="120"/>
          <w:divBdr>
            <w:top w:val="none" w:sz="0" w:space="0" w:color="auto"/>
            <w:left w:val="none" w:sz="0" w:space="0" w:color="auto"/>
            <w:bottom w:val="none" w:sz="0" w:space="0" w:color="auto"/>
            <w:right w:val="none" w:sz="0" w:space="0" w:color="auto"/>
          </w:divBdr>
        </w:div>
        <w:div w:id="1143042201">
          <w:marLeft w:val="0"/>
          <w:marRight w:val="0"/>
          <w:marTop w:val="120"/>
          <w:marBottom w:val="120"/>
          <w:divBdr>
            <w:top w:val="none" w:sz="0" w:space="0" w:color="auto"/>
            <w:left w:val="none" w:sz="0" w:space="0" w:color="auto"/>
            <w:bottom w:val="none" w:sz="0" w:space="0" w:color="auto"/>
            <w:right w:val="none" w:sz="0" w:space="0" w:color="auto"/>
          </w:divBdr>
        </w:div>
        <w:div w:id="972565603">
          <w:marLeft w:val="0"/>
          <w:marRight w:val="0"/>
          <w:marTop w:val="120"/>
          <w:marBottom w:val="120"/>
          <w:divBdr>
            <w:top w:val="none" w:sz="0" w:space="0" w:color="auto"/>
            <w:left w:val="none" w:sz="0" w:space="0" w:color="auto"/>
            <w:bottom w:val="none" w:sz="0" w:space="0" w:color="auto"/>
            <w:right w:val="none" w:sz="0" w:space="0" w:color="auto"/>
          </w:divBdr>
        </w:div>
        <w:div w:id="1466659339">
          <w:marLeft w:val="0"/>
          <w:marRight w:val="0"/>
          <w:marTop w:val="120"/>
          <w:marBottom w:val="120"/>
          <w:divBdr>
            <w:top w:val="none" w:sz="0" w:space="0" w:color="auto"/>
            <w:left w:val="none" w:sz="0" w:space="0" w:color="auto"/>
            <w:bottom w:val="none" w:sz="0" w:space="0" w:color="auto"/>
            <w:right w:val="none" w:sz="0" w:space="0" w:color="auto"/>
          </w:divBdr>
        </w:div>
        <w:div w:id="1022051116">
          <w:marLeft w:val="0"/>
          <w:marRight w:val="0"/>
          <w:marTop w:val="120"/>
          <w:marBottom w:val="120"/>
          <w:divBdr>
            <w:top w:val="none" w:sz="0" w:space="0" w:color="auto"/>
            <w:left w:val="none" w:sz="0" w:space="0" w:color="auto"/>
            <w:bottom w:val="none" w:sz="0" w:space="0" w:color="auto"/>
            <w:right w:val="none" w:sz="0" w:space="0" w:color="auto"/>
          </w:divBdr>
        </w:div>
        <w:div w:id="429547702">
          <w:marLeft w:val="0"/>
          <w:marRight w:val="0"/>
          <w:marTop w:val="120"/>
          <w:marBottom w:val="120"/>
          <w:divBdr>
            <w:top w:val="none" w:sz="0" w:space="0" w:color="auto"/>
            <w:left w:val="none" w:sz="0" w:space="0" w:color="auto"/>
            <w:bottom w:val="none" w:sz="0" w:space="0" w:color="auto"/>
            <w:right w:val="none" w:sz="0" w:space="0" w:color="auto"/>
          </w:divBdr>
        </w:div>
        <w:div w:id="999770738">
          <w:marLeft w:val="0"/>
          <w:marRight w:val="0"/>
          <w:marTop w:val="120"/>
          <w:marBottom w:val="120"/>
          <w:divBdr>
            <w:top w:val="none" w:sz="0" w:space="0" w:color="auto"/>
            <w:left w:val="none" w:sz="0" w:space="0" w:color="auto"/>
            <w:bottom w:val="none" w:sz="0" w:space="0" w:color="auto"/>
            <w:right w:val="none" w:sz="0" w:space="0" w:color="auto"/>
          </w:divBdr>
        </w:div>
        <w:div w:id="496504522">
          <w:marLeft w:val="0"/>
          <w:marRight w:val="0"/>
          <w:marTop w:val="120"/>
          <w:marBottom w:val="120"/>
          <w:divBdr>
            <w:top w:val="none" w:sz="0" w:space="0" w:color="auto"/>
            <w:left w:val="none" w:sz="0" w:space="0" w:color="auto"/>
            <w:bottom w:val="none" w:sz="0" w:space="0" w:color="auto"/>
            <w:right w:val="none" w:sz="0" w:space="0" w:color="auto"/>
          </w:divBdr>
        </w:div>
        <w:div w:id="1844784871">
          <w:marLeft w:val="0"/>
          <w:marRight w:val="0"/>
          <w:marTop w:val="120"/>
          <w:marBottom w:val="120"/>
          <w:divBdr>
            <w:top w:val="none" w:sz="0" w:space="0" w:color="auto"/>
            <w:left w:val="none" w:sz="0" w:space="0" w:color="auto"/>
            <w:bottom w:val="none" w:sz="0" w:space="0" w:color="auto"/>
            <w:right w:val="none" w:sz="0" w:space="0" w:color="auto"/>
          </w:divBdr>
        </w:div>
        <w:div w:id="1762096525">
          <w:marLeft w:val="0"/>
          <w:marRight w:val="0"/>
          <w:marTop w:val="120"/>
          <w:marBottom w:val="120"/>
          <w:divBdr>
            <w:top w:val="none" w:sz="0" w:space="0" w:color="auto"/>
            <w:left w:val="none" w:sz="0" w:space="0" w:color="auto"/>
            <w:bottom w:val="none" w:sz="0" w:space="0" w:color="auto"/>
            <w:right w:val="none" w:sz="0" w:space="0" w:color="auto"/>
          </w:divBdr>
        </w:div>
        <w:div w:id="1355570123">
          <w:marLeft w:val="0"/>
          <w:marRight w:val="0"/>
          <w:marTop w:val="120"/>
          <w:marBottom w:val="120"/>
          <w:divBdr>
            <w:top w:val="none" w:sz="0" w:space="0" w:color="auto"/>
            <w:left w:val="none" w:sz="0" w:space="0" w:color="auto"/>
            <w:bottom w:val="none" w:sz="0" w:space="0" w:color="auto"/>
            <w:right w:val="none" w:sz="0" w:space="0" w:color="auto"/>
          </w:divBdr>
        </w:div>
        <w:div w:id="340199833">
          <w:marLeft w:val="0"/>
          <w:marRight w:val="0"/>
          <w:marTop w:val="120"/>
          <w:marBottom w:val="120"/>
          <w:divBdr>
            <w:top w:val="none" w:sz="0" w:space="0" w:color="auto"/>
            <w:left w:val="none" w:sz="0" w:space="0" w:color="auto"/>
            <w:bottom w:val="none" w:sz="0" w:space="0" w:color="auto"/>
            <w:right w:val="none" w:sz="0" w:space="0" w:color="auto"/>
          </w:divBdr>
        </w:div>
        <w:div w:id="720859430">
          <w:marLeft w:val="0"/>
          <w:marRight w:val="0"/>
          <w:marTop w:val="120"/>
          <w:marBottom w:val="120"/>
          <w:divBdr>
            <w:top w:val="none" w:sz="0" w:space="0" w:color="auto"/>
            <w:left w:val="none" w:sz="0" w:space="0" w:color="auto"/>
            <w:bottom w:val="none" w:sz="0" w:space="0" w:color="auto"/>
            <w:right w:val="none" w:sz="0" w:space="0" w:color="auto"/>
          </w:divBdr>
        </w:div>
        <w:div w:id="1642541719">
          <w:marLeft w:val="0"/>
          <w:marRight w:val="0"/>
          <w:marTop w:val="120"/>
          <w:marBottom w:val="120"/>
          <w:divBdr>
            <w:top w:val="none" w:sz="0" w:space="0" w:color="auto"/>
            <w:left w:val="none" w:sz="0" w:space="0" w:color="auto"/>
            <w:bottom w:val="none" w:sz="0" w:space="0" w:color="auto"/>
            <w:right w:val="none" w:sz="0" w:space="0" w:color="auto"/>
          </w:divBdr>
        </w:div>
        <w:div w:id="1844857875">
          <w:marLeft w:val="0"/>
          <w:marRight w:val="0"/>
          <w:marTop w:val="120"/>
          <w:marBottom w:val="120"/>
          <w:divBdr>
            <w:top w:val="none" w:sz="0" w:space="0" w:color="auto"/>
            <w:left w:val="none" w:sz="0" w:space="0" w:color="auto"/>
            <w:bottom w:val="none" w:sz="0" w:space="0" w:color="auto"/>
            <w:right w:val="none" w:sz="0" w:space="0" w:color="auto"/>
          </w:divBdr>
        </w:div>
        <w:div w:id="8025876">
          <w:marLeft w:val="0"/>
          <w:marRight w:val="0"/>
          <w:marTop w:val="120"/>
          <w:marBottom w:val="120"/>
          <w:divBdr>
            <w:top w:val="none" w:sz="0" w:space="0" w:color="auto"/>
            <w:left w:val="none" w:sz="0" w:space="0" w:color="auto"/>
            <w:bottom w:val="none" w:sz="0" w:space="0" w:color="auto"/>
            <w:right w:val="none" w:sz="0" w:space="0" w:color="auto"/>
          </w:divBdr>
        </w:div>
        <w:div w:id="1669210623">
          <w:marLeft w:val="0"/>
          <w:marRight w:val="0"/>
          <w:marTop w:val="120"/>
          <w:marBottom w:val="120"/>
          <w:divBdr>
            <w:top w:val="none" w:sz="0" w:space="0" w:color="auto"/>
            <w:left w:val="none" w:sz="0" w:space="0" w:color="auto"/>
            <w:bottom w:val="none" w:sz="0" w:space="0" w:color="auto"/>
            <w:right w:val="none" w:sz="0" w:space="0" w:color="auto"/>
          </w:divBdr>
        </w:div>
        <w:div w:id="1284069755">
          <w:marLeft w:val="0"/>
          <w:marRight w:val="0"/>
          <w:marTop w:val="120"/>
          <w:marBottom w:val="120"/>
          <w:divBdr>
            <w:top w:val="none" w:sz="0" w:space="0" w:color="auto"/>
            <w:left w:val="none" w:sz="0" w:space="0" w:color="auto"/>
            <w:bottom w:val="none" w:sz="0" w:space="0" w:color="auto"/>
            <w:right w:val="none" w:sz="0" w:space="0" w:color="auto"/>
          </w:divBdr>
        </w:div>
        <w:div w:id="1790005178">
          <w:marLeft w:val="0"/>
          <w:marRight w:val="0"/>
          <w:marTop w:val="120"/>
          <w:marBottom w:val="120"/>
          <w:divBdr>
            <w:top w:val="none" w:sz="0" w:space="0" w:color="auto"/>
            <w:left w:val="none" w:sz="0" w:space="0" w:color="auto"/>
            <w:bottom w:val="none" w:sz="0" w:space="0" w:color="auto"/>
            <w:right w:val="none" w:sz="0" w:space="0" w:color="auto"/>
          </w:divBdr>
        </w:div>
        <w:div w:id="745884178">
          <w:marLeft w:val="0"/>
          <w:marRight w:val="0"/>
          <w:marTop w:val="120"/>
          <w:marBottom w:val="120"/>
          <w:divBdr>
            <w:top w:val="none" w:sz="0" w:space="0" w:color="auto"/>
            <w:left w:val="none" w:sz="0" w:space="0" w:color="auto"/>
            <w:bottom w:val="none" w:sz="0" w:space="0" w:color="auto"/>
            <w:right w:val="none" w:sz="0" w:space="0" w:color="auto"/>
          </w:divBdr>
        </w:div>
        <w:div w:id="1069764585">
          <w:marLeft w:val="0"/>
          <w:marRight w:val="0"/>
          <w:marTop w:val="120"/>
          <w:marBottom w:val="120"/>
          <w:divBdr>
            <w:top w:val="none" w:sz="0" w:space="0" w:color="auto"/>
            <w:left w:val="none" w:sz="0" w:space="0" w:color="auto"/>
            <w:bottom w:val="none" w:sz="0" w:space="0" w:color="auto"/>
            <w:right w:val="none" w:sz="0" w:space="0" w:color="auto"/>
          </w:divBdr>
        </w:div>
        <w:div w:id="945770808">
          <w:marLeft w:val="0"/>
          <w:marRight w:val="0"/>
          <w:marTop w:val="120"/>
          <w:marBottom w:val="120"/>
          <w:divBdr>
            <w:top w:val="none" w:sz="0" w:space="0" w:color="auto"/>
            <w:left w:val="none" w:sz="0" w:space="0" w:color="auto"/>
            <w:bottom w:val="none" w:sz="0" w:space="0" w:color="auto"/>
            <w:right w:val="none" w:sz="0" w:space="0" w:color="auto"/>
          </w:divBdr>
        </w:div>
        <w:div w:id="1967345207">
          <w:marLeft w:val="0"/>
          <w:marRight w:val="0"/>
          <w:marTop w:val="120"/>
          <w:marBottom w:val="120"/>
          <w:divBdr>
            <w:top w:val="none" w:sz="0" w:space="0" w:color="auto"/>
            <w:left w:val="none" w:sz="0" w:space="0" w:color="auto"/>
            <w:bottom w:val="none" w:sz="0" w:space="0" w:color="auto"/>
            <w:right w:val="none" w:sz="0" w:space="0" w:color="auto"/>
          </w:divBdr>
        </w:div>
        <w:div w:id="1070080106">
          <w:marLeft w:val="0"/>
          <w:marRight w:val="0"/>
          <w:marTop w:val="120"/>
          <w:marBottom w:val="120"/>
          <w:divBdr>
            <w:top w:val="none" w:sz="0" w:space="0" w:color="auto"/>
            <w:left w:val="none" w:sz="0" w:space="0" w:color="auto"/>
            <w:bottom w:val="none" w:sz="0" w:space="0" w:color="auto"/>
            <w:right w:val="none" w:sz="0" w:space="0" w:color="auto"/>
          </w:divBdr>
        </w:div>
        <w:div w:id="443430437">
          <w:marLeft w:val="0"/>
          <w:marRight w:val="0"/>
          <w:marTop w:val="120"/>
          <w:marBottom w:val="120"/>
          <w:divBdr>
            <w:top w:val="none" w:sz="0" w:space="0" w:color="auto"/>
            <w:left w:val="none" w:sz="0" w:space="0" w:color="auto"/>
            <w:bottom w:val="none" w:sz="0" w:space="0" w:color="auto"/>
            <w:right w:val="none" w:sz="0" w:space="0" w:color="auto"/>
          </w:divBdr>
        </w:div>
        <w:div w:id="1216353374">
          <w:marLeft w:val="0"/>
          <w:marRight w:val="0"/>
          <w:marTop w:val="120"/>
          <w:marBottom w:val="120"/>
          <w:divBdr>
            <w:top w:val="none" w:sz="0" w:space="0" w:color="auto"/>
            <w:left w:val="none" w:sz="0" w:space="0" w:color="auto"/>
            <w:bottom w:val="none" w:sz="0" w:space="0" w:color="auto"/>
            <w:right w:val="none" w:sz="0" w:space="0" w:color="auto"/>
          </w:divBdr>
        </w:div>
        <w:div w:id="1918127674">
          <w:marLeft w:val="0"/>
          <w:marRight w:val="0"/>
          <w:marTop w:val="120"/>
          <w:marBottom w:val="120"/>
          <w:divBdr>
            <w:top w:val="none" w:sz="0" w:space="0" w:color="auto"/>
            <w:left w:val="none" w:sz="0" w:space="0" w:color="auto"/>
            <w:bottom w:val="none" w:sz="0" w:space="0" w:color="auto"/>
            <w:right w:val="none" w:sz="0" w:space="0" w:color="auto"/>
          </w:divBdr>
        </w:div>
        <w:div w:id="855727448">
          <w:marLeft w:val="0"/>
          <w:marRight w:val="0"/>
          <w:marTop w:val="120"/>
          <w:marBottom w:val="120"/>
          <w:divBdr>
            <w:top w:val="none" w:sz="0" w:space="0" w:color="auto"/>
            <w:left w:val="none" w:sz="0" w:space="0" w:color="auto"/>
            <w:bottom w:val="none" w:sz="0" w:space="0" w:color="auto"/>
            <w:right w:val="none" w:sz="0" w:space="0" w:color="auto"/>
          </w:divBdr>
        </w:div>
        <w:div w:id="284043382">
          <w:marLeft w:val="0"/>
          <w:marRight w:val="0"/>
          <w:marTop w:val="120"/>
          <w:marBottom w:val="120"/>
          <w:divBdr>
            <w:top w:val="none" w:sz="0" w:space="0" w:color="auto"/>
            <w:left w:val="none" w:sz="0" w:space="0" w:color="auto"/>
            <w:bottom w:val="none" w:sz="0" w:space="0" w:color="auto"/>
            <w:right w:val="none" w:sz="0" w:space="0" w:color="auto"/>
          </w:divBdr>
        </w:div>
        <w:div w:id="1228026969">
          <w:marLeft w:val="0"/>
          <w:marRight w:val="0"/>
          <w:marTop w:val="120"/>
          <w:marBottom w:val="120"/>
          <w:divBdr>
            <w:top w:val="none" w:sz="0" w:space="0" w:color="auto"/>
            <w:left w:val="none" w:sz="0" w:space="0" w:color="auto"/>
            <w:bottom w:val="none" w:sz="0" w:space="0" w:color="auto"/>
            <w:right w:val="none" w:sz="0" w:space="0" w:color="auto"/>
          </w:divBdr>
        </w:div>
        <w:div w:id="1602756053">
          <w:marLeft w:val="0"/>
          <w:marRight w:val="0"/>
          <w:marTop w:val="120"/>
          <w:marBottom w:val="120"/>
          <w:divBdr>
            <w:top w:val="none" w:sz="0" w:space="0" w:color="auto"/>
            <w:left w:val="none" w:sz="0" w:space="0" w:color="auto"/>
            <w:bottom w:val="none" w:sz="0" w:space="0" w:color="auto"/>
            <w:right w:val="none" w:sz="0" w:space="0" w:color="auto"/>
          </w:divBdr>
        </w:div>
        <w:div w:id="1994750533">
          <w:marLeft w:val="0"/>
          <w:marRight w:val="0"/>
          <w:marTop w:val="120"/>
          <w:marBottom w:val="120"/>
          <w:divBdr>
            <w:top w:val="none" w:sz="0" w:space="0" w:color="auto"/>
            <w:left w:val="none" w:sz="0" w:space="0" w:color="auto"/>
            <w:bottom w:val="none" w:sz="0" w:space="0" w:color="auto"/>
            <w:right w:val="none" w:sz="0" w:space="0" w:color="auto"/>
          </w:divBdr>
        </w:div>
        <w:div w:id="1418599378">
          <w:marLeft w:val="0"/>
          <w:marRight w:val="0"/>
          <w:marTop w:val="120"/>
          <w:marBottom w:val="120"/>
          <w:divBdr>
            <w:top w:val="none" w:sz="0" w:space="0" w:color="auto"/>
            <w:left w:val="none" w:sz="0" w:space="0" w:color="auto"/>
            <w:bottom w:val="none" w:sz="0" w:space="0" w:color="auto"/>
            <w:right w:val="none" w:sz="0" w:space="0" w:color="auto"/>
          </w:divBdr>
        </w:div>
        <w:div w:id="1477382595">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ciencedirect.com/topics/social-sciences/legitimacy-theor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465E8-B0DF-429D-81DB-ABB2178DB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1748</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Ashraf Edathil</dc:creator>
  <cp:keywords/>
  <dc:description/>
  <cp:lastModifiedBy>Ashraf Edathil</cp:lastModifiedBy>
  <cp:revision>6</cp:revision>
  <dcterms:created xsi:type="dcterms:W3CDTF">2026-02-13T19:07:00Z</dcterms:created>
  <dcterms:modified xsi:type="dcterms:W3CDTF">2026-02-27T12:09:00Z</dcterms:modified>
</cp:coreProperties>
</file>