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4659" w14:textId="77777777" w:rsidR="00A8478F" w:rsidRPr="00A8478F" w:rsidRDefault="00A8478F" w:rsidP="00A8478F">
      <w:r w:rsidRPr="00A8478F">
        <w:rPr>
          <w:b/>
          <w:bCs/>
        </w:rPr>
        <w:t>Socioeconomic, Cultural, and Health System Determinants of Antenatal Care Attendance Among Pregnant Women in Rural Sierra Leone: Evidence from Kambia District</w:t>
      </w:r>
    </w:p>
    <w:p w14:paraId="7EF9788E" w14:textId="4F10467B" w:rsidR="00A8478F" w:rsidRPr="00A8478F" w:rsidRDefault="00A8478F" w:rsidP="00A8478F">
      <w:r w:rsidRPr="00A8478F">
        <w:rPr>
          <w:b/>
          <w:bCs/>
        </w:rPr>
        <w:t/>
      </w:r>
      <w:r w:rsidRPr="00A8478F">
        <w:br/>
        <w:t/>
      </w:r>
      <w:r w:rsidR="00BC2755">
        <w:t/>
      </w:r>
      <w:r w:rsidRPr="00A8478F">
        <w:t xml:space="preserve"/>
      </w:r>
      <w:r w:rsidR="001A5E86">
        <w:rPr>
          <w:vertAlign w:val="superscript"/>
        </w:rPr>
        <w:t/>
      </w:r>
      <w:r w:rsidRPr="00A8478F">
        <w:t/>
      </w:r>
      <w:proofErr w:type="gramStart"/>
      <w:r w:rsidRPr="00A8478F">
        <w:t/>
      </w:r>
      <w:r w:rsidR="008943A5">
        <w:t xml:space="preserve"/>
      </w:r>
      <w:r w:rsidRPr="00A8478F">
        <w:t/>
      </w:r>
      <w:proofErr w:type="gramEnd"/>
      <w:r w:rsidRPr="00A8478F">
        <w:t xml:space="preserve"/>
      </w:r>
      <w:r w:rsidR="002C2729">
        <w:rPr>
          <w:vertAlign w:val="superscript"/>
        </w:rPr>
        <w:t/>
      </w:r>
      <w:r w:rsidRPr="00A8478F">
        <w:t/>
      </w:r>
    </w:p>
    <w:p w14:paraId="56756885" w14:textId="5CEA2DD9" w:rsidR="00A8478F" w:rsidRDefault="00A8478F" w:rsidP="00A8478F">
      <w:pPr>
        <w:jc w:val="left"/>
      </w:pPr>
      <w:r w:rsidRPr="00A8478F">
        <w:rPr>
          <w:b/>
          <w:bCs/>
        </w:rPr>
        <w:t/>
      </w:r>
      <w:r w:rsidRPr="00A8478F">
        <w:br/>
        <w:t xml:space="preserve"/>
      </w:r>
      <w:r w:rsidR="00B66707">
        <w:t xml:space="preserve"/>
      </w:r>
      <w:r w:rsidRPr="00A8478F">
        <w:t xml:space="preserve"/>
      </w:r>
    </w:p>
    <w:p w14:paraId="13B18000" w14:textId="2C915E1D" w:rsidR="002C2729" w:rsidRPr="002C2729" w:rsidRDefault="00A8478F" w:rsidP="002C2729">
      <w:pPr>
        <w:jc w:val="left"/>
      </w:pPr>
      <w:r w:rsidRPr="00A8478F">
        <w:t/>
      </w:r>
      <w:r w:rsidRPr="00A8478F">
        <w:br/>
        <w:t xml:space="preserve"/>
      </w:r>
      <w:r w:rsidR="008943A5">
        <w:t/>
      </w:r>
      <w:r w:rsidRPr="00A8478F">
        <w:t xml:space="preserve"/>
      </w:r>
    </w:p>
    <w:p w14:paraId="7A6E1E97" w14:textId="6CCEC5D8" w:rsidR="002C2729" w:rsidRPr="00A8478F" w:rsidRDefault="002C2729" w:rsidP="002C2729">
      <w:pPr>
        <w:jc w:val="left"/>
      </w:pPr>
      <w:r w:rsidRPr="002C2729">
        <w:rPr>
          <w:vertAlign w:val="superscript"/>
        </w:rPr>
        <w:t xml:space="preserve"/>
      </w:r>
      <w:r w:rsidRPr="002C2729">
        <w:t xml:space="preserve"/>
      </w:r>
    </w:p>
    <w:p w14:paraId="4AC472B5" w14:textId="5B0E3663" w:rsidR="00A8478F" w:rsidRDefault="00A8478F" w:rsidP="00A8478F">
      <w:pPr>
        <w:jc w:val="left"/>
      </w:pPr>
      <w:r w:rsidRPr="00A8478F">
        <w:rPr>
          <w:b/>
          <w:bCs/>
        </w:rPr>
        <w:t/>
      </w:r>
      <w:r w:rsidRPr="00A8478F">
        <w:br/>
        <w:t/>
      </w:r>
      <w:r w:rsidRPr="00A8478F">
        <w:br/>
        <w:t/>
      </w:r>
    </w:p>
    <w:p w14:paraId="7FD3124D" w14:textId="77777777" w:rsidR="00D3210C" w:rsidRPr="00D3210C" w:rsidRDefault="00D3210C" w:rsidP="00D3210C">
      <w:pPr>
        <w:rPr>
          <w:b/>
          <w:bCs/>
        </w:rPr>
      </w:pPr>
      <w:r w:rsidRPr="00D3210C">
        <w:rPr>
          <w:b/>
          <w:bCs/>
        </w:rPr>
        <w:t>Abstract</w:t>
      </w:r>
    </w:p>
    <w:p w14:paraId="5F71FF58" w14:textId="77777777" w:rsidR="00D3210C" w:rsidRPr="00D3210C" w:rsidRDefault="00D3210C" w:rsidP="00D3210C">
      <w:r w:rsidRPr="00D3210C">
        <w:rPr>
          <w:b/>
          <w:bCs/>
        </w:rPr>
        <w:t>Background:</w:t>
      </w:r>
      <w:r w:rsidRPr="00D3210C">
        <w:br/>
        <w:t>Antenatal care (ANC) is a proven intervention that reduces maternal and neonatal morbidity and mortality. Despite global improvements, attendance and completion of recommended ANC visits remain sub-optimal in many rural parts of sub-Saharan Africa. In Sierra Leone, structural barriers, cultural practices, and socioeconomic inequities continue to hinder access and utilization, particularly among women in remote communities.</w:t>
      </w:r>
    </w:p>
    <w:p w14:paraId="335DB80C" w14:textId="77777777" w:rsidR="00D3210C" w:rsidRPr="00D3210C" w:rsidRDefault="00D3210C" w:rsidP="00D3210C">
      <w:r w:rsidRPr="00D3210C">
        <w:rPr>
          <w:b/>
          <w:bCs/>
        </w:rPr>
        <w:t>Objective:</w:t>
      </w:r>
      <w:r w:rsidRPr="00D3210C">
        <w:br/>
        <w:t>To determine the socioeconomic, cultural, and health-system factors influencing antenatal-care attendance among pregnant women in Kambia District, Sierra Leone.</w:t>
      </w:r>
    </w:p>
    <w:p w14:paraId="2D6A7F79" w14:textId="5066E1D2" w:rsidR="00D3210C" w:rsidRPr="00D3210C" w:rsidRDefault="00D3210C" w:rsidP="00D3210C">
      <w:r w:rsidRPr="00D3210C">
        <w:rPr>
          <w:b/>
          <w:bCs/>
        </w:rPr>
        <w:t>Methods:</w:t>
      </w:r>
      <w:r w:rsidRPr="00D3210C">
        <w:br/>
        <w:t>A cross-sectional analytical study was conducted among 157 women of reproductive age (15–49 years) who were pregnant or had delivered within the previous five years. Data were collected from March to June 2025 in three rural health facilities—</w:t>
      </w:r>
      <w:proofErr w:type="spellStart"/>
      <w:r w:rsidRPr="00D3210C">
        <w:t>Gbalamuya</w:t>
      </w:r>
      <w:proofErr w:type="spellEnd"/>
      <w:r w:rsidRPr="00D3210C">
        <w:t xml:space="preserve"> CHC, Meni Curve MCHP, </w:t>
      </w:r>
      <w:r w:rsidRPr="00D3210C">
        <w:lastRenderedPageBreak/>
        <w:t xml:space="preserve">and </w:t>
      </w:r>
      <w:proofErr w:type="spellStart"/>
      <w:r w:rsidRPr="00D3210C">
        <w:t>Rokel</w:t>
      </w:r>
      <w:proofErr w:type="spellEnd"/>
      <w:r w:rsidRPr="00D3210C">
        <w:t xml:space="preserve"> MCHP</w:t>
      </w:r>
      <w:r w:rsidR="004E296C">
        <w:t xml:space="preserve">, </w:t>
      </w:r>
      <w:r w:rsidRPr="00D3210C">
        <w:t>using a structured questionnaire on the KoboCollect platform. Descriptive statistics summarized respondents’ characteristics, and Chi-square tests assessed associations between ANC attendance and independent variables at a significance level of p &lt; 0.05.</w:t>
      </w:r>
    </w:p>
    <w:p w14:paraId="69A91A00" w14:textId="77777777" w:rsidR="00D3210C" w:rsidRPr="00D3210C" w:rsidRDefault="00D3210C" w:rsidP="00D3210C">
      <w:r w:rsidRPr="00D3210C">
        <w:rPr>
          <w:b/>
          <w:bCs/>
        </w:rPr>
        <w:t>Results:</w:t>
      </w:r>
      <w:r w:rsidRPr="00D3210C">
        <w:br/>
        <w:t>Overall, 78% of respondents attended at least one ANC visit, but only 41% completed the minimum four recommended contacts. ANC attendance is significantly associated with maternal education (χ² = 14.6; p &lt; 0.01), household income (χ² = 10.8; p = 0.02), spousal support (χ² = 11.3; p &lt; 0.01), and distance to the nearest health facility (χ² = 17.9; p &lt; 0.001). Cultural beliefs surrounding pregnancy secrecy and reliance on traditional birth attendants remained major deterrents to early booking.</w:t>
      </w:r>
    </w:p>
    <w:p w14:paraId="17575210" w14:textId="77777777" w:rsidR="00D3210C" w:rsidRPr="00D3210C" w:rsidRDefault="00D3210C" w:rsidP="00D3210C">
      <w:r w:rsidRPr="00D3210C">
        <w:rPr>
          <w:b/>
          <w:bCs/>
        </w:rPr>
        <w:t>Conclusion:</w:t>
      </w:r>
      <w:r w:rsidRPr="00D3210C">
        <w:br/>
        <w:t>Antenatal-care utilization in rural Kambia District is influenced by intertwined socioeconomic, cultural, and health-system factors. Interventions that strengthen community education, male involvement, and facility accessibility are essential to improving timely and adequate ANC attendance and advancing maternal health outcomes in Sierra Leone.</w:t>
      </w:r>
    </w:p>
    <w:p w14:paraId="259A289C" w14:textId="009F8B6C" w:rsidR="00D3210C" w:rsidRPr="00D3210C" w:rsidRDefault="00D3210C" w:rsidP="00D3210C">
      <w:r w:rsidRPr="00D3210C">
        <w:rPr>
          <w:b/>
          <w:bCs/>
        </w:rPr>
        <w:t>Keywords:</w:t>
      </w:r>
      <w:r w:rsidRPr="00D3210C">
        <w:t xml:space="preserve"> Antenatal care (ANC), Pregnant women, Maternal health, Socioeconomic factors, Cultural beliefs, Health systems, Sierra Leone</w:t>
      </w:r>
    </w:p>
    <w:p w14:paraId="2614AFA2" w14:textId="15F21F17" w:rsidR="00D3210C" w:rsidRPr="00D3210C" w:rsidRDefault="00D3210C" w:rsidP="00D3210C">
      <w:pPr>
        <w:rPr>
          <w:b/>
          <w:bCs/>
        </w:rPr>
      </w:pPr>
      <w:r w:rsidRPr="00D3210C">
        <w:rPr>
          <w:b/>
          <w:bCs/>
        </w:rPr>
        <w:t>Introduction</w:t>
      </w:r>
    </w:p>
    <w:p w14:paraId="3128C049" w14:textId="77777777" w:rsidR="00D3210C" w:rsidRPr="00D3210C" w:rsidRDefault="00D3210C" w:rsidP="00D3210C">
      <w:r w:rsidRPr="00D3210C">
        <w:t>Antenatal care (ANC) remains a cornerstone of global strategies to improve maternal and neonatal survival. It serves as a vital entry point for health promotion, disease prevention, screening, and early detection of pregnancy-related complications. The World Health Organization (WHO, 2016) emphasizes that effective ANC enables skilled birth attendance, reduces stillbirths, and lowers maternal morbidity by facilitating timely management of hypertensive disorders, infections, and anemia. Globally, maternal health is a key priority under Sustainable Development Goal (SDG) 3.1, which aims to reduce the global maternal mortality ratio to fewer than 70 deaths per 100,000 live births by 2030.</w:t>
      </w:r>
    </w:p>
    <w:p w14:paraId="03656D11" w14:textId="7B709D41" w:rsidR="00D3210C" w:rsidRPr="00D3210C" w:rsidRDefault="00D3210C" w:rsidP="00D3210C">
      <w:r w:rsidRPr="00D3210C">
        <w:t xml:space="preserve">Despite considerable progress, maternal mortality remains unacceptably high in low- and middle-income countries (LMICs), particularly in sub-Saharan Africa. The WHO (2021) estimates that approximately 810 women die daily from preventable pregnancy and childbirth-related causes, </w:t>
      </w:r>
      <w:r w:rsidRPr="00D3210C">
        <w:lastRenderedPageBreak/>
        <w:t>with over two-thirds of these deaths occurring in sub-Saharan Africa. Adequate ANC utilization</w:t>
      </w:r>
      <w:r w:rsidR="004E296C">
        <w:t xml:space="preserve">, </w:t>
      </w:r>
      <w:r w:rsidRPr="00D3210C">
        <w:t>defined by the WHO as at least eight contacts for a positive pregnancy experience</w:t>
      </w:r>
      <w:r w:rsidR="004E296C">
        <w:t xml:space="preserve">, </w:t>
      </w:r>
      <w:r w:rsidRPr="00D3210C">
        <w:t>plays a pivotal role in preventing most of these deaths through early diagnosis, preventive interventions, and health education (World Health Organization [WHO], 2021).</w:t>
      </w:r>
    </w:p>
    <w:p w14:paraId="6515E6A9" w14:textId="77777777" w:rsidR="00D3210C" w:rsidRPr="00D3210C" w:rsidRDefault="00D3210C" w:rsidP="00D3210C">
      <w:r w:rsidRPr="00D3210C">
        <w:t xml:space="preserve">However, global disparities persist. While coverage of at least one ANC visit has reached 84% globally, only 58% of women complete the recommended minimum number of visits, and just 43% initiate ANC during the first trimester (UNFPA, 2023). These gaps are more pronounced in sub-Saharan Africa and South Asia, where structural, cultural, and socioeconomic barriers hinder consistent maternal-health engagement. Such inequities are linked to health-system fragility, gender inequality, poverty, and limited community awareness (Kifle et al., 2017; </w:t>
      </w:r>
      <w:proofErr w:type="spellStart"/>
      <w:r w:rsidRPr="00D3210C">
        <w:t>Ayanore</w:t>
      </w:r>
      <w:proofErr w:type="spellEnd"/>
      <w:r w:rsidRPr="00D3210C">
        <w:t xml:space="preserve"> et al., 2019).</w:t>
      </w:r>
    </w:p>
    <w:p w14:paraId="49F74C8C" w14:textId="63CB0A82" w:rsidR="00D3210C" w:rsidRPr="00D3210C" w:rsidRDefault="00D3210C" w:rsidP="00D3210C">
      <w:r w:rsidRPr="00D3210C">
        <w:t>ANC is more than a set of clinical appointments</w:t>
      </w:r>
      <w:r w:rsidR="00482E27">
        <w:t xml:space="preserve">, </w:t>
      </w:r>
      <w:r w:rsidRPr="00D3210C">
        <w:t>it is an indicator of women’s empowerment, education, and autonomy in decision-making. It provides a continuum of care linking preventive and curative health services across the pregnancy–delivery–postnatal spectrum. Therefore, understanding factors influencing ANC attendance is crucial for policy design and health-system strengthening in low-resource settings such as Sierra Leone.</w:t>
      </w:r>
    </w:p>
    <w:p w14:paraId="2F4084C8" w14:textId="77777777" w:rsidR="00D3210C" w:rsidRPr="00D3210C" w:rsidRDefault="00D3210C" w:rsidP="00D3210C">
      <w:pPr>
        <w:rPr>
          <w:b/>
          <w:bCs/>
        </w:rPr>
      </w:pPr>
      <w:r w:rsidRPr="00D3210C">
        <w:rPr>
          <w:b/>
          <w:bCs/>
        </w:rPr>
        <w:t>Global and Regional Context</w:t>
      </w:r>
    </w:p>
    <w:p w14:paraId="5932B20A" w14:textId="77777777" w:rsidR="00D3210C" w:rsidRPr="00D3210C" w:rsidRDefault="00D3210C" w:rsidP="00D3210C">
      <w:r w:rsidRPr="00D3210C">
        <w:t xml:space="preserve">A growing body of literature across Africa and Asia underscores that ANC utilization is influenced by multifactorial determinants including socioeconomic status, education, cultural beliefs, spousal support, and access to healthcare services (Aliyu et al., 2018; </w:t>
      </w:r>
      <w:proofErr w:type="spellStart"/>
      <w:r w:rsidRPr="00D3210C">
        <w:t>Tekelab</w:t>
      </w:r>
      <w:proofErr w:type="spellEnd"/>
      <w:r w:rsidRPr="00D3210C">
        <w:t xml:space="preserve"> et al., 2020; Njoku et al., 2022). For example, a multi-country analysis by </w:t>
      </w:r>
      <w:proofErr w:type="spellStart"/>
      <w:r w:rsidRPr="00D3210C">
        <w:t>Ayanore</w:t>
      </w:r>
      <w:proofErr w:type="spellEnd"/>
      <w:r w:rsidRPr="00D3210C">
        <w:t xml:space="preserve"> et al. (2019) found that maternal education and household wealth strongly predicted ANC attendance across 28 sub-Saharan African countries. Women with secondary or higher education were three times more likely to initiate early ANC than those without formal education. Similarly, a systematic review by </w:t>
      </w:r>
      <w:proofErr w:type="spellStart"/>
      <w:r w:rsidRPr="00D3210C">
        <w:t>Tekelab</w:t>
      </w:r>
      <w:proofErr w:type="spellEnd"/>
      <w:r w:rsidRPr="00D3210C">
        <w:t xml:space="preserve"> et al. (2020) revealed that distance to health facilities, transportation cost, and provider attitudes consistently limit maternal-health service uptake in low-income settings.</w:t>
      </w:r>
    </w:p>
    <w:p w14:paraId="08E50B1E" w14:textId="77777777" w:rsidR="00D3210C" w:rsidRPr="00D3210C" w:rsidRDefault="00D3210C" w:rsidP="00D3210C">
      <w:r w:rsidRPr="00D3210C">
        <w:t xml:space="preserve">Cultural norms and gender relations further complicate ANC attendance. In many traditional societies, pregnancy is viewed as a private or sacred matter, often kept secret during the early months due to fear of witchcraft or miscarriage (Njoku et al., 2022). Such beliefs delay ANC </w:t>
      </w:r>
      <w:r w:rsidRPr="00D3210C">
        <w:lastRenderedPageBreak/>
        <w:t>initiation until late in the second trimester or even the third. In patriarchal communities, male partners often control financial and mobility decisions, limiting women’s autonomy to seek care independently (</w:t>
      </w:r>
      <w:proofErr w:type="spellStart"/>
      <w:r w:rsidRPr="00D3210C">
        <w:t>Kawakatsu</w:t>
      </w:r>
      <w:proofErr w:type="spellEnd"/>
      <w:r w:rsidRPr="00D3210C">
        <w:t xml:space="preserve"> et al., 2015).</w:t>
      </w:r>
    </w:p>
    <w:p w14:paraId="55E83D70" w14:textId="77777777" w:rsidR="00D3210C" w:rsidRPr="00D3210C" w:rsidRDefault="00D3210C" w:rsidP="00D3210C">
      <w:r w:rsidRPr="00D3210C">
        <w:t>Additionally, the quality of services, provider–client interactions, and availability of skilled personnel influence women’s willingness to attend and continue ANC visits. Poor interpersonal communication, stockouts of essential supplies, and overcrowding in clinics discourage repeat attendance (</w:t>
      </w:r>
      <w:proofErr w:type="spellStart"/>
      <w:r w:rsidRPr="00D3210C">
        <w:t>Ayanore</w:t>
      </w:r>
      <w:proofErr w:type="spellEnd"/>
      <w:r w:rsidRPr="00D3210C">
        <w:t xml:space="preserve"> et al., 2019). Addressing these multidimensional barriers requires context-specific interventions tailored to local sociocultural and economic realities.</w:t>
      </w:r>
    </w:p>
    <w:p w14:paraId="2F67A31F" w14:textId="58A19BC2" w:rsidR="00D3210C" w:rsidRPr="00D3210C" w:rsidRDefault="00D3210C" w:rsidP="00D3210C">
      <w:r w:rsidRPr="00D3210C">
        <w:t xml:space="preserve">The WHO (2021) recommends integrating community-based education and male involvement into ANC programs to improve coverage and continuity. Evidence from Ethiopia, Rwanda, and Ghana indicates that strengthening community outreach and ensuring respectful maternity care significantly enhance ANC adherence and facility-based delivery (Kifle et al., 2017; </w:t>
      </w:r>
      <w:proofErr w:type="spellStart"/>
      <w:r w:rsidRPr="00D3210C">
        <w:t>Ayanore</w:t>
      </w:r>
      <w:proofErr w:type="spellEnd"/>
      <w:r w:rsidRPr="00D3210C">
        <w:t xml:space="preserve"> et al., 2019). Despite such evidence, implementation in many West African settings remains inconsistent.</w:t>
      </w:r>
    </w:p>
    <w:p w14:paraId="35E9B07B" w14:textId="5F6C3374" w:rsidR="00D3210C" w:rsidRPr="00D3210C" w:rsidRDefault="00D3210C" w:rsidP="00D3210C">
      <w:r w:rsidRPr="00D3210C">
        <w:t>Sierra Leone continues to face one of the world’s highest maternal mortality ratios, estimated at 717 deaths per 100,000 live births (World Bank, 2023). Although national health-sector reforms have made progress through the Free Health Care Initiative (FHCI) introduced in 2010—which waives user fees for pregnant women, lactating mothers, and children under five</w:t>
      </w:r>
      <w:r w:rsidR="0077765E">
        <w:t xml:space="preserve">, </w:t>
      </w:r>
      <w:r w:rsidRPr="00D3210C">
        <w:t>utilization of ANC remains sub-optimal. According to the 2019 Demographic and Health Survey, 96% of women attended at least one ANC visit, but only 53% achieved the recommended four or more visits, and less than 40% initiated ANC during the first trimester (Statistics Sierra Leone [SSL], 2022).</w:t>
      </w:r>
    </w:p>
    <w:p w14:paraId="61243ED1" w14:textId="77777777" w:rsidR="00D3210C" w:rsidRPr="00D3210C" w:rsidRDefault="00D3210C" w:rsidP="00D3210C">
      <w:r w:rsidRPr="00D3210C">
        <w:t>This discrepancy reflects underlying barriers in the country’s predominantly rural population, where health facilities are sparse and distances are long. The northern districts, including Kambia, are among the least served in terms of healthcare infrastructure, human resources, and road networks (</w:t>
      </w:r>
      <w:proofErr w:type="spellStart"/>
      <w:r w:rsidRPr="00D3210C">
        <w:t>MoHS</w:t>
      </w:r>
      <w:proofErr w:type="spellEnd"/>
      <w:r w:rsidRPr="00D3210C">
        <w:t>, 2022). Many communities rely on traditional birth attendants (TBAs) as the first point of contact for maternal care. Despite government restrictions, TBAs remain influential due to their cultural embeddedness, accessibility, and perceived affordability (Sesay et al., 2020).</w:t>
      </w:r>
    </w:p>
    <w:p w14:paraId="468AB37D" w14:textId="22A25630" w:rsidR="00D3210C" w:rsidRPr="00D3210C" w:rsidRDefault="00D3210C" w:rsidP="00D3210C">
      <w:r w:rsidRPr="00D3210C">
        <w:lastRenderedPageBreak/>
        <w:t>Furthermore, sociocultural perceptions</w:t>
      </w:r>
      <w:r w:rsidR="0077765E">
        <w:t xml:space="preserve">, </w:t>
      </w:r>
      <w:r w:rsidRPr="00D3210C">
        <w:t>such as associating pregnancy disclosure with spiritual harm</w:t>
      </w:r>
      <w:r w:rsidR="0077765E">
        <w:t xml:space="preserve">, </w:t>
      </w:r>
      <w:r w:rsidRPr="00D3210C">
        <w:t>and gender norms that limit women’s financial independence reduce early ANC initiation. Financial hardship, indirect costs (e.g., transportation and lost work time), and poor staff attitudes further compound the problem. Studies in northern Sierra Leone highlight that women often attend ANC only when complications arise or late in pregnancy (Sesay et al., 2020).</w:t>
      </w:r>
    </w:p>
    <w:p w14:paraId="7B87573F" w14:textId="17F1936E" w:rsidR="00D3210C" w:rsidRPr="00D3210C" w:rsidRDefault="00D3210C" w:rsidP="00D3210C">
      <w:r w:rsidRPr="00D3210C">
        <w:t>The Kambia District, in particular, presents an illustrative case of rural maternal-health challenges. With dispersed settlements and limited transportation infrastructure, pregnant women face substantial physical and financial barriers to care. The district’s three main maternal and child health facilities</w:t>
      </w:r>
      <w:r w:rsidR="0077765E">
        <w:t xml:space="preserve">, </w:t>
      </w:r>
      <w:proofErr w:type="spellStart"/>
      <w:r w:rsidRPr="00D3210C">
        <w:t>Gbalamuya</w:t>
      </w:r>
      <w:proofErr w:type="spellEnd"/>
      <w:r w:rsidRPr="00D3210C">
        <w:t xml:space="preserve"> CHC, Meni Curve MCHP, and </w:t>
      </w:r>
      <w:proofErr w:type="spellStart"/>
      <w:r w:rsidRPr="00D3210C">
        <w:t>Rokel</w:t>
      </w:r>
      <w:proofErr w:type="spellEnd"/>
      <w:r w:rsidRPr="00D3210C">
        <w:t xml:space="preserve"> MCHP</w:t>
      </w:r>
      <w:r w:rsidR="0077765E">
        <w:t xml:space="preserve">, </w:t>
      </w:r>
      <w:r w:rsidRPr="00D3210C">
        <w:t>are essential service points but remain underutilized. Understanding the determinants of ANC attendance within this context is therefore critical to informing district-level maternal-health planning and the achievement of national and global maternal-survival targets.</w:t>
      </w:r>
    </w:p>
    <w:p w14:paraId="122B0918" w14:textId="77777777" w:rsidR="00D3210C" w:rsidRPr="00D3210C" w:rsidRDefault="00D3210C" w:rsidP="00D3210C">
      <w:pPr>
        <w:rPr>
          <w:b/>
          <w:bCs/>
        </w:rPr>
      </w:pPr>
      <w:r w:rsidRPr="00D3210C">
        <w:rPr>
          <w:b/>
          <w:bCs/>
        </w:rPr>
        <w:t>Problem Statement and Research Gap</w:t>
      </w:r>
    </w:p>
    <w:p w14:paraId="1808A547" w14:textId="77777777" w:rsidR="00D3210C" w:rsidRPr="00D3210C" w:rsidRDefault="00D3210C" w:rsidP="00D3210C">
      <w:r w:rsidRPr="00D3210C">
        <w:t>Although global and regional studies have identified numerous factors influencing ANC attendance, few have explored how socioeconomic, cultural, and health-system factors interact to shape care-seeking behavior in rural Sierra Leone. Existing research tends to focus either on urban populations or single domains (e.g., financial or cultural barriers) without integrating the combined effect of multiple determinants. Moreover, earlier studies often relied on self-reported data without triangulating responses with community or provider perspectives, leading to limited contextual understanding.</w:t>
      </w:r>
    </w:p>
    <w:p w14:paraId="1EB95A2E" w14:textId="77777777" w:rsidR="00D3210C" w:rsidRPr="00D3210C" w:rsidRDefault="00D3210C" w:rsidP="00D3210C">
      <w:r w:rsidRPr="00D3210C">
        <w:t>Consequently, there is insufficient empirical evidence on the specific drivers of ANC attendance in remote Sierra Leonean communities like Kambia, where health-service coverage is lowest. Addressing this gap is essential for designing targeted interventions and achieving equitable maternal-health outcomes.</w:t>
      </w:r>
    </w:p>
    <w:p w14:paraId="77E117EA" w14:textId="717676FF" w:rsidR="00D3210C" w:rsidRPr="00D3210C" w:rsidRDefault="00D3210C" w:rsidP="00D3210C">
      <w:r w:rsidRPr="00D3210C">
        <w:t>This study therefore examines ANC attendance through a multidimensional lens, assessing the socioeconomic, cultural, and health-system factors that collectively influence pregnant women’s engagement with formal healthcare during pregnancy.</w:t>
      </w:r>
    </w:p>
    <w:p w14:paraId="115F6D6A" w14:textId="6CEC002D" w:rsidR="00D3210C" w:rsidRPr="00D3210C" w:rsidRDefault="00482E27" w:rsidP="00D3210C">
      <w:pPr>
        <w:rPr>
          <w:b/>
          <w:bCs/>
        </w:rPr>
      </w:pPr>
      <w:r>
        <w:rPr>
          <w:b/>
          <w:bCs/>
        </w:rPr>
        <w:t>Aim</w:t>
      </w:r>
      <w:r w:rsidR="00D3210C" w:rsidRPr="00D3210C">
        <w:rPr>
          <w:b/>
          <w:bCs/>
        </w:rPr>
        <w:t xml:space="preserve"> and Research Question</w:t>
      </w:r>
    </w:p>
    <w:p w14:paraId="14F5234C" w14:textId="3CD10FF7" w:rsidR="00D3210C" w:rsidRPr="00D3210C" w:rsidRDefault="00D3210C" w:rsidP="00D3210C">
      <w:r w:rsidRPr="00D3210C">
        <w:lastRenderedPageBreak/>
        <w:t xml:space="preserve">The </w:t>
      </w:r>
      <w:r w:rsidR="009B1FB4">
        <w:t>aim</w:t>
      </w:r>
      <w:r w:rsidRPr="00D3210C">
        <w:t xml:space="preserve"> of this study is to determine the socioeconomic, cultural, and health-system factors influencing antenatal-care attendance among pregnant women in rural Kambia District, Sierra Leone.</w:t>
      </w:r>
    </w:p>
    <w:p w14:paraId="49FE30F4" w14:textId="77777777" w:rsidR="009B1FB4" w:rsidRDefault="00D3210C" w:rsidP="00D3210C">
      <w:pPr>
        <w:rPr>
          <w:b/>
          <w:bCs/>
        </w:rPr>
      </w:pPr>
      <w:r w:rsidRPr="00D3210C">
        <w:rPr>
          <w:b/>
          <w:bCs/>
        </w:rPr>
        <w:t>Research Question:</w:t>
      </w:r>
    </w:p>
    <w:p w14:paraId="1ED12FF0" w14:textId="16C87F27" w:rsidR="00482E27" w:rsidRPr="00482E27" w:rsidRDefault="00482E27" w:rsidP="00D3210C">
      <w:r w:rsidRPr="00482E27">
        <w:t xml:space="preserve">The research answered this </w:t>
      </w:r>
      <w:r w:rsidR="008943A5">
        <w:t>question.</w:t>
      </w:r>
    </w:p>
    <w:p w14:paraId="1521F5CB" w14:textId="7B92CE38" w:rsidR="00D3210C" w:rsidRPr="00D3210C" w:rsidRDefault="00D3210C" w:rsidP="00D3210C">
      <w:r w:rsidRPr="00D3210C">
        <w:t>What factors influence the level and pattern of antenatal-care attendance among pregnant women in rural health facilities in Kambia District?</w:t>
      </w:r>
    </w:p>
    <w:p w14:paraId="52DF26E4" w14:textId="77777777" w:rsidR="00D3210C" w:rsidRPr="00D3210C" w:rsidRDefault="00D3210C" w:rsidP="00D3210C">
      <w:pPr>
        <w:rPr>
          <w:b/>
          <w:bCs/>
        </w:rPr>
      </w:pPr>
      <w:r w:rsidRPr="00D3210C">
        <w:rPr>
          <w:b/>
          <w:bCs/>
        </w:rPr>
        <w:t>Significance and Contribution</w:t>
      </w:r>
    </w:p>
    <w:p w14:paraId="55E3D0DE" w14:textId="77777777" w:rsidR="00D3210C" w:rsidRPr="00D3210C" w:rsidRDefault="00D3210C" w:rsidP="00D3210C">
      <w:r w:rsidRPr="00D3210C">
        <w:t>This study provides timely and context-specific evidence to inform maternal-health programming in Sierra Leone and similar resource-constrained settings. By integrating socioeconomic, cultural, and systemic perspectives, it contributes to a more comprehensive understanding of ANC utilization beyond individual behavioral factors.</w:t>
      </w:r>
    </w:p>
    <w:p w14:paraId="1FD0BEE6" w14:textId="77777777" w:rsidR="00D3210C" w:rsidRPr="00D3210C" w:rsidRDefault="00D3210C" w:rsidP="00D3210C">
      <w:r w:rsidRPr="00D3210C">
        <w:t>At the policy level, the findings will assist the Ministry of Health and Sanitation (</w:t>
      </w:r>
      <w:proofErr w:type="spellStart"/>
      <w:r w:rsidRPr="00D3210C">
        <w:t>MoHS</w:t>
      </w:r>
      <w:proofErr w:type="spellEnd"/>
      <w:r w:rsidRPr="00D3210C">
        <w:t>), the Kambia District Health Management Team, and international partners in developing locally tailored interventions to increase ANC coverage and timeliness. For example, strengthening community-based education, engaging men in maternal-health decision-making, and improving facility accessibility could yield measurable improvements in maternal and neonatal outcomes.</w:t>
      </w:r>
    </w:p>
    <w:p w14:paraId="263846C3" w14:textId="77777777" w:rsidR="00D3210C" w:rsidRPr="00D3210C" w:rsidRDefault="00D3210C" w:rsidP="00D3210C">
      <w:r w:rsidRPr="00D3210C">
        <w:t>From a theoretical perspective, this study advances the health-systems determinants model, demonstrating how structural inequities, community norms, and health-service attributes jointly shape ANC utilization. It also supports the global call for integrated maternal-health strategies that combine clinical services with social and behavioral interventions.</w:t>
      </w:r>
    </w:p>
    <w:p w14:paraId="65E9DC7E" w14:textId="787BFFE0" w:rsidR="00D3210C" w:rsidRPr="00D3210C" w:rsidRDefault="00D3210C" w:rsidP="00D3210C">
      <w:pPr>
        <w:rPr>
          <w:b/>
          <w:bCs/>
        </w:rPr>
      </w:pPr>
      <w:r w:rsidRPr="00D3210C">
        <w:rPr>
          <w:b/>
          <w:bCs/>
        </w:rPr>
        <w:t>Results</w:t>
      </w:r>
    </w:p>
    <w:p w14:paraId="57BCCC8D" w14:textId="77777777" w:rsidR="00D3210C" w:rsidRPr="00D3210C" w:rsidRDefault="00D3210C" w:rsidP="00D3210C">
      <w:pPr>
        <w:rPr>
          <w:b/>
          <w:bCs/>
        </w:rPr>
      </w:pPr>
      <w:r w:rsidRPr="00D3210C">
        <w:rPr>
          <w:b/>
          <w:bCs/>
        </w:rPr>
        <w:t>4.1 Socio-Demographic and Socioeconomic Characteristics</w:t>
      </w:r>
    </w:p>
    <w:p w14:paraId="010023F4" w14:textId="77777777" w:rsidR="00D3210C" w:rsidRPr="00D3210C" w:rsidRDefault="00D3210C" w:rsidP="00D3210C">
      <w:r w:rsidRPr="00D3210C">
        <w:t xml:space="preserve">A total of 157 pregnant women participated in the study from </w:t>
      </w:r>
      <w:proofErr w:type="spellStart"/>
      <w:r w:rsidRPr="00D3210C">
        <w:t>Gbalamuya</w:t>
      </w:r>
      <w:proofErr w:type="spellEnd"/>
      <w:r w:rsidRPr="00D3210C">
        <w:t xml:space="preserve"> CHC, Meni Curve MCHP, and </w:t>
      </w:r>
      <w:proofErr w:type="spellStart"/>
      <w:r w:rsidRPr="00D3210C">
        <w:t>Rokel</w:t>
      </w:r>
      <w:proofErr w:type="spellEnd"/>
      <w:r w:rsidRPr="00D3210C">
        <w:t xml:space="preserve"> MCHP in Kambia District. Participants represent a broad age distribution ranging from 16 to 45 years, with the majority aged between 26–30 years (29%) and 21–25 years </w:t>
      </w:r>
      <w:r w:rsidRPr="00D3210C">
        <w:lastRenderedPageBreak/>
        <w:t>(26%). Most respondents are married and live in rural settlements within the health facility catchment areas.</w:t>
      </w:r>
    </w:p>
    <w:p w14:paraId="7D6FFC3D" w14:textId="77777777" w:rsidR="00D3210C" w:rsidRPr="00D3210C" w:rsidRDefault="00D3210C" w:rsidP="00D3210C">
      <w:pPr>
        <w:rPr>
          <w:b/>
          <w:bCs/>
        </w:rPr>
      </w:pPr>
      <w:r w:rsidRPr="00D3210C">
        <w:rPr>
          <w:b/>
          <w:bCs/>
        </w:rPr>
        <w:t>Table 1. Socio-demographic and Socioeconomic Factors Cross-tabulated with ANC Attendance (n = 157)</w:t>
      </w:r>
    </w:p>
    <w:tbl>
      <w:tblPr>
        <w:tblW w:w="9660" w:type="dxa"/>
        <w:tblCellMar>
          <w:left w:w="0" w:type="dxa"/>
          <w:right w:w="0" w:type="dxa"/>
        </w:tblCellMar>
        <w:tblLook w:val="04A0" w:firstRow="1" w:lastRow="0" w:firstColumn="1" w:lastColumn="0" w:noHBand="0" w:noVBand="1"/>
      </w:tblPr>
      <w:tblGrid>
        <w:gridCol w:w="1820"/>
        <w:gridCol w:w="1460"/>
        <w:gridCol w:w="1380"/>
        <w:gridCol w:w="1240"/>
        <w:gridCol w:w="960"/>
        <w:gridCol w:w="1320"/>
        <w:gridCol w:w="1480"/>
      </w:tblGrid>
      <w:tr w:rsidR="00DF7032" w14:paraId="0D6FF590" w14:textId="77777777">
        <w:trPr>
          <w:trHeight w:val="620"/>
        </w:trPr>
        <w:tc>
          <w:tcPr>
            <w:tcW w:w="182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74196878" w14:textId="77777777" w:rsidR="00DF7032" w:rsidRDefault="00DF7032">
            <w:pPr>
              <w:spacing w:line="240" w:lineRule="auto"/>
              <w:jc w:val="center"/>
              <w:rPr>
                <w:b/>
                <w:bCs/>
                <w:color w:val="000000"/>
              </w:rPr>
            </w:pPr>
            <w:r>
              <w:rPr>
                <w:b/>
                <w:bCs/>
                <w:color w:val="000000"/>
              </w:rPr>
              <w:t>Variable</w:t>
            </w:r>
          </w:p>
        </w:tc>
        <w:tc>
          <w:tcPr>
            <w:tcW w:w="146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0DC9AA53" w14:textId="77777777" w:rsidR="00DF7032" w:rsidRDefault="00DF7032">
            <w:pPr>
              <w:jc w:val="center"/>
              <w:rPr>
                <w:b/>
                <w:bCs/>
                <w:color w:val="000000"/>
              </w:rPr>
            </w:pPr>
            <w:r>
              <w:rPr>
                <w:b/>
                <w:bCs/>
                <w:color w:val="000000"/>
              </w:rPr>
              <w:t>Category</w:t>
            </w:r>
          </w:p>
        </w:tc>
        <w:tc>
          <w:tcPr>
            <w:tcW w:w="138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0C97E6D5" w14:textId="77777777" w:rsidR="00DF7032" w:rsidRDefault="00DF7032">
            <w:pPr>
              <w:jc w:val="center"/>
              <w:rPr>
                <w:b/>
                <w:bCs/>
                <w:color w:val="000000"/>
              </w:rPr>
            </w:pPr>
            <w:r>
              <w:rPr>
                <w:b/>
                <w:bCs/>
                <w:color w:val="000000"/>
              </w:rPr>
              <w:t>Attended ANC</w:t>
            </w:r>
          </w:p>
        </w:tc>
        <w:tc>
          <w:tcPr>
            <w:tcW w:w="124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3A7F2117" w14:textId="77777777" w:rsidR="00DF7032" w:rsidRDefault="00DF7032">
            <w:pPr>
              <w:jc w:val="center"/>
              <w:rPr>
                <w:b/>
                <w:bCs/>
                <w:color w:val="000000"/>
              </w:rPr>
            </w:pPr>
            <w:r>
              <w:rPr>
                <w:b/>
                <w:bCs/>
                <w:color w:val="000000"/>
              </w:rPr>
              <w:t>Did Not Attend</w:t>
            </w:r>
          </w:p>
        </w:tc>
        <w:tc>
          <w:tcPr>
            <w:tcW w:w="96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3A255389" w14:textId="77777777" w:rsidR="00DF7032" w:rsidRDefault="00DF7032">
            <w:pPr>
              <w:jc w:val="center"/>
              <w:rPr>
                <w:b/>
                <w:bCs/>
                <w:color w:val="000000"/>
              </w:rPr>
            </w:pPr>
            <w:r>
              <w:rPr>
                <w:b/>
                <w:bCs/>
                <w:color w:val="000000"/>
              </w:rPr>
              <w:t>Total</w:t>
            </w:r>
          </w:p>
        </w:tc>
        <w:tc>
          <w:tcPr>
            <w:tcW w:w="132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450282FD" w14:textId="77777777" w:rsidR="00DF7032" w:rsidRDefault="00DF7032">
            <w:pPr>
              <w:jc w:val="center"/>
              <w:rPr>
                <w:b/>
                <w:bCs/>
                <w:color w:val="000000"/>
              </w:rPr>
            </w:pPr>
            <w:r>
              <w:rPr>
                <w:b/>
                <w:bCs/>
                <w:color w:val="000000"/>
              </w:rPr>
              <w:t>Attended (%)</w:t>
            </w:r>
          </w:p>
        </w:tc>
        <w:tc>
          <w:tcPr>
            <w:tcW w:w="148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0C68040C" w14:textId="77777777" w:rsidR="00DF7032" w:rsidRDefault="00DF7032">
            <w:pPr>
              <w:jc w:val="center"/>
              <w:rPr>
                <w:b/>
                <w:bCs/>
                <w:color w:val="000000"/>
              </w:rPr>
            </w:pPr>
            <w:r>
              <w:rPr>
                <w:b/>
                <w:bCs/>
                <w:color w:val="000000"/>
              </w:rPr>
              <w:t>Not Attended (%)</w:t>
            </w:r>
          </w:p>
        </w:tc>
      </w:tr>
      <w:tr w:rsidR="00DF7032" w14:paraId="36EE535C" w14:textId="77777777">
        <w:trPr>
          <w:trHeight w:val="320"/>
        </w:trPr>
        <w:tc>
          <w:tcPr>
            <w:tcW w:w="1820" w:type="dxa"/>
            <w:vMerge w:val="restart"/>
            <w:tcBorders>
              <w:top w:val="nil"/>
              <w:left w:val="nil"/>
              <w:bottom w:val="single" w:sz="4" w:space="0" w:color="000000"/>
              <w:right w:val="nil"/>
            </w:tcBorders>
            <w:tcMar>
              <w:top w:w="15" w:type="dxa"/>
              <w:left w:w="15" w:type="dxa"/>
              <w:bottom w:w="0" w:type="dxa"/>
              <w:right w:w="15" w:type="dxa"/>
            </w:tcMar>
            <w:vAlign w:val="center"/>
            <w:hideMark/>
          </w:tcPr>
          <w:p w14:paraId="1B2C4771" w14:textId="77777777" w:rsidR="00DF7032" w:rsidRDefault="00DF7032">
            <w:pPr>
              <w:jc w:val="center"/>
              <w:rPr>
                <w:b/>
                <w:bCs/>
                <w:color w:val="000000"/>
              </w:rPr>
            </w:pPr>
            <w:r>
              <w:rPr>
                <w:b/>
                <w:bCs/>
                <w:color w:val="000000"/>
              </w:rPr>
              <w:t>Education</w:t>
            </w:r>
          </w:p>
        </w:tc>
        <w:tc>
          <w:tcPr>
            <w:tcW w:w="1460" w:type="dxa"/>
            <w:tcBorders>
              <w:top w:val="nil"/>
              <w:left w:val="nil"/>
              <w:bottom w:val="nil"/>
              <w:right w:val="nil"/>
            </w:tcBorders>
            <w:tcMar>
              <w:top w:w="15" w:type="dxa"/>
              <w:left w:w="15" w:type="dxa"/>
              <w:bottom w:w="0" w:type="dxa"/>
              <w:right w:w="15" w:type="dxa"/>
            </w:tcMar>
            <w:vAlign w:val="center"/>
            <w:hideMark/>
          </w:tcPr>
          <w:p w14:paraId="0CBD8163" w14:textId="77777777" w:rsidR="00DF7032" w:rsidRDefault="00DF7032">
            <w:pPr>
              <w:rPr>
                <w:color w:val="000000"/>
              </w:rPr>
            </w:pPr>
            <w:r>
              <w:rPr>
                <w:color w:val="000000"/>
              </w:rPr>
              <w:t>None</w:t>
            </w:r>
          </w:p>
        </w:tc>
        <w:tc>
          <w:tcPr>
            <w:tcW w:w="1380" w:type="dxa"/>
            <w:tcBorders>
              <w:top w:val="nil"/>
              <w:left w:val="nil"/>
              <w:bottom w:val="nil"/>
              <w:right w:val="nil"/>
            </w:tcBorders>
            <w:tcMar>
              <w:top w:w="15" w:type="dxa"/>
              <w:left w:w="15" w:type="dxa"/>
              <w:bottom w:w="0" w:type="dxa"/>
              <w:right w:w="15" w:type="dxa"/>
            </w:tcMar>
            <w:vAlign w:val="center"/>
            <w:hideMark/>
          </w:tcPr>
          <w:p w14:paraId="5D196371" w14:textId="77777777" w:rsidR="00DF7032" w:rsidRDefault="00DF7032">
            <w:pPr>
              <w:jc w:val="center"/>
              <w:rPr>
                <w:color w:val="000000"/>
              </w:rPr>
            </w:pPr>
            <w:r>
              <w:rPr>
                <w:color w:val="000000"/>
              </w:rPr>
              <w:t>29</w:t>
            </w:r>
          </w:p>
        </w:tc>
        <w:tc>
          <w:tcPr>
            <w:tcW w:w="1240" w:type="dxa"/>
            <w:tcBorders>
              <w:top w:val="nil"/>
              <w:left w:val="nil"/>
              <w:bottom w:val="nil"/>
              <w:right w:val="nil"/>
            </w:tcBorders>
            <w:tcMar>
              <w:top w:w="15" w:type="dxa"/>
              <w:left w:w="15" w:type="dxa"/>
              <w:bottom w:w="0" w:type="dxa"/>
              <w:right w:w="15" w:type="dxa"/>
            </w:tcMar>
            <w:vAlign w:val="center"/>
            <w:hideMark/>
          </w:tcPr>
          <w:p w14:paraId="3208D3E6" w14:textId="77777777" w:rsidR="00DF7032" w:rsidRDefault="00DF7032">
            <w:pPr>
              <w:jc w:val="center"/>
              <w:rPr>
                <w:color w:val="000000"/>
              </w:rPr>
            </w:pPr>
            <w:r>
              <w:rPr>
                <w:color w:val="000000"/>
              </w:rPr>
              <w:t>10</w:t>
            </w:r>
          </w:p>
        </w:tc>
        <w:tc>
          <w:tcPr>
            <w:tcW w:w="960" w:type="dxa"/>
            <w:tcBorders>
              <w:top w:val="nil"/>
              <w:left w:val="nil"/>
              <w:bottom w:val="nil"/>
              <w:right w:val="nil"/>
            </w:tcBorders>
            <w:tcMar>
              <w:top w:w="15" w:type="dxa"/>
              <w:left w:w="15" w:type="dxa"/>
              <w:bottom w:w="0" w:type="dxa"/>
              <w:right w:w="15" w:type="dxa"/>
            </w:tcMar>
            <w:vAlign w:val="center"/>
            <w:hideMark/>
          </w:tcPr>
          <w:p w14:paraId="17B5DCF9" w14:textId="77777777" w:rsidR="00DF7032" w:rsidRDefault="00DF7032">
            <w:pPr>
              <w:jc w:val="center"/>
              <w:rPr>
                <w:color w:val="000000"/>
              </w:rPr>
            </w:pPr>
            <w:r>
              <w:rPr>
                <w:color w:val="000000"/>
              </w:rPr>
              <w:t>39</w:t>
            </w:r>
          </w:p>
        </w:tc>
        <w:tc>
          <w:tcPr>
            <w:tcW w:w="1320" w:type="dxa"/>
            <w:tcBorders>
              <w:top w:val="nil"/>
              <w:left w:val="nil"/>
              <w:bottom w:val="nil"/>
              <w:right w:val="nil"/>
            </w:tcBorders>
            <w:tcMar>
              <w:top w:w="15" w:type="dxa"/>
              <w:left w:w="15" w:type="dxa"/>
              <w:bottom w:w="0" w:type="dxa"/>
              <w:right w:w="15" w:type="dxa"/>
            </w:tcMar>
            <w:vAlign w:val="center"/>
            <w:hideMark/>
          </w:tcPr>
          <w:p w14:paraId="36EAFBB3" w14:textId="77777777" w:rsidR="00DF7032" w:rsidRDefault="00DF7032">
            <w:pPr>
              <w:jc w:val="center"/>
              <w:rPr>
                <w:color w:val="000000"/>
              </w:rPr>
            </w:pPr>
            <w:r>
              <w:rPr>
                <w:color w:val="000000"/>
              </w:rPr>
              <w:t>74.4</w:t>
            </w:r>
          </w:p>
        </w:tc>
        <w:tc>
          <w:tcPr>
            <w:tcW w:w="1480" w:type="dxa"/>
            <w:tcBorders>
              <w:top w:val="nil"/>
              <w:left w:val="nil"/>
              <w:bottom w:val="nil"/>
              <w:right w:val="nil"/>
            </w:tcBorders>
            <w:tcMar>
              <w:top w:w="15" w:type="dxa"/>
              <w:left w:w="15" w:type="dxa"/>
              <w:bottom w:w="0" w:type="dxa"/>
              <w:right w:w="15" w:type="dxa"/>
            </w:tcMar>
            <w:vAlign w:val="center"/>
            <w:hideMark/>
          </w:tcPr>
          <w:p w14:paraId="6FC6C130" w14:textId="77777777" w:rsidR="00DF7032" w:rsidRDefault="00DF7032">
            <w:pPr>
              <w:jc w:val="center"/>
              <w:rPr>
                <w:color w:val="000000"/>
              </w:rPr>
            </w:pPr>
            <w:r>
              <w:rPr>
                <w:color w:val="000000"/>
              </w:rPr>
              <w:t>25.6</w:t>
            </w:r>
          </w:p>
        </w:tc>
      </w:tr>
      <w:tr w:rsidR="00DF7032" w14:paraId="6511067C" w14:textId="77777777">
        <w:trPr>
          <w:trHeight w:val="310"/>
        </w:trPr>
        <w:tc>
          <w:tcPr>
            <w:tcW w:w="0" w:type="auto"/>
            <w:vMerge/>
            <w:tcBorders>
              <w:top w:val="nil"/>
              <w:left w:val="nil"/>
              <w:bottom w:val="single" w:sz="4" w:space="0" w:color="000000"/>
              <w:right w:val="nil"/>
            </w:tcBorders>
            <w:vAlign w:val="center"/>
            <w:hideMark/>
          </w:tcPr>
          <w:p w14:paraId="7000D340" w14:textId="77777777" w:rsidR="00DF7032" w:rsidRDefault="00DF7032">
            <w:pPr>
              <w:rPr>
                <w:b/>
                <w:bCs/>
                <w:color w:val="000000"/>
              </w:rPr>
            </w:pPr>
          </w:p>
        </w:tc>
        <w:tc>
          <w:tcPr>
            <w:tcW w:w="1460" w:type="dxa"/>
            <w:tcBorders>
              <w:top w:val="nil"/>
              <w:left w:val="nil"/>
              <w:bottom w:val="nil"/>
              <w:right w:val="nil"/>
            </w:tcBorders>
            <w:tcMar>
              <w:top w:w="15" w:type="dxa"/>
              <w:left w:w="15" w:type="dxa"/>
              <w:bottom w:w="0" w:type="dxa"/>
              <w:right w:w="15" w:type="dxa"/>
            </w:tcMar>
            <w:vAlign w:val="center"/>
            <w:hideMark/>
          </w:tcPr>
          <w:p w14:paraId="6AB52E7E" w14:textId="77777777" w:rsidR="00DF7032" w:rsidRDefault="00DF7032">
            <w:pPr>
              <w:rPr>
                <w:color w:val="000000"/>
              </w:rPr>
            </w:pPr>
            <w:r>
              <w:rPr>
                <w:color w:val="000000"/>
              </w:rPr>
              <w:t>Primary</w:t>
            </w:r>
          </w:p>
        </w:tc>
        <w:tc>
          <w:tcPr>
            <w:tcW w:w="1380" w:type="dxa"/>
            <w:tcBorders>
              <w:top w:val="nil"/>
              <w:left w:val="nil"/>
              <w:bottom w:val="nil"/>
              <w:right w:val="nil"/>
            </w:tcBorders>
            <w:tcMar>
              <w:top w:w="15" w:type="dxa"/>
              <w:left w:w="15" w:type="dxa"/>
              <w:bottom w:w="0" w:type="dxa"/>
              <w:right w:w="15" w:type="dxa"/>
            </w:tcMar>
            <w:vAlign w:val="center"/>
            <w:hideMark/>
          </w:tcPr>
          <w:p w14:paraId="43C57582" w14:textId="77777777" w:rsidR="00DF7032" w:rsidRDefault="00DF7032">
            <w:pPr>
              <w:jc w:val="center"/>
              <w:rPr>
                <w:color w:val="000000"/>
              </w:rPr>
            </w:pPr>
            <w:r>
              <w:rPr>
                <w:color w:val="000000"/>
              </w:rPr>
              <w:t>44</w:t>
            </w:r>
          </w:p>
        </w:tc>
        <w:tc>
          <w:tcPr>
            <w:tcW w:w="1240" w:type="dxa"/>
            <w:tcBorders>
              <w:top w:val="nil"/>
              <w:left w:val="nil"/>
              <w:bottom w:val="nil"/>
              <w:right w:val="nil"/>
            </w:tcBorders>
            <w:tcMar>
              <w:top w:w="15" w:type="dxa"/>
              <w:left w:w="15" w:type="dxa"/>
              <w:bottom w:w="0" w:type="dxa"/>
              <w:right w:w="15" w:type="dxa"/>
            </w:tcMar>
            <w:vAlign w:val="center"/>
            <w:hideMark/>
          </w:tcPr>
          <w:p w14:paraId="0939DEFC" w14:textId="77777777" w:rsidR="00DF7032" w:rsidRDefault="00DF7032">
            <w:pPr>
              <w:jc w:val="center"/>
              <w:rPr>
                <w:color w:val="000000"/>
              </w:rPr>
            </w:pPr>
            <w:r>
              <w:rPr>
                <w:color w:val="000000"/>
              </w:rPr>
              <w:t>10</w:t>
            </w:r>
          </w:p>
        </w:tc>
        <w:tc>
          <w:tcPr>
            <w:tcW w:w="960" w:type="dxa"/>
            <w:tcBorders>
              <w:top w:val="nil"/>
              <w:left w:val="nil"/>
              <w:bottom w:val="nil"/>
              <w:right w:val="nil"/>
            </w:tcBorders>
            <w:tcMar>
              <w:top w:w="15" w:type="dxa"/>
              <w:left w:w="15" w:type="dxa"/>
              <w:bottom w:w="0" w:type="dxa"/>
              <w:right w:w="15" w:type="dxa"/>
            </w:tcMar>
            <w:vAlign w:val="center"/>
            <w:hideMark/>
          </w:tcPr>
          <w:p w14:paraId="0C2C2C76" w14:textId="77777777" w:rsidR="00DF7032" w:rsidRDefault="00DF7032">
            <w:pPr>
              <w:jc w:val="center"/>
              <w:rPr>
                <w:color w:val="000000"/>
              </w:rPr>
            </w:pPr>
            <w:r>
              <w:rPr>
                <w:color w:val="000000"/>
              </w:rPr>
              <w:t>54</w:t>
            </w:r>
          </w:p>
        </w:tc>
        <w:tc>
          <w:tcPr>
            <w:tcW w:w="1320" w:type="dxa"/>
            <w:tcBorders>
              <w:top w:val="nil"/>
              <w:left w:val="nil"/>
              <w:bottom w:val="nil"/>
              <w:right w:val="nil"/>
            </w:tcBorders>
            <w:tcMar>
              <w:top w:w="15" w:type="dxa"/>
              <w:left w:w="15" w:type="dxa"/>
              <w:bottom w:w="0" w:type="dxa"/>
              <w:right w:w="15" w:type="dxa"/>
            </w:tcMar>
            <w:vAlign w:val="center"/>
            <w:hideMark/>
          </w:tcPr>
          <w:p w14:paraId="15B26637" w14:textId="77777777" w:rsidR="00DF7032" w:rsidRDefault="00DF7032">
            <w:pPr>
              <w:jc w:val="center"/>
              <w:rPr>
                <w:color w:val="000000"/>
              </w:rPr>
            </w:pPr>
            <w:r>
              <w:rPr>
                <w:color w:val="000000"/>
              </w:rPr>
              <w:t>81.5</w:t>
            </w:r>
          </w:p>
        </w:tc>
        <w:tc>
          <w:tcPr>
            <w:tcW w:w="1480" w:type="dxa"/>
            <w:tcBorders>
              <w:top w:val="nil"/>
              <w:left w:val="nil"/>
              <w:bottom w:val="nil"/>
              <w:right w:val="nil"/>
            </w:tcBorders>
            <w:tcMar>
              <w:top w:w="15" w:type="dxa"/>
              <w:left w:w="15" w:type="dxa"/>
              <w:bottom w:w="0" w:type="dxa"/>
              <w:right w:w="15" w:type="dxa"/>
            </w:tcMar>
            <w:vAlign w:val="center"/>
            <w:hideMark/>
          </w:tcPr>
          <w:p w14:paraId="7807FA0F" w14:textId="77777777" w:rsidR="00DF7032" w:rsidRDefault="00DF7032">
            <w:pPr>
              <w:jc w:val="center"/>
              <w:rPr>
                <w:color w:val="000000"/>
              </w:rPr>
            </w:pPr>
            <w:r>
              <w:rPr>
                <w:color w:val="000000"/>
              </w:rPr>
              <w:t>18.5</w:t>
            </w:r>
          </w:p>
        </w:tc>
      </w:tr>
      <w:tr w:rsidR="00DF7032" w14:paraId="28C8606C" w14:textId="77777777">
        <w:trPr>
          <w:trHeight w:val="310"/>
        </w:trPr>
        <w:tc>
          <w:tcPr>
            <w:tcW w:w="0" w:type="auto"/>
            <w:vMerge/>
            <w:tcBorders>
              <w:top w:val="nil"/>
              <w:left w:val="nil"/>
              <w:bottom w:val="single" w:sz="4" w:space="0" w:color="000000"/>
              <w:right w:val="nil"/>
            </w:tcBorders>
            <w:vAlign w:val="center"/>
            <w:hideMark/>
          </w:tcPr>
          <w:p w14:paraId="5932B8C2" w14:textId="77777777" w:rsidR="00DF7032" w:rsidRDefault="00DF7032">
            <w:pPr>
              <w:rPr>
                <w:b/>
                <w:bCs/>
                <w:color w:val="000000"/>
              </w:rPr>
            </w:pPr>
          </w:p>
        </w:tc>
        <w:tc>
          <w:tcPr>
            <w:tcW w:w="1460" w:type="dxa"/>
            <w:tcBorders>
              <w:top w:val="nil"/>
              <w:left w:val="nil"/>
              <w:bottom w:val="single" w:sz="4" w:space="0" w:color="auto"/>
              <w:right w:val="nil"/>
            </w:tcBorders>
            <w:tcMar>
              <w:top w:w="15" w:type="dxa"/>
              <w:left w:w="15" w:type="dxa"/>
              <w:bottom w:w="0" w:type="dxa"/>
              <w:right w:w="15" w:type="dxa"/>
            </w:tcMar>
            <w:vAlign w:val="center"/>
            <w:hideMark/>
          </w:tcPr>
          <w:p w14:paraId="09E6D208" w14:textId="77777777" w:rsidR="00DF7032" w:rsidRDefault="00DF7032">
            <w:pPr>
              <w:rPr>
                <w:color w:val="000000"/>
              </w:rPr>
            </w:pPr>
            <w:r>
              <w:rPr>
                <w:color w:val="000000"/>
              </w:rPr>
              <w:t>Secondary+</w:t>
            </w:r>
          </w:p>
        </w:tc>
        <w:tc>
          <w:tcPr>
            <w:tcW w:w="1380" w:type="dxa"/>
            <w:tcBorders>
              <w:top w:val="nil"/>
              <w:left w:val="nil"/>
              <w:bottom w:val="single" w:sz="4" w:space="0" w:color="auto"/>
              <w:right w:val="nil"/>
            </w:tcBorders>
            <w:tcMar>
              <w:top w:w="15" w:type="dxa"/>
              <w:left w:w="15" w:type="dxa"/>
              <w:bottom w:w="0" w:type="dxa"/>
              <w:right w:w="15" w:type="dxa"/>
            </w:tcMar>
            <w:vAlign w:val="center"/>
            <w:hideMark/>
          </w:tcPr>
          <w:p w14:paraId="7714316E" w14:textId="77777777" w:rsidR="00DF7032" w:rsidRDefault="00DF7032">
            <w:pPr>
              <w:jc w:val="center"/>
              <w:rPr>
                <w:color w:val="000000"/>
              </w:rPr>
            </w:pPr>
            <w:r>
              <w:rPr>
                <w:color w:val="000000"/>
              </w:rPr>
              <w:t>61</w:t>
            </w:r>
          </w:p>
        </w:tc>
        <w:tc>
          <w:tcPr>
            <w:tcW w:w="1240" w:type="dxa"/>
            <w:tcBorders>
              <w:top w:val="nil"/>
              <w:left w:val="nil"/>
              <w:bottom w:val="single" w:sz="4" w:space="0" w:color="auto"/>
              <w:right w:val="nil"/>
            </w:tcBorders>
            <w:tcMar>
              <w:top w:w="15" w:type="dxa"/>
              <w:left w:w="15" w:type="dxa"/>
              <w:bottom w:w="0" w:type="dxa"/>
              <w:right w:w="15" w:type="dxa"/>
            </w:tcMar>
            <w:vAlign w:val="center"/>
            <w:hideMark/>
          </w:tcPr>
          <w:p w14:paraId="5CB92F76" w14:textId="77777777" w:rsidR="00DF7032" w:rsidRDefault="00DF7032">
            <w:pPr>
              <w:jc w:val="center"/>
              <w:rPr>
                <w:color w:val="000000"/>
              </w:rPr>
            </w:pPr>
            <w:r>
              <w:rPr>
                <w:color w:val="000000"/>
              </w:rPr>
              <w:t>3</w:t>
            </w:r>
          </w:p>
        </w:tc>
        <w:tc>
          <w:tcPr>
            <w:tcW w:w="960" w:type="dxa"/>
            <w:tcBorders>
              <w:top w:val="nil"/>
              <w:left w:val="nil"/>
              <w:bottom w:val="single" w:sz="4" w:space="0" w:color="auto"/>
              <w:right w:val="nil"/>
            </w:tcBorders>
            <w:tcMar>
              <w:top w:w="15" w:type="dxa"/>
              <w:left w:w="15" w:type="dxa"/>
              <w:bottom w:w="0" w:type="dxa"/>
              <w:right w:w="15" w:type="dxa"/>
            </w:tcMar>
            <w:vAlign w:val="center"/>
            <w:hideMark/>
          </w:tcPr>
          <w:p w14:paraId="475EAE4A" w14:textId="77777777" w:rsidR="00DF7032" w:rsidRDefault="00DF7032">
            <w:pPr>
              <w:jc w:val="center"/>
              <w:rPr>
                <w:color w:val="000000"/>
              </w:rPr>
            </w:pPr>
            <w:r>
              <w:rPr>
                <w:color w:val="000000"/>
              </w:rPr>
              <w:t>64</w:t>
            </w:r>
          </w:p>
        </w:tc>
        <w:tc>
          <w:tcPr>
            <w:tcW w:w="1320" w:type="dxa"/>
            <w:tcBorders>
              <w:top w:val="nil"/>
              <w:left w:val="nil"/>
              <w:bottom w:val="single" w:sz="4" w:space="0" w:color="auto"/>
              <w:right w:val="nil"/>
            </w:tcBorders>
            <w:tcMar>
              <w:top w:w="15" w:type="dxa"/>
              <w:left w:w="15" w:type="dxa"/>
              <w:bottom w:w="0" w:type="dxa"/>
              <w:right w:w="15" w:type="dxa"/>
            </w:tcMar>
            <w:vAlign w:val="center"/>
            <w:hideMark/>
          </w:tcPr>
          <w:p w14:paraId="1651205B" w14:textId="77777777" w:rsidR="00DF7032" w:rsidRDefault="00DF7032">
            <w:pPr>
              <w:jc w:val="center"/>
              <w:rPr>
                <w:b/>
                <w:bCs/>
                <w:color w:val="000000"/>
              </w:rPr>
            </w:pPr>
            <w:r>
              <w:rPr>
                <w:b/>
                <w:bCs/>
                <w:color w:val="000000"/>
              </w:rPr>
              <w:t>95.3</w:t>
            </w:r>
          </w:p>
        </w:tc>
        <w:tc>
          <w:tcPr>
            <w:tcW w:w="1480" w:type="dxa"/>
            <w:tcBorders>
              <w:top w:val="nil"/>
              <w:left w:val="nil"/>
              <w:bottom w:val="single" w:sz="4" w:space="0" w:color="auto"/>
              <w:right w:val="nil"/>
            </w:tcBorders>
            <w:tcMar>
              <w:top w:w="15" w:type="dxa"/>
              <w:left w:w="15" w:type="dxa"/>
              <w:bottom w:w="0" w:type="dxa"/>
              <w:right w:w="15" w:type="dxa"/>
            </w:tcMar>
            <w:vAlign w:val="center"/>
            <w:hideMark/>
          </w:tcPr>
          <w:p w14:paraId="415303DF" w14:textId="77777777" w:rsidR="00DF7032" w:rsidRDefault="00DF7032">
            <w:pPr>
              <w:jc w:val="center"/>
              <w:rPr>
                <w:color w:val="000000"/>
              </w:rPr>
            </w:pPr>
            <w:r>
              <w:rPr>
                <w:color w:val="000000"/>
              </w:rPr>
              <w:t>4.7</w:t>
            </w:r>
          </w:p>
        </w:tc>
      </w:tr>
      <w:tr w:rsidR="00DF7032" w14:paraId="32BFA416" w14:textId="77777777">
        <w:trPr>
          <w:trHeight w:val="310"/>
        </w:trPr>
        <w:tc>
          <w:tcPr>
            <w:tcW w:w="1820" w:type="dxa"/>
            <w:vMerge w:val="restart"/>
            <w:tcBorders>
              <w:top w:val="nil"/>
              <w:left w:val="nil"/>
              <w:bottom w:val="nil"/>
              <w:right w:val="nil"/>
            </w:tcBorders>
            <w:tcMar>
              <w:top w:w="15" w:type="dxa"/>
              <w:left w:w="15" w:type="dxa"/>
              <w:bottom w:w="0" w:type="dxa"/>
              <w:right w:w="15" w:type="dxa"/>
            </w:tcMar>
            <w:vAlign w:val="center"/>
            <w:hideMark/>
          </w:tcPr>
          <w:p w14:paraId="2A27E3FB" w14:textId="77777777" w:rsidR="00DF7032" w:rsidRDefault="00DF7032">
            <w:pPr>
              <w:jc w:val="center"/>
              <w:rPr>
                <w:b/>
                <w:bCs/>
                <w:color w:val="000000"/>
              </w:rPr>
            </w:pPr>
            <w:r>
              <w:rPr>
                <w:b/>
                <w:bCs/>
                <w:color w:val="000000"/>
              </w:rPr>
              <w:t>Occupation</w:t>
            </w:r>
          </w:p>
        </w:tc>
        <w:tc>
          <w:tcPr>
            <w:tcW w:w="1460" w:type="dxa"/>
            <w:tcBorders>
              <w:top w:val="nil"/>
              <w:left w:val="nil"/>
              <w:bottom w:val="nil"/>
              <w:right w:val="nil"/>
            </w:tcBorders>
            <w:tcMar>
              <w:top w:w="15" w:type="dxa"/>
              <w:left w:w="15" w:type="dxa"/>
              <w:bottom w:w="0" w:type="dxa"/>
              <w:right w:w="15" w:type="dxa"/>
            </w:tcMar>
            <w:vAlign w:val="center"/>
            <w:hideMark/>
          </w:tcPr>
          <w:p w14:paraId="5761D85E" w14:textId="77777777" w:rsidR="00DF7032" w:rsidRDefault="00DF7032">
            <w:pPr>
              <w:rPr>
                <w:color w:val="000000"/>
              </w:rPr>
            </w:pPr>
            <w:r>
              <w:rPr>
                <w:color w:val="000000"/>
              </w:rPr>
              <w:t>Unemployed</w:t>
            </w:r>
          </w:p>
        </w:tc>
        <w:tc>
          <w:tcPr>
            <w:tcW w:w="1380" w:type="dxa"/>
            <w:tcBorders>
              <w:top w:val="nil"/>
              <w:left w:val="nil"/>
              <w:bottom w:val="nil"/>
              <w:right w:val="nil"/>
            </w:tcBorders>
            <w:tcMar>
              <w:top w:w="15" w:type="dxa"/>
              <w:left w:w="15" w:type="dxa"/>
              <w:bottom w:w="0" w:type="dxa"/>
              <w:right w:w="15" w:type="dxa"/>
            </w:tcMar>
            <w:vAlign w:val="center"/>
            <w:hideMark/>
          </w:tcPr>
          <w:p w14:paraId="5FB6733A" w14:textId="77777777" w:rsidR="00DF7032" w:rsidRDefault="00DF7032">
            <w:pPr>
              <w:jc w:val="center"/>
              <w:rPr>
                <w:color w:val="000000"/>
              </w:rPr>
            </w:pPr>
            <w:r>
              <w:rPr>
                <w:color w:val="000000"/>
              </w:rPr>
              <w:t>26</w:t>
            </w:r>
          </w:p>
        </w:tc>
        <w:tc>
          <w:tcPr>
            <w:tcW w:w="1240" w:type="dxa"/>
            <w:tcBorders>
              <w:top w:val="nil"/>
              <w:left w:val="nil"/>
              <w:bottom w:val="nil"/>
              <w:right w:val="nil"/>
            </w:tcBorders>
            <w:tcMar>
              <w:top w:w="15" w:type="dxa"/>
              <w:left w:w="15" w:type="dxa"/>
              <w:bottom w:w="0" w:type="dxa"/>
              <w:right w:w="15" w:type="dxa"/>
            </w:tcMar>
            <w:vAlign w:val="center"/>
            <w:hideMark/>
          </w:tcPr>
          <w:p w14:paraId="756F532E" w14:textId="77777777" w:rsidR="00DF7032" w:rsidRDefault="00DF7032">
            <w:pPr>
              <w:jc w:val="center"/>
              <w:rPr>
                <w:color w:val="000000"/>
              </w:rPr>
            </w:pPr>
            <w:r>
              <w:rPr>
                <w:color w:val="000000"/>
              </w:rPr>
              <w:t>12</w:t>
            </w:r>
          </w:p>
        </w:tc>
        <w:tc>
          <w:tcPr>
            <w:tcW w:w="960" w:type="dxa"/>
            <w:tcBorders>
              <w:top w:val="nil"/>
              <w:left w:val="nil"/>
              <w:bottom w:val="nil"/>
              <w:right w:val="nil"/>
            </w:tcBorders>
            <w:tcMar>
              <w:top w:w="15" w:type="dxa"/>
              <w:left w:w="15" w:type="dxa"/>
              <w:bottom w:w="0" w:type="dxa"/>
              <w:right w:w="15" w:type="dxa"/>
            </w:tcMar>
            <w:vAlign w:val="center"/>
            <w:hideMark/>
          </w:tcPr>
          <w:p w14:paraId="4AD7071E" w14:textId="77777777" w:rsidR="00DF7032" w:rsidRDefault="00DF7032">
            <w:pPr>
              <w:jc w:val="center"/>
              <w:rPr>
                <w:color w:val="000000"/>
              </w:rPr>
            </w:pPr>
            <w:r>
              <w:rPr>
                <w:color w:val="000000"/>
              </w:rPr>
              <w:t>38</w:t>
            </w:r>
          </w:p>
        </w:tc>
        <w:tc>
          <w:tcPr>
            <w:tcW w:w="1320" w:type="dxa"/>
            <w:tcBorders>
              <w:top w:val="nil"/>
              <w:left w:val="nil"/>
              <w:bottom w:val="nil"/>
              <w:right w:val="nil"/>
            </w:tcBorders>
            <w:tcMar>
              <w:top w:w="15" w:type="dxa"/>
              <w:left w:w="15" w:type="dxa"/>
              <w:bottom w:w="0" w:type="dxa"/>
              <w:right w:w="15" w:type="dxa"/>
            </w:tcMar>
            <w:vAlign w:val="center"/>
            <w:hideMark/>
          </w:tcPr>
          <w:p w14:paraId="3638EA08" w14:textId="77777777" w:rsidR="00DF7032" w:rsidRDefault="00DF7032">
            <w:pPr>
              <w:jc w:val="center"/>
              <w:rPr>
                <w:color w:val="000000"/>
              </w:rPr>
            </w:pPr>
            <w:r>
              <w:rPr>
                <w:color w:val="000000"/>
              </w:rPr>
              <w:t>68.4</w:t>
            </w:r>
          </w:p>
        </w:tc>
        <w:tc>
          <w:tcPr>
            <w:tcW w:w="1480" w:type="dxa"/>
            <w:tcBorders>
              <w:top w:val="nil"/>
              <w:left w:val="nil"/>
              <w:bottom w:val="nil"/>
              <w:right w:val="nil"/>
            </w:tcBorders>
            <w:tcMar>
              <w:top w:w="15" w:type="dxa"/>
              <w:left w:w="15" w:type="dxa"/>
              <w:bottom w:w="0" w:type="dxa"/>
              <w:right w:w="15" w:type="dxa"/>
            </w:tcMar>
            <w:vAlign w:val="center"/>
            <w:hideMark/>
          </w:tcPr>
          <w:p w14:paraId="40771078" w14:textId="77777777" w:rsidR="00DF7032" w:rsidRDefault="00DF7032">
            <w:pPr>
              <w:jc w:val="center"/>
              <w:rPr>
                <w:color w:val="000000"/>
              </w:rPr>
            </w:pPr>
            <w:r>
              <w:rPr>
                <w:color w:val="000000"/>
              </w:rPr>
              <w:t>31.6</w:t>
            </w:r>
          </w:p>
        </w:tc>
      </w:tr>
      <w:tr w:rsidR="00DF7032" w14:paraId="08D9FC2E" w14:textId="77777777">
        <w:trPr>
          <w:trHeight w:val="310"/>
        </w:trPr>
        <w:tc>
          <w:tcPr>
            <w:tcW w:w="0" w:type="auto"/>
            <w:vMerge/>
            <w:tcBorders>
              <w:top w:val="nil"/>
              <w:left w:val="nil"/>
              <w:bottom w:val="nil"/>
              <w:right w:val="nil"/>
            </w:tcBorders>
            <w:vAlign w:val="center"/>
            <w:hideMark/>
          </w:tcPr>
          <w:p w14:paraId="7D06A752" w14:textId="77777777" w:rsidR="00DF7032" w:rsidRDefault="00DF7032">
            <w:pPr>
              <w:rPr>
                <w:b/>
                <w:bCs/>
                <w:color w:val="000000"/>
              </w:rPr>
            </w:pPr>
          </w:p>
        </w:tc>
        <w:tc>
          <w:tcPr>
            <w:tcW w:w="1460" w:type="dxa"/>
            <w:tcBorders>
              <w:top w:val="nil"/>
              <w:left w:val="nil"/>
              <w:bottom w:val="nil"/>
              <w:right w:val="nil"/>
            </w:tcBorders>
            <w:tcMar>
              <w:top w:w="15" w:type="dxa"/>
              <w:left w:w="15" w:type="dxa"/>
              <w:bottom w:w="0" w:type="dxa"/>
              <w:right w:w="15" w:type="dxa"/>
            </w:tcMar>
            <w:vAlign w:val="center"/>
            <w:hideMark/>
          </w:tcPr>
          <w:p w14:paraId="034DF200" w14:textId="77777777" w:rsidR="00DF7032" w:rsidRDefault="00DF7032">
            <w:pPr>
              <w:rPr>
                <w:color w:val="000000"/>
              </w:rPr>
            </w:pPr>
            <w:r>
              <w:rPr>
                <w:color w:val="000000"/>
              </w:rPr>
              <w:t>Farmer</w:t>
            </w:r>
          </w:p>
        </w:tc>
        <w:tc>
          <w:tcPr>
            <w:tcW w:w="1380" w:type="dxa"/>
            <w:tcBorders>
              <w:top w:val="nil"/>
              <w:left w:val="nil"/>
              <w:bottom w:val="nil"/>
              <w:right w:val="nil"/>
            </w:tcBorders>
            <w:tcMar>
              <w:top w:w="15" w:type="dxa"/>
              <w:left w:w="15" w:type="dxa"/>
              <w:bottom w:w="0" w:type="dxa"/>
              <w:right w:w="15" w:type="dxa"/>
            </w:tcMar>
            <w:vAlign w:val="center"/>
            <w:hideMark/>
          </w:tcPr>
          <w:p w14:paraId="60498B31" w14:textId="77777777" w:rsidR="00DF7032" w:rsidRDefault="00DF7032">
            <w:pPr>
              <w:jc w:val="center"/>
              <w:rPr>
                <w:color w:val="000000"/>
              </w:rPr>
            </w:pPr>
            <w:r>
              <w:rPr>
                <w:color w:val="000000"/>
              </w:rPr>
              <w:t>37</w:t>
            </w:r>
          </w:p>
        </w:tc>
        <w:tc>
          <w:tcPr>
            <w:tcW w:w="1240" w:type="dxa"/>
            <w:tcBorders>
              <w:top w:val="nil"/>
              <w:left w:val="nil"/>
              <w:bottom w:val="nil"/>
              <w:right w:val="nil"/>
            </w:tcBorders>
            <w:tcMar>
              <w:top w:w="15" w:type="dxa"/>
              <w:left w:w="15" w:type="dxa"/>
              <w:bottom w:w="0" w:type="dxa"/>
              <w:right w:w="15" w:type="dxa"/>
            </w:tcMar>
            <w:vAlign w:val="center"/>
            <w:hideMark/>
          </w:tcPr>
          <w:p w14:paraId="006DC28E" w14:textId="77777777" w:rsidR="00DF7032" w:rsidRDefault="00DF7032">
            <w:pPr>
              <w:jc w:val="center"/>
              <w:rPr>
                <w:color w:val="000000"/>
              </w:rPr>
            </w:pPr>
            <w:r>
              <w:rPr>
                <w:color w:val="000000"/>
              </w:rPr>
              <w:t>10</w:t>
            </w:r>
          </w:p>
        </w:tc>
        <w:tc>
          <w:tcPr>
            <w:tcW w:w="960" w:type="dxa"/>
            <w:tcBorders>
              <w:top w:val="nil"/>
              <w:left w:val="nil"/>
              <w:bottom w:val="nil"/>
              <w:right w:val="nil"/>
            </w:tcBorders>
            <w:tcMar>
              <w:top w:w="15" w:type="dxa"/>
              <w:left w:w="15" w:type="dxa"/>
              <w:bottom w:w="0" w:type="dxa"/>
              <w:right w:w="15" w:type="dxa"/>
            </w:tcMar>
            <w:vAlign w:val="center"/>
            <w:hideMark/>
          </w:tcPr>
          <w:p w14:paraId="0DCD6D59" w14:textId="77777777" w:rsidR="00DF7032" w:rsidRDefault="00DF7032">
            <w:pPr>
              <w:jc w:val="center"/>
              <w:rPr>
                <w:color w:val="000000"/>
              </w:rPr>
            </w:pPr>
            <w:r>
              <w:rPr>
                <w:color w:val="000000"/>
              </w:rPr>
              <w:t>47</w:t>
            </w:r>
          </w:p>
        </w:tc>
        <w:tc>
          <w:tcPr>
            <w:tcW w:w="1320" w:type="dxa"/>
            <w:tcBorders>
              <w:top w:val="nil"/>
              <w:left w:val="nil"/>
              <w:bottom w:val="nil"/>
              <w:right w:val="nil"/>
            </w:tcBorders>
            <w:tcMar>
              <w:top w:w="15" w:type="dxa"/>
              <w:left w:w="15" w:type="dxa"/>
              <w:bottom w:w="0" w:type="dxa"/>
              <w:right w:w="15" w:type="dxa"/>
            </w:tcMar>
            <w:vAlign w:val="center"/>
            <w:hideMark/>
          </w:tcPr>
          <w:p w14:paraId="1CE8A5CF" w14:textId="77777777" w:rsidR="00DF7032" w:rsidRDefault="00DF7032">
            <w:pPr>
              <w:jc w:val="center"/>
              <w:rPr>
                <w:color w:val="000000"/>
              </w:rPr>
            </w:pPr>
            <w:r>
              <w:rPr>
                <w:color w:val="000000"/>
              </w:rPr>
              <w:t>78.7</w:t>
            </w:r>
          </w:p>
        </w:tc>
        <w:tc>
          <w:tcPr>
            <w:tcW w:w="1480" w:type="dxa"/>
            <w:tcBorders>
              <w:top w:val="nil"/>
              <w:left w:val="nil"/>
              <w:bottom w:val="nil"/>
              <w:right w:val="nil"/>
            </w:tcBorders>
            <w:tcMar>
              <w:top w:w="15" w:type="dxa"/>
              <w:left w:w="15" w:type="dxa"/>
              <w:bottom w:w="0" w:type="dxa"/>
              <w:right w:w="15" w:type="dxa"/>
            </w:tcMar>
            <w:vAlign w:val="center"/>
            <w:hideMark/>
          </w:tcPr>
          <w:p w14:paraId="242DB734" w14:textId="77777777" w:rsidR="00DF7032" w:rsidRDefault="00DF7032">
            <w:pPr>
              <w:jc w:val="center"/>
              <w:rPr>
                <w:color w:val="000000"/>
              </w:rPr>
            </w:pPr>
            <w:r>
              <w:rPr>
                <w:color w:val="000000"/>
              </w:rPr>
              <w:t>21.3</w:t>
            </w:r>
          </w:p>
        </w:tc>
      </w:tr>
      <w:tr w:rsidR="00DF7032" w14:paraId="0B812647" w14:textId="77777777">
        <w:trPr>
          <w:trHeight w:val="310"/>
        </w:trPr>
        <w:tc>
          <w:tcPr>
            <w:tcW w:w="0" w:type="auto"/>
            <w:vMerge/>
            <w:tcBorders>
              <w:top w:val="nil"/>
              <w:left w:val="nil"/>
              <w:bottom w:val="nil"/>
              <w:right w:val="nil"/>
            </w:tcBorders>
            <w:vAlign w:val="center"/>
            <w:hideMark/>
          </w:tcPr>
          <w:p w14:paraId="2DAC27F9" w14:textId="77777777" w:rsidR="00DF7032" w:rsidRDefault="00DF7032">
            <w:pPr>
              <w:rPr>
                <w:b/>
                <w:bCs/>
                <w:color w:val="000000"/>
              </w:rPr>
            </w:pPr>
          </w:p>
        </w:tc>
        <w:tc>
          <w:tcPr>
            <w:tcW w:w="1460" w:type="dxa"/>
            <w:tcBorders>
              <w:top w:val="nil"/>
              <w:left w:val="nil"/>
              <w:bottom w:val="nil"/>
              <w:right w:val="nil"/>
            </w:tcBorders>
            <w:tcMar>
              <w:top w:w="15" w:type="dxa"/>
              <w:left w:w="15" w:type="dxa"/>
              <w:bottom w:w="0" w:type="dxa"/>
              <w:right w:w="15" w:type="dxa"/>
            </w:tcMar>
            <w:vAlign w:val="center"/>
            <w:hideMark/>
          </w:tcPr>
          <w:p w14:paraId="40864094" w14:textId="77777777" w:rsidR="00DF7032" w:rsidRDefault="00DF7032">
            <w:pPr>
              <w:rPr>
                <w:color w:val="000000"/>
              </w:rPr>
            </w:pPr>
            <w:r>
              <w:rPr>
                <w:color w:val="000000"/>
              </w:rPr>
              <w:t>Trader/Other</w:t>
            </w:r>
          </w:p>
        </w:tc>
        <w:tc>
          <w:tcPr>
            <w:tcW w:w="1380" w:type="dxa"/>
            <w:tcBorders>
              <w:top w:val="nil"/>
              <w:left w:val="nil"/>
              <w:bottom w:val="nil"/>
              <w:right w:val="nil"/>
            </w:tcBorders>
            <w:tcMar>
              <w:top w:w="15" w:type="dxa"/>
              <w:left w:w="15" w:type="dxa"/>
              <w:bottom w:w="0" w:type="dxa"/>
              <w:right w:w="15" w:type="dxa"/>
            </w:tcMar>
            <w:vAlign w:val="center"/>
            <w:hideMark/>
          </w:tcPr>
          <w:p w14:paraId="79684A09" w14:textId="77777777" w:rsidR="00DF7032" w:rsidRDefault="00DF7032">
            <w:pPr>
              <w:jc w:val="center"/>
              <w:rPr>
                <w:color w:val="000000"/>
              </w:rPr>
            </w:pPr>
            <w:r>
              <w:rPr>
                <w:color w:val="000000"/>
              </w:rPr>
              <w:t>71</w:t>
            </w:r>
          </w:p>
        </w:tc>
        <w:tc>
          <w:tcPr>
            <w:tcW w:w="1240" w:type="dxa"/>
            <w:tcBorders>
              <w:top w:val="nil"/>
              <w:left w:val="nil"/>
              <w:bottom w:val="nil"/>
              <w:right w:val="nil"/>
            </w:tcBorders>
            <w:tcMar>
              <w:top w:w="15" w:type="dxa"/>
              <w:left w:w="15" w:type="dxa"/>
              <w:bottom w:w="0" w:type="dxa"/>
              <w:right w:w="15" w:type="dxa"/>
            </w:tcMar>
            <w:vAlign w:val="center"/>
            <w:hideMark/>
          </w:tcPr>
          <w:p w14:paraId="30ED42BE" w14:textId="77777777" w:rsidR="00DF7032" w:rsidRDefault="00DF7032">
            <w:pPr>
              <w:jc w:val="center"/>
              <w:rPr>
                <w:color w:val="000000"/>
              </w:rPr>
            </w:pPr>
            <w:r>
              <w:rPr>
                <w:color w:val="000000"/>
              </w:rPr>
              <w:t>1</w:t>
            </w:r>
          </w:p>
        </w:tc>
        <w:tc>
          <w:tcPr>
            <w:tcW w:w="960" w:type="dxa"/>
            <w:tcBorders>
              <w:top w:val="nil"/>
              <w:left w:val="nil"/>
              <w:bottom w:val="nil"/>
              <w:right w:val="nil"/>
            </w:tcBorders>
            <w:tcMar>
              <w:top w:w="15" w:type="dxa"/>
              <w:left w:w="15" w:type="dxa"/>
              <w:bottom w:w="0" w:type="dxa"/>
              <w:right w:w="15" w:type="dxa"/>
            </w:tcMar>
            <w:vAlign w:val="center"/>
            <w:hideMark/>
          </w:tcPr>
          <w:p w14:paraId="19263616" w14:textId="77777777" w:rsidR="00DF7032" w:rsidRDefault="00DF7032">
            <w:pPr>
              <w:jc w:val="center"/>
              <w:rPr>
                <w:color w:val="000000"/>
              </w:rPr>
            </w:pPr>
            <w:r>
              <w:rPr>
                <w:color w:val="000000"/>
              </w:rPr>
              <w:t>72</w:t>
            </w:r>
          </w:p>
        </w:tc>
        <w:tc>
          <w:tcPr>
            <w:tcW w:w="1320" w:type="dxa"/>
            <w:tcBorders>
              <w:top w:val="nil"/>
              <w:left w:val="nil"/>
              <w:bottom w:val="nil"/>
              <w:right w:val="nil"/>
            </w:tcBorders>
            <w:tcMar>
              <w:top w:w="15" w:type="dxa"/>
              <w:left w:w="15" w:type="dxa"/>
              <w:bottom w:w="0" w:type="dxa"/>
              <w:right w:w="15" w:type="dxa"/>
            </w:tcMar>
            <w:vAlign w:val="center"/>
            <w:hideMark/>
          </w:tcPr>
          <w:p w14:paraId="69F5B345" w14:textId="77777777" w:rsidR="00DF7032" w:rsidRDefault="00DF7032">
            <w:pPr>
              <w:jc w:val="center"/>
              <w:rPr>
                <w:b/>
                <w:bCs/>
                <w:color w:val="000000"/>
              </w:rPr>
            </w:pPr>
            <w:r>
              <w:rPr>
                <w:b/>
                <w:bCs/>
                <w:color w:val="000000"/>
              </w:rPr>
              <w:t>98.6</w:t>
            </w:r>
          </w:p>
        </w:tc>
        <w:tc>
          <w:tcPr>
            <w:tcW w:w="1480" w:type="dxa"/>
            <w:tcBorders>
              <w:top w:val="nil"/>
              <w:left w:val="nil"/>
              <w:bottom w:val="nil"/>
              <w:right w:val="nil"/>
            </w:tcBorders>
            <w:tcMar>
              <w:top w:w="15" w:type="dxa"/>
              <w:left w:w="15" w:type="dxa"/>
              <w:bottom w:w="0" w:type="dxa"/>
              <w:right w:w="15" w:type="dxa"/>
            </w:tcMar>
            <w:vAlign w:val="center"/>
            <w:hideMark/>
          </w:tcPr>
          <w:p w14:paraId="11EB50A3" w14:textId="77777777" w:rsidR="00DF7032" w:rsidRDefault="00DF7032">
            <w:pPr>
              <w:jc w:val="center"/>
              <w:rPr>
                <w:color w:val="000000"/>
              </w:rPr>
            </w:pPr>
            <w:r>
              <w:rPr>
                <w:color w:val="000000"/>
              </w:rPr>
              <w:t>1.4</w:t>
            </w:r>
          </w:p>
        </w:tc>
      </w:tr>
      <w:tr w:rsidR="00DF7032" w14:paraId="4C8DC56B" w14:textId="77777777">
        <w:trPr>
          <w:trHeight w:val="600"/>
        </w:trPr>
        <w:tc>
          <w:tcPr>
            <w:tcW w:w="1820" w:type="dxa"/>
            <w:vMerge w:val="restart"/>
            <w:tcBorders>
              <w:top w:val="single" w:sz="4" w:space="0" w:color="auto"/>
              <w:left w:val="nil"/>
              <w:bottom w:val="single" w:sz="4" w:space="0" w:color="000000"/>
              <w:right w:val="nil"/>
            </w:tcBorders>
            <w:tcMar>
              <w:top w:w="15" w:type="dxa"/>
              <w:left w:w="15" w:type="dxa"/>
              <w:bottom w:w="0" w:type="dxa"/>
              <w:right w:w="15" w:type="dxa"/>
            </w:tcMar>
            <w:vAlign w:val="center"/>
            <w:hideMark/>
          </w:tcPr>
          <w:p w14:paraId="74A639F2" w14:textId="77777777" w:rsidR="00DF7032" w:rsidRDefault="00DF7032">
            <w:pPr>
              <w:jc w:val="center"/>
              <w:rPr>
                <w:b/>
                <w:bCs/>
                <w:color w:val="000000"/>
              </w:rPr>
            </w:pPr>
            <w:r>
              <w:rPr>
                <w:b/>
                <w:bCs/>
                <w:color w:val="000000"/>
              </w:rPr>
              <w:t>Monthly Income (</w:t>
            </w:r>
            <w:proofErr w:type="spellStart"/>
            <w:r>
              <w:rPr>
                <w:b/>
                <w:bCs/>
                <w:color w:val="000000"/>
              </w:rPr>
              <w:t>NLe</w:t>
            </w:r>
            <w:proofErr w:type="spellEnd"/>
            <w:r>
              <w:rPr>
                <w:b/>
                <w:bCs/>
                <w:color w:val="000000"/>
              </w:rPr>
              <w:t>)</w:t>
            </w:r>
          </w:p>
        </w:tc>
        <w:tc>
          <w:tcPr>
            <w:tcW w:w="1460" w:type="dxa"/>
            <w:tcBorders>
              <w:top w:val="single" w:sz="4" w:space="0" w:color="auto"/>
              <w:left w:val="nil"/>
              <w:bottom w:val="nil"/>
              <w:right w:val="nil"/>
            </w:tcBorders>
            <w:tcMar>
              <w:top w:w="15" w:type="dxa"/>
              <w:left w:w="15" w:type="dxa"/>
              <w:bottom w:w="0" w:type="dxa"/>
              <w:right w:w="15" w:type="dxa"/>
            </w:tcMar>
            <w:vAlign w:val="center"/>
            <w:hideMark/>
          </w:tcPr>
          <w:p w14:paraId="2809F60C" w14:textId="77777777" w:rsidR="00DF7032" w:rsidRDefault="00DF7032">
            <w:pPr>
              <w:rPr>
                <w:color w:val="000000"/>
              </w:rPr>
            </w:pPr>
            <w:r>
              <w:rPr>
                <w:color w:val="000000"/>
              </w:rPr>
              <w:t>&lt;500</w:t>
            </w:r>
          </w:p>
        </w:tc>
        <w:tc>
          <w:tcPr>
            <w:tcW w:w="1380" w:type="dxa"/>
            <w:tcBorders>
              <w:top w:val="single" w:sz="4" w:space="0" w:color="auto"/>
              <w:left w:val="nil"/>
              <w:bottom w:val="nil"/>
              <w:right w:val="nil"/>
            </w:tcBorders>
            <w:tcMar>
              <w:top w:w="15" w:type="dxa"/>
              <w:left w:w="15" w:type="dxa"/>
              <w:bottom w:w="0" w:type="dxa"/>
              <w:right w:w="15" w:type="dxa"/>
            </w:tcMar>
            <w:vAlign w:val="center"/>
            <w:hideMark/>
          </w:tcPr>
          <w:p w14:paraId="2130EB06" w14:textId="77777777" w:rsidR="00DF7032" w:rsidRDefault="00DF7032">
            <w:pPr>
              <w:jc w:val="center"/>
              <w:rPr>
                <w:color w:val="000000"/>
              </w:rPr>
            </w:pPr>
            <w:r>
              <w:rPr>
                <w:color w:val="000000"/>
              </w:rPr>
              <w:t>48</w:t>
            </w:r>
          </w:p>
        </w:tc>
        <w:tc>
          <w:tcPr>
            <w:tcW w:w="1240" w:type="dxa"/>
            <w:tcBorders>
              <w:top w:val="single" w:sz="4" w:space="0" w:color="auto"/>
              <w:left w:val="nil"/>
              <w:bottom w:val="nil"/>
              <w:right w:val="nil"/>
            </w:tcBorders>
            <w:tcMar>
              <w:top w:w="15" w:type="dxa"/>
              <w:left w:w="15" w:type="dxa"/>
              <w:bottom w:w="0" w:type="dxa"/>
              <w:right w:w="15" w:type="dxa"/>
            </w:tcMar>
            <w:vAlign w:val="center"/>
            <w:hideMark/>
          </w:tcPr>
          <w:p w14:paraId="6CB515A6" w14:textId="77777777" w:rsidR="00DF7032" w:rsidRDefault="00DF7032">
            <w:pPr>
              <w:jc w:val="center"/>
              <w:rPr>
                <w:color w:val="000000"/>
              </w:rPr>
            </w:pPr>
            <w:r>
              <w:rPr>
                <w:color w:val="000000"/>
              </w:rPr>
              <w:t>20</w:t>
            </w:r>
          </w:p>
        </w:tc>
        <w:tc>
          <w:tcPr>
            <w:tcW w:w="960" w:type="dxa"/>
            <w:tcBorders>
              <w:top w:val="single" w:sz="4" w:space="0" w:color="auto"/>
              <w:left w:val="nil"/>
              <w:bottom w:val="nil"/>
              <w:right w:val="nil"/>
            </w:tcBorders>
            <w:tcMar>
              <w:top w:w="15" w:type="dxa"/>
              <w:left w:w="15" w:type="dxa"/>
              <w:bottom w:w="0" w:type="dxa"/>
              <w:right w:w="15" w:type="dxa"/>
            </w:tcMar>
            <w:vAlign w:val="center"/>
            <w:hideMark/>
          </w:tcPr>
          <w:p w14:paraId="7A0C84A7" w14:textId="77777777" w:rsidR="00DF7032" w:rsidRDefault="00DF7032">
            <w:pPr>
              <w:jc w:val="center"/>
              <w:rPr>
                <w:color w:val="000000"/>
              </w:rPr>
            </w:pPr>
            <w:r>
              <w:rPr>
                <w:color w:val="000000"/>
              </w:rPr>
              <w:t>68</w:t>
            </w:r>
          </w:p>
        </w:tc>
        <w:tc>
          <w:tcPr>
            <w:tcW w:w="1320" w:type="dxa"/>
            <w:tcBorders>
              <w:top w:val="single" w:sz="4" w:space="0" w:color="auto"/>
              <w:left w:val="nil"/>
              <w:bottom w:val="nil"/>
              <w:right w:val="nil"/>
            </w:tcBorders>
            <w:tcMar>
              <w:top w:w="15" w:type="dxa"/>
              <w:left w:w="15" w:type="dxa"/>
              <w:bottom w:w="0" w:type="dxa"/>
              <w:right w:w="15" w:type="dxa"/>
            </w:tcMar>
            <w:vAlign w:val="center"/>
            <w:hideMark/>
          </w:tcPr>
          <w:p w14:paraId="4D49E48B" w14:textId="77777777" w:rsidR="00DF7032" w:rsidRDefault="00DF7032">
            <w:pPr>
              <w:jc w:val="center"/>
              <w:rPr>
                <w:color w:val="000000"/>
              </w:rPr>
            </w:pPr>
            <w:r>
              <w:rPr>
                <w:color w:val="000000"/>
              </w:rPr>
              <w:t>70.6</w:t>
            </w:r>
          </w:p>
        </w:tc>
        <w:tc>
          <w:tcPr>
            <w:tcW w:w="1480" w:type="dxa"/>
            <w:tcBorders>
              <w:top w:val="single" w:sz="4" w:space="0" w:color="auto"/>
              <w:left w:val="nil"/>
              <w:bottom w:val="nil"/>
              <w:right w:val="nil"/>
            </w:tcBorders>
            <w:tcMar>
              <w:top w:w="15" w:type="dxa"/>
              <w:left w:w="15" w:type="dxa"/>
              <w:bottom w:w="0" w:type="dxa"/>
              <w:right w:w="15" w:type="dxa"/>
            </w:tcMar>
            <w:vAlign w:val="center"/>
            <w:hideMark/>
          </w:tcPr>
          <w:p w14:paraId="26D1754D" w14:textId="77777777" w:rsidR="00DF7032" w:rsidRDefault="00DF7032">
            <w:pPr>
              <w:jc w:val="center"/>
              <w:rPr>
                <w:color w:val="000000"/>
              </w:rPr>
            </w:pPr>
            <w:r>
              <w:rPr>
                <w:color w:val="000000"/>
              </w:rPr>
              <w:t>29.4</w:t>
            </w:r>
          </w:p>
        </w:tc>
      </w:tr>
      <w:tr w:rsidR="00DF7032" w14:paraId="40086B21" w14:textId="77777777">
        <w:trPr>
          <w:trHeight w:val="310"/>
        </w:trPr>
        <w:tc>
          <w:tcPr>
            <w:tcW w:w="0" w:type="auto"/>
            <w:vMerge/>
            <w:tcBorders>
              <w:top w:val="single" w:sz="4" w:space="0" w:color="auto"/>
              <w:left w:val="nil"/>
              <w:bottom w:val="single" w:sz="4" w:space="0" w:color="000000"/>
              <w:right w:val="nil"/>
            </w:tcBorders>
            <w:vAlign w:val="center"/>
            <w:hideMark/>
          </w:tcPr>
          <w:p w14:paraId="75DB676B" w14:textId="77777777" w:rsidR="00DF7032" w:rsidRDefault="00DF7032">
            <w:pPr>
              <w:rPr>
                <w:b/>
                <w:bCs/>
                <w:color w:val="000000"/>
              </w:rPr>
            </w:pPr>
          </w:p>
        </w:tc>
        <w:tc>
          <w:tcPr>
            <w:tcW w:w="1460" w:type="dxa"/>
            <w:tcBorders>
              <w:top w:val="nil"/>
              <w:left w:val="nil"/>
              <w:bottom w:val="nil"/>
              <w:right w:val="nil"/>
            </w:tcBorders>
            <w:tcMar>
              <w:top w:w="15" w:type="dxa"/>
              <w:left w:w="15" w:type="dxa"/>
              <w:bottom w:w="0" w:type="dxa"/>
              <w:right w:w="15" w:type="dxa"/>
            </w:tcMar>
            <w:vAlign w:val="center"/>
            <w:hideMark/>
          </w:tcPr>
          <w:p w14:paraId="7D1B73FF" w14:textId="77777777" w:rsidR="00DF7032" w:rsidRDefault="00DF7032">
            <w:pPr>
              <w:rPr>
                <w:color w:val="000000"/>
              </w:rPr>
            </w:pPr>
            <w:r>
              <w:rPr>
                <w:color w:val="000000"/>
              </w:rPr>
              <w:t>500–1,000</w:t>
            </w:r>
          </w:p>
        </w:tc>
        <w:tc>
          <w:tcPr>
            <w:tcW w:w="1380" w:type="dxa"/>
            <w:tcBorders>
              <w:top w:val="nil"/>
              <w:left w:val="nil"/>
              <w:bottom w:val="nil"/>
              <w:right w:val="nil"/>
            </w:tcBorders>
            <w:tcMar>
              <w:top w:w="15" w:type="dxa"/>
              <w:left w:w="15" w:type="dxa"/>
              <w:bottom w:w="0" w:type="dxa"/>
              <w:right w:w="15" w:type="dxa"/>
            </w:tcMar>
            <w:vAlign w:val="center"/>
            <w:hideMark/>
          </w:tcPr>
          <w:p w14:paraId="213DEEDB" w14:textId="77777777" w:rsidR="00DF7032" w:rsidRDefault="00DF7032">
            <w:pPr>
              <w:jc w:val="center"/>
              <w:rPr>
                <w:color w:val="000000"/>
              </w:rPr>
            </w:pPr>
            <w:r>
              <w:rPr>
                <w:color w:val="000000"/>
              </w:rPr>
              <w:t>45</w:t>
            </w:r>
          </w:p>
        </w:tc>
        <w:tc>
          <w:tcPr>
            <w:tcW w:w="1240" w:type="dxa"/>
            <w:tcBorders>
              <w:top w:val="nil"/>
              <w:left w:val="nil"/>
              <w:bottom w:val="nil"/>
              <w:right w:val="nil"/>
            </w:tcBorders>
            <w:tcMar>
              <w:top w:w="15" w:type="dxa"/>
              <w:left w:w="15" w:type="dxa"/>
              <w:bottom w:w="0" w:type="dxa"/>
              <w:right w:w="15" w:type="dxa"/>
            </w:tcMar>
            <w:vAlign w:val="center"/>
            <w:hideMark/>
          </w:tcPr>
          <w:p w14:paraId="60010CB7" w14:textId="77777777" w:rsidR="00DF7032" w:rsidRDefault="00DF7032">
            <w:pPr>
              <w:jc w:val="center"/>
              <w:rPr>
                <w:color w:val="000000"/>
              </w:rPr>
            </w:pPr>
            <w:r>
              <w:rPr>
                <w:color w:val="000000"/>
              </w:rPr>
              <w:t>7</w:t>
            </w:r>
          </w:p>
        </w:tc>
        <w:tc>
          <w:tcPr>
            <w:tcW w:w="960" w:type="dxa"/>
            <w:tcBorders>
              <w:top w:val="nil"/>
              <w:left w:val="nil"/>
              <w:bottom w:val="nil"/>
              <w:right w:val="nil"/>
            </w:tcBorders>
            <w:tcMar>
              <w:top w:w="15" w:type="dxa"/>
              <w:left w:w="15" w:type="dxa"/>
              <w:bottom w:w="0" w:type="dxa"/>
              <w:right w:w="15" w:type="dxa"/>
            </w:tcMar>
            <w:vAlign w:val="center"/>
            <w:hideMark/>
          </w:tcPr>
          <w:p w14:paraId="2351BB6C" w14:textId="77777777" w:rsidR="00DF7032" w:rsidRDefault="00DF7032">
            <w:pPr>
              <w:jc w:val="center"/>
              <w:rPr>
                <w:color w:val="000000"/>
              </w:rPr>
            </w:pPr>
            <w:r>
              <w:rPr>
                <w:color w:val="000000"/>
              </w:rPr>
              <w:t>52</w:t>
            </w:r>
          </w:p>
        </w:tc>
        <w:tc>
          <w:tcPr>
            <w:tcW w:w="1320" w:type="dxa"/>
            <w:tcBorders>
              <w:top w:val="nil"/>
              <w:left w:val="nil"/>
              <w:bottom w:val="nil"/>
              <w:right w:val="nil"/>
            </w:tcBorders>
            <w:tcMar>
              <w:top w:w="15" w:type="dxa"/>
              <w:left w:w="15" w:type="dxa"/>
              <w:bottom w:w="0" w:type="dxa"/>
              <w:right w:w="15" w:type="dxa"/>
            </w:tcMar>
            <w:vAlign w:val="center"/>
            <w:hideMark/>
          </w:tcPr>
          <w:p w14:paraId="118FEA24" w14:textId="77777777" w:rsidR="00DF7032" w:rsidRDefault="00DF7032">
            <w:pPr>
              <w:jc w:val="center"/>
              <w:rPr>
                <w:color w:val="000000"/>
              </w:rPr>
            </w:pPr>
            <w:r>
              <w:rPr>
                <w:color w:val="000000"/>
              </w:rPr>
              <w:t>86.5</w:t>
            </w:r>
          </w:p>
        </w:tc>
        <w:tc>
          <w:tcPr>
            <w:tcW w:w="1480" w:type="dxa"/>
            <w:tcBorders>
              <w:top w:val="nil"/>
              <w:left w:val="nil"/>
              <w:bottom w:val="nil"/>
              <w:right w:val="nil"/>
            </w:tcBorders>
            <w:tcMar>
              <w:top w:w="15" w:type="dxa"/>
              <w:left w:w="15" w:type="dxa"/>
              <w:bottom w:w="0" w:type="dxa"/>
              <w:right w:w="15" w:type="dxa"/>
            </w:tcMar>
            <w:vAlign w:val="center"/>
            <w:hideMark/>
          </w:tcPr>
          <w:p w14:paraId="59161AA1" w14:textId="77777777" w:rsidR="00DF7032" w:rsidRDefault="00DF7032">
            <w:pPr>
              <w:jc w:val="center"/>
              <w:rPr>
                <w:color w:val="000000"/>
              </w:rPr>
            </w:pPr>
            <w:r>
              <w:rPr>
                <w:color w:val="000000"/>
              </w:rPr>
              <w:t>13.5</w:t>
            </w:r>
          </w:p>
        </w:tc>
      </w:tr>
      <w:tr w:rsidR="00DF7032" w14:paraId="7AB03C44" w14:textId="77777777">
        <w:trPr>
          <w:trHeight w:val="310"/>
        </w:trPr>
        <w:tc>
          <w:tcPr>
            <w:tcW w:w="0" w:type="auto"/>
            <w:vMerge/>
            <w:tcBorders>
              <w:top w:val="single" w:sz="4" w:space="0" w:color="auto"/>
              <w:left w:val="nil"/>
              <w:bottom w:val="single" w:sz="4" w:space="0" w:color="000000"/>
              <w:right w:val="nil"/>
            </w:tcBorders>
            <w:vAlign w:val="center"/>
            <w:hideMark/>
          </w:tcPr>
          <w:p w14:paraId="1E02A642" w14:textId="77777777" w:rsidR="00DF7032" w:rsidRDefault="00DF7032">
            <w:pPr>
              <w:rPr>
                <w:b/>
                <w:bCs/>
                <w:color w:val="000000"/>
              </w:rPr>
            </w:pPr>
          </w:p>
        </w:tc>
        <w:tc>
          <w:tcPr>
            <w:tcW w:w="1460" w:type="dxa"/>
            <w:tcBorders>
              <w:top w:val="nil"/>
              <w:left w:val="nil"/>
              <w:bottom w:val="single" w:sz="4" w:space="0" w:color="auto"/>
              <w:right w:val="nil"/>
            </w:tcBorders>
            <w:tcMar>
              <w:top w:w="15" w:type="dxa"/>
              <w:left w:w="15" w:type="dxa"/>
              <w:bottom w:w="0" w:type="dxa"/>
              <w:right w:w="15" w:type="dxa"/>
            </w:tcMar>
            <w:vAlign w:val="center"/>
            <w:hideMark/>
          </w:tcPr>
          <w:p w14:paraId="66B10093" w14:textId="77777777" w:rsidR="00DF7032" w:rsidRDefault="00DF7032">
            <w:pPr>
              <w:rPr>
                <w:color w:val="000000"/>
              </w:rPr>
            </w:pPr>
            <w:r>
              <w:rPr>
                <w:color w:val="000000"/>
              </w:rPr>
              <w:t>&gt;1,000</w:t>
            </w:r>
          </w:p>
        </w:tc>
        <w:tc>
          <w:tcPr>
            <w:tcW w:w="1380" w:type="dxa"/>
            <w:tcBorders>
              <w:top w:val="nil"/>
              <w:left w:val="nil"/>
              <w:bottom w:val="single" w:sz="4" w:space="0" w:color="auto"/>
              <w:right w:val="nil"/>
            </w:tcBorders>
            <w:tcMar>
              <w:top w:w="15" w:type="dxa"/>
              <w:left w:w="15" w:type="dxa"/>
              <w:bottom w:w="0" w:type="dxa"/>
              <w:right w:w="15" w:type="dxa"/>
            </w:tcMar>
            <w:vAlign w:val="center"/>
            <w:hideMark/>
          </w:tcPr>
          <w:p w14:paraId="2F6FF5FF" w14:textId="77777777" w:rsidR="00DF7032" w:rsidRDefault="00DF7032">
            <w:pPr>
              <w:jc w:val="center"/>
              <w:rPr>
                <w:color w:val="000000"/>
              </w:rPr>
            </w:pPr>
            <w:r>
              <w:rPr>
                <w:color w:val="000000"/>
              </w:rPr>
              <w:t>41</w:t>
            </w:r>
          </w:p>
        </w:tc>
        <w:tc>
          <w:tcPr>
            <w:tcW w:w="1240" w:type="dxa"/>
            <w:tcBorders>
              <w:top w:val="nil"/>
              <w:left w:val="nil"/>
              <w:bottom w:val="single" w:sz="4" w:space="0" w:color="auto"/>
              <w:right w:val="nil"/>
            </w:tcBorders>
            <w:tcMar>
              <w:top w:w="15" w:type="dxa"/>
              <w:left w:w="15" w:type="dxa"/>
              <w:bottom w:w="0" w:type="dxa"/>
              <w:right w:w="15" w:type="dxa"/>
            </w:tcMar>
            <w:vAlign w:val="center"/>
            <w:hideMark/>
          </w:tcPr>
          <w:p w14:paraId="753D155E" w14:textId="77777777" w:rsidR="00DF7032" w:rsidRDefault="00DF7032">
            <w:pPr>
              <w:jc w:val="center"/>
              <w:rPr>
                <w:color w:val="000000"/>
              </w:rPr>
            </w:pPr>
            <w:r>
              <w:rPr>
                <w:color w:val="000000"/>
              </w:rPr>
              <w:t>0</w:t>
            </w:r>
          </w:p>
        </w:tc>
        <w:tc>
          <w:tcPr>
            <w:tcW w:w="960" w:type="dxa"/>
            <w:tcBorders>
              <w:top w:val="nil"/>
              <w:left w:val="nil"/>
              <w:bottom w:val="single" w:sz="4" w:space="0" w:color="auto"/>
              <w:right w:val="nil"/>
            </w:tcBorders>
            <w:tcMar>
              <w:top w:w="15" w:type="dxa"/>
              <w:left w:w="15" w:type="dxa"/>
              <w:bottom w:w="0" w:type="dxa"/>
              <w:right w:w="15" w:type="dxa"/>
            </w:tcMar>
            <w:vAlign w:val="center"/>
            <w:hideMark/>
          </w:tcPr>
          <w:p w14:paraId="4369C044" w14:textId="77777777" w:rsidR="00DF7032" w:rsidRDefault="00DF7032">
            <w:pPr>
              <w:jc w:val="center"/>
              <w:rPr>
                <w:color w:val="000000"/>
              </w:rPr>
            </w:pPr>
            <w:r>
              <w:rPr>
                <w:color w:val="000000"/>
              </w:rPr>
              <w:t>41</w:t>
            </w:r>
          </w:p>
        </w:tc>
        <w:tc>
          <w:tcPr>
            <w:tcW w:w="1320" w:type="dxa"/>
            <w:tcBorders>
              <w:top w:val="nil"/>
              <w:left w:val="nil"/>
              <w:bottom w:val="single" w:sz="4" w:space="0" w:color="auto"/>
              <w:right w:val="nil"/>
            </w:tcBorders>
            <w:tcMar>
              <w:top w:w="15" w:type="dxa"/>
              <w:left w:w="15" w:type="dxa"/>
              <w:bottom w:w="0" w:type="dxa"/>
              <w:right w:w="15" w:type="dxa"/>
            </w:tcMar>
            <w:vAlign w:val="center"/>
            <w:hideMark/>
          </w:tcPr>
          <w:p w14:paraId="4B01DA20" w14:textId="77777777" w:rsidR="00DF7032" w:rsidRDefault="00DF7032">
            <w:pPr>
              <w:jc w:val="center"/>
              <w:rPr>
                <w:b/>
                <w:bCs/>
                <w:color w:val="000000"/>
              </w:rPr>
            </w:pPr>
            <w:r>
              <w:rPr>
                <w:b/>
                <w:bCs/>
                <w:color w:val="000000"/>
              </w:rPr>
              <w:t>100</w:t>
            </w:r>
          </w:p>
        </w:tc>
        <w:tc>
          <w:tcPr>
            <w:tcW w:w="1480" w:type="dxa"/>
            <w:tcBorders>
              <w:top w:val="nil"/>
              <w:left w:val="nil"/>
              <w:bottom w:val="single" w:sz="4" w:space="0" w:color="auto"/>
              <w:right w:val="nil"/>
            </w:tcBorders>
            <w:tcMar>
              <w:top w:w="15" w:type="dxa"/>
              <w:left w:w="15" w:type="dxa"/>
              <w:bottom w:w="0" w:type="dxa"/>
              <w:right w:w="15" w:type="dxa"/>
            </w:tcMar>
            <w:vAlign w:val="center"/>
            <w:hideMark/>
          </w:tcPr>
          <w:p w14:paraId="2119ED45" w14:textId="77777777" w:rsidR="00DF7032" w:rsidRDefault="00DF7032">
            <w:pPr>
              <w:jc w:val="center"/>
              <w:rPr>
                <w:color w:val="000000"/>
              </w:rPr>
            </w:pPr>
            <w:r>
              <w:rPr>
                <w:color w:val="000000"/>
              </w:rPr>
              <w:t>0</w:t>
            </w:r>
          </w:p>
        </w:tc>
      </w:tr>
      <w:tr w:rsidR="00DF7032" w14:paraId="4CE1A020" w14:textId="77777777">
        <w:trPr>
          <w:trHeight w:val="310"/>
        </w:trPr>
        <w:tc>
          <w:tcPr>
            <w:tcW w:w="1820" w:type="dxa"/>
            <w:vMerge w:val="restart"/>
            <w:tcBorders>
              <w:top w:val="nil"/>
              <w:left w:val="nil"/>
              <w:bottom w:val="double" w:sz="6" w:space="0" w:color="000000"/>
              <w:right w:val="nil"/>
            </w:tcBorders>
            <w:tcMar>
              <w:top w:w="15" w:type="dxa"/>
              <w:left w:w="15" w:type="dxa"/>
              <w:bottom w:w="0" w:type="dxa"/>
              <w:right w:w="15" w:type="dxa"/>
            </w:tcMar>
            <w:vAlign w:val="center"/>
            <w:hideMark/>
          </w:tcPr>
          <w:p w14:paraId="5604F27D" w14:textId="77777777" w:rsidR="00DF7032" w:rsidRDefault="00DF7032">
            <w:pPr>
              <w:jc w:val="center"/>
              <w:rPr>
                <w:b/>
                <w:bCs/>
                <w:color w:val="000000"/>
              </w:rPr>
            </w:pPr>
            <w:r>
              <w:rPr>
                <w:b/>
                <w:bCs/>
                <w:color w:val="000000"/>
              </w:rPr>
              <w:t>Age Group</w:t>
            </w:r>
          </w:p>
        </w:tc>
        <w:tc>
          <w:tcPr>
            <w:tcW w:w="1460" w:type="dxa"/>
            <w:tcBorders>
              <w:top w:val="nil"/>
              <w:left w:val="nil"/>
              <w:bottom w:val="nil"/>
              <w:right w:val="nil"/>
            </w:tcBorders>
            <w:tcMar>
              <w:top w:w="15" w:type="dxa"/>
              <w:left w:w="15" w:type="dxa"/>
              <w:bottom w:w="0" w:type="dxa"/>
              <w:right w:w="15" w:type="dxa"/>
            </w:tcMar>
            <w:vAlign w:val="center"/>
            <w:hideMark/>
          </w:tcPr>
          <w:p w14:paraId="16D793EF" w14:textId="77777777" w:rsidR="00DF7032" w:rsidRDefault="00DF7032">
            <w:pPr>
              <w:rPr>
                <w:color w:val="000000"/>
              </w:rPr>
            </w:pPr>
            <w:r>
              <w:rPr>
                <w:color w:val="000000"/>
              </w:rPr>
              <w:t>16–20</w:t>
            </w:r>
          </w:p>
        </w:tc>
        <w:tc>
          <w:tcPr>
            <w:tcW w:w="1380" w:type="dxa"/>
            <w:tcBorders>
              <w:top w:val="nil"/>
              <w:left w:val="nil"/>
              <w:bottom w:val="nil"/>
              <w:right w:val="nil"/>
            </w:tcBorders>
            <w:tcMar>
              <w:top w:w="15" w:type="dxa"/>
              <w:left w:w="15" w:type="dxa"/>
              <w:bottom w:w="0" w:type="dxa"/>
              <w:right w:w="15" w:type="dxa"/>
            </w:tcMar>
            <w:vAlign w:val="center"/>
            <w:hideMark/>
          </w:tcPr>
          <w:p w14:paraId="6752E83A" w14:textId="77777777" w:rsidR="00DF7032" w:rsidRDefault="00DF7032">
            <w:pPr>
              <w:jc w:val="center"/>
              <w:rPr>
                <w:color w:val="000000"/>
              </w:rPr>
            </w:pPr>
            <w:r>
              <w:rPr>
                <w:color w:val="000000"/>
              </w:rPr>
              <w:t>29</w:t>
            </w:r>
          </w:p>
        </w:tc>
        <w:tc>
          <w:tcPr>
            <w:tcW w:w="1240" w:type="dxa"/>
            <w:tcBorders>
              <w:top w:val="nil"/>
              <w:left w:val="nil"/>
              <w:bottom w:val="nil"/>
              <w:right w:val="nil"/>
            </w:tcBorders>
            <w:tcMar>
              <w:top w:w="15" w:type="dxa"/>
              <w:left w:w="15" w:type="dxa"/>
              <w:bottom w:w="0" w:type="dxa"/>
              <w:right w:w="15" w:type="dxa"/>
            </w:tcMar>
            <w:vAlign w:val="center"/>
            <w:hideMark/>
          </w:tcPr>
          <w:p w14:paraId="72A3DFF2" w14:textId="77777777" w:rsidR="00DF7032" w:rsidRDefault="00DF7032">
            <w:pPr>
              <w:jc w:val="center"/>
              <w:rPr>
                <w:color w:val="000000"/>
              </w:rPr>
            </w:pPr>
            <w:r>
              <w:rPr>
                <w:color w:val="000000"/>
              </w:rPr>
              <w:t>9</w:t>
            </w:r>
          </w:p>
        </w:tc>
        <w:tc>
          <w:tcPr>
            <w:tcW w:w="960" w:type="dxa"/>
            <w:tcBorders>
              <w:top w:val="nil"/>
              <w:left w:val="nil"/>
              <w:bottom w:val="nil"/>
              <w:right w:val="nil"/>
            </w:tcBorders>
            <w:tcMar>
              <w:top w:w="15" w:type="dxa"/>
              <w:left w:w="15" w:type="dxa"/>
              <w:bottom w:w="0" w:type="dxa"/>
              <w:right w:w="15" w:type="dxa"/>
            </w:tcMar>
            <w:vAlign w:val="center"/>
            <w:hideMark/>
          </w:tcPr>
          <w:p w14:paraId="13D32FD1" w14:textId="77777777" w:rsidR="00DF7032" w:rsidRDefault="00DF7032">
            <w:pPr>
              <w:jc w:val="center"/>
              <w:rPr>
                <w:color w:val="000000"/>
              </w:rPr>
            </w:pPr>
            <w:r>
              <w:rPr>
                <w:color w:val="000000"/>
              </w:rPr>
              <w:t>38</w:t>
            </w:r>
          </w:p>
        </w:tc>
        <w:tc>
          <w:tcPr>
            <w:tcW w:w="1320" w:type="dxa"/>
            <w:tcBorders>
              <w:top w:val="nil"/>
              <w:left w:val="nil"/>
              <w:bottom w:val="nil"/>
              <w:right w:val="nil"/>
            </w:tcBorders>
            <w:tcMar>
              <w:top w:w="15" w:type="dxa"/>
              <w:left w:w="15" w:type="dxa"/>
              <w:bottom w:w="0" w:type="dxa"/>
              <w:right w:w="15" w:type="dxa"/>
            </w:tcMar>
            <w:vAlign w:val="center"/>
            <w:hideMark/>
          </w:tcPr>
          <w:p w14:paraId="27DE23CB" w14:textId="77777777" w:rsidR="00DF7032" w:rsidRDefault="00DF7032">
            <w:pPr>
              <w:jc w:val="center"/>
              <w:rPr>
                <w:color w:val="000000"/>
              </w:rPr>
            </w:pPr>
            <w:r>
              <w:rPr>
                <w:color w:val="000000"/>
              </w:rPr>
              <w:t>76.3</w:t>
            </w:r>
          </w:p>
        </w:tc>
        <w:tc>
          <w:tcPr>
            <w:tcW w:w="1480" w:type="dxa"/>
            <w:tcBorders>
              <w:top w:val="nil"/>
              <w:left w:val="nil"/>
              <w:bottom w:val="nil"/>
              <w:right w:val="nil"/>
            </w:tcBorders>
            <w:tcMar>
              <w:top w:w="15" w:type="dxa"/>
              <w:left w:w="15" w:type="dxa"/>
              <w:bottom w:w="0" w:type="dxa"/>
              <w:right w:w="15" w:type="dxa"/>
            </w:tcMar>
            <w:vAlign w:val="center"/>
            <w:hideMark/>
          </w:tcPr>
          <w:p w14:paraId="100FE56F" w14:textId="77777777" w:rsidR="00DF7032" w:rsidRDefault="00DF7032">
            <w:pPr>
              <w:jc w:val="center"/>
              <w:rPr>
                <w:color w:val="000000"/>
              </w:rPr>
            </w:pPr>
            <w:r>
              <w:rPr>
                <w:color w:val="000000"/>
              </w:rPr>
              <w:t>23.7</w:t>
            </w:r>
          </w:p>
        </w:tc>
      </w:tr>
      <w:tr w:rsidR="00DF7032" w14:paraId="6C8CCAE2" w14:textId="77777777">
        <w:trPr>
          <w:trHeight w:val="310"/>
        </w:trPr>
        <w:tc>
          <w:tcPr>
            <w:tcW w:w="0" w:type="auto"/>
            <w:vMerge/>
            <w:tcBorders>
              <w:top w:val="nil"/>
              <w:left w:val="nil"/>
              <w:bottom w:val="double" w:sz="6" w:space="0" w:color="000000"/>
              <w:right w:val="nil"/>
            </w:tcBorders>
            <w:vAlign w:val="center"/>
            <w:hideMark/>
          </w:tcPr>
          <w:p w14:paraId="06C8CC70" w14:textId="77777777" w:rsidR="00DF7032" w:rsidRDefault="00DF7032">
            <w:pPr>
              <w:rPr>
                <w:b/>
                <w:bCs/>
                <w:color w:val="000000"/>
              </w:rPr>
            </w:pPr>
          </w:p>
        </w:tc>
        <w:tc>
          <w:tcPr>
            <w:tcW w:w="1460" w:type="dxa"/>
            <w:tcBorders>
              <w:top w:val="nil"/>
              <w:left w:val="nil"/>
              <w:bottom w:val="nil"/>
              <w:right w:val="nil"/>
            </w:tcBorders>
            <w:tcMar>
              <w:top w:w="15" w:type="dxa"/>
              <w:left w:w="15" w:type="dxa"/>
              <w:bottom w:w="0" w:type="dxa"/>
              <w:right w:w="15" w:type="dxa"/>
            </w:tcMar>
            <w:vAlign w:val="center"/>
            <w:hideMark/>
          </w:tcPr>
          <w:p w14:paraId="60578BE0" w14:textId="77777777" w:rsidR="00DF7032" w:rsidRDefault="00DF7032">
            <w:pPr>
              <w:rPr>
                <w:color w:val="000000"/>
              </w:rPr>
            </w:pPr>
            <w:r>
              <w:rPr>
                <w:color w:val="000000"/>
              </w:rPr>
              <w:t>21–25</w:t>
            </w:r>
          </w:p>
        </w:tc>
        <w:tc>
          <w:tcPr>
            <w:tcW w:w="1380" w:type="dxa"/>
            <w:tcBorders>
              <w:top w:val="nil"/>
              <w:left w:val="nil"/>
              <w:bottom w:val="nil"/>
              <w:right w:val="nil"/>
            </w:tcBorders>
            <w:tcMar>
              <w:top w:w="15" w:type="dxa"/>
              <w:left w:w="15" w:type="dxa"/>
              <w:bottom w:w="0" w:type="dxa"/>
              <w:right w:w="15" w:type="dxa"/>
            </w:tcMar>
            <w:vAlign w:val="center"/>
            <w:hideMark/>
          </w:tcPr>
          <w:p w14:paraId="199DEA24" w14:textId="77777777" w:rsidR="00DF7032" w:rsidRDefault="00DF7032">
            <w:pPr>
              <w:jc w:val="center"/>
              <w:rPr>
                <w:color w:val="000000"/>
              </w:rPr>
            </w:pPr>
            <w:r>
              <w:rPr>
                <w:color w:val="000000"/>
              </w:rPr>
              <w:t>34</w:t>
            </w:r>
          </w:p>
        </w:tc>
        <w:tc>
          <w:tcPr>
            <w:tcW w:w="1240" w:type="dxa"/>
            <w:tcBorders>
              <w:top w:val="nil"/>
              <w:left w:val="nil"/>
              <w:bottom w:val="nil"/>
              <w:right w:val="nil"/>
            </w:tcBorders>
            <w:tcMar>
              <w:top w:w="15" w:type="dxa"/>
              <w:left w:w="15" w:type="dxa"/>
              <w:bottom w:w="0" w:type="dxa"/>
              <w:right w:w="15" w:type="dxa"/>
            </w:tcMar>
            <w:vAlign w:val="center"/>
            <w:hideMark/>
          </w:tcPr>
          <w:p w14:paraId="5A2C31C8" w14:textId="77777777" w:rsidR="00DF7032" w:rsidRDefault="00DF7032">
            <w:pPr>
              <w:jc w:val="center"/>
              <w:rPr>
                <w:color w:val="000000"/>
              </w:rPr>
            </w:pPr>
            <w:r>
              <w:rPr>
                <w:color w:val="000000"/>
              </w:rPr>
              <w:t>7</w:t>
            </w:r>
          </w:p>
        </w:tc>
        <w:tc>
          <w:tcPr>
            <w:tcW w:w="960" w:type="dxa"/>
            <w:tcBorders>
              <w:top w:val="nil"/>
              <w:left w:val="nil"/>
              <w:bottom w:val="nil"/>
              <w:right w:val="nil"/>
            </w:tcBorders>
            <w:tcMar>
              <w:top w:w="15" w:type="dxa"/>
              <w:left w:w="15" w:type="dxa"/>
              <w:bottom w:w="0" w:type="dxa"/>
              <w:right w:w="15" w:type="dxa"/>
            </w:tcMar>
            <w:vAlign w:val="center"/>
            <w:hideMark/>
          </w:tcPr>
          <w:p w14:paraId="6C7EA32A" w14:textId="77777777" w:rsidR="00DF7032" w:rsidRDefault="00DF7032">
            <w:pPr>
              <w:jc w:val="center"/>
              <w:rPr>
                <w:color w:val="000000"/>
              </w:rPr>
            </w:pPr>
            <w:r>
              <w:rPr>
                <w:color w:val="000000"/>
              </w:rPr>
              <w:t>41</w:t>
            </w:r>
          </w:p>
        </w:tc>
        <w:tc>
          <w:tcPr>
            <w:tcW w:w="1320" w:type="dxa"/>
            <w:tcBorders>
              <w:top w:val="nil"/>
              <w:left w:val="nil"/>
              <w:bottom w:val="nil"/>
              <w:right w:val="nil"/>
            </w:tcBorders>
            <w:tcMar>
              <w:top w:w="15" w:type="dxa"/>
              <w:left w:w="15" w:type="dxa"/>
              <w:bottom w:w="0" w:type="dxa"/>
              <w:right w:w="15" w:type="dxa"/>
            </w:tcMar>
            <w:vAlign w:val="center"/>
            <w:hideMark/>
          </w:tcPr>
          <w:p w14:paraId="51467679" w14:textId="77777777" w:rsidR="00DF7032" w:rsidRDefault="00DF7032">
            <w:pPr>
              <w:jc w:val="center"/>
              <w:rPr>
                <w:color w:val="000000"/>
              </w:rPr>
            </w:pPr>
            <w:r>
              <w:rPr>
                <w:color w:val="000000"/>
              </w:rPr>
              <w:t>82.9</w:t>
            </w:r>
          </w:p>
        </w:tc>
        <w:tc>
          <w:tcPr>
            <w:tcW w:w="1480" w:type="dxa"/>
            <w:tcBorders>
              <w:top w:val="nil"/>
              <w:left w:val="nil"/>
              <w:bottom w:val="nil"/>
              <w:right w:val="nil"/>
            </w:tcBorders>
            <w:tcMar>
              <w:top w:w="15" w:type="dxa"/>
              <w:left w:w="15" w:type="dxa"/>
              <w:bottom w:w="0" w:type="dxa"/>
              <w:right w:w="15" w:type="dxa"/>
            </w:tcMar>
            <w:vAlign w:val="center"/>
            <w:hideMark/>
          </w:tcPr>
          <w:p w14:paraId="173BCF4F" w14:textId="77777777" w:rsidR="00DF7032" w:rsidRDefault="00DF7032">
            <w:pPr>
              <w:jc w:val="center"/>
              <w:rPr>
                <w:color w:val="000000"/>
              </w:rPr>
            </w:pPr>
            <w:r>
              <w:rPr>
                <w:color w:val="000000"/>
              </w:rPr>
              <w:t>17.1</w:t>
            </w:r>
          </w:p>
        </w:tc>
      </w:tr>
      <w:tr w:rsidR="00DF7032" w14:paraId="45FD478D" w14:textId="77777777">
        <w:trPr>
          <w:trHeight w:val="310"/>
        </w:trPr>
        <w:tc>
          <w:tcPr>
            <w:tcW w:w="0" w:type="auto"/>
            <w:vMerge/>
            <w:tcBorders>
              <w:top w:val="nil"/>
              <w:left w:val="nil"/>
              <w:bottom w:val="double" w:sz="6" w:space="0" w:color="000000"/>
              <w:right w:val="nil"/>
            </w:tcBorders>
            <w:vAlign w:val="center"/>
            <w:hideMark/>
          </w:tcPr>
          <w:p w14:paraId="7050415A" w14:textId="77777777" w:rsidR="00DF7032" w:rsidRDefault="00DF7032">
            <w:pPr>
              <w:rPr>
                <w:b/>
                <w:bCs/>
                <w:color w:val="000000"/>
              </w:rPr>
            </w:pPr>
          </w:p>
        </w:tc>
        <w:tc>
          <w:tcPr>
            <w:tcW w:w="1460" w:type="dxa"/>
            <w:tcBorders>
              <w:top w:val="nil"/>
              <w:left w:val="nil"/>
              <w:bottom w:val="nil"/>
              <w:right w:val="nil"/>
            </w:tcBorders>
            <w:tcMar>
              <w:top w:w="15" w:type="dxa"/>
              <w:left w:w="15" w:type="dxa"/>
              <w:bottom w:w="0" w:type="dxa"/>
              <w:right w:w="15" w:type="dxa"/>
            </w:tcMar>
            <w:vAlign w:val="center"/>
            <w:hideMark/>
          </w:tcPr>
          <w:p w14:paraId="51E80045" w14:textId="77777777" w:rsidR="00DF7032" w:rsidRDefault="00DF7032">
            <w:pPr>
              <w:rPr>
                <w:color w:val="000000"/>
              </w:rPr>
            </w:pPr>
            <w:r>
              <w:rPr>
                <w:color w:val="000000"/>
              </w:rPr>
              <w:t>26–30</w:t>
            </w:r>
          </w:p>
        </w:tc>
        <w:tc>
          <w:tcPr>
            <w:tcW w:w="1380" w:type="dxa"/>
            <w:tcBorders>
              <w:top w:val="nil"/>
              <w:left w:val="nil"/>
              <w:bottom w:val="nil"/>
              <w:right w:val="nil"/>
            </w:tcBorders>
            <w:tcMar>
              <w:top w:w="15" w:type="dxa"/>
              <w:left w:w="15" w:type="dxa"/>
              <w:bottom w:w="0" w:type="dxa"/>
              <w:right w:w="15" w:type="dxa"/>
            </w:tcMar>
            <w:vAlign w:val="center"/>
            <w:hideMark/>
          </w:tcPr>
          <w:p w14:paraId="4C5F4A88" w14:textId="77777777" w:rsidR="00DF7032" w:rsidRDefault="00DF7032">
            <w:pPr>
              <w:jc w:val="center"/>
              <w:rPr>
                <w:color w:val="000000"/>
              </w:rPr>
            </w:pPr>
            <w:r>
              <w:rPr>
                <w:color w:val="000000"/>
              </w:rPr>
              <w:t>38</w:t>
            </w:r>
          </w:p>
        </w:tc>
        <w:tc>
          <w:tcPr>
            <w:tcW w:w="1240" w:type="dxa"/>
            <w:tcBorders>
              <w:top w:val="nil"/>
              <w:left w:val="nil"/>
              <w:bottom w:val="nil"/>
              <w:right w:val="nil"/>
            </w:tcBorders>
            <w:tcMar>
              <w:top w:w="15" w:type="dxa"/>
              <w:left w:w="15" w:type="dxa"/>
              <w:bottom w:w="0" w:type="dxa"/>
              <w:right w:w="15" w:type="dxa"/>
            </w:tcMar>
            <w:vAlign w:val="center"/>
            <w:hideMark/>
          </w:tcPr>
          <w:p w14:paraId="7EBB19B8" w14:textId="77777777" w:rsidR="00DF7032" w:rsidRDefault="00DF7032">
            <w:pPr>
              <w:jc w:val="center"/>
              <w:rPr>
                <w:color w:val="000000"/>
              </w:rPr>
            </w:pPr>
            <w:r>
              <w:rPr>
                <w:color w:val="000000"/>
              </w:rPr>
              <w:t>7</w:t>
            </w:r>
          </w:p>
        </w:tc>
        <w:tc>
          <w:tcPr>
            <w:tcW w:w="960" w:type="dxa"/>
            <w:tcBorders>
              <w:top w:val="nil"/>
              <w:left w:val="nil"/>
              <w:bottom w:val="nil"/>
              <w:right w:val="nil"/>
            </w:tcBorders>
            <w:tcMar>
              <w:top w:w="15" w:type="dxa"/>
              <w:left w:w="15" w:type="dxa"/>
              <w:bottom w:w="0" w:type="dxa"/>
              <w:right w:w="15" w:type="dxa"/>
            </w:tcMar>
            <w:vAlign w:val="center"/>
            <w:hideMark/>
          </w:tcPr>
          <w:p w14:paraId="6AD6B1A2" w14:textId="77777777" w:rsidR="00DF7032" w:rsidRDefault="00DF7032">
            <w:pPr>
              <w:jc w:val="center"/>
              <w:rPr>
                <w:color w:val="000000"/>
              </w:rPr>
            </w:pPr>
            <w:r>
              <w:rPr>
                <w:color w:val="000000"/>
              </w:rPr>
              <w:t>45</w:t>
            </w:r>
          </w:p>
        </w:tc>
        <w:tc>
          <w:tcPr>
            <w:tcW w:w="1320" w:type="dxa"/>
            <w:tcBorders>
              <w:top w:val="nil"/>
              <w:left w:val="nil"/>
              <w:bottom w:val="nil"/>
              <w:right w:val="nil"/>
            </w:tcBorders>
            <w:tcMar>
              <w:top w:w="15" w:type="dxa"/>
              <w:left w:w="15" w:type="dxa"/>
              <w:bottom w:w="0" w:type="dxa"/>
              <w:right w:w="15" w:type="dxa"/>
            </w:tcMar>
            <w:vAlign w:val="center"/>
            <w:hideMark/>
          </w:tcPr>
          <w:p w14:paraId="4969958D" w14:textId="77777777" w:rsidR="00DF7032" w:rsidRDefault="00DF7032">
            <w:pPr>
              <w:jc w:val="center"/>
              <w:rPr>
                <w:b/>
                <w:bCs/>
                <w:color w:val="000000"/>
              </w:rPr>
            </w:pPr>
            <w:r>
              <w:rPr>
                <w:b/>
                <w:bCs/>
                <w:color w:val="000000"/>
              </w:rPr>
              <w:t>84.4</w:t>
            </w:r>
          </w:p>
        </w:tc>
        <w:tc>
          <w:tcPr>
            <w:tcW w:w="1480" w:type="dxa"/>
            <w:tcBorders>
              <w:top w:val="nil"/>
              <w:left w:val="nil"/>
              <w:bottom w:val="nil"/>
              <w:right w:val="nil"/>
            </w:tcBorders>
            <w:tcMar>
              <w:top w:w="15" w:type="dxa"/>
              <w:left w:w="15" w:type="dxa"/>
              <w:bottom w:w="0" w:type="dxa"/>
              <w:right w:w="15" w:type="dxa"/>
            </w:tcMar>
            <w:vAlign w:val="center"/>
            <w:hideMark/>
          </w:tcPr>
          <w:p w14:paraId="729B2C3E" w14:textId="77777777" w:rsidR="00DF7032" w:rsidRDefault="00DF7032">
            <w:pPr>
              <w:jc w:val="center"/>
              <w:rPr>
                <w:color w:val="000000"/>
              </w:rPr>
            </w:pPr>
            <w:r>
              <w:rPr>
                <w:color w:val="000000"/>
              </w:rPr>
              <w:t>15.6</w:t>
            </w:r>
          </w:p>
        </w:tc>
      </w:tr>
      <w:tr w:rsidR="00DF7032" w14:paraId="64C86905" w14:textId="77777777">
        <w:trPr>
          <w:trHeight w:val="310"/>
        </w:trPr>
        <w:tc>
          <w:tcPr>
            <w:tcW w:w="0" w:type="auto"/>
            <w:vMerge/>
            <w:tcBorders>
              <w:top w:val="nil"/>
              <w:left w:val="nil"/>
              <w:bottom w:val="double" w:sz="6" w:space="0" w:color="000000"/>
              <w:right w:val="nil"/>
            </w:tcBorders>
            <w:vAlign w:val="center"/>
            <w:hideMark/>
          </w:tcPr>
          <w:p w14:paraId="20AEBDF9" w14:textId="77777777" w:rsidR="00DF7032" w:rsidRDefault="00DF7032">
            <w:pPr>
              <w:rPr>
                <w:b/>
                <w:bCs/>
                <w:color w:val="000000"/>
              </w:rPr>
            </w:pPr>
          </w:p>
        </w:tc>
        <w:tc>
          <w:tcPr>
            <w:tcW w:w="1460" w:type="dxa"/>
            <w:tcBorders>
              <w:top w:val="nil"/>
              <w:left w:val="nil"/>
              <w:bottom w:val="nil"/>
              <w:right w:val="nil"/>
            </w:tcBorders>
            <w:tcMar>
              <w:top w:w="15" w:type="dxa"/>
              <w:left w:w="15" w:type="dxa"/>
              <w:bottom w:w="0" w:type="dxa"/>
              <w:right w:w="15" w:type="dxa"/>
            </w:tcMar>
            <w:vAlign w:val="center"/>
            <w:hideMark/>
          </w:tcPr>
          <w:p w14:paraId="6ABAB373" w14:textId="77777777" w:rsidR="00DF7032" w:rsidRDefault="00DF7032">
            <w:pPr>
              <w:rPr>
                <w:color w:val="000000"/>
              </w:rPr>
            </w:pPr>
            <w:r>
              <w:rPr>
                <w:color w:val="000000"/>
              </w:rPr>
              <w:t>31–35</w:t>
            </w:r>
          </w:p>
        </w:tc>
        <w:tc>
          <w:tcPr>
            <w:tcW w:w="1380" w:type="dxa"/>
            <w:tcBorders>
              <w:top w:val="nil"/>
              <w:left w:val="nil"/>
              <w:bottom w:val="nil"/>
              <w:right w:val="nil"/>
            </w:tcBorders>
            <w:tcMar>
              <w:top w:w="15" w:type="dxa"/>
              <w:left w:w="15" w:type="dxa"/>
              <w:bottom w:w="0" w:type="dxa"/>
              <w:right w:w="15" w:type="dxa"/>
            </w:tcMar>
            <w:vAlign w:val="center"/>
            <w:hideMark/>
          </w:tcPr>
          <w:p w14:paraId="1783333F" w14:textId="77777777" w:rsidR="00DF7032" w:rsidRDefault="00DF7032">
            <w:pPr>
              <w:jc w:val="center"/>
              <w:rPr>
                <w:color w:val="000000"/>
              </w:rPr>
            </w:pPr>
            <w:r>
              <w:rPr>
                <w:color w:val="000000"/>
              </w:rPr>
              <w:t>13</w:t>
            </w:r>
          </w:p>
        </w:tc>
        <w:tc>
          <w:tcPr>
            <w:tcW w:w="1240" w:type="dxa"/>
            <w:tcBorders>
              <w:top w:val="nil"/>
              <w:left w:val="nil"/>
              <w:bottom w:val="nil"/>
              <w:right w:val="nil"/>
            </w:tcBorders>
            <w:tcMar>
              <w:top w:w="15" w:type="dxa"/>
              <w:left w:w="15" w:type="dxa"/>
              <w:bottom w:w="0" w:type="dxa"/>
              <w:right w:w="15" w:type="dxa"/>
            </w:tcMar>
            <w:vAlign w:val="center"/>
            <w:hideMark/>
          </w:tcPr>
          <w:p w14:paraId="1F51C404" w14:textId="77777777" w:rsidR="00DF7032" w:rsidRDefault="00DF7032">
            <w:pPr>
              <w:jc w:val="center"/>
              <w:rPr>
                <w:color w:val="000000"/>
              </w:rPr>
            </w:pPr>
            <w:r>
              <w:rPr>
                <w:color w:val="000000"/>
              </w:rPr>
              <w:t>3</w:t>
            </w:r>
          </w:p>
        </w:tc>
        <w:tc>
          <w:tcPr>
            <w:tcW w:w="960" w:type="dxa"/>
            <w:tcBorders>
              <w:top w:val="nil"/>
              <w:left w:val="nil"/>
              <w:bottom w:val="nil"/>
              <w:right w:val="nil"/>
            </w:tcBorders>
            <w:tcMar>
              <w:top w:w="15" w:type="dxa"/>
              <w:left w:w="15" w:type="dxa"/>
              <w:bottom w:w="0" w:type="dxa"/>
              <w:right w:w="15" w:type="dxa"/>
            </w:tcMar>
            <w:vAlign w:val="center"/>
            <w:hideMark/>
          </w:tcPr>
          <w:p w14:paraId="1ED995E9" w14:textId="77777777" w:rsidR="00DF7032" w:rsidRDefault="00DF7032">
            <w:pPr>
              <w:jc w:val="center"/>
              <w:rPr>
                <w:color w:val="000000"/>
              </w:rPr>
            </w:pPr>
            <w:r>
              <w:rPr>
                <w:color w:val="000000"/>
              </w:rPr>
              <w:t>16</w:t>
            </w:r>
          </w:p>
        </w:tc>
        <w:tc>
          <w:tcPr>
            <w:tcW w:w="1320" w:type="dxa"/>
            <w:tcBorders>
              <w:top w:val="nil"/>
              <w:left w:val="nil"/>
              <w:bottom w:val="nil"/>
              <w:right w:val="nil"/>
            </w:tcBorders>
            <w:tcMar>
              <w:top w:w="15" w:type="dxa"/>
              <w:left w:w="15" w:type="dxa"/>
              <w:bottom w:w="0" w:type="dxa"/>
              <w:right w:w="15" w:type="dxa"/>
            </w:tcMar>
            <w:vAlign w:val="center"/>
            <w:hideMark/>
          </w:tcPr>
          <w:p w14:paraId="1C58D7ED" w14:textId="77777777" w:rsidR="00DF7032" w:rsidRDefault="00DF7032">
            <w:pPr>
              <w:jc w:val="center"/>
              <w:rPr>
                <w:color w:val="000000"/>
              </w:rPr>
            </w:pPr>
            <w:r>
              <w:rPr>
                <w:color w:val="000000"/>
              </w:rPr>
              <w:t>81.3</w:t>
            </w:r>
          </w:p>
        </w:tc>
        <w:tc>
          <w:tcPr>
            <w:tcW w:w="1480" w:type="dxa"/>
            <w:tcBorders>
              <w:top w:val="nil"/>
              <w:left w:val="nil"/>
              <w:bottom w:val="nil"/>
              <w:right w:val="nil"/>
            </w:tcBorders>
            <w:tcMar>
              <w:top w:w="15" w:type="dxa"/>
              <w:left w:w="15" w:type="dxa"/>
              <w:bottom w:w="0" w:type="dxa"/>
              <w:right w:w="15" w:type="dxa"/>
            </w:tcMar>
            <w:vAlign w:val="center"/>
            <w:hideMark/>
          </w:tcPr>
          <w:p w14:paraId="17604F21" w14:textId="77777777" w:rsidR="00DF7032" w:rsidRDefault="00DF7032">
            <w:pPr>
              <w:jc w:val="center"/>
              <w:rPr>
                <w:color w:val="000000"/>
              </w:rPr>
            </w:pPr>
            <w:r>
              <w:rPr>
                <w:color w:val="000000"/>
              </w:rPr>
              <w:t>18.7</w:t>
            </w:r>
          </w:p>
        </w:tc>
      </w:tr>
      <w:tr w:rsidR="00DF7032" w14:paraId="1E0CC1DD" w14:textId="77777777">
        <w:trPr>
          <w:trHeight w:val="310"/>
        </w:trPr>
        <w:tc>
          <w:tcPr>
            <w:tcW w:w="0" w:type="auto"/>
            <w:vMerge/>
            <w:tcBorders>
              <w:top w:val="nil"/>
              <w:left w:val="nil"/>
              <w:bottom w:val="double" w:sz="6" w:space="0" w:color="000000"/>
              <w:right w:val="nil"/>
            </w:tcBorders>
            <w:vAlign w:val="center"/>
            <w:hideMark/>
          </w:tcPr>
          <w:p w14:paraId="7771E251" w14:textId="77777777" w:rsidR="00DF7032" w:rsidRDefault="00DF7032">
            <w:pPr>
              <w:rPr>
                <w:b/>
                <w:bCs/>
                <w:color w:val="000000"/>
              </w:rPr>
            </w:pPr>
          </w:p>
        </w:tc>
        <w:tc>
          <w:tcPr>
            <w:tcW w:w="1460" w:type="dxa"/>
            <w:tcBorders>
              <w:top w:val="nil"/>
              <w:left w:val="nil"/>
              <w:bottom w:val="nil"/>
              <w:right w:val="nil"/>
            </w:tcBorders>
            <w:tcMar>
              <w:top w:w="15" w:type="dxa"/>
              <w:left w:w="15" w:type="dxa"/>
              <w:bottom w:w="0" w:type="dxa"/>
              <w:right w:w="15" w:type="dxa"/>
            </w:tcMar>
            <w:vAlign w:val="center"/>
            <w:hideMark/>
          </w:tcPr>
          <w:p w14:paraId="67044724" w14:textId="77777777" w:rsidR="00DF7032" w:rsidRDefault="00DF7032">
            <w:pPr>
              <w:rPr>
                <w:color w:val="000000"/>
              </w:rPr>
            </w:pPr>
            <w:r>
              <w:rPr>
                <w:color w:val="000000"/>
              </w:rPr>
              <w:t>36–40</w:t>
            </w:r>
          </w:p>
        </w:tc>
        <w:tc>
          <w:tcPr>
            <w:tcW w:w="1380" w:type="dxa"/>
            <w:tcBorders>
              <w:top w:val="nil"/>
              <w:left w:val="nil"/>
              <w:bottom w:val="nil"/>
              <w:right w:val="nil"/>
            </w:tcBorders>
            <w:tcMar>
              <w:top w:w="15" w:type="dxa"/>
              <w:left w:w="15" w:type="dxa"/>
              <w:bottom w:w="0" w:type="dxa"/>
              <w:right w:w="15" w:type="dxa"/>
            </w:tcMar>
            <w:vAlign w:val="center"/>
            <w:hideMark/>
          </w:tcPr>
          <w:p w14:paraId="2A2A2AE3" w14:textId="77777777" w:rsidR="00DF7032" w:rsidRDefault="00DF7032">
            <w:pPr>
              <w:jc w:val="center"/>
              <w:rPr>
                <w:color w:val="000000"/>
              </w:rPr>
            </w:pPr>
            <w:r>
              <w:rPr>
                <w:color w:val="000000"/>
              </w:rPr>
              <w:t>6</w:t>
            </w:r>
          </w:p>
        </w:tc>
        <w:tc>
          <w:tcPr>
            <w:tcW w:w="1240" w:type="dxa"/>
            <w:tcBorders>
              <w:top w:val="nil"/>
              <w:left w:val="nil"/>
              <w:bottom w:val="nil"/>
              <w:right w:val="nil"/>
            </w:tcBorders>
            <w:tcMar>
              <w:top w:w="15" w:type="dxa"/>
              <w:left w:w="15" w:type="dxa"/>
              <w:bottom w:w="0" w:type="dxa"/>
              <w:right w:w="15" w:type="dxa"/>
            </w:tcMar>
            <w:vAlign w:val="center"/>
            <w:hideMark/>
          </w:tcPr>
          <w:p w14:paraId="2EBC1524" w14:textId="77777777" w:rsidR="00DF7032" w:rsidRDefault="00DF7032">
            <w:pPr>
              <w:jc w:val="center"/>
              <w:rPr>
                <w:color w:val="000000"/>
              </w:rPr>
            </w:pPr>
            <w:r>
              <w:rPr>
                <w:color w:val="000000"/>
              </w:rPr>
              <w:t>4</w:t>
            </w:r>
          </w:p>
        </w:tc>
        <w:tc>
          <w:tcPr>
            <w:tcW w:w="960" w:type="dxa"/>
            <w:tcBorders>
              <w:top w:val="nil"/>
              <w:left w:val="nil"/>
              <w:bottom w:val="nil"/>
              <w:right w:val="nil"/>
            </w:tcBorders>
            <w:tcMar>
              <w:top w:w="15" w:type="dxa"/>
              <w:left w:w="15" w:type="dxa"/>
              <w:bottom w:w="0" w:type="dxa"/>
              <w:right w:w="15" w:type="dxa"/>
            </w:tcMar>
            <w:vAlign w:val="center"/>
            <w:hideMark/>
          </w:tcPr>
          <w:p w14:paraId="0083D548" w14:textId="77777777" w:rsidR="00DF7032" w:rsidRDefault="00DF7032">
            <w:pPr>
              <w:jc w:val="center"/>
              <w:rPr>
                <w:color w:val="000000"/>
              </w:rPr>
            </w:pPr>
            <w:r>
              <w:rPr>
                <w:color w:val="000000"/>
              </w:rPr>
              <w:t>10</w:t>
            </w:r>
          </w:p>
        </w:tc>
        <w:tc>
          <w:tcPr>
            <w:tcW w:w="1320" w:type="dxa"/>
            <w:tcBorders>
              <w:top w:val="nil"/>
              <w:left w:val="nil"/>
              <w:bottom w:val="nil"/>
              <w:right w:val="nil"/>
            </w:tcBorders>
            <w:tcMar>
              <w:top w:w="15" w:type="dxa"/>
              <w:left w:w="15" w:type="dxa"/>
              <w:bottom w:w="0" w:type="dxa"/>
              <w:right w:w="15" w:type="dxa"/>
            </w:tcMar>
            <w:vAlign w:val="center"/>
            <w:hideMark/>
          </w:tcPr>
          <w:p w14:paraId="5C99DE68" w14:textId="77777777" w:rsidR="00DF7032" w:rsidRDefault="00DF7032">
            <w:pPr>
              <w:jc w:val="center"/>
              <w:rPr>
                <w:color w:val="000000"/>
              </w:rPr>
            </w:pPr>
            <w:r>
              <w:rPr>
                <w:color w:val="000000"/>
              </w:rPr>
              <w:t>60</w:t>
            </w:r>
          </w:p>
        </w:tc>
        <w:tc>
          <w:tcPr>
            <w:tcW w:w="1480" w:type="dxa"/>
            <w:tcBorders>
              <w:top w:val="nil"/>
              <w:left w:val="nil"/>
              <w:bottom w:val="nil"/>
              <w:right w:val="nil"/>
            </w:tcBorders>
            <w:tcMar>
              <w:top w:w="15" w:type="dxa"/>
              <w:left w:w="15" w:type="dxa"/>
              <w:bottom w:w="0" w:type="dxa"/>
              <w:right w:w="15" w:type="dxa"/>
            </w:tcMar>
            <w:vAlign w:val="center"/>
            <w:hideMark/>
          </w:tcPr>
          <w:p w14:paraId="15F61EEA" w14:textId="77777777" w:rsidR="00DF7032" w:rsidRDefault="00DF7032">
            <w:pPr>
              <w:jc w:val="center"/>
              <w:rPr>
                <w:color w:val="000000"/>
              </w:rPr>
            </w:pPr>
            <w:r>
              <w:rPr>
                <w:color w:val="000000"/>
              </w:rPr>
              <w:t>40</w:t>
            </w:r>
          </w:p>
        </w:tc>
      </w:tr>
      <w:tr w:rsidR="00DF7032" w14:paraId="01A125A2" w14:textId="77777777">
        <w:trPr>
          <w:trHeight w:val="320"/>
        </w:trPr>
        <w:tc>
          <w:tcPr>
            <w:tcW w:w="0" w:type="auto"/>
            <w:vMerge/>
            <w:tcBorders>
              <w:top w:val="nil"/>
              <w:left w:val="nil"/>
              <w:bottom w:val="double" w:sz="6" w:space="0" w:color="000000"/>
              <w:right w:val="nil"/>
            </w:tcBorders>
            <w:vAlign w:val="center"/>
            <w:hideMark/>
          </w:tcPr>
          <w:p w14:paraId="6A76005E" w14:textId="77777777" w:rsidR="00DF7032" w:rsidRDefault="00DF7032">
            <w:pPr>
              <w:rPr>
                <w:b/>
                <w:bCs/>
                <w:color w:val="000000"/>
              </w:rPr>
            </w:pPr>
          </w:p>
        </w:tc>
        <w:tc>
          <w:tcPr>
            <w:tcW w:w="1460" w:type="dxa"/>
            <w:tcBorders>
              <w:top w:val="nil"/>
              <w:left w:val="nil"/>
              <w:bottom w:val="double" w:sz="6" w:space="0" w:color="auto"/>
              <w:right w:val="nil"/>
            </w:tcBorders>
            <w:tcMar>
              <w:top w:w="15" w:type="dxa"/>
              <w:left w:w="15" w:type="dxa"/>
              <w:bottom w:w="0" w:type="dxa"/>
              <w:right w:w="15" w:type="dxa"/>
            </w:tcMar>
            <w:vAlign w:val="center"/>
            <w:hideMark/>
          </w:tcPr>
          <w:p w14:paraId="4BF9021F" w14:textId="77777777" w:rsidR="00DF7032" w:rsidRDefault="00DF7032">
            <w:pPr>
              <w:rPr>
                <w:color w:val="000000"/>
              </w:rPr>
            </w:pPr>
            <w:r>
              <w:rPr>
                <w:color w:val="000000"/>
              </w:rPr>
              <w:t>41+</w:t>
            </w:r>
          </w:p>
        </w:tc>
        <w:tc>
          <w:tcPr>
            <w:tcW w:w="1380" w:type="dxa"/>
            <w:tcBorders>
              <w:top w:val="nil"/>
              <w:left w:val="nil"/>
              <w:bottom w:val="double" w:sz="6" w:space="0" w:color="auto"/>
              <w:right w:val="nil"/>
            </w:tcBorders>
            <w:tcMar>
              <w:top w:w="15" w:type="dxa"/>
              <w:left w:w="15" w:type="dxa"/>
              <w:bottom w:w="0" w:type="dxa"/>
              <w:right w:w="15" w:type="dxa"/>
            </w:tcMar>
            <w:vAlign w:val="center"/>
            <w:hideMark/>
          </w:tcPr>
          <w:p w14:paraId="2AD32F49" w14:textId="77777777" w:rsidR="00DF7032" w:rsidRDefault="00DF7032">
            <w:pPr>
              <w:jc w:val="center"/>
              <w:rPr>
                <w:color w:val="000000"/>
              </w:rPr>
            </w:pPr>
            <w:r>
              <w:rPr>
                <w:color w:val="000000"/>
              </w:rPr>
              <w:t>4</w:t>
            </w:r>
          </w:p>
        </w:tc>
        <w:tc>
          <w:tcPr>
            <w:tcW w:w="1240" w:type="dxa"/>
            <w:tcBorders>
              <w:top w:val="nil"/>
              <w:left w:val="nil"/>
              <w:bottom w:val="double" w:sz="6" w:space="0" w:color="auto"/>
              <w:right w:val="nil"/>
            </w:tcBorders>
            <w:tcMar>
              <w:top w:w="15" w:type="dxa"/>
              <w:left w:w="15" w:type="dxa"/>
              <w:bottom w:w="0" w:type="dxa"/>
              <w:right w:w="15" w:type="dxa"/>
            </w:tcMar>
            <w:vAlign w:val="center"/>
            <w:hideMark/>
          </w:tcPr>
          <w:p w14:paraId="02C9DD10" w14:textId="77777777" w:rsidR="00DF7032" w:rsidRDefault="00DF7032">
            <w:pPr>
              <w:jc w:val="center"/>
              <w:rPr>
                <w:color w:val="000000"/>
              </w:rPr>
            </w:pPr>
            <w:r>
              <w:rPr>
                <w:color w:val="000000"/>
              </w:rPr>
              <w:t>3</w:t>
            </w:r>
          </w:p>
        </w:tc>
        <w:tc>
          <w:tcPr>
            <w:tcW w:w="960" w:type="dxa"/>
            <w:tcBorders>
              <w:top w:val="nil"/>
              <w:left w:val="nil"/>
              <w:bottom w:val="double" w:sz="6" w:space="0" w:color="auto"/>
              <w:right w:val="nil"/>
            </w:tcBorders>
            <w:tcMar>
              <w:top w:w="15" w:type="dxa"/>
              <w:left w:w="15" w:type="dxa"/>
              <w:bottom w:w="0" w:type="dxa"/>
              <w:right w:w="15" w:type="dxa"/>
            </w:tcMar>
            <w:vAlign w:val="center"/>
            <w:hideMark/>
          </w:tcPr>
          <w:p w14:paraId="1532649D" w14:textId="77777777" w:rsidR="00DF7032" w:rsidRDefault="00DF7032">
            <w:pPr>
              <w:jc w:val="center"/>
              <w:rPr>
                <w:color w:val="000000"/>
              </w:rPr>
            </w:pPr>
            <w:r>
              <w:rPr>
                <w:color w:val="000000"/>
              </w:rPr>
              <w:t>7</w:t>
            </w:r>
          </w:p>
        </w:tc>
        <w:tc>
          <w:tcPr>
            <w:tcW w:w="1320" w:type="dxa"/>
            <w:tcBorders>
              <w:top w:val="nil"/>
              <w:left w:val="nil"/>
              <w:bottom w:val="double" w:sz="6" w:space="0" w:color="auto"/>
              <w:right w:val="nil"/>
            </w:tcBorders>
            <w:tcMar>
              <w:top w:w="15" w:type="dxa"/>
              <w:left w:w="15" w:type="dxa"/>
              <w:bottom w:w="0" w:type="dxa"/>
              <w:right w:w="15" w:type="dxa"/>
            </w:tcMar>
            <w:vAlign w:val="center"/>
            <w:hideMark/>
          </w:tcPr>
          <w:p w14:paraId="494A9E8C" w14:textId="77777777" w:rsidR="00DF7032" w:rsidRDefault="00DF7032">
            <w:pPr>
              <w:jc w:val="center"/>
              <w:rPr>
                <w:color w:val="000000"/>
              </w:rPr>
            </w:pPr>
            <w:r>
              <w:rPr>
                <w:color w:val="000000"/>
              </w:rPr>
              <w:t>57.1</w:t>
            </w:r>
          </w:p>
        </w:tc>
        <w:tc>
          <w:tcPr>
            <w:tcW w:w="1480" w:type="dxa"/>
            <w:tcBorders>
              <w:top w:val="nil"/>
              <w:left w:val="nil"/>
              <w:bottom w:val="double" w:sz="6" w:space="0" w:color="auto"/>
              <w:right w:val="nil"/>
            </w:tcBorders>
            <w:tcMar>
              <w:top w:w="15" w:type="dxa"/>
              <w:left w:w="15" w:type="dxa"/>
              <w:bottom w:w="0" w:type="dxa"/>
              <w:right w:w="15" w:type="dxa"/>
            </w:tcMar>
            <w:vAlign w:val="center"/>
            <w:hideMark/>
          </w:tcPr>
          <w:p w14:paraId="4EB14497" w14:textId="77777777" w:rsidR="00DF7032" w:rsidRDefault="00DF7032">
            <w:pPr>
              <w:jc w:val="center"/>
              <w:rPr>
                <w:color w:val="000000"/>
              </w:rPr>
            </w:pPr>
            <w:r>
              <w:rPr>
                <w:color w:val="000000"/>
              </w:rPr>
              <w:t>42.9</w:t>
            </w:r>
          </w:p>
        </w:tc>
      </w:tr>
    </w:tbl>
    <w:p w14:paraId="446096E4" w14:textId="0DA87C8F" w:rsidR="00D3210C" w:rsidRPr="00D3210C" w:rsidRDefault="00D3210C" w:rsidP="00D3210C">
      <w:r w:rsidRPr="00D3210C">
        <w:br/>
        <w:t xml:space="preserve">ANC attendance increases markedly with higher education levels and income. Women with </w:t>
      </w:r>
      <w:r w:rsidRPr="00D3210C">
        <w:lastRenderedPageBreak/>
        <w:t xml:space="preserve">secondary or higher education record the highest attendance (95%), compared to only 74% among those without formal education. Employment status exerts a similar influence—traders and civil servants are nearly 30% more likely to attend ANC than unemployed women. Income shows the strongest gradient effect: 100% of respondents earning above </w:t>
      </w:r>
      <w:proofErr w:type="spellStart"/>
      <w:r w:rsidRPr="00D3210C">
        <w:t>NLe</w:t>
      </w:r>
      <w:proofErr w:type="spellEnd"/>
      <w:r w:rsidRPr="00D3210C">
        <w:t xml:space="preserve"> 1,000 attend ANC, while just 70% of those earning below </w:t>
      </w:r>
      <w:proofErr w:type="spellStart"/>
      <w:r w:rsidRPr="00D3210C">
        <w:t>NLe</w:t>
      </w:r>
      <w:proofErr w:type="spellEnd"/>
      <w:r w:rsidRPr="00D3210C">
        <w:t xml:space="preserve"> 500 do so. Although age shows a mild downward trend in older groups, it is less influential than education or income, indicating that economic empowerment and literacy are stronger determinants of ANC utilization.</w:t>
      </w:r>
    </w:p>
    <w:p w14:paraId="48899194" w14:textId="77777777" w:rsidR="00D3210C" w:rsidRPr="00D3210C" w:rsidRDefault="00D3210C" w:rsidP="00D3210C">
      <w:pPr>
        <w:rPr>
          <w:b/>
          <w:bCs/>
        </w:rPr>
      </w:pPr>
      <w:r w:rsidRPr="00D3210C">
        <w:rPr>
          <w:b/>
          <w:bCs/>
        </w:rPr>
        <w:t>Table 2. Chi-square Test of Socioeconomic Variables vs ANC Attendance</w:t>
      </w:r>
    </w:p>
    <w:tbl>
      <w:tblPr>
        <w:tblW w:w="5000" w:type="pct"/>
        <w:tblCellMar>
          <w:left w:w="0" w:type="dxa"/>
          <w:right w:w="0" w:type="dxa"/>
        </w:tblCellMar>
        <w:tblLook w:val="04A0" w:firstRow="1" w:lastRow="0" w:firstColumn="1" w:lastColumn="0" w:noHBand="0" w:noVBand="1"/>
      </w:tblPr>
      <w:tblGrid>
        <w:gridCol w:w="2243"/>
        <w:gridCol w:w="1346"/>
        <w:gridCol w:w="2046"/>
        <w:gridCol w:w="1346"/>
        <w:gridCol w:w="2379"/>
      </w:tblGrid>
      <w:tr w:rsidR="00DF7032" w14:paraId="00552369" w14:textId="77777777" w:rsidTr="00DF7032">
        <w:trPr>
          <w:trHeight w:val="550"/>
        </w:trPr>
        <w:tc>
          <w:tcPr>
            <w:tcW w:w="1198" w:type="pct"/>
            <w:tcBorders>
              <w:top w:val="double" w:sz="6" w:space="0" w:color="auto"/>
              <w:left w:val="nil"/>
              <w:bottom w:val="double" w:sz="6" w:space="0" w:color="auto"/>
              <w:right w:val="nil"/>
            </w:tcBorders>
            <w:tcMar>
              <w:top w:w="15" w:type="dxa"/>
              <w:left w:w="15" w:type="dxa"/>
              <w:bottom w:w="0" w:type="dxa"/>
              <w:right w:w="15" w:type="dxa"/>
            </w:tcMar>
            <w:vAlign w:val="center"/>
            <w:hideMark/>
          </w:tcPr>
          <w:p w14:paraId="76312E58" w14:textId="77777777" w:rsidR="00DF7032" w:rsidRDefault="00DF7032">
            <w:pPr>
              <w:spacing w:line="240" w:lineRule="auto"/>
              <w:jc w:val="center"/>
              <w:rPr>
                <w:b/>
                <w:bCs/>
                <w:color w:val="000000"/>
              </w:rPr>
            </w:pPr>
            <w:r>
              <w:rPr>
                <w:b/>
                <w:bCs/>
                <w:color w:val="000000"/>
              </w:rPr>
              <w:t>Variable</w:t>
            </w:r>
          </w:p>
        </w:tc>
        <w:tc>
          <w:tcPr>
            <w:tcW w:w="719" w:type="pct"/>
            <w:tcBorders>
              <w:top w:val="double" w:sz="6" w:space="0" w:color="auto"/>
              <w:left w:val="nil"/>
              <w:bottom w:val="double" w:sz="6" w:space="0" w:color="auto"/>
              <w:right w:val="nil"/>
            </w:tcBorders>
            <w:tcMar>
              <w:top w:w="15" w:type="dxa"/>
              <w:left w:w="15" w:type="dxa"/>
              <w:bottom w:w="0" w:type="dxa"/>
              <w:right w:w="15" w:type="dxa"/>
            </w:tcMar>
            <w:vAlign w:val="center"/>
            <w:hideMark/>
          </w:tcPr>
          <w:p w14:paraId="57CBD264" w14:textId="77777777" w:rsidR="00DF7032" w:rsidRDefault="00DF7032">
            <w:pPr>
              <w:jc w:val="center"/>
              <w:rPr>
                <w:b/>
                <w:bCs/>
                <w:color w:val="000000"/>
              </w:rPr>
            </w:pPr>
            <w:r>
              <w:rPr>
                <w:b/>
                <w:bCs/>
                <w:color w:val="000000"/>
              </w:rPr>
              <w:t>χ²</w:t>
            </w:r>
          </w:p>
        </w:tc>
        <w:tc>
          <w:tcPr>
            <w:tcW w:w="1093" w:type="pct"/>
            <w:tcBorders>
              <w:top w:val="double" w:sz="6" w:space="0" w:color="auto"/>
              <w:left w:val="nil"/>
              <w:bottom w:val="double" w:sz="6" w:space="0" w:color="auto"/>
              <w:right w:val="nil"/>
            </w:tcBorders>
            <w:tcMar>
              <w:top w:w="15" w:type="dxa"/>
              <w:left w:w="15" w:type="dxa"/>
              <w:bottom w:w="0" w:type="dxa"/>
              <w:right w:w="15" w:type="dxa"/>
            </w:tcMar>
            <w:vAlign w:val="center"/>
            <w:hideMark/>
          </w:tcPr>
          <w:p w14:paraId="415319E0" w14:textId="77777777" w:rsidR="00DF7032" w:rsidRDefault="00DF7032">
            <w:pPr>
              <w:jc w:val="center"/>
              <w:rPr>
                <w:b/>
                <w:bCs/>
                <w:color w:val="000000"/>
              </w:rPr>
            </w:pPr>
            <w:proofErr w:type="spellStart"/>
            <w:r>
              <w:rPr>
                <w:b/>
                <w:bCs/>
                <w:color w:val="000000"/>
              </w:rPr>
              <w:t>df</w:t>
            </w:r>
            <w:proofErr w:type="spellEnd"/>
          </w:p>
        </w:tc>
        <w:tc>
          <w:tcPr>
            <w:tcW w:w="719" w:type="pct"/>
            <w:tcBorders>
              <w:top w:val="double" w:sz="6" w:space="0" w:color="auto"/>
              <w:left w:val="nil"/>
              <w:bottom w:val="double" w:sz="6" w:space="0" w:color="auto"/>
              <w:right w:val="nil"/>
            </w:tcBorders>
            <w:tcMar>
              <w:top w:w="15" w:type="dxa"/>
              <w:left w:w="15" w:type="dxa"/>
              <w:bottom w:w="0" w:type="dxa"/>
              <w:right w:w="15" w:type="dxa"/>
            </w:tcMar>
            <w:vAlign w:val="center"/>
            <w:hideMark/>
          </w:tcPr>
          <w:p w14:paraId="2C146E28" w14:textId="77777777" w:rsidR="00DF7032" w:rsidRDefault="00DF7032">
            <w:pPr>
              <w:jc w:val="center"/>
              <w:rPr>
                <w:b/>
                <w:bCs/>
                <w:color w:val="000000"/>
              </w:rPr>
            </w:pPr>
            <w:r>
              <w:rPr>
                <w:b/>
                <w:bCs/>
                <w:color w:val="000000"/>
              </w:rPr>
              <w:t>p-value</w:t>
            </w:r>
          </w:p>
        </w:tc>
        <w:tc>
          <w:tcPr>
            <w:tcW w:w="1272" w:type="pct"/>
            <w:tcBorders>
              <w:top w:val="double" w:sz="6" w:space="0" w:color="auto"/>
              <w:left w:val="nil"/>
              <w:bottom w:val="double" w:sz="6" w:space="0" w:color="auto"/>
              <w:right w:val="nil"/>
            </w:tcBorders>
            <w:tcMar>
              <w:top w:w="15" w:type="dxa"/>
              <w:left w:w="15" w:type="dxa"/>
              <w:bottom w:w="0" w:type="dxa"/>
              <w:right w:w="15" w:type="dxa"/>
            </w:tcMar>
            <w:vAlign w:val="center"/>
            <w:hideMark/>
          </w:tcPr>
          <w:p w14:paraId="26D2CED2" w14:textId="77777777" w:rsidR="00DF7032" w:rsidRDefault="00DF7032">
            <w:pPr>
              <w:jc w:val="center"/>
              <w:rPr>
                <w:b/>
                <w:bCs/>
                <w:color w:val="000000"/>
              </w:rPr>
            </w:pPr>
            <w:r>
              <w:rPr>
                <w:b/>
                <w:bCs/>
                <w:color w:val="000000"/>
              </w:rPr>
              <w:t>Significance</w:t>
            </w:r>
          </w:p>
        </w:tc>
      </w:tr>
      <w:tr w:rsidR="00DF7032" w14:paraId="3904A0AB" w14:textId="77777777" w:rsidTr="00DF7032">
        <w:trPr>
          <w:trHeight w:val="630"/>
        </w:trPr>
        <w:tc>
          <w:tcPr>
            <w:tcW w:w="1198" w:type="pct"/>
            <w:tcBorders>
              <w:top w:val="nil"/>
              <w:left w:val="nil"/>
              <w:bottom w:val="nil"/>
              <w:right w:val="nil"/>
            </w:tcBorders>
            <w:tcMar>
              <w:top w:w="15" w:type="dxa"/>
              <w:left w:w="15" w:type="dxa"/>
              <w:bottom w:w="0" w:type="dxa"/>
              <w:right w:w="15" w:type="dxa"/>
            </w:tcMar>
            <w:vAlign w:val="center"/>
            <w:hideMark/>
          </w:tcPr>
          <w:p w14:paraId="5D3C33CE" w14:textId="77777777" w:rsidR="00DF7032" w:rsidRDefault="00DF7032">
            <w:pPr>
              <w:rPr>
                <w:color w:val="000000"/>
              </w:rPr>
            </w:pPr>
            <w:r>
              <w:rPr>
                <w:color w:val="000000"/>
              </w:rPr>
              <w:t>Education Level</w:t>
            </w:r>
          </w:p>
        </w:tc>
        <w:tc>
          <w:tcPr>
            <w:tcW w:w="719" w:type="pct"/>
            <w:tcBorders>
              <w:top w:val="nil"/>
              <w:left w:val="nil"/>
              <w:bottom w:val="nil"/>
              <w:right w:val="nil"/>
            </w:tcBorders>
            <w:tcMar>
              <w:top w:w="15" w:type="dxa"/>
              <w:left w:w="15" w:type="dxa"/>
              <w:bottom w:w="0" w:type="dxa"/>
              <w:right w:w="15" w:type="dxa"/>
            </w:tcMar>
            <w:vAlign w:val="center"/>
            <w:hideMark/>
          </w:tcPr>
          <w:p w14:paraId="699C5CAC" w14:textId="77777777" w:rsidR="00DF7032" w:rsidRDefault="00DF7032">
            <w:pPr>
              <w:rPr>
                <w:color w:val="000000"/>
              </w:rPr>
            </w:pPr>
            <w:r>
              <w:rPr>
                <w:color w:val="000000"/>
              </w:rPr>
              <w:t>9.83</w:t>
            </w:r>
          </w:p>
        </w:tc>
        <w:tc>
          <w:tcPr>
            <w:tcW w:w="1093" w:type="pct"/>
            <w:tcBorders>
              <w:top w:val="nil"/>
              <w:left w:val="nil"/>
              <w:bottom w:val="nil"/>
              <w:right w:val="nil"/>
            </w:tcBorders>
            <w:tcMar>
              <w:top w:w="15" w:type="dxa"/>
              <w:left w:w="15" w:type="dxa"/>
              <w:bottom w:w="0" w:type="dxa"/>
              <w:right w:w="15" w:type="dxa"/>
            </w:tcMar>
            <w:vAlign w:val="center"/>
            <w:hideMark/>
          </w:tcPr>
          <w:p w14:paraId="2E9C1DDC" w14:textId="77777777" w:rsidR="00DF7032" w:rsidRDefault="00DF7032">
            <w:pPr>
              <w:rPr>
                <w:color w:val="000000"/>
              </w:rPr>
            </w:pPr>
            <w:r>
              <w:rPr>
                <w:color w:val="000000"/>
              </w:rPr>
              <w:t>2</w:t>
            </w:r>
          </w:p>
        </w:tc>
        <w:tc>
          <w:tcPr>
            <w:tcW w:w="719" w:type="pct"/>
            <w:tcBorders>
              <w:top w:val="nil"/>
              <w:left w:val="nil"/>
              <w:bottom w:val="nil"/>
              <w:right w:val="nil"/>
            </w:tcBorders>
            <w:tcMar>
              <w:top w:w="15" w:type="dxa"/>
              <w:left w:w="15" w:type="dxa"/>
              <w:bottom w:w="0" w:type="dxa"/>
              <w:right w:w="15" w:type="dxa"/>
            </w:tcMar>
            <w:vAlign w:val="center"/>
            <w:hideMark/>
          </w:tcPr>
          <w:p w14:paraId="36323F90" w14:textId="77777777" w:rsidR="00DF7032" w:rsidRDefault="00DF7032">
            <w:pPr>
              <w:rPr>
                <w:color w:val="000000"/>
              </w:rPr>
            </w:pPr>
            <w:r>
              <w:rPr>
                <w:color w:val="000000"/>
              </w:rPr>
              <w:t>0.007</w:t>
            </w:r>
          </w:p>
        </w:tc>
        <w:tc>
          <w:tcPr>
            <w:tcW w:w="1272" w:type="pct"/>
            <w:tcBorders>
              <w:top w:val="nil"/>
              <w:left w:val="nil"/>
              <w:bottom w:val="nil"/>
              <w:right w:val="nil"/>
            </w:tcBorders>
            <w:tcMar>
              <w:top w:w="15" w:type="dxa"/>
              <w:left w:w="15" w:type="dxa"/>
              <w:bottom w:w="0" w:type="dxa"/>
              <w:right w:w="15" w:type="dxa"/>
            </w:tcMar>
            <w:vAlign w:val="center"/>
            <w:hideMark/>
          </w:tcPr>
          <w:p w14:paraId="40BD4B75" w14:textId="77777777" w:rsidR="00DF7032" w:rsidRDefault="00DF7032">
            <w:pPr>
              <w:rPr>
                <w:b/>
                <w:bCs/>
                <w:color w:val="000000"/>
              </w:rPr>
            </w:pPr>
            <w:r>
              <w:rPr>
                <w:b/>
                <w:bCs/>
                <w:color w:val="000000"/>
              </w:rPr>
              <w:t>Significant</w:t>
            </w:r>
          </w:p>
        </w:tc>
      </w:tr>
      <w:tr w:rsidR="00DF7032" w14:paraId="0770D1B9" w14:textId="77777777" w:rsidTr="00DF7032">
        <w:trPr>
          <w:trHeight w:val="620"/>
        </w:trPr>
        <w:tc>
          <w:tcPr>
            <w:tcW w:w="1198" w:type="pct"/>
            <w:tcBorders>
              <w:top w:val="nil"/>
              <w:left w:val="nil"/>
              <w:bottom w:val="nil"/>
              <w:right w:val="nil"/>
            </w:tcBorders>
            <w:tcMar>
              <w:top w:w="15" w:type="dxa"/>
              <w:left w:w="15" w:type="dxa"/>
              <w:bottom w:w="0" w:type="dxa"/>
              <w:right w:w="15" w:type="dxa"/>
            </w:tcMar>
            <w:vAlign w:val="center"/>
            <w:hideMark/>
          </w:tcPr>
          <w:p w14:paraId="01949FCF" w14:textId="77777777" w:rsidR="00DF7032" w:rsidRDefault="00DF7032">
            <w:pPr>
              <w:rPr>
                <w:color w:val="000000"/>
              </w:rPr>
            </w:pPr>
            <w:r>
              <w:rPr>
                <w:color w:val="000000"/>
              </w:rPr>
              <w:t>Occupation</w:t>
            </w:r>
          </w:p>
        </w:tc>
        <w:tc>
          <w:tcPr>
            <w:tcW w:w="719" w:type="pct"/>
            <w:tcBorders>
              <w:top w:val="nil"/>
              <w:left w:val="nil"/>
              <w:bottom w:val="nil"/>
              <w:right w:val="nil"/>
            </w:tcBorders>
            <w:tcMar>
              <w:top w:w="15" w:type="dxa"/>
              <w:left w:w="15" w:type="dxa"/>
              <w:bottom w:w="0" w:type="dxa"/>
              <w:right w:w="15" w:type="dxa"/>
            </w:tcMar>
            <w:vAlign w:val="center"/>
            <w:hideMark/>
          </w:tcPr>
          <w:p w14:paraId="3DC379F4" w14:textId="77777777" w:rsidR="00DF7032" w:rsidRDefault="00DF7032">
            <w:pPr>
              <w:rPr>
                <w:color w:val="000000"/>
              </w:rPr>
            </w:pPr>
            <w:r>
              <w:rPr>
                <w:color w:val="000000"/>
              </w:rPr>
              <w:t>10.42</w:t>
            </w:r>
          </w:p>
        </w:tc>
        <w:tc>
          <w:tcPr>
            <w:tcW w:w="1093" w:type="pct"/>
            <w:tcBorders>
              <w:top w:val="nil"/>
              <w:left w:val="nil"/>
              <w:bottom w:val="nil"/>
              <w:right w:val="nil"/>
            </w:tcBorders>
            <w:tcMar>
              <w:top w:w="15" w:type="dxa"/>
              <w:left w:w="15" w:type="dxa"/>
              <w:bottom w:w="0" w:type="dxa"/>
              <w:right w:w="15" w:type="dxa"/>
            </w:tcMar>
            <w:vAlign w:val="center"/>
            <w:hideMark/>
          </w:tcPr>
          <w:p w14:paraId="0F2A5080" w14:textId="77777777" w:rsidR="00DF7032" w:rsidRDefault="00DF7032">
            <w:pPr>
              <w:rPr>
                <w:color w:val="000000"/>
              </w:rPr>
            </w:pPr>
            <w:r>
              <w:rPr>
                <w:color w:val="000000"/>
              </w:rPr>
              <w:t>2</w:t>
            </w:r>
          </w:p>
        </w:tc>
        <w:tc>
          <w:tcPr>
            <w:tcW w:w="719" w:type="pct"/>
            <w:tcBorders>
              <w:top w:val="nil"/>
              <w:left w:val="nil"/>
              <w:bottom w:val="nil"/>
              <w:right w:val="nil"/>
            </w:tcBorders>
            <w:tcMar>
              <w:top w:w="15" w:type="dxa"/>
              <w:left w:w="15" w:type="dxa"/>
              <w:bottom w:w="0" w:type="dxa"/>
              <w:right w:w="15" w:type="dxa"/>
            </w:tcMar>
            <w:vAlign w:val="center"/>
            <w:hideMark/>
          </w:tcPr>
          <w:p w14:paraId="655EE8AF" w14:textId="77777777" w:rsidR="00DF7032" w:rsidRDefault="00DF7032">
            <w:pPr>
              <w:rPr>
                <w:color w:val="000000"/>
              </w:rPr>
            </w:pPr>
            <w:r>
              <w:rPr>
                <w:color w:val="000000"/>
              </w:rPr>
              <w:t>0.006</w:t>
            </w:r>
          </w:p>
        </w:tc>
        <w:tc>
          <w:tcPr>
            <w:tcW w:w="1272" w:type="pct"/>
            <w:tcBorders>
              <w:top w:val="nil"/>
              <w:left w:val="nil"/>
              <w:bottom w:val="nil"/>
              <w:right w:val="nil"/>
            </w:tcBorders>
            <w:tcMar>
              <w:top w:w="15" w:type="dxa"/>
              <w:left w:w="15" w:type="dxa"/>
              <w:bottom w:w="0" w:type="dxa"/>
              <w:right w:w="15" w:type="dxa"/>
            </w:tcMar>
            <w:vAlign w:val="center"/>
            <w:hideMark/>
          </w:tcPr>
          <w:p w14:paraId="05116588" w14:textId="77777777" w:rsidR="00DF7032" w:rsidRDefault="00DF7032">
            <w:pPr>
              <w:rPr>
                <w:b/>
                <w:bCs/>
                <w:color w:val="000000"/>
              </w:rPr>
            </w:pPr>
            <w:r>
              <w:rPr>
                <w:b/>
                <w:bCs/>
                <w:color w:val="000000"/>
              </w:rPr>
              <w:t>Significant</w:t>
            </w:r>
          </w:p>
        </w:tc>
      </w:tr>
      <w:tr w:rsidR="00DF7032" w14:paraId="63D693B8" w14:textId="77777777" w:rsidTr="00DF7032">
        <w:trPr>
          <w:trHeight w:val="620"/>
        </w:trPr>
        <w:tc>
          <w:tcPr>
            <w:tcW w:w="1198" w:type="pct"/>
            <w:tcBorders>
              <w:top w:val="nil"/>
              <w:left w:val="nil"/>
              <w:bottom w:val="nil"/>
              <w:right w:val="nil"/>
            </w:tcBorders>
            <w:tcMar>
              <w:top w:w="15" w:type="dxa"/>
              <w:left w:w="15" w:type="dxa"/>
              <w:bottom w:w="0" w:type="dxa"/>
              <w:right w:w="15" w:type="dxa"/>
            </w:tcMar>
            <w:vAlign w:val="center"/>
            <w:hideMark/>
          </w:tcPr>
          <w:p w14:paraId="0E2A6C58" w14:textId="77777777" w:rsidR="00DF7032" w:rsidRDefault="00DF7032">
            <w:pPr>
              <w:rPr>
                <w:color w:val="000000"/>
              </w:rPr>
            </w:pPr>
            <w:r>
              <w:rPr>
                <w:color w:val="000000"/>
              </w:rPr>
              <w:t>Monthly Income</w:t>
            </w:r>
          </w:p>
        </w:tc>
        <w:tc>
          <w:tcPr>
            <w:tcW w:w="719" w:type="pct"/>
            <w:tcBorders>
              <w:top w:val="nil"/>
              <w:left w:val="nil"/>
              <w:bottom w:val="nil"/>
              <w:right w:val="nil"/>
            </w:tcBorders>
            <w:tcMar>
              <w:top w:w="15" w:type="dxa"/>
              <w:left w:w="15" w:type="dxa"/>
              <w:bottom w:w="0" w:type="dxa"/>
              <w:right w:w="15" w:type="dxa"/>
            </w:tcMar>
            <w:vAlign w:val="center"/>
            <w:hideMark/>
          </w:tcPr>
          <w:p w14:paraId="0C8B200C" w14:textId="77777777" w:rsidR="00DF7032" w:rsidRDefault="00DF7032">
            <w:pPr>
              <w:rPr>
                <w:color w:val="000000"/>
              </w:rPr>
            </w:pPr>
            <w:r>
              <w:rPr>
                <w:color w:val="000000"/>
              </w:rPr>
              <w:t>15.61</w:t>
            </w:r>
          </w:p>
        </w:tc>
        <w:tc>
          <w:tcPr>
            <w:tcW w:w="1093" w:type="pct"/>
            <w:tcBorders>
              <w:top w:val="nil"/>
              <w:left w:val="nil"/>
              <w:bottom w:val="nil"/>
              <w:right w:val="nil"/>
            </w:tcBorders>
            <w:tcMar>
              <w:top w:w="15" w:type="dxa"/>
              <w:left w:w="15" w:type="dxa"/>
              <w:bottom w:w="0" w:type="dxa"/>
              <w:right w:w="15" w:type="dxa"/>
            </w:tcMar>
            <w:vAlign w:val="center"/>
            <w:hideMark/>
          </w:tcPr>
          <w:p w14:paraId="5059290D" w14:textId="77777777" w:rsidR="00DF7032" w:rsidRDefault="00DF7032">
            <w:pPr>
              <w:rPr>
                <w:color w:val="000000"/>
              </w:rPr>
            </w:pPr>
            <w:r>
              <w:rPr>
                <w:color w:val="000000"/>
              </w:rPr>
              <w:t>2</w:t>
            </w:r>
          </w:p>
        </w:tc>
        <w:tc>
          <w:tcPr>
            <w:tcW w:w="719" w:type="pct"/>
            <w:tcBorders>
              <w:top w:val="nil"/>
              <w:left w:val="nil"/>
              <w:bottom w:val="nil"/>
              <w:right w:val="nil"/>
            </w:tcBorders>
            <w:tcMar>
              <w:top w:w="15" w:type="dxa"/>
              <w:left w:w="15" w:type="dxa"/>
              <w:bottom w:w="0" w:type="dxa"/>
              <w:right w:w="15" w:type="dxa"/>
            </w:tcMar>
            <w:vAlign w:val="center"/>
            <w:hideMark/>
          </w:tcPr>
          <w:p w14:paraId="0788B683" w14:textId="77777777" w:rsidR="00DF7032" w:rsidRDefault="00DF7032">
            <w:pPr>
              <w:rPr>
                <w:color w:val="000000"/>
              </w:rPr>
            </w:pPr>
            <w:r>
              <w:rPr>
                <w:color w:val="000000"/>
              </w:rPr>
              <w:t>&lt;0.001</w:t>
            </w:r>
          </w:p>
        </w:tc>
        <w:tc>
          <w:tcPr>
            <w:tcW w:w="1272" w:type="pct"/>
            <w:tcBorders>
              <w:top w:val="nil"/>
              <w:left w:val="nil"/>
              <w:bottom w:val="nil"/>
              <w:right w:val="nil"/>
            </w:tcBorders>
            <w:tcMar>
              <w:top w:w="15" w:type="dxa"/>
              <w:left w:w="15" w:type="dxa"/>
              <w:bottom w:w="0" w:type="dxa"/>
              <w:right w:w="15" w:type="dxa"/>
            </w:tcMar>
            <w:vAlign w:val="center"/>
            <w:hideMark/>
          </w:tcPr>
          <w:p w14:paraId="22CE6A73" w14:textId="77777777" w:rsidR="00DF7032" w:rsidRDefault="00DF7032">
            <w:pPr>
              <w:rPr>
                <w:b/>
                <w:bCs/>
                <w:color w:val="000000"/>
              </w:rPr>
            </w:pPr>
            <w:r>
              <w:rPr>
                <w:b/>
                <w:bCs/>
                <w:color w:val="000000"/>
              </w:rPr>
              <w:t>Significant</w:t>
            </w:r>
          </w:p>
        </w:tc>
      </w:tr>
      <w:tr w:rsidR="00DF7032" w14:paraId="73D72EA4" w14:textId="77777777" w:rsidTr="00DF7032">
        <w:trPr>
          <w:trHeight w:val="320"/>
        </w:trPr>
        <w:tc>
          <w:tcPr>
            <w:tcW w:w="1198" w:type="pct"/>
            <w:tcBorders>
              <w:top w:val="nil"/>
              <w:left w:val="nil"/>
              <w:bottom w:val="double" w:sz="6" w:space="0" w:color="auto"/>
              <w:right w:val="nil"/>
            </w:tcBorders>
            <w:tcMar>
              <w:top w:w="15" w:type="dxa"/>
              <w:left w:w="15" w:type="dxa"/>
              <w:bottom w:w="0" w:type="dxa"/>
              <w:right w:w="15" w:type="dxa"/>
            </w:tcMar>
            <w:vAlign w:val="center"/>
            <w:hideMark/>
          </w:tcPr>
          <w:p w14:paraId="39EDE0CC" w14:textId="77777777" w:rsidR="00DF7032" w:rsidRDefault="00DF7032">
            <w:pPr>
              <w:rPr>
                <w:color w:val="000000"/>
              </w:rPr>
            </w:pPr>
            <w:r>
              <w:rPr>
                <w:color w:val="000000"/>
              </w:rPr>
              <w:t>Age Range</w:t>
            </w:r>
          </w:p>
        </w:tc>
        <w:tc>
          <w:tcPr>
            <w:tcW w:w="719" w:type="pct"/>
            <w:tcBorders>
              <w:top w:val="nil"/>
              <w:left w:val="nil"/>
              <w:bottom w:val="double" w:sz="6" w:space="0" w:color="auto"/>
              <w:right w:val="nil"/>
            </w:tcBorders>
            <w:tcMar>
              <w:top w:w="15" w:type="dxa"/>
              <w:left w:w="15" w:type="dxa"/>
              <w:bottom w:w="0" w:type="dxa"/>
              <w:right w:w="15" w:type="dxa"/>
            </w:tcMar>
            <w:vAlign w:val="center"/>
            <w:hideMark/>
          </w:tcPr>
          <w:p w14:paraId="75D5BB9C" w14:textId="77777777" w:rsidR="00DF7032" w:rsidRDefault="00DF7032">
            <w:pPr>
              <w:rPr>
                <w:color w:val="000000"/>
              </w:rPr>
            </w:pPr>
            <w:r>
              <w:rPr>
                <w:color w:val="000000"/>
              </w:rPr>
              <w:t>5.59</w:t>
            </w:r>
          </w:p>
        </w:tc>
        <w:tc>
          <w:tcPr>
            <w:tcW w:w="1093" w:type="pct"/>
            <w:tcBorders>
              <w:top w:val="nil"/>
              <w:left w:val="nil"/>
              <w:bottom w:val="double" w:sz="6" w:space="0" w:color="auto"/>
              <w:right w:val="nil"/>
            </w:tcBorders>
            <w:tcMar>
              <w:top w:w="15" w:type="dxa"/>
              <w:left w:w="15" w:type="dxa"/>
              <w:bottom w:w="0" w:type="dxa"/>
              <w:right w:w="15" w:type="dxa"/>
            </w:tcMar>
            <w:vAlign w:val="center"/>
            <w:hideMark/>
          </w:tcPr>
          <w:p w14:paraId="238B5725" w14:textId="77777777" w:rsidR="00DF7032" w:rsidRDefault="00DF7032">
            <w:pPr>
              <w:rPr>
                <w:color w:val="000000"/>
              </w:rPr>
            </w:pPr>
            <w:r>
              <w:rPr>
                <w:color w:val="000000"/>
              </w:rPr>
              <w:t>5</w:t>
            </w:r>
          </w:p>
        </w:tc>
        <w:tc>
          <w:tcPr>
            <w:tcW w:w="719" w:type="pct"/>
            <w:tcBorders>
              <w:top w:val="nil"/>
              <w:left w:val="nil"/>
              <w:bottom w:val="double" w:sz="6" w:space="0" w:color="auto"/>
              <w:right w:val="nil"/>
            </w:tcBorders>
            <w:tcMar>
              <w:top w:w="15" w:type="dxa"/>
              <w:left w:w="15" w:type="dxa"/>
              <w:bottom w:w="0" w:type="dxa"/>
              <w:right w:w="15" w:type="dxa"/>
            </w:tcMar>
            <w:vAlign w:val="center"/>
            <w:hideMark/>
          </w:tcPr>
          <w:p w14:paraId="339AE981" w14:textId="77777777" w:rsidR="00DF7032" w:rsidRDefault="00DF7032">
            <w:pPr>
              <w:rPr>
                <w:color w:val="000000"/>
              </w:rPr>
            </w:pPr>
            <w:r>
              <w:rPr>
                <w:color w:val="000000"/>
              </w:rPr>
              <w:t>0.349</w:t>
            </w:r>
          </w:p>
        </w:tc>
        <w:tc>
          <w:tcPr>
            <w:tcW w:w="1272" w:type="pct"/>
            <w:tcBorders>
              <w:top w:val="nil"/>
              <w:left w:val="nil"/>
              <w:bottom w:val="double" w:sz="6" w:space="0" w:color="auto"/>
              <w:right w:val="nil"/>
            </w:tcBorders>
            <w:tcMar>
              <w:top w:w="15" w:type="dxa"/>
              <w:left w:w="15" w:type="dxa"/>
              <w:bottom w:w="0" w:type="dxa"/>
              <w:right w:w="15" w:type="dxa"/>
            </w:tcMar>
            <w:vAlign w:val="center"/>
            <w:hideMark/>
          </w:tcPr>
          <w:p w14:paraId="58FCC324" w14:textId="77777777" w:rsidR="00DF7032" w:rsidRDefault="00DF7032">
            <w:pPr>
              <w:rPr>
                <w:color w:val="000000"/>
              </w:rPr>
            </w:pPr>
            <w:r>
              <w:rPr>
                <w:color w:val="000000"/>
              </w:rPr>
              <w:t>Not significant</w:t>
            </w:r>
          </w:p>
        </w:tc>
      </w:tr>
    </w:tbl>
    <w:p w14:paraId="13351D41" w14:textId="6F0716B2" w:rsidR="00D3210C" w:rsidRPr="00D3210C" w:rsidRDefault="00DF7032" w:rsidP="00D3210C">
      <w:r w:rsidRPr="00D3210C">
        <w:rPr>
          <w:i/>
          <w:iCs/>
        </w:rPr>
        <w:t xml:space="preserve"> </w:t>
      </w:r>
      <w:r w:rsidR="00D3210C" w:rsidRPr="00D3210C">
        <w:br/>
        <w:t>The chi-square results confirm that education level, occupation, and monthly income are statistically significant predictors of ANC attendance (</w:t>
      </w:r>
      <w:r w:rsidR="00D3210C" w:rsidRPr="00D3210C">
        <w:rPr>
          <w:i/>
          <w:iCs/>
        </w:rPr>
        <w:t>p</w:t>
      </w:r>
      <w:r w:rsidR="00D3210C" w:rsidRPr="00D3210C">
        <w:t xml:space="preserve"> &lt; 0.05), while age is not. These findings underline the socioeconomic nature of ANC utilization in rural Kambia</w:t>
      </w:r>
      <w:r>
        <w:t xml:space="preserve">, </w:t>
      </w:r>
      <w:r w:rsidR="00D3210C" w:rsidRPr="00D3210C">
        <w:t>highlighting that women’s financial independence and educational attainment directly influence maternal health-seeking behavior.</w:t>
      </w:r>
    </w:p>
    <w:p w14:paraId="77B00EEA" w14:textId="6FFA82E2" w:rsidR="00D3210C" w:rsidRPr="00D3210C" w:rsidRDefault="00D3210C" w:rsidP="00D3210C">
      <w:pPr>
        <w:rPr>
          <w:b/>
          <w:bCs/>
        </w:rPr>
      </w:pPr>
      <w:r w:rsidRPr="00D3210C">
        <w:rPr>
          <w:b/>
          <w:bCs/>
        </w:rPr>
        <w:t>Cultural Beliefs and Practices Affecting ANC Attendance</w:t>
      </w:r>
    </w:p>
    <w:p w14:paraId="38393213" w14:textId="77777777" w:rsidR="00D3210C" w:rsidRPr="00D3210C" w:rsidRDefault="00D3210C" w:rsidP="00D3210C">
      <w:r w:rsidRPr="00D3210C">
        <w:t>Cultural traditions and beliefs remain powerful determinants of health decisions in rural Sierra Leone. Nearly half of respondents (46.5%) affirm belief in traditional pregnancy practices, and 40% report observing cultural restrictions such as movement prohibitions or seclusion during pregnancy. About one-third (30.6%) acknowledge visiting a traditional healer while pregnant.</w:t>
      </w:r>
    </w:p>
    <w:p w14:paraId="0542E18A" w14:textId="77777777" w:rsidR="00D3210C" w:rsidRPr="00D3210C" w:rsidRDefault="00D3210C" w:rsidP="00D3210C">
      <w:pPr>
        <w:rPr>
          <w:b/>
          <w:bCs/>
        </w:rPr>
      </w:pPr>
      <w:r w:rsidRPr="00D3210C">
        <w:rPr>
          <w:b/>
          <w:bCs/>
        </w:rPr>
        <w:t>Table 3. Cultural Beliefs and Practices Cross-tabulated with ANC Attendance</w:t>
      </w:r>
    </w:p>
    <w:tbl>
      <w:tblPr>
        <w:tblW w:w="10380" w:type="dxa"/>
        <w:tblCellMar>
          <w:left w:w="0" w:type="dxa"/>
          <w:right w:w="0" w:type="dxa"/>
        </w:tblCellMar>
        <w:tblLook w:val="04A0" w:firstRow="1" w:lastRow="0" w:firstColumn="1" w:lastColumn="0" w:noHBand="0" w:noVBand="1"/>
      </w:tblPr>
      <w:tblGrid>
        <w:gridCol w:w="1600"/>
        <w:gridCol w:w="1880"/>
        <w:gridCol w:w="1540"/>
        <w:gridCol w:w="1280"/>
        <w:gridCol w:w="1420"/>
        <w:gridCol w:w="1240"/>
        <w:gridCol w:w="1420"/>
      </w:tblGrid>
      <w:tr w:rsidR="00DF7032" w14:paraId="49EAC889" w14:textId="77777777">
        <w:trPr>
          <w:trHeight w:val="920"/>
        </w:trPr>
        <w:tc>
          <w:tcPr>
            <w:tcW w:w="160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756FC9B5" w14:textId="77777777" w:rsidR="00DF7032" w:rsidRDefault="00DF7032">
            <w:pPr>
              <w:spacing w:line="240" w:lineRule="auto"/>
              <w:jc w:val="center"/>
              <w:rPr>
                <w:b/>
                <w:bCs/>
                <w:color w:val="000000"/>
              </w:rPr>
            </w:pPr>
            <w:r>
              <w:rPr>
                <w:b/>
                <w:bCs/>
                <w:color w:val="000000"/>
              </w:rPr>
              <w:lastRenderedPageBreak/>
              <w:t>Variable</w:t>
            </w:r>
          </w:p>
        </w:tc>
        <w:tc>
          <w:tcPr>
            <w:tcW w:w="188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5C9A17B1" w14:textId="77777777" w:rsidR="00DF7032" w:rsidRDefault="00DF7032">
            <w:pPr>
              <w:jc w:val="center"/>
              <w:rPr>
                <w:b/>
                <w:bCs/>
                <w:color w:val="000000"/>
              </w:rPr>
            </w:pPr>
            <w:r>
              <w:rPr>
                <w:b/>
                <w:bCs/>
                <w:color w:val="000000"/>
              </w:rPr>
              <w:t>Response</w:t>
            </w:r>
          </w:p>
        </w:tc>
        <w:tc>
          <w:tcPr>
            <w:tcW w:w="154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1E8BD3B8" w14:textId="77777777" w:rsidR="00DF7032" w:rsidRDefault="00DF7032">
            <w:pPr>
              <w:jc w:val="center"/>
              <w:rPr>
                <w:b/>
                <w:bCs/>
                <w:color w:val="000000"/>
              </w:rPr>
            </w:pPr>
            <w:r>
              <w:rPr>
                <w:b/>
                <w:bCs/>
                <w:color w:val="000000"/>
              </w:rPr>
              <w:t>Attended ANC</w:t>
            </w:r>
          </w:p>
        </w:tc>
        <w:tc>
          <w:tcPr>
            <w:tcW w:w="128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7545FB54" w14:textId="77777777" w:rsidR="00DF7032" w:rsidRDefault="00DF7032">
            <w:pPr>
              <w:jc w:val="center"/>
              <w:rPr>
                <w:b/>
                <w:bCs/>
                <w:color w:val="000000"/>
              </w:rPr>
            </w:pPr>
            <w:r>
              <w:rPr>
                <w:b/>
                <w:bCs/>
                <w:color w:val="000000"/>
              </w:rPr>
              <w:t>Did Not Attend</w:t>
            </w:r>
          </w:p>
        </w:tc>
        <w:tc>
          <w:tcPr>
            <w:tcW w:w="142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18C7BC48" w14:textId="77777777" w:rsidR="00DF7032" w:rsidRDefault="00DF7032">
            <w:pPr>
              <w:jc w:val="center"/>
              <w:rPr>
                <w:b/>
                <w:bCs/>
                <w:color w:val="000000"/>
              </w:rPr>
            </w:pPr>
            <w:r>
              <w:rPr>
                <w:b/>
                <w:bCs/>
                <w:color w:val="000000"/>
              </w:rPr>
              <w:t>Total</w:t>
            </w:r>
          </w:p>
        </w:tc>
        <w:tc>
          <w:tcPr>
            <w:tcW w:w="124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418EC5E3" w14:textId="77777777" w:rsidR="00DF7032" w:rsidRDefault="00DF7032">
            <w:pPr>
              <w:jc w:val="center"/>
              <w:rPr>
                <w:b/>
                <w:bCs/>
                <w:color w:val="000000"/>
              </w:rPr>
            </w:pPr>
            <w:r>
              <w:rPr>
                <w:b/>
                <w:bCs/>
                <w:color w:val="000000"/>
              </w:rPr>
              <w:t>Attended (%)</w:t>
            </w:r>
          </w:p>
        </w:tc>
        <w:tc>
          <w:tcPr>
            <w:tcW w:w="1420" w:type="dxa"/>
            <w:tcBorders>
              <w:top w:val="double" w:sz="6" w:space="0" w:color="auto"/>
              <w:left w:val="nil"/>
              <w:bottom w:val="double" w:sz="6" w:space="0" w:color="auto"/>
              <w:right w:val="nil"/>
            </w:tcBorders>
            <w:tcMar>
              <w:top w:w="15" w:type="dxa"/>
              <w:left w:w="15" w:type="dxa"/>
              <w:bottom w:w="0" w:type="dxa"/>
              <w:right w:w="15" w:type="dxa"/>
            </w:tcMar>
            <w:vAlign w:val="center"/>
            <w:hideMark/>
          </w:tcPr>
          <w:p w14:paraId="1D4A63FE" w14:textId="77777777" w:rsidR="00DF7032" w:rsidRDefault="00DF7032">
            <w:pPr>
              <w:jc w:val="center"/>
              <w:rPr>
                <w:b/>
                <w:bCs/>
                <w:color w:val="000000"/>
              </w:rPr>
            </w:pPr>
            <w:r>
              <w:rPr>
                <w:b/>
                <w:bCs/>
                <w:color w:val="000000"/>
              </w:rPr>
              <w:t>Not Attended (%)</w:t>
            </w:r>
          </w:p>
        </w:tc>
      </w:tr>
      <w:tr w:rsidR="00DF7032" w14:paraId="1C45903A" w14:textId="77777777">
        <w:trPr>
          <w:trHeight w:val="910"/>
        </w:trPr>
        <w:tc>
          <w:tcPr>
            <w:tcW w:w="1600" w:type="dxa"/>
            <w:vMerge w:val="restart"/>
            <w:tcBorders>
              <w:top w:val="nil"/>
              <w:left w:val="nil"/>
              <w:bottom w:val="nil"/>
              <w:right w:val="nil"/>
            </w:tcBorders>
            <w:tcMar>
              <w:top w:w="15" w:type="dxa"/>
              <w:left w:w="15" w:type="dxa"/>
              <w:bottom w:w="0" w:type="dxa"/>
              <w:right w:w="15" w:type="dxa"/>
            </w:tcMar>
            <w:vAlign w:val="center"/>
            <w:hideMark/>
          </w:tcPr>
          <w:p w14:paraId="4F1C11A0" w14:textId="77777777" w:rsidR="00DF7032" w:rsidRDefault="00DF7032">
            <w:pPr>
              <w:jc w:val="center"/>
              <w:rPr>
                <w:b/>
                <w:bCs/>
                <w:color w:val="000000"/>
              </w:rPr>
            </w:pPr>
            <w:r>
              <w:rPr>
                <w:b/>
                <w:bCs/>
                <w:color w:val="000000"/>
              </w:rPr>
              <w:t>Belief in Traditional Practices</w:t>
            </w:r>
          </w:p>
        </w:tc>
        <w:tc>
          <w:tcPr>
            <w:tcW w:w="1880" w:type="dxa"/>
            <w:tcBorders>
              <w:top w:val="nil"/>
              <w:left w:val="nil"/>
              <w:bottom w:val="nil"/>
              <w:right w:val="nil"/>
            </w:tcBorders>
            <w:tcMar>
              <w:top w:w="15" w:type="dxa"/>
              <w:left w:w="15" w:type="dxa"/>
              <w:bottom w:w="0" w:type="dxa"/>
              <w:right w:w="15" w:type="dxa"/>
            </w:tcMar>
            <w:vAlign w:val="center"/>
            <w:hideMark/>
          </w:tcPr>
          <w:p w14:paraId="02DD0983" w14:textId="77777777" w:rsidR="00DF7032" w:rsidRDefault="00DF7032">
            <w:pPr>
              <w:rPr>
                <w:color w:val="000000"/>
              </w:rPr>
            </w:pPr>
            <w:r>
              <w:rPr>
                <w:color w:val="000000"/>
              </w:rPr>
              <w:t>Yes</w:t>
            </w:r>
          </w:p>
        </w:tc>
        <w:tc>
          <w:tcPr>
            <w:tcW w:w="1540" w:type="dxa"/>
            <w:tcBorders>
              <w:top w:val="nil"/>
              <w:left w:val="nil"/>
              <w:bottom w:val="nil"/>
              <w:right w:val="nil"/>
            </w:tcBorders>
            <w:tcMar>
              <w:top w:w="15" w:type="dxa"/>
              <w:left w:w="15" w:type="dxa"/>
              <w:bottom w:w="0" w:type="dxa"/>
              <w:right w:w="15" w:type="dxa"/>
            </w:tcMar>
            <w:vAlign w:val="center"/>
            <w:hideMark/>
          </w:tcPr>
          <w:p w14:paraId="74C286A8" w14:textId="77777777" w:rsidR="00DF7032" w:rsidRDefault="00DF7032">
            <w:pPr>
              <w:rPr>
                <w:color w:val="000000"/>
              </w:rPr>
            </w:pPr>
            <w:r>
              <w:rPr>
                <w:color w:val="000000"/>
              </w:rPr>
              <w:t>57</w:t>
            </w:r>
          </w:p>
        </w:tc>
        <w:tc>
          <w:tcPr>
            <w:tcW w:w="1280" w:type="dxa"/>
            <w:tcBorders>
              <w:top w:val="nil"/>
              <w:left w:val="nil"/>
              <w:bottom w:val="nil"/>
              <w:right w:val="nil"/>
            </w:tcBorders>
            <w:tcMar>
              <w:top w:w="15" w:type="dxa"/>
              <w:left w:w="15" w:type="dxa"/>
              <w:bottom w:w="0" w:type="dxa"/>
              <w:right w:w="15" w:type="dxa"/>
            </w:tcMar>
            <w:vAlign w:val="center"/>
            <w:hideMark/>
          </w:tcPr>
          <w:p w14:paraId="65B4D158" w14:textId="77777777" w:rsidR="00DF7032" w:rsidRDefault="00DF7032">
            <w:pPr>
              <w:rPr>
                <w:color w:val="000000"/>
              </w:rPr>
            </w:pPr>
            <w:r>
              <w:rPr>
                <w:color w:val="000000"/>
              </w:rPr>
              <w:t>16</w:t>
            </w:r>
          </w:p>
        </w:tc>
        <w:tc>
          <w:tcPr>
            <w:tcW w:w="1420" w:type="dxa"/>
            <w:tcBorders>
              <w:top w:val="nil"/>
              <w:left w:val="nil"/>
              <w:bottom w:val="nil"/>
              <w:right w:val="nil"/>
            </w:tcBorders>
            <w:tcMar>
              <w:top w:w="15" w:type="dxa"/>
              <w:left w:w="15" w:type="dxa"/>
              <w:bottom w:w="0" w:type="dxa"/>
              <w:right w:w="15" w:type="dxa"/>
            </w:tcMar>
            <w:vAlign w:val="center"/>
            <w:hideMark/>
          </w:tcPr>
          <w:p w14:paraId="64D0068A" w14:textId="77777777" w:rsidR="00DF7032" w:rsidRDefault="00DF7032">
            <w:pPr>
              <w:rPr>
                <w:color w:val="000000"/>
              </w:rPr>
            </w:pPr>
            <w:r>
              <w:rPr>
                <w:color w:val="000000"/>
              </w:rPr>
              <w:t>73</w:t>
            </w:r>
          </w:p>
        </w:tc>
        <w:tc>
          <w:tcPr>
            <w:tcW w:w="1240" w:type="dxa"/>
            <w:tcBorders>
              <w:top w:val="nil"/>
              <w:left w:val="nil"/>
              <w:bottom w:val="nil"/>
              <w:right w:val="nil"/>
            </w:tcBorders>
            <w:tcMar>
              <w:top w:w="15" w:type="dxa"/>
              <w:left w:w="15" w:type="dxa"/>
              <w:bottom w:w="0" w:type="dxa"/>
              <w:right w:w="15" w:type="dxa"/>
            </w:tcMar>
            <w:vAlign w:val="center"/>
            <w:hideMark/>
          </w:tcPr>
          <w:p w14:paraId="1B97D9B7" w14:textId="77777777" w:rsidR="00DF7032" w:rsidRDefault="00DF7032">
            <w:pPr>
              <w:rPr>
                <w:color w:val="000000"/>
              </w:rPr>
            </w:pPr>
            <w:r>
              <w:rPr>
                <w:color w:val="000000"/>
              </w:rPr>
              <w:t>78.1</w:t>
            </w:r>
          </w:p>
        </w:tc>
        <w:tc>
          <w:tcPr>
            <w:tcW w:w="1420" w:type="dxa"/>
            <w:tcBorders>
              <w:top w:val="nil"/>
              <w:left w:val="nil"/>
              <w:bottom w:val="nil"/>
              <w:right w:val="nil"/>
            </w:tcBorders>
            <w:tcMar>
              <w:top w:w="15" w:type="dxa"/>
              <w:left w:w="15" w:type="dxa"/>
              <w:bottom w:w="0" w:type="dxa"/>
              <w:right w:w="15" w:type="dxa"/>
            </w:tcMar>
            <w:vAlign w:val="center"/>
            <w:hideMark/>
          </w:tcPr>
          <w:p w14:paraId="2B880571" w14:textId="77777777" w:rsidR="00DF7032" w:rsidRDefault="00DF7032">
            <w:pPr>
              <w:rPr>
                <w:color w:val="000000"/>
              </w:rPr>
            </w:pPr>
            <w:r>
              <w:rPr>
                <w:color w:val="000000"/>
              </w:rPr>
              <w:t>21.9</w:t>
            </w:r>
          </w:p>
        </w:tc>
      </w:tr>
      <w:tr w:rsidR="00DF7032" w14:paraId="33638AC9" w14:textId="77777777">
        <w:trPr>
          <w:trHeight w:val="310"/>
        </w:trPr>
        <w:tc>
          <w:tcPr>
            <w:tcW w:w="0" w:type="auto"/>
            <w:vMerge/>
            <w:tcBorders>
              <w:top w:val="nil"/>
              <w:left w:val="nil"/>
              <w:bottom w:val="nil"/>
              <w:right w:val="nil"/>
            </w:tcBorders>
            <w:vAlign w:val="center"/>
            <w:hideMark/>
          </w:tcPr>
          <w:p w14:paraId="33BAC22F" w14:textId="77777777" w:rsidR="00DF7032" w:rsidRDefault="00DF7032">
            <w:pPr>
              <w:rPr>
                <w:b/>
                <w:bCs/>
                <w:color w:val="000000"/>
              </w:rPr>
            </w:pPr>
          </w:p>
        </w:tc>
        <w:tc>
          <w:tcPr>
            <w:tcW w:w="1880" w:type="dxa"/>
            <w:tcBorders>
              <w:top w:val="nil"/>
              <w:left w:val="nil"/>
              <w:bottom w:val="nil"/>
              <w:right w:val="nil"/>
            </w:tcBorders>
            <w:tcMar>
              <w:top w:w="15" w:type="dxa"/>
              <w:left w:w="15" w:type="dxa"/>
              <w:bottom w:w="0" w:type="dxa"/>
              <w:right w:w="15" w:type="dxa"/>
            </w:tcMar>
            <w:vAlign w:val="center"/>
            <w:hideMark/>
          </w:tcPr>
          <w:p w14:paraId="1EB858FF" w14:textId="77777777" w:rsidR="00DF7032" w:rsidRDefault="00DF7032">
            <w:pPr>
              <w:rPr>
                <w:color w:val="000000"/>
              </w:rPr>
            </w:pPr>
            <w:r>
              <w:rPr>
                <w:color w:val="000000"/>
              </w:rPr>
              <w:t>No</w:t>
            </w:r>
          </w:p>
        </w:tc>
        <w:tc>
          <w:tcPr>
            <w:tcW w:w="1540" w:type="dxa"/>
            <w:tcBorders>
              <w:top w:val="nil"/>
              <w:left w:val="nil"/>
              <w:bottom w:val="nil"/>
              <w:right w:val="nil"/>
            </w:tcBorders>
            <w:tcMar>
              <w:top w:w="15" w:type="dxa"/>
              <w:left w:w="15" w:type="dxa"/>
              <w:bottom w:w="0" w:type="dxa"/>
              <w:right w:w="15" w:type="dxa"/>
            </w:tcMar>
            <w:vAlign w:val="center"/>
            <w:hideMark/>
          </w:tcPr>
          <w:p w14:paraId="213AF2E6" w14:textId="77777777" w:rsidR="00DF7032" w:rsidRDefault="00DF7032">
            <w:pPr>
              <w:rPr>
                <w:color w:val="000000"/>
              </w:rPr>
            </w:pPr>
            <w:r>
              <w:rPr>
                <w:color w:val="000000"/>
              </w:rPr>
              <w:t>78</w:t>
            </w:r>
          </w:p>
        </w:tc>
        <w:tc>
          <w:tcPr>
            <w:tcW w:w="1280" w:type="dxa"/>
            <w:tcBorders>
              <w:top w:val="nil"/>
              <w:left w:val="nil"/>
              <w:bottom w:val="nil"/>
              <w:right w:val="nil"/>
            </w:tcBorders>
            <w:tcMar>
              <w:top w:w="15" w:type="dxa"/>
              <w:left w:w="15" w:type="dxa"/>
              <w:bottom w:w="0" w:type="dxa"/>
              <w:right w:w="15" w:type="dxa"/>
            </w:tcMar>
            <w:vAlign w:val="center"/>
            <w:hideMark/>
          </w:tcPr>
          <w:p w14:paraId="6D85273C" w14:textId="77777777" w:rsidR="00DF7032" w:rsidRDefault="00DF7032">
            <w:pPr>
              <w:rPr>
                <w:color w:val="000000"/>
              </w:rPr>
            </w:pPr>
            <w:r>
              <w:rPr>
                <w:color w:val="000000"/>
              </w:rPr>
              <w:t>6</w:t>
            </w:r>
          </w:p>
        </w:tc>
        <w:tc>
          <w:tcPr>
            <w:tcW w:w="1420" w:type="dxa"/>
            <w:tcBorders>
              <w:top w:val="nil"/>
              <w:left w:val="nil"/>
              <w:bottom w:val="nil"/>
              <w:right w:val="nil"/>
            </w:tcBorders>
            <w:tcMar>
              <w:top w:w="15" w:type="dxa"/>
              <w:left w:w="15" w:type="dxa"/>
              <w:bottom w:w="0" w:type="dxa"/>
              <w:right w:w="15" w:type="dxa"/>
            </w:tcMar>
            <w:vAlign w:val="center"/>
            <w:hideMark/>
          </w:tcPr>
          <w:p w14:paraId="283F2627" w14:textId="77777777" w:rsidR="00DF7032" w:rsidRDefault="00DF7032">
            <w:pPr>
              <w:rPr>
                <w:color w:val="000000"/>
              </w:rPr>
            </w:pPr>
            <w:r>
              <w:rPr>
                <w:color w:val="000000"/>
              </w:rPr>
              <w:t>84</w:t>
            </w:r>
          </w:p>
        </w:tc>
        <w:tc>
          <w:tcPr>
            <w:tcW w:w="1240" w:type="dxa"/>
            <w:tcBorders>
              <w:top w:val="nil"/>
              <w:left w:val="nil"/>
              <w:bottom w:val="nil"/>
              <w:right w:val="nil"/>
            </w:tcBorders>
            <w:tcMar>
              <w:top w:w="15" w:type="dxa"/>
              <w:left w:w="15" w:type="dxa"/>
              <w:bottom w:w="0" w:type="dxa"/>
              <w:right w:w="15" w:type="dxa"/>
            </w:tcMar>
            <w:vAlign w:val="center"/>
            <w:hideMark/>
          </w:tcPr>
          <w:p w14:paraId="19A77BAA" w14:textId="77777777" w:rsidR="00DF7032" w:rsidRDefault="00DF7032">
            <w:pPr>
              <w:rPr>
                <w:b/>
                <w:bCs/>
                <w:color w:val="000000"/>
              </w:rPr>
            </w:pPr>
            <w:r>
              <w:rPr>
                <w:b/>
                <w:bCs/>
                <w:color w:val="000000"/>
              </w:rPr>
              <w:t>92.9</w:t>
            </w:r>
          </w:p>
        </w:tc>
        <w:tc>
          <w:tcPr>
            <w:tcW w:w="1420" w:type="dxa"/>
            <w:tcBorders>
              <w:top w:val="nil"/>
              <w:left w:val="nil"/>
              <w:bottom w:val="nil"/>
              <w:right w:val="nil"/>
            </w:tcBorders>
            <w:tcMar>
              <w:top w:w="15" w:type="dxa"/>
              <w:left w:w="15" w:type="dxa"/>
              <w:bottom w:w="0" w:type="dxa"/>
              <w:right w:w="15" w:type="dxa"/>
            </w:tcMar>
            <w:vAlign w:val="center"/>
            <w:hideMark/>
          </w:tcPr>
          <w:p w14:paraId="493FE5E6" w14:textId="77777777" w:rsidR="00DF7032" w:rsidRDefault="00DF7032">
            <w:pPr>
              <w:rPr>
                <w:color w:val="000000"/>
              </w:rPr>
            </w:pPr>
            <w:r>
              <w:rPr>
                <w:color w:val="000000"/>
              </w:rPr>
              <w:t>7.1</w:t>
            </w:r>
          </w:p>
        </w:tc>
      </w:tr>
      <w:tr w:rsidR="00DF7032" w14:paraId="4AF63AF4" w14:textId="77777777">
        <w:trPr>
          <w:trHeight w:val="600"/>
        </w:trPr>
        <w:tc>
          <w:tcPr>
            <w:tcW w:w="1600" w:type="dxa"/>
            <w:vMerge w:val="restart"/>
            <w:tcBorders>
              <w:top w:val="single" w:sz="4" w:space="0" w:color="auto"/>
              <w:left w:val="nil"/>
              <w:bottom w:val="single" w:sz="4" w:space="0" w:color="000000"/>
              <w:right w:val="nil"/>
            </w:tcBorders>
            <w:tcMar>
              <w:top w:w="15" w:type="dxa"/>
              <w:left w:w="15" w:type="dxa"/>
              <w:bottom w:w="0" w:type="dxa"/>
              <w:right w:w="15" w:type="dxa"/>
            </w:tcMar>
            <w:vAlign w:val="center"/>
            <w:hideMark/>
          </w:tcPr>
          <w:p w14:paraId="0CD01FE2" w14:textId="77777777" w:rsidR="00DF7032" w:rsidRDefault="00DF7032">
            <w:pPr>
              <w:jc w:val="center"/>
              <w:rPr>
                <w:b/>
                <w:bCs/>
                <w:color w:val="000000"/>
              </w:rPr>
            </w:pPr>
            <w:r>
              <w:rPr>
                <w:b/>
                <w:bCs/>
                <w:color w:val="000000"/>
              </w:rPr>
              <w:t>Cultural Restrictions</w:t>
            </w:r>
          </w:p>
        </w:tc>
        <w:tc>
          <w:tcPr>
            <w:tcW w:w="1880" w:type="dxa"/>
            <w:tcBorders>
              <w:top w:val="single" w:sz="4" w:space="0" w:color="auto"/>
              <w:left w:val="nil"/>
              <w:bottom w:val="nil"/>
              <w:right w:val="nil"/>
            </w:tcBorders>
            <w:tcMar>
              <w:top w:w="15" w:type="dxa"/>
              <w:left w:w="15" w:type="dxa"/>
              <w:bottom w:w="0" w:type="dxa"/>
              <w:right w:w="15" w:type="dxa"/>
            </w:tcMar>
            <w:vAlign w:val="center"/>
            <w:hideMark/>
          </w:tcPr>
          <w:p w14:paraId="2763D2EE" w14:textId="77777777" w:rsidR="00DF7032" w:rsidRDefault="00DF7032">
            <w:pPr>
              <w:rPr>
                <w:color w:val="000000"/>
              </w:rPr>
            </w:pPr>
            <w:r>
              <w:rPr>
                <w:color w:val="000000"/>
              </w:rPr>
              <w:t>Yes</w:t>
            </w:r>
          </w:p>
        </w:tc>
        <w:tc>
          <w:tcPr>
            <w:tcW w:w="1540" w:type="dxa"/>
            <w:tcBorders>
              <w:top w:val="single" w:sz="4" w:space="0" w:color="auto"/>
              <w:left w:val="nil"/>
              <w:bottom w:val="nil"/>
              <w:right w:val="nil"/>
            </w:tcBorders>
            <w:tcMar>
              <w:top w:w="15" w:type="dxa"/>
              <w:left w:w="15" w:type="dxa"/>
              <w:bottom w:w="0" w:type="dxa"/>
              <w:right w:w="15" w:type="dxa"/>
            </w:tcMar>
            <w:vAlign w:val="center"/>
            <w:hideMark/>
          </w:tcPr>
          <w:p w14:paraId="3B9FC649" w14:textId="77777777" w:rsidR="00DF7032" w:rsidRDefault="00DF7032">
            <w:pPr>
              <w:rPr>
                <w:color w:val="000000"/>
              </w:rPr>
            </w:pPr>
            <w:r>
              <w:rPr>
                <w:color w:val="000000"/>
              </w:rPr>
              <w:t>48</w:t>
            </w:r>
          </w:p>
        </w:tc>
        <w:tc>
          <w:tcPr>
            <w:tcW w:w="1280" w:type="dxa"/>
            <w:tcBorders>
              <w:top w:val="single" w:sz="4" w:space="0" w:color="auto"/>
              <w:left w:val="nil"/>
              <w:bottom w:val="nil"/>
              <w:right w:val="nil"/>
            </w:tcBorders>
            <w:tcMar>
              <w:top w:w="15" w:type="dxa"/>
              <w:left w:w="15" w:type="dxa"/>
              <w:bottom w:w="0" w:type="dxa"/>
              <w:right w:w="15" w:type="dxa"/>
            </w:tcMar>
            <w:vAlign w:val="center"/>
            <w:hideMark/>
          </w:tcPr>
          <w:p w14:paraId="7B869F7B" w14:textId="77777777" w:rsidR="00DF7032" w:rsidRDefault="00DF7032">
            <w:pPr>
              <w:rPr>
                <w:color w:val="000000"/>
              </w:rPr>
            </w:pPr>
            <w:r>
              <w:rPr>
                <w:color w:val="000000"/>
              </w:rPr>
              <w:t>15</w:t>
            </w:r>
          </w:p>
        </w:tc>
        <w:tc>
          <w:tcPr>
            <w:tcW w:w="1420" w:type="dxa"/>
            <w:tcBorders>
              <w:top w:val="single" w:sz="4" w:space="0" w:color="auto"/>
              <w:left w:val="nil"/>
              <w:bottom w:val="nil"/>
              <w:right w:val="nil"/>
            </w:tcBorders>
            <w:tcMar>
              <w:top w:w="15" w:type="dxa"/>
              <w:left w:w="15" w:type="dxa"/>
              <w:bottom w:w="0" w:type="dxa"/>
              <w:right w:w="15" w:type="dxa"/>
            </w:tcMar>
            <w:vAlign w:val="center"/>
            <w:hideMark/>
          </w:tcPr>
          <w:p w14:paraId="76A11E07" w14:textId="77777777" w:rsidR="00DF7032" w:rsidRDefault="00DF7032">
            <w:pPr>
              <w:rPr>
                <w:color w:val="000000"/>
              </w:rPr>
            </w:pPr>
            <w:r>
              <w:rPr>
                <w:color w:val="000000"/>
              </w:rPr>
              <w:t>63</w:t>
            </w:r>
          </w:p>
        </w:tc>
        <w:tc>
          <w:tcPr>
            <w:tcW w:w="1240" w:type="dxa"/>
            <w:tcBorders>
              <w:top w:val="single" w:sz="4" w:space="0" w:color="auto"/>
              <w:left w:val="nil"/>
              <w:bottom w:val="nil"/>
              <w:right w:val="nil"/>
            </w:tcBorders>
            <w:tcMar>
              <w:top w:w="15" w:type="dxa"/>
              <w:left w:w="15" w:type="dxa"/>
              <w:bottom w:w="0" w:type="dxa"/>
              <w:right w:w="15" w:type="dxa"/>
            </w:tcMar>
            <w:vAlign w:val="center"/>
            <w:hideMark/>
          </w:tcPr>
          <w:p w14:paraId="1E09E58F" w14:textId="77777777" w:rsidR="00DF7032" w:rsidRDefault="00DF7032">
            <w:pPr>
              <w:rPr>
                <w:color w:val="000000"/>
              </w:rPr>
            </w:pPr>
            <w:r>
              <w:rPr>
                <w:color w:val="000000"/>
              </w:rPr>
              <w:t>76.2</w:t>
            </w:r>
          </w:p>
        </w:tc>
        <w:tc>
          <w:tcPr>
            <w:tcW w:w="1420" w:type="dxa"/>
            <w:tcBorders>
              <w:top w:val="single" w:sz="4" w:space="0" w:color="auto"/>
              <w:left w:val="nil"/>
              <w:bottom w:val="nil"/>
              <w:right w:val="nil"/>
            </w:tcBorders>
            <w:tcMar>
              <w:top w:w="15" w:type="dxa"/>
              <w:left w:w="15" w:type="dxa"/>
              <w:bottom w:w="0" w:type="dxa"/>
              <w:right w:w="15" w:type="dxa"/>
            </w:tcMar>
            <w:vAlign w:val="center"/>
            <w:hideMark/>
          </w:tcPr>
          <w:p w14:paraId="7CB871E4" w14:textId="77777777" w:rsidR="00DF7032" w:rsidRDefault="00DF7032">
            <w:pPr>
              <w:rPr>
                <w:color w:val="000000"/>
              </w:rPr>
            </w:pPr>
            <w:r>
              <w:rPr>
                <w:color w:val="000000"/>
              </w:rPr>
              <w:t>23.8</w:t>
            </w:r>
          </w:p>
        </w:tc>
      </w:tr>
      <w:tr w:rsidR="00DF7032" w14:paraId="11391D6C" w14:textId="77777777">
        <w:trPr>
          <w:trHeight w:val="310"/>
        </w:trPr>
        <w:tc>
          <w:tcPr>
            <w:tcW w:w="0" w:type="auto"/>
            <w:vMerge/>
            <w:tcBorders>
              <w:top w:val="single" w:sz="4" w:space="0" w:color="auto"/>
              <w:left w:val="nil"/>
              <w:bottom w:val="single" w:sz="4" w:space="0" w:color="000000"/>
              <w:right w:val="nil"/>
            </w:tcBorders>
            <w:vAlign w:val="center"/>
            <w:hideMark/>
          </w:tcPr>
          <w:p w14:paraId="634077AF" w14:textId="77777777" w:rsidR="00DF7032" w:rsidRDefault="00DF7032">
            <w:pPr>
              <w:rPr>
                <w:b/>
                <w:bCs/>
                <w:color w:val="000000"/>
              </w:rPr>
            </w:pPr>
          </w:p>
        </w:tc>
        <w:tc>
          <w:tcPr>
            <w:tcW w:w="1880" w:type="dxa"/>
            <w:tcBorders>
              <w:top w:val="nil"/>
              <w:left w:val="nil"/>
              <w:bottom w:val="single" w:sz="4" w:space="0" w:color="auto"/>
              <w:right w:val="nil"/>
            </w:tcBorders>
            <w:tcMar>
              <w:top w:w="15" w:type="dxa"/>
              <w:left w:w="15" w:type="dxa"/>
              <w:bottom w:w="0" w:type="dxa"/>
              <w:right w:w="15" w:type="dxa"/>
            </w:tcMar>
            <w:vAlign w:val="center"/>
            <w:hideMark/>
          </w:tcPr>
          <w:p w14:paraId="3B3C54A2" w14:textId="77777777" w:rsidR="00DF7032" w:rsidRDefault="00DF7032">
            <w:pPr>
              <w:rPr>
                <w:color w:val="000000"/>
              </w:rPr>
            </w:pPr>
            <w:r>
              <w:rPr>
                <w:color w:val="000000"/>
              </w:rPr>
              <w:t>No</w:t>
            </w:r>
          </w:p>
        </w:tc>
        <w:tc>
          <w:tcPr>
            <w:tcW w:w="1540" w:type="dxa"/>
            <w:tcBorders>
              <w:top w:val="nil"/>
              <w:left w:val="nil"/>
              <w:bottom w:val="single" w:sz="4" w:space="0" w:color="auto"/>
              <w:right w:val="nil"/>
            </w:tcBorders>
            <w:tcMar>
              <w:top w:w="15" w:type="dxa"/>
              <w:left w:w="15" w:type="dxa"/>
              <w:bottom w:w="0" w:type="dxa"/>
              <w:right w:w="15" w:type="dxa"/>
            </w:tcMar>
            <w:vAlign w:val="center"/>
            <w:hideMark/>
          </w:tcPr>
          <w:p w14:paraId="14879F73" w14:textId="77777777" w:rsidR="00DF7032" w:rsidRDefault="00DF7032">
            <w:pPr>
              <w:rPr>
                <w:color w:val="000000"/>
              </w:rPr>
            </w:pPr>
            <w:r>
              <w:rPr>
                <w:color w:val="000000"/>
              </w:rPr>
              <w:t>87</w:t>
            </w:r>
          </w:p>
        </w:tc>
        <w:tc>
          <w:tcPr>
            <w:tcW w:w="1280" w:type="dxa"/>
            <w:tcBorders>
              <w:top w:val="nil"/>
              <w:left w:val="nil"/>
              <w:bottom w:val="single" w:sz="4" w:space="0" w:color="auto"/>
              <w:right w:val="nil"/>
            </w:tcBorders>
            <w:tcMar>
              <w:top w:w="15" w:type="dxa"/>
              <w:left w:w="15" w:type="dxa"/>
              <w:bottom w:w="0" w:type="dxa"/>
              <w:right w:w="15" w:type="dxa"/>
            </w:tcMar>
            <w:vAlign w:val="center"/>
            <w:hideMark/>
          </w:tcPr>
          <w:p w14:paraId="31FCB507" w14:textId="77777777" w:rsidR="00DF7032" w:rsidRDefault="00DF7032">
            <w:pPr>
              <w:rPr>
                <w:color w:val="000000"/>
              </w:rPr>
            </w:pPr>
            <w:r>
              <w:rPr>
                <w:color w:val="000000"/>
              </w:rPr>
              <w:t>9</w:t>
            </w:r>
          </w:p>
        </w:tc>
        <w:tc>
          <w:tcPr>
            <w:tcW w:w="1420" w:type="dxa"/>
            <w:tcBorders>
              <w:top w:val="nil"/>
              <w:left w:val="nil"/>
              <w:bottom w:val="single" w:sz="4" w:space="0" w:color="auto"/>
              <w:right w:val="nil"/>
            </w:tcBorders>
            <w:tcMar>
              <w:top w:w="15" w:type="dxa"/>
              <w:left w:w="15" w:type="dxa"/>
              <w:bottom w:w="0" w:type="dxa"/>
              <w:right w:w="15" w:type="dxa"/>
            </w:tcMar>
            <w:vAlign w:val="center"/>
            <w:hideMark/>
          </w:tcPr>
          <w:p w14:paraId="46B99480" w14:textId="77777777" w:rsidR="00DF7032" w:rsidRDefault="00DF7032">
            <w:pPr>
              <w:rPr>
                <w:color w:val="000000"/>
              </w:rPr>
            </w:pPr>
            <w:r>
              <w:rPr>
                <w:color w:val="000000"/>
              </w:rPr>
              <w:t>94</w:t>
            </w:r>
          </w:p>
        </w:tc>
        <w:tc>
          <w:tcPr>
            <w:tcW w:w="1240" w:type="dxa"/>
            <w:tcBorders>
              <w:top w:val="nil"/>
              <w:left w:val="nil"/>
              <w:bottom w:val="single" w:sz="4" w:space="0" w:color="auto"/>
              <w:right w:val="nil"/>
            </w:tcBorders>
            <w:tcMar>
              <w:top w:w="15" w:type="dxa"/>
              <w:left w:w="15" w:type="dxa"/>
              <w:bottom w:w="0" w:type="dxa"/>
              <w:right w:w="15" w:type="dxa"/>
            </w:tcMar>
            <w:vAlign w:val="center"/>
            <w:hideMark/>
          </w:tcPr>
          <w:p w14:paraId="5882CCDD" w14:textId="77777777" w:rsidR="00DF7032" w:rsidRDefault="00DF7032">
            <w:pPr>
              <w:rPr>
                <w:b/>
                <w:bCs/>
                <w:color w:val="000000"/>
              </w:rPr>
            </w:pPr>
            <w:r>
              <w:rPr>
                <w:b/>
                <w:bCs/>
                <w:color w:val="000000"/>
              </w:rPr>
              <w:t>92.6</w:t>
            </w:r>
          </w:p>
        </w:tc>
        <w:tc>
          <w:tcPr>
            <w:tcW w:w="1420" w:type="dxa"/>
            <w:tcBorders>
              <w:top w:val="nil"/>
              <w:left w:val="nil"/>
              <w:bottom w:val="single" w:sz="4" w:space="0" w:color="auto"/>
              <w:right w:val="nil"/>
            </w:tcBorders>
            <w:tcMar>
              <w:top w:w="15" w:type="dxa"/>
              <w:left w:w="15" w:type="dxa"/>
              <w:bottom w:w="0" w:type="dxa"/>
              <w:right w:w="15" w:type="dxa"/>
            </w:tcMar>
            <w:vAlign w:val="center"/>
            <w:hideMark/>
          </w:tcPr>
          <w:p w14:paraId="2CFA1660" w14:textId="77777777" w:rsidR="00DF7032" w:rsidRDefault="00DF7032">
            <w:pPr>
              <w:rPr>
                <w:color w:val="000000"/>
              </w:rPr>
            </w:pPr>
            <w:r>
              <w:rPr>
                <w:color w:val="000000"/>
              </w:rPr>
              <w:t>7.4</w:t>
            </w:r>
          </w:p>
        </w:tc>
      </w:tr>
      <w:tr w:rsidR="00DF7032" w14:paraId="57958874" w14:textId="77777777">
        <w:trPr>
          <w:trHeight w:val="900"/>
        </w:trPr>
        <w:tc>
          <w:tcPr>
            <w:tcW w:w="1600" w:type="dxa"/>
            <w:vMerge w:val="restart"/>
            <w:tcBorders>
              <w:top w:val="nil"/>
              <w:left w:val="nil"/>
              <w:bottom w:val="double" w:sz="6" w:space="0" w:color="000000"/>
              <w:right w:val="nil"/>
            </w:tcBorders>
            <w:tcMar>
              <w:top w:w="15" w:type="dxa"/>
              <w:left w:w="15" w:type="dxa"/>
              <w:bottom w:w="0" w:type="dxa"/>
              <w:right w:w="15" w:type="dxa"/>
            </w:tcMar>
            <w:vAlign w:val="center"/>
            <w:hideMark/>
          </w:tcPr>
          <w:p w14:paraId="572A62B8" w14:textId="77777777" w:rsidR="00DF7032" w:rsidRDefault="00DF7032">
            <w:pPr>
              <w:jc w:val="center"/>
              <w:rPr>
                <w:b/>
                <w:bCs/>
                <w:color w:val="000000"/>
              </w:rPr>
            </w:pPr>
            <w:r>
              <w:rPr>
                <w:b/>
                <w:bCs/>
                <w:color w:val="000000"/>
              </w:rPr>
              <w:t>Visited Traditional Healer</w:t>
            </w:r>
          </w:p>
        </w:tc>
        <w:tc>
          <w:tcPr>
            <w:tcW w:w="1880" w:type="dxa"/>
            <w:tcBorders>
              <w:top w:val="nil"/>
              <w:left w:val="nil"/>
              <w:bottom w:val="nil"/>
              <w:right w:val="nil"/>
            </w:tcBorders>
            <w:tcMar>
              <w:top w:w="15" w:type="dxa"/>
              <w:left w:w="15" w:type="dxa"/>
              <w:bottom w:w="0" w:type="dxa"/>
              <w:right w:w="15" w:type="dxa"/>
            </w:tcMar>
            <w:vAlign w:val="center"/>
            <w:hideMark/>
          </w:tcPr>
          <w:p w14:paraId="101A0650" w14:textId="77777777" w:rsidR="00DF7032" w:rsidRDefault="00DF7032">
            <w:pPr>
              <w:rPr>
                <w:color w:val="000000"/>
              </w:rPr>
            </w:pPr>
            <w:r>
              <w:rPr>
                <w:color w:val="000000"/>
              </w:rPr>
              <w:t>Yes</w:t>
            </w:r>
          </w:p>
        </w:tc>
        <w:tc>
          <w:tcPr>
            <w:tcW w:w="1540" w:type="dxa"/>
            <w:tcBorders>
              <w:top w:val="nil"/>
              <w:left w:val="nil"/>
              <w:bottom w:val="nil"/>
              <w:right w:val="nil"/>
            </w:tcBorders>
            <w:tcMar>
              <w:top w:w="15" w:type="dxa"/>
              <w:left w:w="15" w:type="dxa"/>
              <w:bottom w:w="0" w:type="dxa"/>
              <w:right w:w="15" w:type="dxa"/>
            </w:tcMar>
            <w:vAlign w:val="center"/>
            <w:hideMark/>
          </w:tcPr>
          <w:p w14:paraId="5170D9E4" w14:textId="77777777" w:rsidR="00DF7032" w:rsidRDefault="00DF7032">
            <w:pPr>
              <w:rPr>
                <w:color w:val="000000"/>
              </w:rPr>
            </w:pPr>
            <w:r>
              <w:rPr>
                <w:color w:val="000000"/>
              </w:rPr>
              <w:t>34</w:t>
            </w:r>
          </w:p>
        </w:tc>
        <w:tc>
          <w:tcPr>
            <w:tcW w:w="1280" w:type="dxa"/>
            <w:tcBorders>
              <w:top w:val="nil"/>
              <w:left w:val="nil"/>
              <w:bottom w:val="nil"/>
              <w:right w:val="nil"/>
            </w:tcBorders>
            <w:tcMar>
              <w:top w:w="15" w:type="dxa"/>
              <w:left w:w="15" w:type="dxa"/>
              <w:bottom w:w="0" w:type="dxa"/>
              <w:right w:w="15" w:type="dxa"/>
            </w:tcMar>
            <w:vAlign w:val="center"/>
            <w:hideMark/>
          </w:tcPr>
          <w:p w14:paraId="7163EDD2" w14:textId="77777777" w:rsidR="00DF7032" w:rsidRDefault="00DF7032">
            <w:pPr>
              <w:rPr>
                <w:color w:val="000000"/>
              </w:rPr>
            </w:pPr>
            <w:r>
              <w:rPr>
                <w:color w:val="000000"/>
              </w:rPr>
              <w:t>14</w:t>
            </w:r>
          </w:p>
        </w:tc>
        <w:tc>
          <w:tcPr>
            <w:tcW w:w="1420" w:type="dxa"/>
            <w:tcBorders>
              <w:top w:val="nil"/>
              <w:left w:val="nil"/>
              <w:bottom w:val="nil"/>
              <w:right w:val="nil"/>
            </w:tcBorders>
            <w:tcMar>
              <w:top w:w="15" w:type="dxa"/>
              <w:left w:w="15" w:type="dxa"/>
              <w:bottom w:w="0" w:type="dxa"/>
              <w:right w:w="15" w:type="dxa"/>
            </w:tcMar>
            <w:vAlign w:val="center"/>
            <w:hideMark/>
          </w:tcPr>
          <w:p w14:paraId="21A78402" w14:textId="77777777" w:rsidR="00DF7032" w:rsidRDefault="00DF7032">
            <w:pPr>
              <w:rPr>
                <w:color w:val="000000"/>
              </w:rPr>
            </w:pPr>
            <w:r>
              <w:rPr>
                <w:color w:val="000000"/>
              </w:rPr>
              <w:t>48</w:t>
            </w:r>
          </w:p>
        </w:tc>
        <w:tc>
          <w:tcPr>
            <w:tcW w:w="1240" w:type="dxa"/>
            <w:tcBorders>
              <w:top w:val="nil"/>
              <w:left w:val="nil"/>
              <w:bottom w:val="nil"/>
              <w:right w:val="nil"/>
            </w:tcBorders>
            <w:tcMar>
              <w:top w:w="15" w:type="dxa"/>
              <w:left w:w="15" w:type="dxa"/>
              <w:bottom w:w="0" w:type="dxa"/>
              <w:right w:w="15" w:type="dxa"/>
            </w:tcMar>
            <w:vAlign w:val="center"/>
            <w:hideMark/>
          </w:tcPr>
          <w:p w14:paraId="327FF7CD" w14:textId="77777777" w:rsidR="00DF7032" w:rsidRDefault="00DF7032">
            <w:pPr>
              <w:rPr>
                <w:color w:val="000000"/>
              </w:rPr>
            </w:pPr>
            <w:r>
              <w:rPr>
                <w:color w:val="000000"/>
              </w:rPr>
              <w:t>70.8</w:t>
            </w:r>
          </w:p>
        </w:tc>
        <w:tc>
          <w:tcPr>
            <w:tcW w:w="1420" w:type="dxa"/>
            <w:tcBorders>
              <w:top w:val="nil"/>
              <w:left w:val="nil"/>
              <w:bottom w:val="nil"/>
              <w:right w:val="nil"/>
            </w:tcBorders>
            <w:tcMar>
              <w:top w:w="15" w:type="dxa"/>
              <w:left w:w="15" w:type="dxa"/>
              <w:bottom w:w="0" w:type="dxa"/>
              <w:right w:w="15" w:type="dxa"/>
            </w:tcMar>
            <w:vAlign w:val="center"/>
            <w:hideMark/>
          </w:tcPr>
          <w:p w14:paraId="72523A5A" w14:textId="77777777" w:rsidR="00DF7032" w:rsidRDefault="00DF7032">
            <w:pPr>
              <w:rPr>
                <w:color w:val="000000"/>
              </w:rPr>
            </w:pPr>
            <w:r>
              <w:rPr>
                <w:color w:val="000000"/>
              </w:rPr>
              <w:t>29.2</w:t>
            </w:r>
          </w:p>
        </w:tc>
      </w:tr>
      <w:tr w:rsidR="00DF7032" w14:paraId="45C2AE47" w14:textId="77777777">
        <w:trPr>
          <w:trHeight w:val="320"/>
        </w:trPr>
        <w:tc>
          <w:tcPr>
            <w:tcW w:w="0" w:type="auto"/>
            <w:vMerge/>
            <w:tcBorders>
              <w:top w:val="nil"/>
              <w:left w:val="nil"/>
              <w:bottom w:val="double" w:sz="6" w:space="0" w:color="000000"/>
              <w:right w:val="nil"/>
            </w:tcBorders>
            <w:vAlign w:val="center"/>
            <w:hideMark/>
          </w:tcPr>
          <w:p w14:paraId="1EA0AA6D" w14:textId="77777777" w:rsidR="00DF7032" w:rsidRDefault="00DF7032">
            <w:pPr>
              <w:rPr>
                <w:b/>
                <w:bCs/>
                <w:color w:val="000000"/>
              </w:rPr>
            </w:pPr>
          </w:p>
        </w:tc>
        <w:tc>
          <w:tcPr>
            <w:tcW w:w="1880" w:type="dxa"/>
            <w:tcBorders>
              <w:top w:val="nil"/>
              <w:left w:val="nil"/>
              <w:bottom w:val="double" w:sz="6" w:space="0" w:color="auto"/>
              <w:right w:val="nil"/>
            </w:tcBorders>
            <w:tcMar>
              <w:top w:w="15" w:type="dxa"/>
              <w:left w:w="15" w:type="dxa"/>
              <w:bottom w:w="0" w:type="dxa"/>
              <w:right w:w="15" w:type="dxa"/>
            </w:tcMar>
            <w:vAlign w:val="center"/>
            <w:hideMark/>
          </w:tcPr>
          <w:p w14:paraId="14B6DABD" w14:textId="77777777" w:rsidR="00DF7032" w:rsidRDefault="00DF7032">
            <w:pPr>
              <w:rPr>
                <w:color w:val="000000"/>
              </w:rPr>
            </w:pPr>
            <w:r>
              <w:rPr>
                <w:color w:val="000000"/>
              </w:rPr>
              <w:t>No</w:t>
            </w:r>
          </w:p>
        </w:tc>
        <w:tc>
          <w:tcPr>
            <w:tcW w:w="1540" w:type="dxa"/>
            <w:tcBorders>
              <w:top w:val="nil"/>
              <w:left w:val="nil"/>
              <w:bottom w:val="double" w:sz="6" w:space="0" w:color="auto"/>
              <w:right w:val="nil"/>
            </w:tcBorders>
            <w:tcMar>
              <w:top w:w="15" w:type="dxa"/>
              <w:left w:w="15" w:type="dxa"/>
              <w:bottom w:w="0" w:type="dxa"/>
              <w:right w:w="15" w:type="dxa"/>
            </w:tcMar>
            <w:vAlign w:val="center"/>
            <w:hideMark/>
          </w:tcPr>
          <w:p w14:paraId="45F22E8C" w14:textId="77777777" w:rsidR="00DF7032" w:rsidRDefault="00DF7032">
            <w:pPr>
              <w:rPr>
                <w:color w:val="000000"/>
              </w:rPr>
            </w:pPr>
            <w:r>
              <w:rPr>
                <w:color w:val="000000"/>
              </w:rPr>
              <w:t>91</w:t>
            </w:r>
          </w:p>
        </w:tc>
        <w:tc>
          <w:tcPr>
            <w:tcW w:w="1280" w:type="dxa"/>
            <w:tcBorders>
              <w:top w:val="nil"/>
              <w:left w:val="nil"/>
              <w:bottom w:val="double" w:sz="6" w:space="0" w:color="auto"/>
              <w:right w:val="nil"/>
            </w:tcBorders>
            <w:tcMar>
              <w:top w:w="15" w:type="dxa"/>
              <w:left w:w="15" w:type="dxa"/>
              <w:bottom w:w="0" w:type="dxa"/>
              <w:right w:w="15" w:type="dxa"/>
            </w:tcMar>
            <w:vAlign w:val="center"/>
            <w:hideMark/>
          </w:tcPr>
          <w:p w14:paraId="76F078F0" w14:textId="77777777" w:rsidR="00DF7032" w:rsidRDefault="00DF7032">
            <w:pPr>
              <w:rPr>
                <w:color w:val="000000"/>
              </w:rPr>
            </w:pPr>
            <w:r>
              <w:rPr>
                <w:color w:val="000000"/>
              </w:rPr>
              <w:t>18</w:t>
            </w:r>
          </w:p>
        </w:tc>
        <w:tc>
          <w:tcPr>
            <w:tcW w:w="1420" w:type="dxa"/>
            <w:tcBorders>
              <w:top w:val="nil"/>
              <w:left w:val="nil"/>
              <w:bottom w:val="double" w:sz="6" w:space="0" w:color="auto"/>
              <w:right w:val="nil"/>
            </w:tcBorders>
            <w:tcMar>
              <w:top w:w="15" w:type="dxa"/>
              <w:left w:w="15" w:type="dxa"/>
              <w:bottom w:w="0" w:type="dxa"/>
              <w:right w:w="15" w:type="dxa"/>
            </w:tcMar>
            <w:vAlign w:val="center"/>
            <w:hideMark/>
          </w:tcPr>
          <w:p w14:paraId="025C855A" w14:textId="77777777" w:rsidR="00DF7032" w:rsidRDefault="00DF7032">
            <w:pPr>
              <w:rPr>
                <w:color w:val="000000"/>
              </w:rPr>
            </w:pPr>
            <w:r>
              <w:rPr>
                <w:color w:val="000000"/>
              </w:rPr>
              <w:t>109</w:t>
            </w:r>
          </w:p>
        </w:tc>
        <w:tc>
          <w:tcPr>
            <w:tcW w:w="1240" w:type="dxa"/>
            <w:tcBorders>
              <w:top w:val="nil"/>
              <w:left w:val="nil"/>
              <w:bottom w:val="double" w:sz="6" w:space="0" w:color="auto"/>
              <w:right w:val="nil"/>
            </w:tcBorders>
            <w:tcMar>
              <w:top w:w="15" w:type="dxa"/>
              <w:left w:w="15" w:type="dxa"/>
              <w:bottom w:w="0" w:type="dxa"/>
              <w:right w:w="15" w:type="dxa"/>
            </w:tcMar>
            <w:vAlign w:val="center"/>
            <w:hideMark/>
          </w:tcPr>
          <w:p w14:paraId="32749268" w14:textId="77777777" w:rsidR="00DF7032" w:rsidRDefault="00DF7032">
            <w:pPr>
              <w:rPr>
                <w:b/>
                <w:bCs/>
                <w:color w:val="000000"/>
              </w:rPr>
            </w:pPr>
            <w:r>
              <w:rPr>
                <w:b/>
                <w:bCs/>
                <w:color w:val="000000"/>
              </w:rPr>
              <w:t>83.5</w:t>
            </w:r>
          </w:p>
        </w:tc>
        <w:tc>
          <w:tcPr>
            <w:tcW w:w="1420" w:type="dxa"/>
            <w:tcBorders>
              <w:top w:val="nil"/>
              <w:left w:val="nil"/>
              <w:bottom w:val="double" w:sz="6" w:space="0" w:color="auto"/>
              <w:right w:val="nil"/>
            </w:tcBorders>
            <w:tcMar>
              <w:top w:w="15" w:type="dxa"/>
              <w:left w:w="15" w:type="dxa"/>
              <w:bottom w:w="0" w:type="dxa"/>
              <w:right w:w="15" w:type="dxa"/>
            </w:tcMar>
            <w:vAlign w:val="center"/>
            <w:hideMark/>
          </w:tcPr>
          <w:p w14:paraId="3D2168EA" w14:textId="77777777" w:rsidR="00DF7032" w:rsidRDefault="00DF7032">
            <w:pPr>
              <w:rPr>
                <w:color w:val="000000"/>
              </w:rPr>
            </w:pPr>
            <w:r>
              <w:rPr>
                <w:color w:val="000000"/>
              </w:rPr>
              <w:t>16.5</w:t>
            </w:r>
          </w:p>
        </w:tc>
      </w:tr>
    </w:tbl>
    <w:p w14:paraId="7B50FC70" w14:textId="72E07BC4" w:rsidR="00D3210C" w:rsidRPr="00D3210C" w:rsidRDefault="00DF7032" w:rsidP="00D3210C">
      <w:r w:rsidRPr="00D3210C">
        <w:rPr>
          <w:i/>
          <w:iCs/>
        </w:rPr>
        <w:t xml:space="preserve"> </w:t>
      </w:r>
      <w:r w:rsidR="00D3210C" w:rsidRPr="00D3210C">
        <w:br/>
        <w:t>Cultural practices clearly influence ANC utilization. Attendance drops by nearly 20% among women who believe in traditional practices or observe pregnancy restrictions. Women who visited traditional healers are the least likely to attend ANC (71%). This underscores the dual reliance on traditional and biomedical systems and suggests that engagement with community elders and TBAs may be essential to bridge trust gaps.</w:t>
      </w:r>
    </w:p>
    <w:p w14:paraId="6CF1508B" w14:textId="77777777" w:rsidR="00D3210C" w:rsidRPr="00D3210C" w:rsidRDefault="00D3210C" w:rsidP="00D3210C">
      <w:pPr>
        <w:rPr>
          <w:b/>
          <w:bCs/>
        </w:rPr>
      </w:pPr>
      <w:r w:rsidRPr="00D3210C">
        <w:rPr>
          <w:b/>
          <w:bCs/>
        </w:rPr>
        <w:t>Table 4. Chi-square Test Results for Cultural Practices</w:t>
      </w:r>
    </w:p>
    <w:tbl>
      <w:tblPr>
        <w:tblW w:w="5000" w:type="pct"/>
        <w:tblCellMar>
          <w:left w:w="0" w:type="dxa"/>
          <w:right w:w="0" w:type="dxa"/>
        </w:tblCellMar>
        <w:tblLook w:val="04A0" w:firstRow="1" w:lastRow="0" w:firstColumn="1" w:lastColumn="0" w:noHBand="0" w:noVBand="1"/>
      </w:tblPr>
      <w:tblGrid>
        <w:gridCol w:w="2401"/>
        <w:gridCol w:w="1999"/>
        <w:gridCol w:w="1280"/>
        <w:gridCol w:w="1280"/>
        <w:gridCol w:w="2400"/>
      </w:tblGrid>
      <w:tr w:rsidR="00DB785C" w14:paraId="34036072" w14:textId="77777777" w:rsidTr="00DB785C">
        <w:trPr>
          <w:trHeight w:val="610"/>
        </w:trPr>
        <w:tc>
          <w:tcPr>
            <w:tcW w:w="1282" w:type="pct"/>
            <w:tcBorders>
              <w:top w:val="double" w:sz="6" w:space="0" w:color="auto"/>
              <w:left w:val="nil"/>
              <w:bottom w:val="double" w:sz="6" w:space="0" w:color="auto"/>
              <w:right w:val="nil"/>
            </w:tcBorders>
            <w:tcMar>
              <w:top w:w="15" w:type="dxa"/>
              <w:left w:w="15" w:type="dxa"/>
              <w:bottom w:w="0" w:type="dxa"/>
              <w:right w:w="15" w:type="dxa"/>
            </w:tcMar>
            <w:vAlign w:val="center"/>
            <w:hideMark/>
          </w:tcPr>
          <w:p w14:paraId="340CF009" w14:textId="77777777" w:rsidR="00DB785C" w:rsidRDefault="00DB785C">
            <w:pPr>
              <w:spacing w:line="240" w:lineRule="auto"/>
              <w:jc w:val="center"/>
              <w:rPr>
                <w:b/>
                <w:bCs/>
                <w:color w:val="000000"/>
              </w:rPr>
            </w:pPr>
            <w:r>
              <w:rPr>
                <w:b/>
                <w:bCs/>
                <w:color w:val="000000"/>
              </w:rPr>
              <w:t>Variable</w:t>
            </w:r>
          </w:p>
        </w:tc>
        <w:tc>
          <w:tcPr>
            <w:tcW w:w="1068" w:type="pct"/>
            <w:tcBorders>
              <w:top w:val="double" w:sz="6" w:space="0" w:color="auto"/>
              <w:left w:val="nil"/>
              <w:bottom w:val="double" w:sz="6" w:space="0" w:color="auto"/>
              <w:right w:val="nil"/>
            </w:tcBorders>
            <w:tcMar>
              <w:top w:w="15" w:type="dxa"/>
              <w:left w:w="15" w:type="dxa"/>
              <w:bottom w:w="0" w:type="dxa"/>
              <w:right w:w="15" w:type="dxa"/>
            </w:tcMar>
            <w:vAlign w:val="center"/>
            <w:hideMark/>
          </w:tcPr>
          <w:p w14:paraId="6F615D69" w14:textId="77777777" w:rsidR="00DB785C" w:rsidRDefault="00DB785C">
            <w:pPr>
              <w:jc w:val="center"/>
              <w:rPr>
                <w:b/>
                <w:bCs/>
                <w:color w:val="000000"/>
              </w:rPr>
            </w:pPr>
            <w:r>
              <w:rPr>
                <w:b/>
                <w:bCs/>
                <w:color w:val="000000"/>
              </w:rPr>
              <w:t>χ²</w:t>
            </w:r>
          </w:p>
        </w:tc>
        <w:tc>
          <w:tcPr>
            <w:tcW w:w="684" w:type="pct"/>
            <w:tcBorders>
              <w:top w:val="double" w:sz="6" w:space="0" w:color="auto"/>
              <w:left w:val="nil"/>
              <w:bottom w:val="double" w:sz="6" w:space="0" w:color="auto"/>
              <w:right w:val="nil"/>
            </w:tcBorders>
            <w:tcMar>
              <w:top w:w="15" w:type="dxa"/>
              <w:left w:w="15" w:type="dxa"/>
              <w:bottom w:w="0" w:type="dxa"/>
              <w:right w:w="15" w:type="dxa"/>
            </w:tcMar>
            <w:vAlign w:val="center"/>
            <w:hideMark/>
          </w:tcPr>
          <w:p w14:paraId="054984AD" w14:textId="77777777" w:rsidR="00DB785C" w:rsidRDefault="00DB785C">
            <w:pPr>
              <w:jc w:val="center"/>
              <w:rPr>
                <w:b/>
                <w:bCs/>
                <w:color w:val="000000"/>
              </w:rPr>
            </w:pPr>
            <w:proofErr w:type="spellStart"/>
            <w:r>
              <w:rPr>
                <w:b/>
                <w:bCs/>
                <w:color w:val="000000"/>
              </w:rPr>
              <w:t>df</w:t>
            </w:r>
            <w:proofErr w:type="spellEnd"/>
          </w:p>
        </w:tc>
        <w:tc>
          <w:tcPr>
            <w:tcW w:w="684" w:type="pct"/>
            <w:tcBorders>
              <w:top w:val="double" w:sz="6" w:space="0" w:color="auto"/>
              <w:left w:val="nil"/>
              <w:bottom w:val="double" w:sz="6" w:space="0" w:color="auto"/>
              <w:right w:val="nil"/>
            </w:tcBorders>
            <w:tcMar>
              <w:top w:w="15" w:type="dxa"/>
              <w:left w:w="15" w:type="dxa"/>
              <w:bottom w:w="0" w:type="dxa"/>
              <w:right w:w="15" w:type="dxa"/>
            </w:tcMar>
            <w:vAlign w:val="center"/>
            <w:hideMark/>
          </w:tcPr>
          <w:p w14:paraId="70739A51" w14:textId="77777777" w:rsidR="00DB785C" w:rsidRDefault="00DB785C">
            <w:pPr>
              <w:jc w:val="center"/>
              <w:rPr>
                <w:b/>
                <w:bCs/>
                <w:color w:val="000000"/>
              </w:rPr>
            </w:pPr>
            <w:r>
              <w:rPr>
                <w:b/>
                <w:bCs/>
                <w:color w:val="000000"/>
              </w:rPr>
              <w:t>p-value</w:t>
            </w:r>
          </w:p>
        </w:tc>
        <w:tc>
          <w:tcPr>
            <w:tcW w:w="1282" w:type="pct"/>
            <w:tcBorders>
              <w:top w:val="double" w:sz="6" w:space="0" w:color="auto"/>
              <w:left w:val="nil"/>
              <w:bottom w:val="double" w:sz="6" w:space="0" w:color="auto"/>
              <w:right w:val="nil"/>
            </w:tcBorders>
            <w:tcMar>
              <w:top w:w="15" w:type="dxa"/>
              <w:left w:w="15" w:type="dxa"/>
              <w:bottom w:w="0" w:type="dxa"/>
              <w:right w:w="15" w:type="dxa"/>
            </w:tcMar>
            <w:vAlign w:val="center"/>
            <w:hideMark/>
          </w:tcPr>
          <w:p w14:paraId="1DF3FB7B" w14:textId="77777777" w:rsidR="00DB785C" w:rsidRDefault="00DB785C">
            <w:pPr>
              <w:jc w:val="center"/>
              <w:rPr>
                <w:b/>
                <w:bCs/>
                <w:color w:val="000000"/>
              </w:rPr>
            </w:pPr>
            <w:r>
              <w:rPr>
                <w:b/>
                <w:bCs/>
                <w:color w:val="000000"/>
              </w:rPr>
              <w:t>Significance</w:t>
            </w:r>
          </w:p>
        </w:tc>
      </w:tr>
      <w:tr w:rsidR="00DB785C" w14:paraId="4502AE08" w14:textId="77777777" w:rsidTr="00DB785C">
        <w:trPr>
          <w:trHeight w:val="940"/>
        </w:trPr>
        <w:tc>
          <w:tcPr>
            <w:tcW w:w="1282" w:type="pct"/>
            <w:tcBorders>
              <w:top w:val="nil"/>
              <w:left w:val="nil"/>
              <w:bottom w:val="nil"/>
              <w:right w:val="nil"/>
            </w:tcBorders>
            <w:tcMar>
              <w:top w:w="15" w:type="dxa"/>
              <w:left w:w="15" w:type="dxa"/>
              <w:bottom w:w="0" w:type="dxa"/>
              <w:right w:w="15" w:type="dxa"/>
            </w:tcMar>
            <w:vAlign w:val="center"/>
            <w:hideMark/>
          </w:tcPr>
          <w:p w14:paraId="0097C930" w14:textId="77777777" w:rsidR="00DB785C" w:rsidRDefault="00DB785C">
            <w:pPr>
              <w:jc w:val="left"/>
              <w:rPr>
                <w:color w:val="000000"/>
              </w:rPr>
            </w:pPr>
            <w:r>
              <w:rPr>
                <w:color w:val="000000"/>
              </w:rPr>
              <w:t>Belief in Traditional Practices</w:t>
            </w:r>
          </w:p>
        </w:tc>
        <w:tc>
          <w:tcPr>
            <w:tcW w:w="1068" w:type="pct"/>
            <w:tcBorders>
              <w:top w:val="nil"/>
              <w:left w:val="nil"/>
              <w:bottom w:val="nil"/>
              <w:right w:val="nil"/>
            </w:tcBorders>
            <w:tcMar>
              <w:top w:w="15" w:type="dxa"/>
              <w:left w:w="15" w:type="dxa"/>
              <w:bottom w:w="0" w:type="dxa"/>
              <w:right w:w="15" w:type="dxa"/>
            </w:tcMar>
            <w:vAlign w:val="center"/>
            <w:hideMark/>
          </w:tcPr>
          <w:p w14:paraId="5A0DECC2" w14:textId="77777777" w:rsidR="00DB785C" w:rsidRDefault="00DB785C">
            <w:pPr>
              <w:jc w:val="center"/>
              <w:rPr>
                <w:color w:val="000000"/>
              </w:rPr>
            </w:pPr>
            <w:r>
              <w:rPr>
                <w:color w:val="000000"/>
              </w:rPr>
              <w:t>6.41</w:t>
            </w:r>
          </w:p>
        </w:tc>
        <w:tc>
          <w:tcPr>
            <w:tcW w:w="684" w:type="pct"/>
            <w:tcBorders>
              <w:top w:val="nil"/>
              <w:left w:val="nil"/>
              <w:bottom w:val="nil"/>
              <w:right w:val="nil"/>
            </w:tcBorders>
            <w:tcMar>
              <w:top w:w="15" w:type="dxa"/>
              <w:left w:w="15" w:type="dxa"/>
              <w:bottom w:w="0" w:type="dxa"/>
              <w:right w:w="15" w:type="dxa"/>
            </w:tcMar>
            <w:vAlign w:val="center"/>
            <w:hideMark/>
          </w:tcPr>
          <w:p w14:paraId="6340C2C4" w14:textId="77777777" w:rsidR="00DB785C" w:rsidRDefault="00DB785C">
            <w:pPr>
              <w:jc w:val="center"/>
              <w:rPr>
                <w:color w:val="000000"/>
              </w:rPr>
            </w:pPr>
            <w:r>
              <w:rPr>
                <w:color w:val="000000"/>
              </w:rPr>
              <w:t>1</w:t>
            </w:r>
          </w:p>
        </w:tc>
        <w:tc>
          <w:tcPr>
            <w:tcW w:w="684" w:type="pct"/>
            <w:tcBorders>
              <w:top w:val="nil"/>
              <w:left w:val="nil"/>
              <w:bottom w:val="nil"/>
              <w:right w:val="nil"/>
            </w:tcBorders>
            <w:tcMar>
              <w:top w:w="15" w:type="dxa"/>
              <w:left w:w="15" w:type="dxa"/>
              <w:bottom w:w="0" w:type="dxa"/>
              <w:right w:w="15" w:type="dxa"/>
            </w:tcMar>
            <w:vAlign w:val="center"/>
            <w:hideMark/>
          </w:tcPr>
          <w:p w14:paraId="467CBAE9" w14:textId="77777777" w:rsidR="00DB785C" w:rsidRDefault="00DB785C">
            <w:pPr>
              <w:jc w:val="center"/>
              <w:rPr>
                <w:color w:val="000000"/>
              </w:rPr>
            </w:pPr>
            <w:r>
              <w:rPr>
                <w:color w:val="000000"/>
              </w:rPr>
              <w:t>0.011</w:t>
            </w:r>
          </w:p>
        </w:tc>
        <w:tc>
          <w:tcPr>
            <w:tcW w:w="1282" w:type="pct"/>
            <w:tcBorders>
              <w:top w:val="nil"/>
              <w:left w:val="nil"/>
              <w:bottom w:val="nil"/>
              <w:right w:val="nil"/>
            </w:tcBorders>
            <w:tcMar>
              <w:top w:w="15" w:type="dxa"/>
              <w:left w:w="15" w:type="dxa"/>
              <w:bottom w:w="0" w:type="dxa"/>
              <w:right w:w="15" w:type="dxa"/>
            </w:tcMar>
            <w:vAlign w:val="center"/>
            <w:hideMark/>
          </w:tcPr>
          <w:p w14:paraId="3A1B5117" w14:textId="77777777" w:rsidR="00DB785C" w:rsidRDefault="00DB785C">
            <w:pPr>
              <w:rPr>
                <w:b/>
                <w:bCs/>
                <w:color w:val="000000"/>
              </w:rPr>
            </w:pPr>
            <w:r>
              <w:rPr>
                <w:b/>
                <w:bCs/>
                <w:color w:val="000000"/>
              </w:rPr>
              <w:t>Significant</w:t>
            </w:r>
          </w:p>
        </w:tc>
      </w:tr>
      <w:tr w:rsidR="00DB785C" w14:paraId="79BC5100" w14:textId="77777777" w:rsidTr="00DB785C">
        <w:trPr>
          <w:trHeight w:val="620"/>
        </w:trPr>
        <w:tc>
          <w:tcPr>
            <w:tcW w:w="1282" w:type="pct"/>
            <w:tcBorders>
              <w:top w:val="nil"/>
              <w:left w:val="nil"/>
              <w:bottom w:val="nil"/>
              <w:right w:val="nil"/>
            </w:tcBorders>
            <w:tcMar>
              <w:top w:w="15" w:type="dxa"/>
              <w:left w:w="15" w:type="dxa"/>
              <w:bottom w:w="0" w:type="dxa"/>
              <w:right w:w="15" w:type="dxa"/>
            </w:tcMar>
            <w:vAlign w:val="center"/>
            <w:hideMark/>
          </w:tcPr>
          <w:p w14:paraId="12DB381C" w14:textId="77777777" w:rsidR="00DB785C" w:rsidRDefault="00DB785C">
            <w:pPr>
              <w:jc w:val="left"/>
              <w:rPr>
                <w:color w:val="000000"/>
              </w:rPr>
            </w:pPr>
            <w:r>
              <w:rPr>
                <w:color w:val="000000"/>
              </w:rPr>
              <w:t>Cultural Restrictions</w:t>
            </w:r>
          </w:p>
        </w:tc>
        <w:tc>
          <w:tcPr>
            <w:tcW w:w="1068" w:type="pct"/>
            <w:tcBorders>
              <w:top w:val="nil"/>
              <w:left w:val="nil"/>
              <w:bottom w:val="nil"/>
              <w:right w:val="nil"/>
            </w:tcBorders>
            <w:tcMar>
              <w:top w:w="15" w:type="dxa"/>
              <w:left w:w="15" w:type="dxa"/>
              <w:bottom w:w="0" w:type="dxa"/>
              <w:right w:w="15" w:type="dxa"/>
            </w:tcMar>
            <w:vAlign w:val="center"/>
            <w:hideMark/>
          </w:tcPr>
          <w:p w14:paraId="7F043D6B" w14:textId="77777777" w:rsidR="00DB785C" w:rsidRDefault="00DB785C">
            <w:pPr>
              <w:jc w:val="center"/>
              <w:rPr>
                <w:color w:val="000000"/>
              </w:rPr>
            </w:pPr>
            <w:r>
              <w:rPr>
                <w:color w:val="000000"/>
              </w:rPr>
              <w:t>3.98</w:t>
            </w:r>
          </w:p>
        </w:tc>
        <w:tc>
          <w:tcPr>
            <w:tcW w:w="684" w:type="pct"/>
            <w:tcBorders>
              <w:top w:val="nil"/>
              <w:left w:val="nil"/>
              <w:bottom w:val="nil"/>
              <w:right w:val="nil"/>
            </w:tcBorders>
            <w:tcMar>
              <w:top w:w="15" w:type="dxa"/>
              <w:left w:w="15" w:type="dxa"/>
              <w:bottom w:w="0" w:type="dxa"/>
              <w:right w:w="15" w:type="dxa"/>
            </w:tcMar>
            <w:vAlign w:val="center"/>
            <w:hideMark/>
          </w:tcPr>
          <w:p w14:paraId="60B53B5D" w14:textId="77777777" w:rsidR="00DB785C" w:rsidRDefault="00DB785C">
            <w:pPr>
              <w:jc w:val="center"/>
              <w:rPr>
                <w:color w:val="000000"/>
              </w:rPr>
            </w:pPr>
            <w:r>
              <w:rPr>
                <w:color w:val="000000"/>
              </w:rPr>
              <w:t>1</w:t>
            </w:r>
          </w:p>
        </w:tc>
        <w:tc>
          <w:tcPr>
            <w:tcW w:w="684" w:type="pct"/>
            <w:tcBorders>
              <w:top w:val="nil"/>
              <w:left w:val="nil"/>
              <w:bottom w:val="nil"/>
              <w:right w:val="nil"/>
            </w:tcBorders>
            <w:tcMar>
              <w:top w:w="15" w:type="dxa"/>
              <w:left w:w="15" w:type="dxa"/>
              <w:bottom w:w="0" w:type="dxa"/>
              <w:right w:w="15" w:type="dxa"/>
            </w:tcMar>
            <w:vAlign w:val="center"/>
            <w:hideMark/>
          </w:tcPr>
          <w:p w14:paraId="23B3449D" w14:textId="77777777" w:rsidR="00DB785C" w:rsidRDefault="00DB785C">
            <w:pPr>
              <w:jc w:val="center"/>
              <w:rPr>
                <w:color w:val="000000"/>
              </w:rPr>
            </w:pPr>
            <w:r>
              <w:rPr>
                <w:color w:val="000000"/>
              </w:rPr>
              <w:t>0.046</w:t>
            </w:r>
          </w:p>
        </w:tc>
        <w:tc>
          <w:tcPr>
            <w:tcW w:w="1282" w:type="pct"/>
            <w:tcBorders>
              <w:top w:val="nil"/>
              <w:left w:val="nil"/>
              <w:bottom w:val="nil"/>
              <w:right w:val="nil"/>
            </w:tcBorders>
            <w:tcMar>
              <w:top w:w="15" w:type="dxa"/>
              <w:left w:w="15" w:type="dxa"/>
              <w:bottom w:w="0" w:type="dxa"/>
              <w:right w:w="15" w:type="dxa"/>
            </w:tcMar>
            <w:vAlign w:val="center"/>
            <w:hideMark/>
          </w:tcPr>
          <w:p w14:paraId="2F5C0F1B" w14:textId="77777777" w:rsidR="00DB785C" w:rsidRDefault="00DB785C">
            <w:pPr>
              <w:rPr>
                <w:b/>
                <w:bCs/>
                <w:color w:val="000000"/>
              </w:rPr>
            </w:pPr>
            <w:r>
              <w:rPr>
                <w:b/>
                <w:bCs/>
                <w:color w:val="000000"/>
              </w:rPr>
              <w:t>Significant</w:t>
            </w:r>
          </w:p>
        </w:tc>
      </w:tr>
      <w:tr w:rsidR="00DB785C" w14:paraId="633800B3" w14:textId="77777777" w:rsidTr="00DB785C">
        <w:trPr>
          <w:trHeight w:val="940"/>
        </w:trPr>
        <w:tc>
          <w:tcPr>
            <w:tcW w:w="1282" w:type="pct"/>
            <w:tcBorders>
              <w:top w:val="nil"/>
              <w:left w:val="nil"/>
              <w:bottom w:val="double" w:sz="6" w:space="0" w:color="auto"/>
              <w:right w:val="nil"/>
            </w:tcBorders>
            <w:tcMar>
              <w:top w:w="15" w:type="dxa"/>
              <w:left w:w="15" w:type="dxa"/>
              <w:bottom w:w="0" w:type="dxa"/>
              <w:right w:w="15" w:type="dxa"/>
            </w:tcMar>
            <w:vAlign w:val="center"/>
            <w:hideMark/>
          </w:tcPr>
          <w:p w14:paraId="487C772B" w14:textId="77777777" w:rsidR="00DB785C" w:rsidRDefault="00DB785C">
            <w:pPr>
              <w:jc w:val="left"/>
              <w:rPr>
                <w:color w:val="000000"/>
              </w:rPr>
            </w:pPr>
            <w:r>
              <w:rPr>
                <w:color w:val="000000"/>
              </w:rPr>
              <w:t>Visited Traditional Healer</w:t>
            </w:r>
          </w:p>
        </w:tc>
        <w:tc>
          <w:tcPr>
            <w:tcW w:w="1068" w:type="pct"/>
            <w:tcBorders>
              <w:top w:val="nil"/>
              <w:left w:val="nil"/>
              <w:bottom w:val="double" w:sz="6" w:space="0" w:color="auto"/>
              <w:right w:val="nil"/>
            </w:tcBorders>
            <w:tcMar>
              <w:top w:w="15" w:type="dxa"/>
              <w:left w:w="15" w:type="dxa"/>
              <w:bottom w:w="0" w:type="dxa"/>
              <w:right w:w="15" w:type="dxa"/>
            </w:tcMar>
            <w:vAlign w:val="center"/>
            <w:hideMark/>
          </w:tcPr>
          <w:p w14:paraId="69F4845C" w14:textId="77777777" w:rsidR="00DB785C" w:rsidRDefault="00DB785C">
            <w:pPr>
              <w:jc w:val="center"/>
              <w:rPr>
                <w:color w:val="000000"/>
              </w:rPr>
            </w:pPr>
            <w:r>
              <w:rPr>
                <w:color w:val="000000"/>
              </w:rPr>
              <w:t>5.26</w:t>
            </w:r>
          </w:p>
        </w:tc>
        <w:tc>
          <w:tcPr>
            <w:tcW w:w="684" w:type="pct"/>
            <w:tcBorders>
              <w:top w:val="nil"/>
              <w:left w:val="nil"/>
              <w:bottom w:val="double" w:sz="6" w:space="0" w:color="auto"/>
              <w:right w:val="nil"/>
            </w:tcBorders>
            <w:tcMar>
              <w:top w:w="15" w:type="dxa"/>
              <w:left w:w="15" w:type="dxa"/>
              <w:bottom w:w="0" w:type="dxa"/>
              <w:right w:w="15" w:type="dxa"/>
            </w:tcMar>
            <w:vAlign w:val="center"/>
            <w:hideMark/>
          </w:tcPr>
          <w:p w14:paraId="6486B229" w14:textId="77777777" w:rsidR="00DB785C" w:rsidRDefault="00DB785C">
            <w:pPr>
              <w:jc w:val="center"/>
              <w:rPr>
                <w:color w:val="000000"/>
              </w:rPr>
            </w:pPr>
            <w:r>
              <w:rPr>
                <w:color w:val="000000"/>
              </w:rPr>
              <w:t>1</w:t>
            </w:r>
          </w:p>
        </w:tc>
        <w:tc>
          <w:tcPr>
            <w:tcW w:w="684" w:type="pct"/>
            <w:tcBorders>
              <w:top w:val="nil"/>
              <w:left w:val="nil"/>
              <w:bottom w:val="double" w:sz="6" w:space="0" w:color="auto"/>
              <w:right w:val="nil"/>
            </w:tcBorders>
            <w:tcMar>
              <w:top w:w="15" w:type="dxa"/>
              <w:left w:w="15" w:type="dxa"/>
              <w:bottom w:w="0" w:type="dxa"/>
              <w:right w:w="15" w:type="dxa"/>
            </w:tcMar>
            <w:vAlign w:val="center"/>
            <w:hideMark/>
          </w:tcPr>
          <w:p w14:paraId="1E6DA896" w14:textId="77777777" w:rsidR="00DB785C" w:rsidRDefault="00DB785C">
            <w:pPr>
              <w:jc w:val="center"/>
              <w:rPr>
                <w:color w:val="000000"/>
              </w:rPr>
            </w:pPr>
            <w:r>
              <w:rPr>
                <w:color w:val="000000"/>
              </w:rPr>
              <w:t>0.022</w:t>
            </w:r>
          </w:p>
        </w:tc>
        <w:tc>
          <w:tcPr>
            <w:tcW w:w="1282" w:type="pct"/>
            <w:tcBorders>
              <w:top w:val="nil"/>
              <w:left w:val="nil"/>
              <w:bottom w:val="double" w:sz="6" w:space="0" w:color="auto"/>
              <w:right w:val="nil"/>
            </w:tcBorders>
            <w:tcMar>
              <w:top w:w="15" w:type="dxa"/>
              <w:left w:w="15" w:type="dxa"/>
              <w:bottom w:w="0" w:type="dxa"/>
              <w:right w:w="15" w:type="dxa"/>
            </w:tcMar>
            <w:vAlign w:val="center"/>
            <w:hideMark/>
          </w:tcPr>
          <w:p w14:paraId="6FE9463A" w14:textId="77777777" w:rsidR="00DB785C" w:rsidRDefault="00DB785C">
            <w:pPr>
              <w:rPr>
                <w:b/>
                <w:bCs/>
                <w:color w:val="000000"/>
              </w:rPr>
            </w:pPr>
            <w:r>
              <w:rPr>
                <w:b/>
                <w:bCs/>
                <w:color w:val="000000"/>
              </w:rPr>
              <w:t>Significant</w:t>
            </w:r>
          </w:p>
        </w:tc>
      </w:tr>
    </w:tbl>
    <w:p w14:paraId="23019A61" w14:textId="77777777" w:rsidR="00DB785C" w:rsidRDefault="00DB785C" w:rsidP="00D3210C">
      <w:pPr>
        <w:rPr>
          <w:i/>
          <w:iCs/>
        </w:rPr>
      </w:pPr>
    </w:p>
    <w:p w14:paraId="09242054" w14:textId="0FDD74AC" w:rsidR="00D3210C" w:rsidRPr="00D3210C" w:rsidRDefault="00D3210C" w:rsidP="00D3210C">
      <w:r w:rsidRPr="00D3210C">
        <w:lastRenderedPageBreak/>
        <w:t>All cultural belief indicators show statistically significant associations with ANC attendance. Traditional beliefs and practices act as cultural barriers, reinforcing the need for culturally informed health promotion strategies that engage traditional leaders, faith-based institutions, and women’s groups to correct misconceptions and align cultural norms with safe maternal-health practices.</w:t>
      </w:r>
    </w:p>
    <w:p w14:paraId="49F8EA4A" w14:textId="1B60E9EA" w:rsidR="00D3210C" w:rsidRPr="00D3210C" w:rsidRDefault="00D3210C" w:rsidP="00D3210C">
      <w:pPr>
        <w:rPr>
          <w:b/>
          <w:bCs/>
        </w:rPr>
      </w:pPr>
      <w:r w:rsidRPr="00D3210C">
        <w:rPr>
          <w:b/>
          <w:bCs/>
        </w:rPr>
        <w:t>Health System–Related Factors Influencing ANC Attendance</w:t>
      </w:r>
    </w:p>
    <w:p w14:paraId="6D41066D" w14:textId="77777777" w:rsidR="00D3210C" w:rsidRPr="00D3210C" w:rsidRDefault="00D3210C" w:rsidP="00D3210C">
      <w:r w:rsidRPr="00D3210C">
        <w:t>Proximity, service quality, and staff attitude play central roles in ANC attendance decisions. Over 40% of women describe their health facility as “far,” 52% experience long waiting times, and 29% report encountering unfriendly healthcare workers.</w:t>
      </w:r>
    </w:p>
    <w:p w14:paraId="72A072DD" w14:textId="77777777" w:rsidR="00D3210C" w:rsidRPr="00D3210C" w:rsidRDefault="00D3210C" w:rsidP="00D3210C">
      <w:pPr>
        <w:rPr>
          <w:b/>
          <w:bCs/>
        </w:rPr>
      </w:pPr>
      <w:r w:rsidRPr="00D3210C">
        <w:rPr>
          <w:b/>
          <w:bCs/>
        </w:rPr>
        <w:t>Table 5. Health System Factors and ANC Attendance</w:t>
      </w:r>
    </w:p>
    <w:tbl>
      <w:tblPr>
        <w:tblW w:w="5000" w:type="pct"/>
        <w:tblLook w:val="04A0" w:firstRow="1" w:lastRow="0" w:firstColumn="1" w:lastColumn="0" w:noHBand="0" w:noVBand="1"/>
      </w:tblPr>
      <w:tblGrid>
        <w:gridCol w:w="1713"/>
        <w:gridCol w:w="1168"/>
        <w:gridCol w:w="1567"/>
        <w:gridCol w:w="1309"/>
        <w:gridCol w:w="799"/>
        <w:gridCol w:w="1168"/>
        <w:gridCol w:w="1636"/>
      </w:tblGrid>
      <w:tr w:rsidR="00DB785C" w:rsidRPr="00DB785C" w14:paraId="59412378" w14:textId="77777777" w:rsidTr="00DB785C">
        <w:trPr>
          <w:trHeight w:val="620"/>
        </w:trPr>
        <w:tc>
          <w:tcPr>
            <w:tcW w:w="915" w:type="pct"/>
            <w:tcBorders>
              <w:top w:val="double" w:sz="6" w:space="0" w:color="auto"/>
              <w:left w:val="nil"/>
              <w:bottom w:val="double" w:sz="6" w:space="0" w:color="auto"/>
              <w:right w:val="nil"/>
            </w:tcBorders>
            <w:vAlign w:val="center"/>
            <w:hideMark/>
          </w:tcPr>
          <w:p w14:paraId="5B489C16"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Variable</w:t>
            </w:r>
          </w:p>
        </w:tc>
        <w:tc>
          <w:tcPr>
            <w:tcW w:w="624" w:type="pct"/>
            <w:tcBorders>
              <w:top w:val="double" w:sz="6" w:space="0" w:color="auto"/>
              <w:left w:val="nil"/>
              <w:bottom w:val="double" w:sz="6" w:space="0" w:color="auto"/>
              <w:right w:val="nil"/>
            </w:tcBorders>
            <w:vAlign w:val="center"/>
            <w:hideMark/>
          </w:tcPr>
          <w:p w14:paraId="0B98DA14"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Category</w:t>
            </w:r>
          </w:p>
        </w:tc>
        <w:tc>
          <w:tcPr>
            <w:tcW w:w="837" w:type="pct"/>
            <w:tcBorders>
              <w:top w:val="double" w:sz="6" w:space="0" w:color="auto"/>
              <w:left w:val="nil"/>
              <w:bottom w:val="double" w:sz="6" w:space="0" w:color="auto"/>
              <w:right w:val="nil"/>
            </w:tcBorders>
            <w:vAlign w:val="center"/>
            <w:hideMark/>
          </w:tcPr>
          <w:p w14:paraId="01F2DBD4"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Attended ANC</w:t>
            </w:r>
          </w:p>
        </w:tc>
        <w:tc>
          <w:tcPr>
            <w:tcW w:w="699" w:type="pct"/>
            <w:tcBorders>
              <w:top w:val="double" w:sz="6" w:space="0" w:color="auto"/>
              <w:left w:val="nil"/>
              <w:bottom w:val="double" w:sz="6" w:space="0" w:color="auto"/>
              <w:right w:val="nil"/>
            </w:tcBorders>
            <w:vAlign w:val="center"/>
            <w:hideMark/>
          </w:tcPr>
          <w:p w14:paraId="5CE80E15"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Did Not Attend</w:t>
            </w:r>
          </w:p>
        </w:tc>
        <w:tc>
          <w:tcPr>
            <w:tcW w:w="427" w:type="pct"/>
            <w:tcBorders>
              <w:top w:val="double" w:sz="6" w:space="0" w:color="auto"/>
              <w:left w:val="nil"/>
              <w:bottom w:val="double" w:sz="6" w:space="0" w:color="auto"/>
              <w:right w:val="nil"/>
            </w:tcBorders>
            <w:vAlign w:val="center"/>
            <w:hideMark/>
          </w:tcPr>
          <w:p w14:paraId="4D713311"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Total</w:t>
            </w:r>
          </w:p>
        </w:tc>
        <w:tc>
          <w:tcPr>
            <w:tcW w:w="624" w:type="pct"/>
            <w:tcBorders>
              <w:top w:val="double" w:sz="6" w:space="0" w:color="auto"/>
              <w:left w:val="nil"/>
              <w:bottom w:val="double" w:sz="6" w:space="0" w:color="auto"/>
              <w:right w:val="nil"/>
            </w:tcBorders>
            <w:vAlign w:val="center"/>
            <w:hideMark/>
          </w:tcPr>
          <w:p w14:paraId="0AC0F230"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Attended (%)</w:t>
            </w:r>
          </w:p>
        </w:tc>
        <w:tc>
          <w:tcPr>
            <w:tcW w:w="874" w:type="pct"/>
            <w:tcBorders>
              <w:top w:val="double" w:sz="6" w:space="0" w:color="auto"/>
              <w:left w:val="nil"/>
              <w:bottom w:val="double" w:sz="6" w:space="0" w:color="auto"/>
              <w:right w:val="nil"/>
            </w:tcBorders>
            <w:vAlign w:val="center"/>
            <w:hideMark/>
          </w:tcPr>
          <w:p w14:paraId="2717DB34"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Not Attended (%)</w:t>
            </w:r>
          </w:p>
        </w:tc>
      </w:tr>
      <w:tr w:rsidR="00DB785C" w:rsidRPr="00DB785C" w14:paraId="7C3CB4CA" w14:textId="77777777" w:rsidTr="00DB785C">
        <w:trPr>
          <w:trHeight w:val="610"/>
        </w:trPr>
        <w:tc>
          <w:tcPr>
            <w:tcW w:w="915" w:type="pct"/>
            <w:vMerge w:val="restart"/>
            <w:tcBorders>
              <w:top w:val="nil"/>
              <w:left w:val="nil"/>
              <w:bottom w:val="nil"/>
              <w:right w:val="nil"/>
            </w:tcBorders>
            <w:vAlign w:val="center"/>
            <w:hideMark/>
          </w:tcPr>
          <w:p w14:paraId="32FA9AAC" w14:textId="77777777" w:rsidR="00DB785C" w:rsidRPr="00DB785C" w:rsidRDefault="00DB785C" w:rsidP="00DB785C">
            <w:pPr>
              <w:spacing w:after="0" w:line="240" w:lineRule="auto"/>
              <w:jc w:val="left"/>
              <w:rPr>
                <w:rFonts w:eastAsia="Times New Roman" w:cs="Times New Roman"/>
                <w:b/>
                <w:bCs/>
                <w:color w:val="000000"/>
                <w:kern w:val="0"/>
                <w14:ligatures w14:val="none"/>
              </w:rPr>
            </w:pPr>
            <w:r w:rsidRPr="00DB785C">
              <w:rPr>
                <w:rFonts w:eastAsia="Times New Roman" w:cs="Times New Roman"/>
                <w:b/>
                <w:bCs/>
                <w:color w:val="000000"/>
                <w:kern w:val="0"/>
                <w14:ligatures w14:val="none"/>
              </w:rPr>
              <w:t>Distance to Facility</w:t>
            </w:r>
          </w:p>
        </w:tc>
        <w:tc>
          <w:tcPr>
            <w:tcW w:w="624" w:type="pct"/>
            <w:tcBorders>
              <w:top w:val="nil"/>
              <w:left w:val="nil"/>
              <w:bottom w:val="nil"/>
              <w:right w:val="nil"/>
            </w:tcBorders>
            <w:vAlign w:val="center"/>
            <w:hideMark/>
          </w:tcPr>
          <w:p w14:paraId="530C776C" w14:textId="77777777" w:rsidR="00DB785C" w:rsidRPr="00DB785C" w:rsidRDefault="00DB785C" w:rsidP="00DB785C">
            <w:pPr>
              <w:spacing w:after="0" w:line="240" w:lineRule="auto"/>
              <w:rPr>
                <w:rFonts w:eastAsia="Times New Roman" w:cs="Times New Roman"/>
                <w:color w:val="000000"/>
                <w:kern w:val="0"/>
                <w14:ligatures w14:val="none"/>
              </w:rPr>
            </w:pPr>
            <w:r w:rsidRPr="00DB785C">
              <w:rPr>
                <w:rFonts w:eastAsia="Times New Roman" w:cs="Times New Roman"/>
                <w:color w:val="000000"/>
                <w:kern w:val="0"/>
                <w14:ligatures w14:val="none"/>
              </w:rPr>
              <w:t>Far</w:t>
            </w:r>
          </w:p>
        </w:tc>
        <w:tc>
          <w:tcPr>
            <w:tcW w:w="837" w:type="pct"/>
            <w:tcBorders>
              <w:top w:val="nil"/>
              <w:left w:val="nil"/>
              <w:bottom w:val="nil"/>
              <w:right w:val="nil"/>
            </w:tcBorders>
            <w:vAlign w:val="center"/>
            <w:hideMark/>
          </w:tcPr>
          <w:p w14:paraId="204E5A41"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46</w:t>
            </w:r>
          </w:p>
        </w:tc>
        <w:tc>
          <w:tcPr>
            <w:tcW w:w="699" w:type="pct"/>
            <w:tcBorders>
              <w:top w:val="nil"/>
              <w:left w:val="nil"/>
              <w:bottom w:val="nil"/>
              <w:right w:val="nil"/>
            </w:tcBorders>
            <w:vAlign w:val="center"/>
            <w:hideMark/>
          </w:tcPr>
          <w:p w14:paraId="78E9384A"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17</w:t>
            </w:r>
          </w:p>
        </w:tc>
        <w:tc>
          <w:tcPr>
            <w:tcW w:w="427" w:type="pct"/>
            <w:tcBorders>
              <w:top w:val="nil"/>
              <w:left w:val="nil"/>
              <w:bottom w:val="nil"/>
              <w:right w:val="nil"/>
            </w:tcBorders>
            <w:vAlign w:val="center"/>
            <w:hideMark/>
          </w:tcPr>
          <w:p w14:paraId="2621766E"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63</w:t>
            </w:r>
          </w:p>
        </w:tc>
        <w:tc>
          <w:tcPr>
            <w:tcW w:w="624" w:type="pct"/>
            <w:tcBorders>
              <w:top w:val="nil"/>
              <w:left w:val="nil"/>
              <w:bottom w:val="nil"/>
              <w:right w:val="nil"/>
            </w:tcBorders>
            <w:vAlign w:val="center"/>
            <w:hideMark/>
          </w:tcPr>
          <w:p w14:paraId="6CC92410"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73</w:t>
            </w:r>
          </w:p>
        </w:tc>
        <w:tc>
          <w:tcPr>
            <w:tcW w:w="874" w:type="pct"/>
            <w:tcBorders>
              <w:top w:val="nil"/>
              <w:left w:val="nil"/>
              <w:bottom w:val="nil"/>
              <w:right w:val="nil"/>
            </w:tcBorders>
            <w:vAlign w:val="center"/>
            <w:hideMark/>
          </w:tcPr>
          <w:p w14:paraId="7B796C4D"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27</w:t>
            </w:r>
          </w:p>
        </w:tc>
      </w:tr>
      <w:tr w:rsidR="00DB785C" w:rsidRPr="00DB785C" w14:paraId="62128AB4" w14:textId="77777777" w:rsidTr="00DB785C">
        <w:trPr>
          <w:trHeight w:val="310"/>
        </w:trPr>
        <w:tc>
          <w:tcPr>
            <w:tcW w:w="915" w:type="pct"/>
            <w:vMerge/>
            <w:tcBorders>
              <w:top w:val="nil"/>
              <w:left w:val="nil"/>
              <w:bottom w:val="nil"/>
              <w:right w:val="nil"/>
            </w:tcBorders>
            <w:vAlign w:val="center"/>
            <w:hideMark/>
          </w:tcPr>
          <w:p w14:paraId="3FF09C19" w14:textId="77777777" w:rsidR="00DB785C" w:rsidRPr="00DB785C" w:rsidRDefault="00DB785C" w:rsidP="00DB785C">
            <w:pPr>
              <w:spacing w:after="0" w:line="240" w:lineRule="auto"/>
              <w:jc w:val="left"/>
              <w:rPr>
                <w:rFonts w:eastAsia="Times New Roman" w:cs="Times New Roman"/>
                <w:b/>
                <w:bCs/>
                <w:color w:val="000000"/>
                <w:kern w:val="0"/>
                <w14:ligatures w14:val="none"/>
              </w:rPr>
            </w:pPr>
          </w:p>
        </w:tc>
        <w:tc>
          <w:tcPr>
            <w:tcW w:w="624" w:type="pct"/>
            <w:tcBorders>
              <w:top w:val="nil"/>
              <w:left w:val="nil"/>
              <w:bottom w:val="nil"/>
              <w:right w:val="nil"/>
            </w:tcBorders>
            <w:vAlign w:val="center"/>
            <w:hideMark/>
          </w:tcPr>
          <w:p w14:paraId="0CA14885" w14:textId="77777777" w:rsidR="00DB785C" w:rsidRPr="00DB785C" w:rsidRDefault="00DB785C" w:rsidP="00DB785C">
            <w:pPr>
              <w:spacing w:after="0" w:line="240" w:lineRule="auto"/>
              <w:rPr>
                <w:rFonts w:eastAsia="Times New Roman" w:cs="Times New Roman"/>
                <w:color w:val="000000"/>
                <w:kern w:val="0"/>
                <w14:ligatures w14:val="none"/>
              </w:rPr>
            </w:pPr>
            <w:r w:rsidRPr="00DB785C">
              <w:rPr>
                <w:rFonts w:eastAsia="Times New Roman" w:cs="Times New Roman"/>
                <w:color w:val="000000"/>
                <w:kern w:val="0"/>
                <w14:ligatures w14:val="none"/>
              </w:rPr>
              <w:t>Near</w:t>
            </w:r>
          </w:p>
        </w:tc>
        <w:tc>
          <w:tcPr>
            <w:tcW w:w="837" w:type="pct"/>
            <w:tcBorders>
              <w:top w:val="nil"/>
              <w:left w:val="nil"/>
              <w:bottom w:val="nil"/>
              <w:right w:val="nil"/>
            </w:tcBorders>
            <w:vAlign w:val="center"/>
            <w:hideMark/>
          </w:tcPr>
          <w:p w14:paraId="2267DD33"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89</w:t>
            </w:r>
          </w:p>
        </w:tc>
        <w:tc>
          <w:tcPr>
            <w:tcW w:w="699" w:type="pct"/>
            <w:tcBorders>
              <w:top w:val="nil"/>
              <w:left w:val="nil"/>
              <w:bottom w:val="nil"/>
              <w:right w:val="nil"/>
            </w:tcBorders>
            <w:vAlign w:val="center"/>
            <w:hideMark/>
          </w:tcPr>
          <w:p w14:paraId="059DC0ED"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5</w:t>
            </w:r>
          </w:p>
        </w:tc>
        <w:tc>
          <w:tcPr>
            <w:tcW w:w="427" w:type="pct"/>
            <w:tcBorders>
              <w:top w:val="nil"/>
              <w:left w:val="nil"/>
              <w:bottom w:val="nil"/>
              <w:right w:val="nil"/>
            </w:tcBorders>
            <w:vAlign w:val="center"/>
            <w:hideMark/>
          </w:tcPr>
          <w:p w14:paraId="0FFEFDF2"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94</w:t>
            </w:r>
          </w:p>
        </w:tc>
        <w:tc>
          <w:tcPr>
            <w:tcW w:w="624" w:type="pct"/>
            <w:tcBorders>
              <w:top w:val="nil"/>
              <w:left w:val="nil"/>
              <w:bottom w:val="nil"/>
              <w:right w:val="nil"/>
            </w:tcBorders>
            <w:vAlign w:val="center"/>
            <w:hideMark/>
          </w:tcPr>
          <w:p w14:paraId="4460E915"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94.7</w:t>
            </w:r>
          </w:p>
        </w:tc>
        <w:tc>
          <w:tcPr>
            <w:tcW w:w="874" w:type="pct"/>
            <w:tcBorders>
              <w:top w:val="nil"/>
              <w:left w:val="nil"/>
              <w:bottom w:val="nil"/>
              <w:right w:val="nil"/>
            </w:tcBorders>
            <w:vAlign w:val="center"/>
            <w:hideMark/>
          </w:tcPr>
          <w:p w14:paraId="54DA9EFF"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5.3</w:t>
            </w:r>
          </w:p>
        </w:tc>
      </w:tr>
      <w:tr w:rsidR="00DB785C" w:rsidRPr="00DB785C" w14:paraId="2068EE7A" w14:textId="77777777" w:rsidTr="00DB785C">
        <w:trPr>
          <w:trHeight w:val="600"/>
        </w:trPr>
        <w:tc>
          <w:tcPr>
            <w:tcW w:w="915" w:type="pct"/>
            <w:vMerge w:val="restart"/>
            <w:tcBorders>
              <w:top w:val="single" w:sz="4" w:space="0" w:color="auto"/>
              <w:left w:val="nil"/>
              <w:bottom w:val="single" w:sz="4" w:space="0" w:color="000000"/>
              <w:right w:val="nil"/>
            </w:tcBorders>
            <w:vAlign w:val="center"/>
            <w:hideMark/>
          </w:tcPr>
          <w:p w14:paraId="7C601512" w14:textId="77777777" w:rsidR="00DB785C" w:rsidRPr="00DB785C" w:rsidRDefault="00DB785C" w:rsidP="00DB785C">
            <w:pPr>
              <w:spacing w:after="0" w:line="240" w:lineRule="auto"/>
              <w:jc w:val="left"/>
              <w:rPr>
                <w:rFonts w:eastAsia="Times New Roman" w:cs="Times New Roman"/>
                <w:b/>
                <w:bCs/>
                <w:color w:val="000000"/>
                <w:kern w:val="0"/>
                <w14:ligatures w14:val="none"/>
              </w:rPr>
            </w:pPr>
            <w:r w:rsidRPr="00DB785C">
              <w:rPr>
                <w:rFonts w:eastAsia="Times New Roman" w:cs="Times New Roman"/>
                <w:b/>
                <w:bCs/>
                <w:color w:val="000000"/>
                <w:kern w:val="0"/>
                <w14:ligatures w14:val="none"/>
              </w:rPr>
              <w:t>Long Waiting Time</w:t>
            </w:r>
          </w:p>
        </w:tc>
        <w:tc>
          <w:tcPr>
            <w:tcW w:w="624" w:type="pct"/>
            <w:tcBorders>
              <w:top w:val="single" w:sz="4" w:space="0" w:color="auto"/>
              <w:left w:val="nil"/>
              <w:bottom w:val="nil"/>
              <w:right w:val="nil"/>
            </w:tcBorders>
            <w:vAlign w:val="center"/>
            <w:hideMark/>
          </w:tcPr>
          <w:p w14:paraId="0D155325" w14:textId="77777777" w:rsidR="00DB785C" w:rsidRPr="00DB785C" w:rsidRDefault="00DB785C" w:rsidP="00DB785C">
            <w:pPr>
              <w:spacing w:after="0" w:line="240" w:lineRule="auto"/>
              <w:rPr>
                <w:rFonts w:eastAsia="Times New Roman" w:cs="Times New Roman"/>
                <w:color w:val="000000"/>
                <w:kern w:val="0"/>
                <w14:ligatures w14:val="none"/>
              </w:rPr>
            </w:pPr>
            <w:r w:rsidRPr="00DB785C">
              <w:rPr>
                <w:rFonts w:eastAsia="Times New Roman" w:cs="Times New Roman"/>
                <w:color w:val="000000"/>
                <w:kern w:val="0"/>
                <w14:ligatures w14:val="none"/>
              </w:rPr>
              <w:t>Yes</w:t>
            </w:r>
          </w:p>
        </w:tc>
        <w:tc>
          <w:tcPr>
            <w:tcW w:w="837" w:type="pct"/>
            <w:tcBorders>
              <w:top w:val="single" w:sz="4" w:space="0" w:color="auto"/>
              <w:left w:val="nil"/>
              <w:bottom w:val="nil"/>
              <w:right w:val="nil"/>
            </w:tcBorders>
            <w:vAlign w:val="center"/>
            <w:hideMark/>
          </w:tcPr>
          <w:p w14:paraId="062372CF"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62</w:t>
            </w:r>
          </w:p>
        </w:tc>
        <w:tc>
          <w:tcPr>
            <w:tcW w:w="699" w:type="pct"/>
            <w:tcBorders>
              <w:top w:val="single" w:sz="4" w:space="0" w:color="auto"/>
              <w:left w:val="nil"/>
              <w:bottom w:val="nil"/>
              <w:right w:val="nil"/>
            </w:tcBorders>
            <w:vAlign w:val="center"/>
            <w:hideMark/>
          </w:tcPr>
          <w:p w14:paraId="18F823CD"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20</w:t>
            </w:r>
          </w:p>
        </w:tc>
        <w:tc>
          <w:tcPr>
            <w:tcW w:w="427" w:type="pct"/>
            <w:tcBorders>
              <w:top w:val="single" w:sz="4" w:space="0" w:color="auto"/>
              <w:left w:val="nil"/>
              <w:bottom w:val="nil"/>
              <w:right w:val="nil"/>
            </w:tcBorders>
            <w:vAlign w:val="center"/>
            <w:hideMark/>
          </w:tcPr>
          <w:p w14:paraId="02823695"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82</w:t>
            </w:r>
          </w:p>
        </w:tc>
        <w:tc>
          <w:tcPr>
            <w:tcW w:w="624" w:type="pct"/>
            <w:tcBorders>
              <w:top w:val="single" w:sz="4" w:space="0" w:color="auto"/>
              <w:left w:val="nil"/>
              <w:bottom w:val="nil"/>
              <w:right w:val="nil"/>
            </w:tcBorders>
            <w:vAlign w:val="center"/>
            <w:hideMark/>
          </w:tcPr>
          <w:p w14:paraId="5874B411"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75.6</w:t>
            </w:r>
          </w:p>
        </w:tc>
        <w:tc>
          <w:tcPr>
            <w:tcW w:w="874" w:type="pct"/>
            <w:tcBorders>
              <w:top w:val="single" w:sz="4" w:space="0" w:color="auto"/>
              <w:left w:val="nil"/>
              <w:bottom w:val="nil"/>
              <w:right w:val="nil"/>
            </w:tcBorders>
            <w:vAlign w:val="center"/>
            <w:hideMark/>
          </w:tcPr>
          <w:p w14:paraId="102CC407"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24.4</w:t>
            </w:r>
          </w:p>
        </w:tc>
      </w:tr>
      <w:tr w:rsidR="00DB785C" w:rsidRPr="00DB785C" w14:paraId="0C394970" w14:textId="77777777" w:rsidTr="00DB785C">
        <w:trPr>
          <w:trHeight w:val="310"/>
        </w:trPr>
        <w:tc>
          <w:tcPr>
            <w:tcW w:w="915" w:type="pct"/>
            <w:vMerge/>
            <w:tcBorders>
              <w:top w:val="single" w:sz="4" w:space="0" w:color="auto"/>
              <w:left w:val="nil"/>
              <w:bottom w:val="single" w:sz="4" w:space="0" w:color="000000"/>
              <w:right w:val="nil"/>
            </w:tcBorders>
            <w:vAlign w:val="center"/>
            <w:hideMark/>
          </w:tcPr>
          <w:p w14:paraId="74917F0E" w14:textId="77777777" w:rsidR="00DB785C" w:rsidRPr="00DB785C" w:rsidRDefault="00DB785C" w:rsidP="00DB785C">
            <w:pPr>
              <w:spacing w:after="0" w:line="240" w:lineRule="auto"/>
              <w:jc w:val="left"/>
              <w:rPr>
                <w:rFonts w:eastAsia="Times New Roman" w:cs="Times New Roman"/>
                <w:b/>
                <w:bCs/>
                <w:color w:val="000000"/>
                <w:kern w:val="0"/>
                <w14:ligatures w14:val="none"/>
              </w:rPr>
            </w:pPr>
          </w:p>
        </w:tc>
        <w:tc>
          <w:tcPr>
            <w:tcW w:w="624" w:type="pct"/>
            <w:tcBorders>
              <w:top w:val="nil"/>
              <w:left w:val="nil"/>
              <w:bottom w:val="single" w:sz="4" w:space="0" w:color="auto"/>
              <w:right w:val="nil"/>
            </w:tcBorders>
            <w:vAlign w:val="center"/>
            <w:hideMark/>
          </w:tcPr>
          <w:p w14:paraId="0CC439E5" w14:textId="77777777" w:rsidR="00DB785C" w:rsidRPr="00DB785C" w:rsidRDefault="00DB785C" w:rsidP="00DB785C">
            <w:pPr>
              <w:spacing w:after="0" w:line="240" w:lineRule="auto"/>
              <w:rPr>
                <w:rFonts w:eastAsia="Times New Roman" w:cs="Times New Roman"/>
                <w:color w:val="000000"/>
                <w:kern w:val="0"/>
                <w14:ligatures w14:val="none"/>
              </w:rPr>
            </w:pPr>
            <w:r w:rsidRPr="00DB785C">
              <w:rPr>
                <w:rFonts w:eastAsia="Times New Roman" w:cs="Times New Roman"/>
                <w:color w:val="000000"/>
                <w:kern w:val="0"/>
                <w14:ligatures w14:val="none"/>
              </w:rPr>
              <w:t>No</w:t>
            </w:r>
          </w:p>
        </w:tc>
        <w:tc>
          <w:tcPr>
            <w:tcW w:w="837" w:type="pct"/>
            <w:tcBorders>
              <w:top w:val="nil"/>
              <w:left w:val="nil"/>
              <w:bottom w:val="single" w:sz="4" w:space="0" w:color="auto"/>
              <w:right w:val="nil"/>
            </w:tcBorders>
            <w:vAlign w:val="center"/>
            <w:hideMark/>
          </w:tcPr>
          <w:p w14:paraId="5EEDB8C4"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73</w:t>
            </w:r>
          </w:p>
        </w:tc>
        <w:tc>
          <w:tcPr>
            <w:tcW w:w="699" w:type="pct"/>
            <w:tcBorders>
              <w:top w:val="nil"/>
              <w:left w:val="nil"/>
              <w:bottom w:val="single" w:sz="4" w:space="0" w:color="auto"/>
              <w:right w:val="nil"/>
            </w:tcBorders>
            <w:vAlign w:val="center"/>
            <w:hideMark/>
          </w:tcPr>
          <w:p w14:paraId="60D62858"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2</w:t>
            </w:r>
          </w:p>
        </w:tc>
        <w:tc>
          <w:tcPr>
            <w:tcW w:w="427" w:type="pct"/>
            <w:tcBorders>
              <w:top w:val="nil"/>
              <w:left w:val="nil"/>
              <w:bottom w:val="single" w:sz="4" w:space="0" w:color="auto"/>
              <w:right w:val="nil"/>
            </w:tcBorders>
            <w:vAlign w:val="center"/>
            <w:hideMark/>
          </w:tcPr>
          <w:p w14:paraId="12D69C73"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75</w:t>
            </w:r>
          </w:p>
        </w:tc>
        <w:tc>
          <w:tcPr>
            <w:tcW w:w="624" w:type="pct"/>
            <w:tcBorders>
              <w:top w:val="nil"/>
              <w:left w:val="nil"/>
              <w:bottom w:val="single" w:sz="4" w:space="0" w:color="auto"/>
              <w:right w:val="nil"/>
            </w:tcBorders>
            <w:vAlign w:val="center"/>
            <w:hideMark/>
          </w:tcPr>
          <w:p w14:paraId="4E3CB182"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97.3</w:t>
            </w:r>
          </w:p>
        </w:tc>
        <w:tc>
          <w:tcPr>
            <w:tcW w:w="874" w:type="pct"/>
            <w:tcBorders>
              <w:top w:val="nil"/>
              <w:left w:val="nil"/>
              <w:bottom w:val="single" w:sz="4" w:space="0" w:color="auto"/>
              <w:right w:val="nil"/>
            </w:tcBorders>
            <w:vAlign w:val="center"/>
            <w:hideMark/>
          </w:tcPr>
          <w:p w14:paraId="097297E1"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2.7</w:t>
            </w:r>
          </w:p>
        </w:tc>
      </w:tr>
      <w:tr w:rsidR="00DB785C" w:rsidRPr="00DB785C" w14:paraId="1B07EE53" w14:textId="77777777" w:rsidTr="00DB785C">
        <w:trPr>
          <w:trHeight w:val="600"/>
        </w:trPr>
        <w:tc>
          <w:tcPr>
            <w:tcW w:w="915" w:type="pct"/>
            <w:vMerge w:val="restart"/>
            <w:tcBorders>
              <w:top w:val="nil"/>
              <w:left w:val="nil"/>
              <w:bottom w:val="double" w:sz="6" w:space="0" w:color="000000"/>
              <w:right w:val="nil"/>
            </w:tcBorders>
            <w:vAlign w:val="center"/>
            <w:hideMark/>
          </w:tcPr>
          <w:p w14:paraId="0CC31818" w14:textId="77777777" w:rsidR="00DB785C" w:rsidRPr="00DB785C" w:rsidRDefault="00DB785C" w:rsidP="00DB785C">
            <w:pPr>
              <w:spacing w:after="0" w:line="240" w:lineRule="auto"/>
              <w:jc w:val="left"/>
              <w:rPr>
                <w:rFonts w:eastAsia="Times New Roman" w:cs="Times New Roman"/>
                <w:b/>
                <w:bCs/>
                <w:color w:val="000000"/>
                <w:kern w:val="0"/>
                <w14:ligatures w14:val="none"/>
              </w:rPr>
            </w:pPr>
            <w:r w:rsidRPr="00DB785C">
              <w:rPr>
                <w:rFonts w:eastAsia="Times New Roman" w:cs="Times New Roman"/>
                <w:b/>
                <w:bCs/>
                <w:color w:val="000000"/>
                <w:kern w:val="0"/>
                <w14:ligatures w14:val="none"/>
              </w:rPr>
              <w:t>Unfriendly Health Workers</w:t>
            </w:r>
          </w:p>
        </w:tc>
        <w:tc>
          <w:tcPr>
            <w:tcW w:w="624" w:type="pct"/>
            <w:tcBorders>
              <w:top w:val="nil"/>
              <w:left w:val="nil"/>
              <w:bottom w:val="nil"/>
              <w:right w:val="nil"/>
            </w:tcBorders>
            <w:vAlign w:val="center"/>
            <w:hideMark/>
          </w:tcPr>
          <w:p w14:paraId="3380125B" w14:textId="77777777" w:rsidR="00DB785C" w:rsidRPr="00DB785C" w:rsidRDefault="00DB785C" w:rsidP="00DB785C">
            <w:pPr>
              <w:spacing w:after="0" w:line="240" w:lineRule="auto"/>
              <w:rPr>
                <w:rFonts w:eastAsia="Times New Roman" w:cs="Times New Roman"/>
                <w:color w:val="000000"/>
                <w:kern w:val="0"/>
                <w14:ligatures w14:val="none"/>
              </w:rPr>
            </w:pPr>
            <w:r w:rsidRPr="00DB785C">
              <w:rPr>
                <w:rFonts w:eastAsia="Times New Roman" w:cs="Times New Roman"/>
                <w:color w:val="000000"/>
                <w:kern w:val="0"/>
                <w14:ligatures w14:val="none"/>
              </w:rPr>
              <w:t>Yes</w:t>
            </w:r>
          </w:p>
        </w:tc>
        <w:tc>
          <w:tcPr>
            <w:tcW w:w="837" w:type="pct"/>
            <w:tcBorders>
              <w:top w:val="nil"/>
              <w:left w:val="nil"/>
              <w:bottom w:val="nil"/>
              <w:right w:val="nil"/>
            </w:tcBorders>
            <w:vAlign w:val="center"/>
            <w:hideMark/>
          </w:tcPr>
          <w:p w14:paraId="534D0B64"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30</w:t>
            </w:r>
          </w:p>
        </w:tc>
        <w:tc>
          <w:tcPr>
            <w:tcW w:w="699" w:type="pct"/>
            <w:tcBorders>
              <w:top w:val="nil"/>
              <w:left w:val="nil"/>
              <w:bottom w:val="nil"/>
              <w:right w:val="nil"/>
            </w:tcBorders>
            <w:vAlign w:val="center"/>
            <w:hideMark/>
          </w:tcPr>
          <w:p w14:paraId="4DBAEF77"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15</w:t>
            </w:r>
          </w:p>
        </w:tc>
        <w:tc>
          <w:tcPr>
            <w:tcW w:w="427" w:type="pct"/>
            <w:tcBorders>
              <w:top w:val="nil"/>
              <w:left w:val="nil"/>
              <w:bottom w:val="nil"/>
              <w:right w:val="nil"/>
            </w:tcBorders>
            <w:vAlign w:val="center"/>
            <w:hideMark/>
          </w:tcPr>
          <w:p w14:paraId="178196E7"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45</w:t>
            </w:r>
          </w:p>
        </w:tc>
        <w:tc>
          <w:tcPr>
            <w:tcW w:w="624" w:type="pct"/>
            <w:tcBorders>
              <w:top w:val="nil"/>
              <w:left w:val="nil"/>
              <w:bottom w:val="nil"/>
              <w:right w:val="nil"/>
            </w:tcBorders>
            <w:vAlign w:val="center"/>
            <w:hideMark/>
          </w:tcPr>
          <w:p w14:paraId="6186DA42"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66.7</w:t>
            </w:r>
          </w:p>
        </w:tc>
        <w:tc>
          <w:tcPr>
            <w:tcW w:w="874" w:type="pct"/>
            <w:tcBorders>
              <w:top w:val="nil"/>
              <w:left w:val="nil"/>
              <w:bottom w:val="nil"/>
              <w:right w:val="nil"/>
            </w:tcBorders>
            <w:vAlign w:val="center"/>
            <w:hideMark/>
          </w:tcPr>
          <w:p w14:paraId="0D6FF49D"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33.3</w:t>
            </w:r>
          </w:p>
        </w:tc>
      </w:tr>
      <w:tr w:rsidR="00DB785C" w:rsidRPr="00DB785C" w14:paraId="5ED8A427" w14:textId="77777777" w:rsidTr="00DB785C">
        <w:trPr>
          <w:trHeight w:val="320"/>
        </w:trPr>
        <w:tc>
          <w:tcPr>
            <w:tcW w:w="915" w:type="pct"/>
            <w:vMerge/>
            <w:tcBorders>
              <w:top w:val="nil"/>
              <w:left w:val="nil"/>
              <w:bottom w:val="double" w:sz="6" w:space="0" w:color="000000"/>
              <w:right w:val="nil"/>
            </w:tcBorders>
            <w:vAlign w:val="center"/>
            <w:hideMark/>
          </w:tcPr>
          <w:p w14:paraId="1A4E9DFA" w14:textId="77777777" w:rsidR="00DB785C" w:rsidRPr="00DB785C" w:rsidRDefault="00DB785C" w:rsidP="00DB785C">
            <w:pPr>
              <w:spacing w:after="0" w:line="240" w:lineRule="auto"/>
              <w:jc w:val="left"/>
              <w:rPr>
                <w:rFonts w:eastAsia="Times New Roman" w:cs="Times New Roman"/>
                <w:b/>
                <w:bCs/>
                <w:color w:val="000000"/>
                <w:kern w:val="0"/>
                <w14:ligatures w14:val="none"/>
              </w:rPr>
            </w:pPr>
          </w:p>
        </w:tc>
        <w:tc>
          <w:tcPr>
            <w:tcW w:w="624" w:type="pct"/>
            <w:tcBorders>
              <w:top w:val="nil"/>
              <w:left w:val="nil"/>
              <w:bottom w:val="double" w:sz="6" w:space="0" w:color="auto"/>
              <w:right w:val="nil"/>
            </w:tcBorders>
            <w:vAlign w:val="center"/>
            <w:hideMark/>
          </w:tcPr>
          <w:p w14:paraId="550F3FA9" w14:textId="77777777" w:rsidR="00DB785C" w:rsidRPr="00DB785C" w:rsidRDefault="00DB785C" w:rsidP="00DB785C">
            <w:pPr>
              <w:spacing w:after="0" w:line="240" w:lineRule="auto"/>
              <w:rPr>
                <w:rFonts w:eastAsia="Times New Roman" w:cs="Times New Roman"/>
                <w:color w:val="000000"/>
                <w:kern w:val="0"/>
                <w14:ligatures w14:val="none"/>
              </w:rPr>
            </w:pPr>
            <w:r w:rsidRPr="00DB785C">
              <w:rPr>
                <w:rFonts w:eastAsia="Times New Roman" w:cs="Times New Roman"/>
                <w:color w:val="000000"/>
                <w:kern w:val="0"/>
                <w14:ligatures w14:val="none"/>
              </w:rPr>
              <w:t>No</w:t>
            </w:r>
          </w:p>
        </w:tc>
        <w:tc>
          <w:tcPr>
            <w:tcW w:w="837" w:type="pct"/>
            <w:tcBorders>
              <w:top w:val="nil"/>
              <w:left w:val="nil"/>
              <w:bottom w:val="double" w:sz="6" w:space="0" w:color="auto"/>
              <w:right w:val="nil"/>
            </w:tcBorders>
            <w:vAlign w:val="center"/>
            <w:hideMark/>
          </w:tcPr>
          <w:p w14:paraId="450A06F1"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105</w:t>
            </w:r>
          </w:p>
        </w:tc>
        <w:tc>
          <w:tcPr>
            <w:tcW w:w="699" w:type="pct"/>
            <w:tcBorders>
              <w:top w:val="nil"/>
              <w:left w:val="nil"/>
              <w:bottom w:val="double" w:sz="6" w:space="0" w:color="auto"/>
              <w:right w:val="nil"/>
            </w:tcBorders>
            <w:vAlign w:val="center"/>
            <w:hideMark/>
          </w:tcPr>
          <w:p w14:paraId="2CB92F82"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7</w:t>
            </w:r>
          </w:p>
        </w:tc>
        <w:tc>
          <w:tcPr>
            <w:tcW w:w="427" w:type="pct"/>
            <w:tcBorders>
              <w:top w:val="nil"/>
              <w:left w:val="nil"/>
              <w:bottom w:val="double" w:sz="6" w:space="0" w:color="auto"/>
              <w:right w:val="nil"/>
            </w:tcBorders>
            <w:vAlign w:val="center"/>
            <w:hideMark/>
          </w:tcPr>
          <w:p w14:paraId="57604D8A"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112</w:t>
            </w:r>
          </w:p>
        </w:tc>
        <w:tc>
          <w:tcPr>
            <w:tcW w:w="624" w:type="pct"/>
            <w:tcBorders>
              <w:top w:val="nil"/>
              <w:left w:val="nil"/>
              <w:bottom w:val="double" w:sz="6" w:space="0" w:color="auto"/>
              <w:right w:val="nil"/>
            </w:tcBorders>
            <w:vAlign w:val="center"/>
            <w:hideMark/>
          </w:tcPr>
          <w:p w14:paraId="248B93A2"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93.8</w:t>
            </w:r>
          </w:p>
        </w:tc>
        <w:tc>
          <w:tcPr>
            <w:tcW w:w="874" w:type="pct"/>
            <w:tcBorders>
              <w:top w:val="nil"/>
              <w:left w:val="nil"/>
              <w:bottom w:val="double" w:sz="6" w:space="0" w:color="auto"/>
              <w:right w:val="nil"/>
            </w:tcBorders>
            <w:vAlign w:val="center"/>
            <w:hideMark/>
          </w:tcPr>
          <w:p w14:paraId="19AB61EE"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6.2</w:t>
            </w:r>
          </w:p>
        </w:tc>
      </w:tr>
    </w:tbl>
    <w:p w14:paraId="73EFA654" w14:textId="74D2E637" w:rsidR="00D3210C" w:rsidRPr="00D3210C" w:rsidRDefault="00D3210C" w:rsidP="00D3210C">
      <w:r w:rsidRPr="00D3210C">
        <w:br/>
        <w:t>Women who live farther from health facilities or experience poor service quality have notably lower ANC attendance. Attendance is highest (94.7%) among those residing nearby, dropping to 73% among those traveling long distances. Similarly, perceived disrespect or negative staff attitudes reduce attendance by over 25%. These trends highlight the importance of accessibility, timely service delivery, and respectful maternity care in improving ANC coverage.</w:t>
      </w:r>
    </w:p>
    <w:p w14:paraId="4BCCDC2D" w14:textId="77777777" w:rsidR="00D3210C" w:rsidRPr="00D3210C" w:rsidRDefault="00D3210C" w:rsidP="00D3210C">
      <w:pPr>
        <w:rPr>
          <w:b/>
          <w:bCs/>
        </w:rPr>
      </w:pPr>
      <w:r w:rsidRPr="00D3210C">
        <w:rPr>
          <w:b/>
          <w:bCs/>
        </w:rPr>
        <w:t>Table 6. Chi-square Test Results – Health System Factors</w:t>
      </w:r>
    </w:p>
    <w:tbl>
      <w:tblPr>
        <w:tblW w:w="5000" w:type="pct"/>
        <w:tblLook w:val="04A0" w:firstRow="1" w:lastRow="0" w:firstColumn="1" w:lastColumn="0" w:noHBand="0" w:noVBand="1"/>
      </w:tblPr>
      <w:tblGrid>
        <w:gridCol w:w="2500"/>
        <w:gridCol w:w="2501"/>
        <w:gridCol w:w="1189"/>
        <w:gridCol w:w="1189"/>
        <w:gridCol w:w="1981"/>
      </w:tblGrid>
      <w:tr w:rsidR="00DB785C" w:rsidRPr="00DB785C" w14:paraId="595C7EAC" w14:textId="77777777" w:rsidTr="00DB785C">
        <w:trPr>
          <w:trHeight w:val="500"/>
        </w:trPr>
        <w:tc>
          <w:tcPr>
            <w:tcW w:w="1336" w:type="pct"/>
            <w:tcBorders>
              <w:top w:val="double" w:sz="6" w:space="0" w:color="auto"/>
              <w:left w:val="nil"/>
              <w:bottom w:val="double" w:sz="6" w:space="0" w:color="auto"/>
              <w:right w:val="nil"/>
            </w:tcBorders>
            <w:vAlign w:val="center"/>
            <w:hideMark/>
          </w:tcPr>
          <w:p w14:paraId="0AFE36BE"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Variable</w:t>
            </w:r>
          </w:p>
        </w:tc>
        <w:tc>
          <w:tcPr>
            <w:tcW w:w="1336" w:type="pct"/>
            <w:tcBorders>
              <w:top w:val="double" w:sz="6" w:space="0" w:color="auto"/>
              <w:left w:val="nil"/>
              <w:bottom w:val="double" w:sz="6" w:space="0" w:color="auto"/>
              <w:right w:val="nil"/>
            </w:tcBorders>
            <w:vAlign w:val="center"/>
            <w:hideMark/>
          </w:tcPr>
          <w:p w14:paraId="5586CACC"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χ²</w:t>
            </w:r>
          </w:p>
        </w:tc>
        <w:tc>
          <w:tcPr>
            <w:tcW w:w="635" w:type="pct"/>
            <w:tcBorders>
              <w:top w:val="double" w:sz="6" w:space="0" w:color="auto"/>
              <w:left w:val="nil"/>
              <w:bottom w:val="double" w:sz="6" w:space="0" w:color="auto"/>
              <w:right w:val="nil"/>
            </w:tcBorders>
            <w:vAlign w:val="center"/>
            <w:hideMark/>
          </w:tcPr>
          <w:p w14:paraId="2F1EE1A8" w14:textId="77777777" w:rsidR="00DB785C" w:rsidRPr="00DB785C" w:rsidRDefault="00DB785C" w:rsidP="00DB785C">
            <w:pPr>
              <w:spacing w:after="0" w:line="240" w:lineRule="auto"/>
              <w:jc w:val="center"/>
              <w:rPr>
                <w:rFonts w:eastAsia="Times New Roman" w:cs="Times New Roman"/>
                <w:b/>
                <w:bCs/>
                <w:color w:val="000000"/>
                <w:kern w:val="0"/>
                <w14:ligatures w14:val="none"/>
              </w:rPr>
            </w:pPr>
            <w:proofErr w:type="spellStart"/>
            <w:r w:rsidRPr="00DB785C">
              <w:rPr>
                <w:rFonts w:eastAsia="Times New Roman" w:cs="Times New Roman"/>
                <w:b/>
                <w:bCs/>
                <w:color w:val="000000"/>
                <w:kern w:val="0"/>
                <w14:ligatures w14:val="none"/>
              </w:rPr>
              <w:t>df</w:t>
            </w:r>
            <w:proofErr w:type="spellEnd"/>
          </w:p>
        </w:tc>
        <w:tc>
          <w:tcPr>
            <w:tcW w:w="635" w:type="pct"/>
            <w:tcBorders>
              <w:top w:val="double" w:sz="6" w:space="0" w:color="auto"/>
              <w:left w:val="nil"/>
              <w:bottom w:val="double" w:sz="6" w:space="0" w:color="auto"/>
              <w:right w:val="nil"/>
            </w:tcBorders>
            <w:vAlign w:val="center"/>
            <w:hideMark/>
          </w:tcPr>
          <w:p w14:paraId="4EC3B2F0"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p-value</w:t>
            </w:r>
          </w:p>
        </w:tc>
        <w:tc>
          <w:tcPr>
            <w:tcW w:w="1058" w:type="pct"/>
            <w:tcBorders>
              <w:top w:val="double" w:sz="6" w:space="0" w:color="auto"/>
              <w:left w:val="nil"/>
              <w:bottom w:val="double" w:sz="6" w:space="0" w:color="auto"/>
              <w:right w:val="nil"/>
            </w:tcBorders>
            <w:vAlign w:val="center"/>
            <w:hideMark/>
          </w:tcPr>
          <w:p w14:paraId="44B470E9"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Significance</w:t>
            </w:r>
          </w:p>
        </w:tc>
      </w:tr>
      <w:tr w:rsidR="00DB785C" w:rsidRPr="00DB785C" w14:paraId="3BF13D5D" w14:textId="77777777" w:rsidTr="00DB785C">
        <w:trPr>
          <w:trHeight w:val="320"/>
        </w:trPr>
        <w:tc>
          <w:tcPr>
            <w:tcW w:w="1336" w:type="pct"/>
            <w:tcBorders>
              <w:top w:val="nil"/>
              <w:left w:val="nil"/>
              <w:bottom w:val="nil"/>
              <w:right w:val="nil"/>
            </w:tcBorders>
            <w:vAlign w:val="center"/>
            <w:hideMark/>
          </w:tcPr>
          <w:p w14:paraId="4C747921" w14:textId="77777777" w:rsidR="00DB785C" w:rsidRPr="00DB785C" w:rsidRDefault="00DB785C" w:rsidP="00DB785C">
            <w:pPr>
              <w:spacing w:after="0" w:line="240" w:lineRule="auto"/>
              <w:rPr>
                <w:rFonts w:eastAsia="Times New Roman" w:cs="Times New Roman"/>
                <w:color w:val="000000"/>
                <w:kern w:val="0"/>
                <w14:ligatures w14:val="none"/>
              </w:rPr>
            </w:pPr>
            <w:r w:rsidRPr="00DB785C">
              <w:rPr>
                <w:rFonts w:eastAsia="Times New Roman" w:cs="Times New Roman"/>
                <w:color w:val="000000"/>
                <w:kern w:val="0"/>
                <w14:ligatures w14:val="none"/>
              </w:rPr>
              <w:t>Distance to Facility</w:t>
            </w:r>
          </w:p>
        </w:tc>
        <w:tc>
          <w:tcPr>
            <w:tcW w:w="1336" w:type="pct"/>
            <w:tcBorders>
              <w:top w:val="nil"/>
              <w:left w:val="nil"/>
              <w:bottom w:val="nil"/>
              <w:right w:val="nil"/>
            </w:tcBorders>
            <w:vAlign w:val="center"/>
            <w:hideMark/>
          </w:tcPr>
          <w:p w14:paraId="2B57CF5D"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12.83</w:t>
            </w:r>
          </w:p>
        </w:tc>
        <w:tc>
          <w:tcPr>
            <w:tcW w:w="635" w:type="pct"/>
            <w:tcBorders>
              <w:top w:val="nil"/>
              <w:left w:val="nil"/>
              <w:bottom w:val="nil"/>
              <w:right w:val="nil"/>
            </w:tcBorders>
            <w:vAlign w:val="center"/>
            <w:hideMark/>
          </w:tcPr>
          <w:p w14:paraId="62BAFD99"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2</w:t>
            </w:r>
          </w:p>
        </w:tc>
        <w:tc>
          <w:tcPr>
            <w:tcW w:w="635" w:type="pct"/>
            <w:tcBorders>
              <w:top w:val="nil"/>
              <w:left w:val="nil"/>
              <w:bottom w:val="nil"/>
              <w:right w:val="nil"/>
            </w:tcBorders>
            <w:vAlign w:val="center"/>
            <w:hideMark/>
          </w:tcPr>
          <w:p w14:paraId="3A9FB61E"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0.002</w:t>
            </w:r>
          </w:p>
        </w:tc>
        <w:tc>
          <w:tcPr>
            <w:tcW w:w="1058" w:type="pct"/>
            <w:tcBorders>
              <w:top w:val="nil"/>
              <w:left w:val="nil"/>
              <w:bottom w:val="nil"/>
              <w:right w:val="nil"/>
            </w:tcBorders>
            <w:vAlign w:val="center"/>
            <w:hideMark/>
          </w:tcPr>
          <w:p w14:paraId="1C1A6714" w14:textId="77777777" w:rsidR="00DB785C" w:rsidRPr="00DB785C" w:rsidRDefault="00DB785C" w:rsidP="00DB785C">
            <w:pPr>
              <w:spacing w:after="0" w:line="240" w:lineRule="auto"/>
              <w:rPr>
                <w:rFonts w:eastAsia="Times New Roman" w:cs="Times New Roman"/>
                <w:b/>
                <w:bCs/>
                <w:color w:val="000000"/>
                <w:kern w:val="0"/>
                <w14:ligatures w14:val="none"/>
              </w:rPr>
            </w:pPr>
            <w:r w:rsidRPr="00DB785C">
              <w:rPr>
                <w:rFonts w:eastAsia="Times New Roman" w:cs="Times New Roman"/>
                <w:b/>
                <w:bCs/>
                <w:color w:val="000000"/>
                <w:kern w:val="0"/>
                <w14:ligatures w14:val="none"/>
              </w:rPr>
              <w:t>Significant</w:t>
            </w:r>
          </w:p>
        </w:tc>
      </w:tr>
      <w:tr w:rsidR="00DB785C" w:rsidRPr="00DB785C" w14:paraId="2E7410FC" w14:textId="77777777" w:rsidTr="00DB785C">
        <w:trPr>
          <w:trHeight w:val="310"/>
        </w:trPr>
        <w:tc>
          <w:tcPr>
            <w:tcW w:w="1336" w:type="pct"/>
            <w:tcBorders>
              <w:top w:val="nil"/>
              <w:left w:val="nil"/>
              <w:bottom w:val="nil"/>
              <w:right w:val="nil"/>
            </w:tcBorders>
            <w:vAlign w:val="center"/>
            <w:hideMark/>
          </w:tcPr>
          <w:p w14:paraId="30CBDD1F" w14:textId="77777777" w:rsidR="00DB785C" w:rsidRPr="00DB785C" w:rsidRDefault="00DB785C" w:rsidP="00DB785C">
            <w:pPr>
              <w:spacing w:after="0" w:line="240" w:lineRule="auto"/>
              <w:rPr>
                <w:rFonts w:eastAsia="Times New Roman" w:cs="Times New Roman"/>
                <w:color w:val="000000"/>
                <w:kern w:val="0"/>
                <w14:ligatures w14:val="none"/>
              </w:rPr>
            </w:pPr>
            <w:r w:rsidRPr="00DB785C">
              <w:rPr>
                <w:rFonts w:eastAsia="Times New Roman" w:cs="Times New Roman"/>
                <w:color w:val="000000"/>
                <w:kern w:val="0"/>
                <w14:ligatures w14:val="none"/>
              </w:rPr>
              <w:t>Long Waiting Time</w:t>
            </w:r>
          </w:p>
        </w:tc>
        <w:tc>
          <w:tcPr>
            <w:tcW w:w="1336" w:type="pct"/>
            <w:tcBorders>
              <w:top w:val="nil"/>
              <w:left w:val="nil"/>
              <w:bottom w:val="nil"/>
              <w:right w:val="nil"/>
            </w:tcBorders>
            <w:vAlign w:val="center"/>
            <w:hideMark/>
          </w:tcPr>
          <w:p w14:paraId="17EEBAEB"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7.81</w:t>
            </w:r>
          </w:p>
        </w:tc>
        <w:tc>
          <w:tcPr>
            <w:tcW w:w="635" w:type="pct"/>
            <w:tcBorders>
              <w:top w:val="nil"/>
              <w:left w:val="nil"/>
              <w:bottom w:val="nil"/>
              <w:right w:val="nil"/>
            </w:tcBorders>
            <w:vAlign w:val="center"/>
            <w:hideMark/>
          </w:tcPr>
          <w:p w14:paraId="3C8575E1"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w:t>
            </w:r>
          </w:p>
        </w:tc>
        <w:tc>
          <w:tcPr>
            <w:tcW w:w="635" w:type="pct"/>
            <w:tcBorders>
              <w:top w:val="nil"/>
              <w:left w:val="nil"/>
              <w:bottom w:val="nil"/>
              <w:right w:val="nil"/>
            </w:tcBorders>
            <w:vAlign w:val="center"/>
            <w:hideMark/>
          </w:tcPr>
          <w:p w14:paraId="67080E87"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0.005</w:t>
            </w:r>
          </w:p>
        </w:tc>
        <w:tc>
          <w:tcPr>
            <w:tcW w:w="1058" w:type="pct"/>
            <w:tcBorders>
              <w:top w:val="nil"/>
              <w:left w:val="nil"/>
              <w:bottom w:val="nil"/>
              <w:right w:val="nil"/>
            </w:tcBorders>
            <w:vAlign w:val="center"/>
            <w:hideMark/>
          </w:tcPr>
          <w:p w14:paraId="3B22506C" w14:textId="77777777" w:rsidR="00DB785C" w:rsidRPr="00DB785C" w:rsidRDefault="00DB785C" w:rsidP="00DB785C">
            <w:pPr>
              <w:spacing w:after="0" w:line="240" w:lineRule="auto"/>
              <w:rPr>
                <w:rFonts w:eastAsia="Times New Roman" w:cs="Times New Roman"/>
                <w:b/>
                <w:bCs/>
                <w:color w:val="000000"/>
                <w:kern w:val="0"/>
                <w14:ligatures w14:val="none"/>
              </w:rPr>
            </w:pPr>
            <w:r w:rsidRPr="00DB785C">
              <w:rPr>
                <w:rFonts w:eastAsia="Times New Roman" w:cs="Times New Roman"/>
                <w:b/>
                <w:bCs/>
                <w:color w:val="000000"/>
                <w:kern w:val="0"/>
                <w14:ligatures w14:val="none"/>
              </w:rPr>
              <w:t>Significant</w:t>
            </w:r>
          </w:p>
        </w:tc>
      </w:tr>
      <w:tr w:rsidR="00DB785C" w:rsidRPr="00DB785C" w14:paraId="47A6DA92" w14:textId="77777777" w:rsidTr="00DB785C">
        <w:trPr>
          <w:trHeight w:val="940"/>
        </w:trPr>
        <w:tc>
          <w:tcPr>
            <w:tcW w:w="1336" w:type="pct"/>
            <w:tcBorders>
              <w:top w:val="nil"/>
              <w:left w:val="nil"/>
              <w:bottom w:val="double" w:sz="6" w:space="0" w:color="auto"/>
              <w:right w:val="nil"/>
            </w:tcBorders>
            <w:vAlign w:val="center"/>
            <w:hideMark/>
          </w:tcPr>
          <w:p w14:paraId="35BC4D8B" w14:textId="77777777" w:rsidR="00DB785C" w:rsidRPr="00DB785C" w:rsidRDefault="00DB785C" w:rsidP="00DB785C">
            <w:pPr>
              <w:spacing w:after="0" w:line="240" w:lineRule="auto"/>
              <w:rPr>
                <w:rFonts w:eastAsia="Times New Roman" w:cs="Times New Roman"/>
                <w:color w:val="000000"/>
                <w:kern w:val="0"/>
                <w14:ligatures w14:val="none"/>
              </w:rPr>
            </w:pPr>
            <w:r w:rsidRPr="00DB785C">
              <w:rPr>
                <w:rFonts w:eastAsia="Times New Roman" w:cs="Times New Roman"/>
                <w:color w:val="000000"/>
                <w:kern w:val="0"/>
                <w14:ligatures w14:val="none"/>
              </w:rPr>
              <w:lastRenderedPageBreak/>
              <w:t>Unfriendly Healthcare Workers</w:t>
            </w:r>
          </w:p>
        </w:tc>
        <w:tc>
          <w:tcPr>
            <w:tcW w:w="1336" w:type="pct"/>
            <w:tcBorders>
              <w:top w:val="nil"/>
              <w:left w:val="nil"/>
              <w:bottom w:val="double" w:sz="6" w:space="0" w:color="auto"/>
              <w:right w:val="nil"/>
            </w:tcBorders>
            <w:vAlign w:val="center"/>
            <w:hideMark/>
          </w:tcPr>
          <w:p w14:paraId="13F7979A"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8.96</w:t>
            </w:r>
          </w:p>
        </w:tc>
        <w:tc>
          <w:tcPr>
            <w:tcW w:w="635" w:type="pct"/>
            <w:tcBorders>
              <w:top w:val="nil"/>
              <w:left w:val="nil"/>
              <w:bottom w:val="double" w:sz="6" w:space="0" w:color="auto"/>
              <w:right w:val="nil"/>
            </w:tcBorders>
            <w:vAlign w:val="center"/>
            <w:hideMark/>
          </w:tcPr>
          <w:p w14:paraId="1C7FBB13"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w:t>
            </w:r>
          </w:p>
        </w:tc>
        <w:tc>
          <w:tcPr>
            <w:tcW w:w="635" w:type="pct"/>
            <w:tcBorders>
              <w:top w:val="nil"/>
              <w:left w:val="nil"/>
              <w:bottom w:val="double" w:sz="6" w:space="0" w:color="auto"/>
              <w:right w:val="nil"/>
            </w:tcBorders>
            <w:vAlign w:val="center"/>
            <w:hideMark/>
          </w:tcPr>
          <w:p w14:paraId="6B38905B"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0.003</w:t>
            </w:r>
          </w:p>
        </w:tc>
        <w:tc>
          <w:tcPr>
            <w:tcW w:w="1058" w:type="pct"/>
            <w:tcBorders>
              <w:top w:val="nil"/>
              <w:left w:val="nil"/>
              <w:bottom w:val="double" w:sz="6" w:space="0" w:color="auto"/>
              <w:right w:val="nil"/>
            </w:tcBorders>
            <w:vAlign w:val="center"/>
            <w:hideMark/>
          </w:tcPr>
          <w:p w14:paraId="7406E5B2" w14:textId="77777777" w:rsidR="00DB785C" w:rsidRPr="00DB785C" w:rsidRDefault="00DB785C" w:rsidP="00DB785C">
            <w:pPr>
              <w:spacing w:after="0" w:line="240" w:lineRule="auto"/>
              <w:rPr>
                <w:rFonts w:eastAsia="Times New Roman" w:cs="Times New Roman"/>
                <w:b/>
                <w:bCs/>
                <w:color w:val="000000"/>
                <w:kern w:val="0"/>
                <w14:ligatures w14:val="none"/>
              </w:rPr>
            </w:pPr>
            <w:r w:rsidRPr="00DB785C">
              <w:rPr>
                <w:rFonts w:eastAsia="Times New Roman" w:cs="Times New Roman"/>
                <w:b/>
                <w:bCs/>
                <w:color w:val="000000"/>
                <w:kern w:val="0"/>
                <w14:ligatures w14:val="none"/>
              </w:rPr>
              <w:t>Significant</w:t>
            </w:r>
          </w:p>
        </w:tc>
      </w:tr>
    </w:tbl>
    <w:p w14:paraId="10975A3C" w14:textId="726A5885" w:rsidR="00D3210C" w:rsidRPr="00D3210C" w:rsidRDefault="00D3210C" w:rsidP="00D3210C">
      <w:r w:rsidRPr="00D3210C">
        <w:br/>
        <w:t>All health-system-related variables are statistically significant (</w:t>
      </w:r>
      <w:r w:rsidRPr="00D3210C">
        <w:rPr>
          <w:i/>
          <w:iCs/>
        </w:rPr>
        <w:t>p</w:t>
      </w:r>
      <w:r w:rsidRPr="00D3210C">
        <w:t xml:space="preserve"> &lt; 0.01), confirming that physical accessibility and provider attitude are critical barriers to care. Addressing these gaps could enhance ANC attendance and patient satisfaction.</w:t>
      </w:r>
    </w:p>
    <w:p w14:paraId="196D60E1" w14:textId="618A8D70" w:rsidR="00D3210C" w:rsidRPr="00D3210C" w:rsidRDefault="00D3210C" w:rsidP="00D3210C">
      <w:pPr>
        <w:rPr>
          <w:b/>
          <w:bCs/>
        </w:rPr>
      </w:pPr>
      <w:r w:rsidRPr="00D3210C">
        <w:rPr>
          <w:b/>
          <w:bCs/>
        </w:rPr>
        <w:t>Knowledge and Awareness of ANC Services</w:t>
      </w:r>
    </w:p>
    <w:p w14:paraId="142A4A3E" w14:textId="77777777" w:rsidR="00D3210C" w:rsidRPr="00D3210C" w:rsidRDefault="00D3210C" w:rsidP="00D3210C">
      <w:r w:rsidRPr="00D3210C">
        <w:t>Knowledge strongly predicts ANC attendance. About 88.5% of respondents have heard about ANC, 78.3% understand its purpose, and 65% know the recommended number of visits. Health workers (54.8%) remain the most common information source.</w:t>
      </w:r>
    </w:p>
    <w:p w14:paraId="356EF056" w14:textId="77777777" w:rsidR="00D3210C" w:rsidRPr="00D3210C" w:rsidRDefault="00D3210C" w:rsidP="00D3210C">
      <w:pPr>
        <w:rPr>
          <w:b/>
          <w:bCs/>
        </w:rPr>
      </w:pPr>
      <w:r w:rsidRPr="00D3210C">
        <w:rPr>
          <w:b/>
          <w:bCs/>
        </w:rPr>
        <w:t>Table 7. Knowledge and Awareness vs ANC Attendance</w:t>
      </w:r>
    </w:p>
    <w:tbl>
      <w:tblPr>
        <w:tblW w:w="5000" w:type="pct"/>
        <w:tblLook w:val="04A0" w:firstRow="1" w:lastRow="0" w:firstColumn="1" w:lastColumn="0" w:noHBand="0" w:noVBand="1"/>
      </w:tblPr>
      <w:tblGrid>
        <w:gridCol w:w="1745"/>
        <w:gridCol w:w="1537"/>
        <w:gridCol w:w="1477"/>
        <w:gridCol w:w="1529"/>
        <w:gridCol w:w="1419"/>
        <w:gridCol w:w="1653"/>
      </w:tblGrid>
      <w:tr w:rsidR="00DB785C" w:rsidRPr="00DB785C" w14:paraId="44F70D98" w14:textId="77777777" w:rsidTr="00DB785C">
        <w:trPr>
          <w:trHeight w:val="620"/>
        </w:trPr>
        <w:tc>
          <w:tcPr>
            <w:tcW w:w="932" w:type="pct"/>
            <w:tcBorders>
              <w:top w:val="double" w:sz="6" w:space="0" w:color="auto"/>
              <w:left w:val="nil"/>
              <w:bottom w:val="double" w:sz="6" w:space="0" w:color="auto"/>
              <w:right w:val="nil"/>
            </w:tcBorders>
            <w:vAlign w:val="center"/>
            <w:hideMark/>
          </w:tcPr>
          <w:p w14:paraId="613E5C91"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Variable</w:t>
            </w:r>
          </w:p>
        </w:tc>
        <w:tc>
          <w:tcPr>
            <w:tcW w:w="821" w:type="pct"/>
            <w:tcBorders>
              <w:top w:val="double" w:sz="6" w:space="0" w:color="auto"/>
              <w:left w:val="nil"/>
              <w:bottom w:val="double" w:sz="6" w:space="0" w:color="auto"/>
              <w:right w:val="nil"/>
            </w:tcBorders>
            <w:vAlign w:val="center"/>
            <w:hideMark/>
          </w:tcPr>
          <w:p w14:paraId="30720503"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Response</w:t>
            </w:r>
          </w:p>
        </w:tc>
        <w:tc>
          <w:tcPr>
            <w:tcW w:w="789" w:type="pct"/>
            <w:tcBorders>
              <w:top w:val="double" w:sz="6" w:space="0" w:color="auto"/>
              <w:left w:val="nil"/>
              <w:bottom w:val="double" w:sz="6" w:space="0" w:color="auto"/>
              <w:right w:val="nil"/>
            </w:tcBorders>
            <w:vAlign w:val="center"/>
            <w:hideMark/>
          </w:tcPr>
          <w:p w14:paraId="213711DE"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Attended ANC</w:t>
            </w:r>
          </w:p>
        </w:tc>
        <w:tc>
          <w:tcPr>
            <w:tcW w:w="817" w:type="pct"/>
            <w:tcBorders>
              <w:top w:val="double" w:sz="6" w:space="0" w:color="auto"/>
              <w:left w:val="nil"/>
              <w:bottom w:val="double" w:sz="6" w:space="0" w:color="auto"/>
              <w:right w:val="nil"/>
            </w:tcBorders>
            <w:vAlign w:val="center"/>
            <w:hideMark/>
          </w:tcPr>
          <w:p w14:paraId="58B539F4"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Did Not Attend</w:t>
            </w:r>
          </w:p>
        </w:tc>
        <w:tc>
          <w:tcPr>
            <w:tcW w:w="758" w:type="pct"/>
            <w:tcBorders>
              <w:top w:val="double" w:sz="6" w:space="0" w:color="auto"/>
              <w:left w:val="nil"/>
              <w:bottom w:val="double" w:sz="6" w:space="0" w:color="auto"/>
              <w:right w:val="nil"/>
            </w:tcBorders>
            <w:vAlign w:val="center"/>
            <w:hideMark/>
          </w:tcPr>
          <w:p w14:paraId="3B7D2A58"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Attended (%)</w:t>
            </w:r>
          </w:p>
        </w:tc>
        <w:tc>
          <w:tcPr>
            <w:tcW w:w="883" w:type="pct"/>
            <w:tcBorders>
              <w:top w:val="double" w:sz="6" w:space="0" w:color="auto"/>
              <w:left w:val="nil"/>
              <w:bottom w:val="double" w:sz="6" w:space="0" w:color="auto"/>
              <w:right w:val="nil"/>
            </w:tcBorders>
            <w:vAlign w:val="center"/>
            <w:hideMark/>
          </w:tcPr>
          <w:p w14:paraId="4BCE509A"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Not Attended (%)</w:t>
            </w:r>
          </w:p>
        </w:tc>
      </w:tr>
      <w:tr w:rsidR="00DB785C" w:rsidRPr="00DB785C" w14:paraId="1F8246C4" w14:textId="77777777" w:rsidTr="00DB785C">
        <w:trPr>
          <w:trHeight w:val="510"/>
        </w:trPr>
        <w:tc>
          <w:tcPr>
            <w:tcW w:w="932" w:type="pct"/>
            <w:vMerge w:val="restart"/>
            <w:tcBorders>
              <w:top w:val="nil"/>
              <w:left w:val="nil"/>
              <w:bottom w:val="nil"/>
              <w:right w:val="nil"/>
            </w:tcBorders>
            <w:vAlign w:val="center"/>
            <w:hideMark/>
          </w:tcPr>
          <w:p w14:paraId="54D15E67" w14:textId="77777777" w:rsidR="00DB785C" w:rsidRPr="00DB785C" w:rsidRDefault="00DB785C" w:rsidP="00DB785C">
            <w:pPr>
              <w:spacing w:after="0" w:line="240" w:lineRule="auto"/>
              <w:jc w:val="left"/>
              <w:rPr>
                <w:rFonts w:eastAsia="Times New Roman" w:cs="Times New Roman"/>
                <w:b/>
                <w:bCs/>
                <w:color w:val="000000"/>
                <w:kern w:val="0"/>
                <w14:ligatures w14:val="none"/>
              </w:rPr>
            </w:pPr>
            <w:r w:rsidRPr="00DB785C">
              <w:rPr>
                <w:rFonts w:eastAsia="Times New Roman" w:cs="Times New Roman"/>
                <w:b/>
                <w:bCs/>
                <w:color w:val="000000"/>
                <w:kern w:val="0"/>
                <w14:ligatures w14:val="none"/>
              </w:rPr>
              <w:t>Heard About ANC</w:t>
            </w:r>
          </w:p>
        </w:tc>
        <w:tc>
          <w:tcPr>
            <w:tcW w:w="821" w:type="pct"/>
            <w:tcBorders>
              <w:top w:val="nil"/>
              <w:left w:val="nil"/>
              <w:bottom w:val="nil"/>
              <w:right w:val="nil"/>
            </w:tcBorders>
            <w:vAlign w:val="center"/>
            <w:hideMark/>
          </w:tcPr>
          <w:p w14:paraId="7F1F7B9E" w14:textId="77777777" w:rsidR="00DB785C" w:rsidRPr="00DB785C" w:rsidRDefault="00DB785C" w:rsidP="00DB785C">
            <w:pPr>
              <w:spacing w:after="0" w:line="240" w:lineRule="auto"/>
              <w:rPr>
                <w:rFonts w:eastAsia="Times New Roman" w:cs="Times New Roman"/>
                <w:b/>
                <w:bCs/>
                <w:color w:val="000000"/>
                <w:kern w:val="0"/>
                <w14:ligatures w14:val="none"/>
              </w:rPr>
            </w:pPr>
            <w:r w:rsidRPr="00DB785C">
              <w:rPr>
                <w:rFonts w:eastAsia="Times New Roman" w:cs="Times New Roman"/>
                <w:b/>
                <w:bCs/>
                <w:color w:val="000000"/>
                <w:kern w:val="0"/>
                <w14:ligatures w14:val="none"/>
              </w:rPr>
              <w:t>Yes</w:t>
            </w:r>
          </w:p>
        </w:tc>
        <w:tc>
          <w:tcPr>
            <w:tcW w:w="789" w:type="pct"/>
            <w:tcBorders>
              <w:top w:val="nil"/>
              <w:left w:val="nil"/>
              <w:bottom w:val="nil"/>
              <w:right w:val="nil"/>
            </w:tcBorders>
            <w:vAlign w:val="center"/>
            <w:hideMark/>
          </w:tcPr>
          <w:p w14:paraId="75D6534F"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125</w:t>
            </w:r>
          </w:p>
        </w:tc>
        <w:tc>
          <w:tcPr>
            <w:tcW w:w="817" w:type="pct"/>
            <w:tcBorders>
              <w:top w:val="nil"/>
              <w:left w:val="nil"/>
              <w:bottom w:val="nil"/>
              <w:right w:val="nil"/>
            </w:tcBorders>
            <w:vAlign w:val="center"/>
            <w:hideMark/>
          </w:tcPr>
          <w:p w14:paraId="3A46E1BB"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14</w:t>
            </w:r>
          </w:p>
        </w:tc>
        <w:tc>
          <w:tcPr>
            <w:tcW w:w="758" w:type="pct"/>
            <w:tcBorders>
              <w:top w:val="nil"/>
              <w:left w:val="nil"/>
              <w:bottom w:val="nil"/>
              <w:right w:val="nil"/>
            </w:tcBorders>
            <w:vAlign w:val="center"/>
            <w:hideMark/>
          </w:tcPr>
          <w:p w14:paraId="4C4E894A"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89.9</w:t>
            </w:r>
          </w:p>
        </w:tc>
        <w:tc>
          <w:tcPr>
            <w:tcW w:w="883" w:type="pct"/>
            <w:tcBorders>
              <w:top w:val="nil"/>
              <w:left w:val="nil"/>
              <w:bottom w:val="nil"/>
              <w:right w:val="nil"/>
            </w:tcBorders>
            <w:vAlign w:val="center"/>
            <w:hideMark/>
          </w:tcPr>
          <w:p w14:paraId="7BF5CB39"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10.1</w:t>
            </w:r>
          </w:p>
        </w:tc>
      </w:tr>
      <w:tr w:rsidR="00DB785C" w:rsidRPr="00DB785C" w14:paraId="70FE59AF" w14:textId="77777777" w:rsidTr="00DB785C">
        <w:trPr>
          <w:trHeight w:val="310"/>
        </w:trPr>
        <w:tc>
          <w:tcPr>
            <w:tcW w:w="932" w:type="pct"/>
            <w:vMerge/>
            <w:tcBorders>
              <w:top w:val="nil"/>
              <w:left w:val="nil"/>
              <w:bottom w:val="nil"/>
              <w:right w:val="nil"/>
            </w:tcBorders>
            <w:vAlign w:val="center"/>
            <w:hideMark/>
          </w:tcPr>
          <w:p w14:paraId="63E186D2" w14:textId="77777777" w:rsidR="00DB785C" w:rsidRPr="00DB785C" w:rsidRDefault="00DB785C" w:rsidP="00DB785C">
            <w:pPr>
              <w:spacing w:after="0" w:line="240" w:lineRule="auto"/>
              <w:jc w:val="left"/>
              <w:rPr>
                <w:rFonts w:eastAsia="Times New Roman" w:cs="Times New Roman"/>
                <w:b/>
                <w:bCs/>
                <w:color w:val="000000"/>
                <w:kern w:val="0"/>
                <w14:ligatures w14:val="none"/>
              </w:rPr>
            </w:pPr>
          </w:p>
        </w:tc>
        <w:tc>
          <w:tcPr>
            <w:tcW w:w="821" w:type="pct"/>
            <w:tcBorders>
              <w:top w:val="nil"/>
              <w:left w:val="nil"/>
              <w:bottom w:val="nil"/>
              <w:right w:val="nil"/>
            </w:tcBorders>
            <w:vAlign w:val="center"/>
            <w:hideMark/>
          </w:tcPr>
          <w:p w14:paraId="5DFE1A47" w14:textId="77777777" w:rsidR="00DB785C" w:rsidRPr="00DB785C" w:rsidRDefault="00DB785C" w:rsidP="00DB785C">
            <w:pPr>
              <w:spacing w:after="0" w:line="240" w:lineRule="auto"/>
              <w:rPr>
                <w:rFonts w:eastAsia="Times New Roman" w:cs="Times New Roman"/>
                <w:b/>
                <w:bCs/>
                <w:color w:val="000000"/>
                <w:kern w:val="0"/>
                <w14:ligatures w14:val="none"/>
              </w:rPr>
            </w:pPr>
            <w:r w:rsidRPr="00DB785C">
              <w:rPr>
                <w:rFonts w:eastAsia="Times New Roman" w:cs="Times New Roman"/>
                <w:b/>
                <w:bCs/>
                <w:color w:val="000000"/>
                <w:kern w:val="0"/>
                <w14:ligatures w14:val="none"/>
              </w:rPr>
              <w:t>No</w:t>
            </w:r>
          </w:p>
        </w:tc>
        <w:tc>
          <w:tcPr>
            <w:tcW w:w="789" w:type="pct"/>
            <w:tcBorders>
              <w:top w:val="nil"/>
              <w:left w:val="nil"/>
              <w:bottom w:val="nil"/>
              <w:right w:val="nil"/>
            </w:tcBorders>
            <w:vAlign w:val="center"/>
            <w:hideMark/>
          </w:tcPr>
          <w:p w14:paraId="7842F686"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11</w:t>
            </w:r>
          </w:p>
        </w:tc>
        <w:tc>
          <w:tcPr>
            <w:tcW w:w="817" w:type="pct"/>
            <w:tcBorders>
              <w:top w:val="nil"/>
              <w:left w:val="nil"/>
              <w:bottom w:val="nil"/>
              <w:right w:val="nil"/>
            </w:tcBorders>
            <w:vAlign w:val="center"/>
            <w:hideMark/>
          </w:tcPr>
          <w:p w14:paraId="3BF85FA0"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7</w:t>
            </w:r>
          </w:p>
        </w:tc>
        <w:tc>
          <w:tcPr>
            <w:tcW w:w="758" w:type="pct"/>
            <w:tcBorders>
              <w:top w:val="nil"/>
              <w:left w:val="nil"/>
              <w:bottom w:val="nil"/>
              <w:right w:val="nil"/>
            </w:tcBorders>
            <w:vAlign w:val="center"/>
            <w:hideMark/>
          </w:tcPr>
          <w:p w14:paraId="42795B29"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61.1</w:t>
            </w:r>
          </w:p>
        </w:tc>
        <w:tc>
          <w:tcPr>
            <w:tcW w:w="883" w:type="pct"/>
            <w:tcBorders>
              <w:top w:val="nil"/>
              <w:left w:val="nil"/>
              <w:bottom w:val="nil"/>
              <w:right w:val="nil"/>
            </w:tcBorders>
            <w:vAlign w:val="center"/>
            <w:hideMark/>
          </w:tcPr>
          <w:p w14:paraId="44AB0C29"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38.9</w:t>
            </w:r>
          </w:p>
        </w:tc>
      </w:tr>
      <w:tr w:rsidR="00DB785C" w:rsidRPr="00DB785C" w14:paraId="7BF22DE7" w14:textId="77777777" w:rsidTr="00DB785C">
        <w:trPr>
          <w:trHeight w:val="610"/>
        </w:trPr>
        <w:tc>
          <w:tcPr>
            <w:tcW w:w="932" w:type="pct"/>
            <w:vMerge w:val="restart"/>
            <w:tcBorders>
              <w:top w:val="single" w:sz="4" w:space="0" w:color="auto"/>
              <w:left w:val="nil"/>
              <w:bottom w:val="single" w:sz="4" w:space="0" w:color="000000"/>
              <w:right w:val="nil"/>
            </w:tcBorders>
            <w:vAlign w:val="center"/>
            <w:hideMark/>
          </w:tcPr>
          <w:p w14:paraId="68C371C7" w14:textId="77777777" w:rsidR="00DB785C" w:rsidRPr="00DB785C" w:rsidRDefault="00DB785C" w:rsidP="00DB785C">
            <w:pPr>
              <w:spacing w:after="0" w:line="240" w:lineRule="auto"/>
              <w:jc w:val="left"/>
              <w:rPr>
                <w:rFonts w:eastAsia="Times New Roman" w:cs="Times New Roman"/>
                <w:b/>
                <w:bCs/>
                <w:color w:val="000000"/>
                <w:kern w:val="0"/>
                <w14:ligatures w14:val="none"/>
              </w:rPr>
            </w:pPr>
            <w:r w:rsidRPr="00DB785C">
              <w:rPr>
                <w:rFonts w:eastAsia="Times New Roman" w:cs="Times New Roman"/>
                <w:b/>
                <w:bCs/>
                <w:color w:val="000000"/>
                <w:kern w:val="0"/>
                <w14:ligatures w14:val="none"/>
              </w:rPr>
              <w:t>Knows Purpose of ANC</w:t>
            </w:r>
          </w:p>
        </w:tc>
        <w:tc>
          <w:tcPr>
            <w:tcW w:w="821" w:type="pct"/>
            <w:tcBorders>
              <w:top w:val="single" w:sz="4" w:space="0" w:color="auto"/>
              <w:left w:val="nil"/>
              <w:bottom w:val="nil"/>
              <w:right w:val="nil"/>
            </w:tcBorders>
            <w:vAlign w:val="center"/>
            <w:hideMark/>
          </w:tcPr>
          <w:p w14:paraId="2CF0CC04" w14:textId="77777777" w:rsidR="00DB785C" w:rsidRPr="00DB785C" w:rsidRDefault="00DB785C" w:rsidP="00DB785C">
            <w:pPr>
              <w:spacing w:after="0" w:line="240" w:lineRule="auto"/>
              <w:rPr>
                <w:rFonts w:eastAsia="Times New Roman" w:cs="Times New Roman"/>
                <w:b/>
                <w:bCs/>
                <w:color w:val="000000"/>
                <w:kern w:val="0"/>
                <w14:ligatures w14:val="none"/>
              </w:rPr>
            </w:pPr>
            <w:r w:rsidRPr="00DB785C">
              <w:rPr>
                <w:rFonts w:eastAsia="Times New Roman" w:cs="Times New Roman"/>
                <w:b/>
                <w:bCs/>
                <w:color w:val="000000"/>
                <w:kern w:val="0"/>
                <w14:ligatures w14:val="none"/>
              </w:rPr>
              <w:t>Yes</w:t>
            </w:r>
          </w:p>
        </w:tc>
        <w:tc>
          <w:tcPr>
            <w:tcW w:w="789" w:type="pct"/>
            <w:tcBorders>
              <w:top w:val="single" w:sz="4" w:space="0" w:color="auto"/>
              <w:left w:val="nil"/>
              <w:bottom w:val="nil"/>
              <w:right w:val="nil"/>
            </w:tcBorders>
            <w:vAlign w:val="center"/>
            <w:hideMark/>
          </w:tcPr>
          <w:p w14:paraId="2CCF7E6F"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115</w:t>
            </w:r>
          </w:p>
        </w:tc>
        <w:tc>
          <w:tcPr>
            <w:tcW w:w="817" w:type="pct"/>
            <w:tcBorders>
              <w:top w:val="single" w:sz="4" w:space="0" w:color="auto"/>
              <w:left w:val="nil"/>
              <w:bottom w:val="nil"/>
              <w:right w:val="nil"/>
            </w:tcBorders>
            <w:vAlign w:val="center"/>
            <w:hideMark/>
          </w:tcPr>
          <w:p w14:paraId="2F323F05"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8</w:t>
            </w:r>
          </w:p>
        </w:tc>
        <w:tc>
          <w:tcPr>
            <w:tcW w:w="758" w:type="pct"/>
            <w:tcBorders>
              <w:top w:val="single" w:sz="4" w:space="0" w:color="auto"/>
              <w:left w:val="nil"/>
              <w:bottom w:val="nil"/>
              <w:right w:val="nil"/>
            </w:tcBorders>
            <w:vAlign w:val="center"/>
            <w:hideMark/>
          </w:tcPr>
          <w:p w14:paraId="35A85C5D"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93.5</w:t>
            </w:r>
          </w:p>
        </w:tc>
        <w:tc>
          <w:tcPr>
            <w:tcW w:w="883" w:type="pct"/>
            <w:tcBorders>
              <w:top w:val="single" w:sz="4" w:space="0" w:color="auto"/>
              <w:left w:val="nil"/>
              <w:bottom w:val="nil"/>
              <w:right w:val="nil"/>
            </w:tcBorders>
            <w:vAlign w:val="center"/>
            <w:hideMark/>
          </w:tcPr>
          <w:p w14:paraId="16EC2272"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6.5</w:t>
            </w:r>
          </w:p>
        </w:tc>
      </w:tr>
      <w:tr w:rsidR="00DB785C" w:rsidRPr="00DB785C" w14:paraId="15F7F4B7" w14:textId="77777777" w:rsidTr="00DB785C">
        <w:trPr>
          <w:trHeight w:val="310"/>
        </w:trPr>
        <w:tc>
          <w:tcPr>
            <w:tcW w:w="932" w:type="pct"/>
            <w:vMerge/>
            <w:tcBorders>
              <w:top w:val="single" w:sz="4" w:space="0" w:color="auto"/>
              <w:left w:val="nil"/>
              <w:bottom w:val="single" w:sz="4" w:space="0" w:color="000000"/>
              <w:right w:val="nil"/>
            </w:tcBorders>
            <w:vAlign w:val="center"/>
            <w:hideMark/>
          </w:tcPr>
          <w:p w14:paraId="14D7E37E" w14:textId="77777777" w:rsidR="00DB785C" w:rsidRPr="00DB785C" w:rsidRDefault="00DB785C" w:rsidP="00DB785C">
            <w:pPr>
              <w:spacing w:after="0" w:line="240" w:lineRule="auto"/>
              <w:jc w:val="left"/>
              <w:rPr>
                <w:rFonts w:eastAsia="Times New Roman" w:cs="Times New Roman"/>
                <w:b/>
                <w:bCs/>
                <w:color w:val="000000"/>
                <w:kern w:val="0"/>
                <w14:ligatures w14:val="none"/>
              </w:rPr>
            </w:pPr>
          </w:p>
        </w:tc>
        <w:tc>
          <w:tcPr>
            <w:tcW w:w="821" w:type="pct"/>
            <w:tcBorders>
              <w:top w:val="nil"/>
              <w:left w:val="nil"/>
              <w:bottom w:val="single" w:sz="4" w:space="0" w:color="auto"/>
              <w:right w:val="nil"/>
            </w:tcBorders>
            <w:vAlign w:val="center"/>
            <w:hideMark/>
          </w:tcPr>
          <w:p w14:paraId="393F13E5" w14:textId="77777777" w:rsidR="00DB785C" w:rsidRPr="00DB785C" w:rsidRDefault="00DB785C" w:rsidP="00DB785C">
            <w:pPr>
              <w:spacing w:after="0" w:line="240" w:lineRule="auto"/>
              <w:rPr>
                <w:rFonts w:eastAsia="Times New Roman" w:cs="Times New Roman"/>
                <w:b/>
                <w:bCs/>
                <w:color w:val="000000"/>
                <w:kern w:val="0"/>
                <w14:ligatures w14:val="none"/>
              </w:rPr>
            </w:pPr>
            <w:r w:rsidRPr="00DB785C">
              <w:rPr>
                <w:rFonts w:eastAsia="Times New Roman" w:cs="Times New Roman"/>
                <w:b/>
                <w:bCs/>
                <w:color w:val="000000"/>
                <w:kern w:val="0"/>
                <w14:ligatures w14:val="none"/>
              </w:rPr>
              <w:t>No</w:t>
            </w:r>
          </w:p>
        </w:tc>
        <w:tc>
          <w:tcPr>
            <w:tcW w:w="789" w:type="pct"/>
            <w:tcBorders>
              <w:top w:val="nil"/>
              <w:left w:val="nil"/>
              <w:bottom w:val="single" w:sz="4" w:space="0" w:color="auto"/>
              <w:right w:val="nil"/>
            </w:tcBorders>
            <w:vAlign w:val="center"/>
            <w:hideMark/>
          </w:tcPr>
          <w:p w14:paraId="43EAF7BB"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21</w:t>
            </w:r>
          </w:p>
        </w:tc>
        <w:tc>
          <w:tcPr>
            <w:tcW w:w="817" w:type="pct"/>
            <w:tcBorders>
              <w:top w:val="nil"/>
              <w:left w:val="nil"/>
              <w:bottom w:val="single" w:sz="4" w:space="0" w:color="auto"/>
              <w:right w:val="nil"/>
            </w:tcBorders>
            <w:vAlign w:val="center"/>
            <w:hideMark/>
          </w:tcPr>
          <w:p w14:paraId="282E9BF9"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13</w:t>
            </w:r>
          </w:p>
        </w:tc>
        <w:tc>
          <w:tcPr>
            <w:tcW w:w="758" w:type="pct"/>
            <w:tcBorders>
              <w:top w:val="nil"/>
              <w:left w:val="nil"/>
              <w:bottom w:val="single" w:sz="4" w:space="0" w:color="auto"/>
              <w:right w:val="nil"/>
            </w:tcBorders>
            <w:vAlign w:val="center"/>
            <w:hideMark/>
          </w:tcPr>
          <w:p w14:paraId="1F226D89"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61.8</w:t>
            </w:r>
          </w:p>
        </w:tc>
        <w:tc>
          <w:tcPr>
            <w:tcW w:w="883" w:type="pct"/>
            <w:tcBorders>
              <w:top w:val="nil"/>
              <w:left w:val="nil"/>
              <w:bottom w:val="single" w:sz="4" w:space="0" w:color="auto"/>
              <w:right w:val="nil"/>
            </w:tcBorders>
            <w:vAlign w:val="center"/>
            <w:hideMark/>
          </w:tcPr>
          <w:p w14:paraId="06D0DE97"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38.2</w:t>
            </w:r>
          </w:p>
        </w:tc>
      </w:tr>
      <w:tr w:rsidR="00DB785C" w:rsidRPr="00DB785C" w14:paraId="77704825" w14:textId="77777777" w:rsidTr="00DB785C">
        <w:trPr>
          <w:trHeight w:val="670"/>
        </w:trPr>
        <w:tc>
          <w:tcPr>
            <w:tcW w:w="932" w:type="pct"/>
            <w:vMerge w:val="restart"/>
            <w:tcBorders>
              <w:top w:val="nil"/>
              <w:left w:val="nil"/>
              <w:bottom w:val="double" w:sz="6" w:space="0" w:color="000000"/>
              <w:right w:val="nil"/>
            </w:tcBorders>
            <w:vAlign w:val="center"/>
            <w:hideMark/>
          </w:tcPr>
          <w:p w14:paraId="6473CA40" w14:textId="77777777" w:rsidR="00DB785C" w:rsidRPr="00DB785C" w:rsidRDefault="00DB785C" w:rsidP="00DB785C">
            <w:pPr>
              <w:spacing w:after="0" w:line="240" w:lineRule="auto"/>
              <w:jc w:val="left"/>
              <w:rPr>
                <w:rFonts w:eastAsia="Times New Roman" w:cs="Times New Roman"/>
                <w:b/>
                <w:bCs/>
                <w:color w:val="000000"/>
                <w:kern w:val="0"/>
                <w14:ligatures w14:val="none"/>
              </w:rPr>
            </w:pPr>
            <w:r w:rsidRPr="00DB785C">
              <w:rPr>
                <w:rFonts w:eastAsia="Times New Roman" w:cs="Times New Roman"/>
                <w:b/>
                <w:bCs/>
                <w:color w:val="000000"/>
                <w:kern w:val="0"/>
                <w14:ligatures w14:val="none"/>
              </w:rPr>
              <w:t>Knows Recommended Visits</w:t>
            </w:r>
          </w:p>
        </w:tc>
        <w:tc>
          <w:tcPr>
            <w:tcW w:w="821" w:type="pct"/>
            <w:tcBorders>
              <w:top w:val="nil"/>
              <w:left w:val="nil"/>
              <w:bottom w:val="nil"/>
              <w:right w:val="nil"/>
            </w:tcBorders>
            <w:vAlign w:val="center"/>
            <w:hideMark/>
          </w:tcPr>
          <w:p w14:paraId="4922D4D0" w14:textId="77777777" w:rsidR="00DB785C" w:rsidRPr="00DB785C" w:rsidRDefault="00DB785C" w:rsidP="00DB785C">
            <w:pPr>
              <w:spacing w:after="0" w:line="240" w:lineRule="auto"/>
              <w:rPr>
                <w:rFonts w:eastAsia="Times New Roman" w:cs="Times New Roman"/>
                <w:b/>
                <w:bCs/>
                <w:color w:val="000000"/>
                <w:kern w:val="0"/>
                <w14:ligatures w14:val="none"/>
              </w:rPr>
            </w:pPr>
            <w:r w:rsidRPr="00DB785C">
              <w:rPr>
                <w:rFonts w:eastAsia="Times New Roman" w:cs="Times New Roman"/>
                <w:b/>
                <w:bCs/>
                <w:color w:val="000000"/>
                <w:kern w:val="0"/>
                <w14:ligatures w14:val="none"/>
              </w:rPr>
              <w:t>Yes</w:t>
            </w:r>
          </w:p>
        </w:tc>
        <w:tc>
          <w:tcPr>
            <w:tcW w:w="789" w:type="pct"/>
            <w:tcBorders>
              <w:top w:val="nil"/>
              <w:left w:val="nil"/>
              <w:bottom w:val="nil"/>
              <w:right w:val="nil"/>
            </w:tcBorders>
            <w:vAlign w:val="center"/>
            <w:hideMark/>
          </w:tcPr>
          <w:p w14:paraId="584B080D"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97</w:t>
            </w:r>
          </w:p>
        </w:tc>
        <w:tc>
          <w:tcPr>
            <w:tcW w:w="817" w:type="pct"/>
            <w:tcBorders>
              <w:top w:val="nil"/>
              <w:left w:val="nil"/>
              <w:bottom w:val="nil"/>
              <w:right w:val="nil"/>
            </w:tcBorders>
            <w:vAlign w:val="center"/>
            <w:hideMark/>
          </w:tcPr>
          <w:p w14:paraId="5180C86B"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5</w:t>
            </w:r>
          </w:p>
        </w:tc>
        <w:tc>
          <w:tcPr>
            <w:tcW w:w="758" w:type="pct"/>
            <w:tcBorders>
              <w:top w:val="nil"/>
              <w:left w:val="nil"/>
              <w:bottom w:val="nil"/>
              <w:right w:val="nil"/>
            </w:tcBorders>
            <w:vAlign w:val="center"/>
            <w:hideMark/>
          </w:tcPr>
          <w:p w14:paraId="549587B6" w14:textId="77777777" w:rsidR="00DB785C" w:rsidRPr="00DB785C" w:rsidRDefault="00DB785C" w:rsidP="00DB785C">
            <w:pPr>
              <w:spacing w:after="0" w:line="240" w:lineRule="auto"/>
              <w:jc w:val="center"/>
              <w:rPr>
                <w:rFonts w:eastAsia="Times New Roman" w:cs="Times New Roman"/>
                <w:b/>
                <w:bCs/>
                <w:color w:val="000000"/>
                <w:kern w:val="0"/>
                <w14:ligatures w14:val="none"/>
              </w:rPr>
            </w:pPr>
            <w:r w:rsidRPr="00DB785C">
              <w:rPr>
                <w:rFonts w:eastAsia="Times New Roman" w:cs="Times New Roman"/>
                <w:b/>
                <w:bCs/>
                <w:color w:val="000000"/>
                <w:kern w:val="0"/>
                <w14:ligatures w14:val="none"/>
              </w:rPr>
              <w:t>95.1</w:t>
            </w:r>
          </w:p>
        </w:tc>
        <w:tc>
          <w:tcPr>
            <w:tcW w:w="883" w:type="pct"/>
            <w:tcBorders>
              <w:top w:val="nil"/>
              <w:left w:val="nil"/>
              <w:bottom w:val="nil"/>
              <w:right w:val="nil"/>
            </w:tcBorders>
            <w:vAlign w:val="center"/>
            <w:hideMark/>
          </w:tcPr>
          <w:p w14:paraId="07843EF7"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4.9</w:t>
            </w:r>
          </w:p>
        </w:tc>
      </w:tr>
      <w:tr w:rsidR="00DB785C" w:rsidRPr="00DB785C" w14:paraId="2F792C87" w14:textId="77777777" w:rsidTr="00DB785C">
        <w:trPr>
          <w:trHeight w:val="320"/>
        </w:trPr>
        <w:tc>
          <w:tcPr>
            <w:tcW w:w="932" w:type="pct"/>
            <w:vMerge/>
            <w:tcBorders>
              <w:top w:val="nil"/>
              <w:left w:val="nil"/>
              <w:bottom w:val="double" w:sz="6" w:space="0" w:color="000000"/>
              <w:right w:val="nil"/>
            </w:tcBorders>
            <w:vAlign w:val="center"/>
            <w:hideMark/>
          </w:tcPr>
          <w:p w14:paraId="298C990C" w14:textId="77777777" w:rsidR="00DB785C" w:rsidRPr="00DB785C" w:rsidRDefault="00DB785C" w:rsidP="00DB785C">
            <w:pPr>
              <w:spacing w:after="0" w:line="240" w:lineRule="auto"/>
              <w:jc w:val="left"/>
              <w:rPr>
                <w:rFonts w:eastAsia="Times New Roman" w:cs="Times New Roman"/>
                <w:b/>
                <w:bCs/>
                <w:color w:val="000000"/>
                <w:kern w:val="0"/>
                <w14:ligatures w14:val="none"/>
              </w:rPr>
            </w:pPr>
          </w:p>
        </w:tc>
        <w:tc>
          <w:tcPr>
            <w:tcW w:w="821" w:type="pct"/>
            <w:tcBorders>
              <w:top w:val="nil"/>
              <w:left w:val="nil"/>
              <w:bottom w:val="double" w:sz="6" w:space="0" w:color="auto"/>
              <w:right w:val="nil"/>
            </w:tcBorders>
            <w:vAlign w:val="center"/>
            <w:hideMark/>
          </w:tcPr>
          <w:p w14:paraId="11D82087" w14:textId="77777777" w:rsidR="00DB785C" w:rsidRPr="00DB785C" w:rsidRDefault="00DB785C" w:rsidP="00DB785C">
            <w:pPr>
              <w:spacing w:after="0" w:line="240" w:lineRule="auto"/>
              <w:rPr>
                <w:rFonts w:eastAsia="Times New Roman" w:cs="Times New Roman"/>
                <w:b/>
                <w:bCs/>
                <w:color w:val="000000"/>
                <w:kern w:val="0"/>
                <w14:ligatures w14:val="none"/>
              </w:rPr>
            </w:pPr>
            <w:r w:rsidRPr="00DB785C">
              <w:rPr>
                <w:rFonts w:eastAsia="Times New Roman" w:cs="Times New Roman"/>
                <w:b/>
                <w:bCs/>
                <w:color w:val="000000"/>
                <w:kern w:val="0"/>
                <w14:ligatures w14:val="none"/>
              </w:rPr>
              <w:t>No</w:t>
            </w:r>
          </w:p>
        </w:tc>
        <w:tc>
          <w:tcPr>
            <w:tcW w:w="789" w:type="pct"/>
            <w:tcBorders>
              <w:top w:val="nil"/>
              <w:left w:val="nil"/>
              <w:bottom w:val="double" w:sz="6" w:space="0" w:color="auto"/>
              <w:right w:val="nil"/>
            </w:tcBorders>
            <w:vAlign w:val="center"/>
            <w:hideMark/>
          </w:tcPr>
          <w:p w14:paraId="2B64933E"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39</w:t>
            </w:r>
          </w:p>
        </w:tc>
        <w:tc>
          <w:tcPr>
            <w:tcW w:w="817" w:type="pct"/>
            <w:tcBorders>
              <w:top w:val="nil"/>
              <w:left w:val="nil"/>
              <w:bottom w:val="double" w:sz="6" w:space="0" w:color="auto"/>
              <w:right w:val="nil"/>
            </w:tcBorders>
            <w:vAlign w:val="center"/>
            <w:hideMark/>
          </w:tcPr>
          <w:p w14:paraId="4C716DD7"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16</w:t>
            </w:r>
          </w:p>
        </w:tc>
        <w:tc>
          <w:tcPr>
            <w:tcW w:w="758" w:type="pct"/>
            <w:tcBorders>
              <w:top w:val="nil"/>
              <w:left w:val="nil"/>
              <w:bottom w:val="double" w:sz="6" w:space="0" w:color="auto"/>
              <w:right w:val="nil"/>
            </w:tcBorders>
            <w:vAlign w:val="center"/>
            <w:hideMark/>
          </w:tcPr>
          <w:p w14:paraId="368FB36A"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70.9</w:t>
            </w:r>
          </w:p>
        </w:tc>
        <w:tc>
          <w:tcPr>
            <w:tcW w:w="883" w:type="pct"/>
            <w:tcBorders>
              <w:top w:val="nil"/>
              <w:left w:val="nil"/>
              <w:bottom w:val="double" w:sz="6" w:space="0" w:color="auto"/>
              <w:right w:val="nil"/>
            </w:tcBorders>
            <w:vAlign w:val="center"/>
            <w:hideMark/>
          </w:tcPr>
          <w:p w14:paraId="41E2A8F9" w14:textId="77777777" w:rsidR="00DB785C" w:rsidRPr="00DB785C" w:rsidRDefault="00DB785C" w:rsidP="00DB785C">
            <w:pPr>
              <w:spacing w:after="0" w:line="240" w:lineRule="auto"/>
              <w:jc w:val="center"/>
              <w:rPr>
                <w:rFonts w:eastAsia="Times New Roman" w:cs="Times New Roman"/>
                <w:color w:val="000000"/>
                <w:kern w:val="0"/>
                <w14:ligatures w14:val="none"/>
              </w:rPr>
            </w:pPr>
            <w:r w:rsidRPr="00DB785C">
              <w:rPr>
                <w:rFonts w:eastAsia="Times New Roman" w:cs="Times New Roman"/>
                <w:color w:val="000000"/>
                <w:kern w:val="0"/>
                <w14:ligatures w14:val="none"/>
              </w:rPr>
              <w:t>29.1</w:t>
            </w:r>
          </w:p>
        </w:tc>
      </w:tr>
    </w:tbl>
    <w:p w14:paraId="5032667D" w14:textId="06681584" w:rsidR="00D3210C" w:rsidRDefault="00D3210C" w:rsidP="00D3210C">
      <w:r w:rsidRPr="00D3210C">
        <w:br/>
        <w:t>Awareness and comprehension directly influence behavior. Women who understand the purpose and frequency of ANC visits are up to 30% more likely to attend. This implies that knowledge translates into practical action</w:t>
      </w:r>
      <w:r w:rsidR="00DB785C">
        <w:t xml:space="preserve">, </w:t>
      </w:r>
      <w:r w:rsidRPr="00D3210C">
        <w:t>reinforcing the need for continuous community sensitization through trusted information channels.</w:t>
      </w:r>
    </w:p>
    <w:p w14:paraId="15A01FAC" w14:textId="77777777" w:rsidR="00746C53" w:rsidRDefault="00746C53" w:rsidP="00D3210C"/>
    <w:p w14:paraId="01AE702E" w14:textId="77777777" w:rsidR="00746C53" w:rsidRDefault="00746C53" w:rsidP="00D3210C"/>
    <w:p w14:paraId="04346D72" w14:textId="77777777" w:rsidR="00746C53" w:rsidRPr="00D3210C" w:rsidRDefault="00746C53" w:rsidP="00D3210C"/>
    <w:p w14:paraId="38929B02" w14:textId="77777777" w:rsidR="00D3210C" w:rsidRPr="00D3210C" w:rsidRDefault="00D3210C" w:rsidP="00D3210C">
      <w:pPr>
        <w:rPr>
          <w:b/>
          <w:bCs/>
        </w:rPr>
      </w:pPr>
      <w:r w:rsidRPr="00D3210C">
        <w:rPr>
          <w:b/>
          <w:bCs/>
        </w:rPr>
        <w:lastRenderedPageBreak/>
        <w:t>Table 8. Chi-square Results for Knowledge Variables</w:t>
      </w:r>
    </w:p>
    <w:tbl>
      <w:tblPr>
        <w:tblW w:w="5000" w:type="pct"/>
        <w:tblLook w:val="04A0" w:firstRow="1" w:lastRow="0" w:firstColumn="1" w:lastColumn="0" w:noHBand="0" w:noVBand="1"/>
      </w:tblPr>
      <w:tblGrid>
        <w:gridCol w:w="2308"/>
        <w:gridCol w:w="1245"/>
        <w:gridCol w:w="1945"/>
        <w:gridCol w:w="1840"/>
        <w:gridCol w:w="2022"/>
      </w:tblGrid>
      <w:tr w:rsidR="00746C53" w:rsidRPr="00746C53" w14:paraId="0A2B7BFC" w14:textId="77777777" w:rsidTr="00746C53">
        <w:trPr>
          <w:trHeight w:val="620"/>
        </w:trPr>
        <w:tc>
          <w:tcPr>
            <w:tcW w:w="1233" w:type="pct"/>
            <w:tcBorders>
              <w:top w:val="double" w:sz="6" w:space="0" w:color="auto"/>
              <w:left w:val="nil"/>
              <w:bottom w:val="double" w:sz="6" w:space="0" w:color="auto"/>
              <w:right w:val="nil"/>
            </w:tcBorders>
            <w:vAlign w:val="center"/>
            <w:hideMark/>
          </w:tcPr>
          <w:p w14:paraId="767B9C33"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Variable</w:t>
            </w:r>
          </w:p>
        </w:tc>
        <w:tc>
          <w:tcPr>
            <w:tcW w:w="665" w:type="pct"/>
            <w:tcBorders>
              <w:top w:val="double" w:sz="6" w:space="0" w:color="auto"/>
              <w:left w:val="nil"/>
              <w:bottom w:val="double" w:sz="6" w:space="0" w:color="auto"/>
              <w:right w:val="nil"/>
            </w:tcBorders>
            <w:vAlign w:val="center"/>
            <w:hideMark/>
          </w:tcPr>
          <w:p w14:paraId="7F2456B8"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χ²</w:t>
            </w:r>
          </w:p>
        </w:tc>
        <w:tc>
          <w:tcPr>
            <w:tcW w:w="1039" w:type="pct"/>
            <w:tcBorders>
              <w:top w:val="double" w:sz="6" w:space="0" w:color="auto"/>
              <w:left w:val="nil"/>
              <w:bottom w:val="double" w:sz="6" w:space="0" w:color="auto"/>
              <w:right w:val="nil"/>
            </w:tcBorders>
            <w:vAlign w:val="center"/>
            <w:hideMark/>
          </w:tcPr>
          <w:p w14:paraId="301FDD56" w14:textId="77777777" w:rsidR="00746C53" w:rsidRPr="00746C53" w:rsidRDefault="00746C53" w:rsidP="00746C53">
            <w:pPr>
              <w:spacing w:after="0" w:line="240" w:lineRule="auto"/>
              <w:jc w:val="center"/>
              <w:rPr>
                <w:rFonts w:eastAsia="Times New Roman" w:cs="Times New Roman"/>
                <w:b/>
                <w:bCs/>
                <w:color w:val="000000"/>
                <w:kern w:val="0"/>
                <w14:ligatures w14:val="none"/>
              </w:rPr>
            </w:pPr>
            <w:proofErr w:type="spellStart"/>
            <w:r w:rsidRPr="00746C53">
              <w:rPr>
                <w:rFonts w:eastAsia="Times New Roman" w:cs="Times New Roman"/>
                <w:b/>
                <w:bCs/>
                <w:color w:val="000000"/>
                <w:kern w:val="0"/>
                <w14:ligatures w14:val="none"/>
              </w:rPr>
              <w:t>df</w:t>
            </w:r>
            <w:proofErr w:type="spellEnd"/>
          </w:p>
        </w:tc>
        <w:tc>
          <w:tcPr>
            <w:tcW w:w="983" w:type="pct"/>
            <w:tcBorders>
              <w:top w:val="double" w:sz="6" w:space="0" w:color="auto"/>
              <w:left w:val="nil"/>
              <w:bottom w:val="double" w:sz="6" w:space="0" w:color="auto"/>
              <w:right w:val="nil"/>
            </w:tcBorders>
            <w:vAlign w:val="center"/>
            <w:hideMark/>
          </w:tcPr>
          <w:p w14:paraId="517AF5E5"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p-value</w:t>
            </w:r>
          </w:p>
        </w:tc>
        <w:tc>
          <w:tcPr>
            <w:tcW w:w="1080" w:type="pct"/>
            <w:tcBorders>
              <w:top w:val="double" w:sz="6" w:space="0" w:color="auto"/>
              <w:left w:val="nil"/>
              <w:bottom w:val="double" w:sz="6" w:space="0" w:color="auto"/>
              <w:right w:val="nil"/>
            </w:tcBorders>
            <w:vAlign w:val="center"/>
            <w:hideMark/>
          </w:tcPr>
          <w:p w14:paraId="7538413B"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Significance</w:t>
            </w:r>
          </w:p>
        </w:tc>
      </w:tr>
      <w:tr w:rsidR="00746C53" w:rsidRPr="00746C53" w14:paraId="5BE26DF2" w14:textId="77777777" w:rsidTr="00746C53">
        <w:trPr>
          <w:trHeight w:val="630"/>
        </w:trPr>
        <w:tc>
          <w:tcPr>
            <w:tcW w:w="1233" w:type="pct"/>
            <w:tcBorders>
              <w:top w:val="nil"/>
              <w:left w:val="nil"/>
              <w:bottom w:val="nil"/>
              <w:right w:val="nil"/>
            </w:tcBorders>
            <w:vAlign w:val="center"/>
            <w:hideMark/>
          </w:tcPr>
          <w:p w14:paraId="4140164A" w14:textId="77777777" w:rsidR="00746C53" w:rsidRPr="00746C53" w:rsidRDefault="00746C53" w:rsidP="00746C53">
            <w:pPr>
              <w:spacing w:after="0" w:line="240" w:lineRule="auto"/>
              <w:jc w:val="left"/>
              <w:rPr>
                <w:rFonts w:eastAsia="Times New Roman" w:cs="Times New Roman"/>
                <w:color w:val="000000"/>
                <w:kern w:val="0"/>
                <w14:ligatures w14:val="none"/>
              </w:rPr>
            </w:pPr>
            <w:r w:rsidRPr="00746C53">
              <w:rPr>
                <w:rFonts w:eastAsia="Times New Roman" w:cs="Times New Roman"/>
                <w:color w:val="000000"/>
                <w:kern w:val="0"/>
                <w14:ligatures w14:val="none"/>
              </w:rPr>
              <w:t>Heard About ANC</w:t>
            </w:r>
          </w:p>
        </w:tc>
        <w:tc>
          <w:tcPr>
            <w:tcW w:w="665" w:type="pct"/>
            <w:tcBorders>
              <w:top w:val="nil"/>
              <w:left w:val="nil"/>
              <w:bottom w:val="nil"/>
              <w:right w:val="nil"/>
            </w:tcBorders>
            <w:vAlign w:val="center"/>
            <w:hideMark/>
          </w:tcPr>
          <w:p w14:paraId="52A3E102"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7.24</w:t>
            </w:r>
          </w:p>
        </w:tc>
        <w:tc>
          <w:tcPr>
            <w:tcW w:w="1039" w:type="pct"/>
            <w:tcBorders>
              <w:top w:val="nil"/>
              <w:left w:val="nil"/>
              <w:bottom w:val="nil"/>
              <w:right w:val="nil"/>
            </w:tcBorders>
            <w:vAlign w:val="center"/>
            <w:hideMark/>
          </w:tcPr>
          <w:p w14:paraId="73FBF88B"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1</w:t>
            </w:r>
          </w:p>
        </w:tc>
        <w:tc>
          <w:tcPr>
            <w:tcW w:w="983" w:type="pct"/>
            <w:tcBorders>
              <w:top w:val="nil"/>
              <w:left w:val="nil"/>
              <w:bottom w:val="nil"/>
              <w:right w:val="nil"/>
            </w:tcBorders>
            <w:vAlign w:val="center"/>
            <w:hideMark/>
          </w:tcPr>
          <w:p w14:paraId="247ADF23"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0.007</w:t>
            </w:r>
          </w:p>
        </w:tc>
        <w:tc>
          <w:tcPr>
            <w:tcW w:w="1080" w:type="pct"/>
            <w:tcBorders>
              <w:top w:val="nil"/>
              <w:left w:val="nil"/>
              <w:bottom w:val="nil"/>
              <w:right w:val="nil"/>
            </w:tcBorders>
            <w:vAlign w:val="center"/>
            <w:hideMark/>
          </w:tcPr>
          <w:p w14:paraId="18CF1842"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Significant</w:t>
            </w:r>
          </w:p>
        </w:tc>
      </w:tr>
      <w:tr w:rsidR="00746C53" w:rsidRPr="00746C53" w14:paraId="5902F354" w14:textId="77777777" w:rsidTr="00746C53">
        <w:trPr>
          <w:trHeight w:val="620"/>
        </w:trPr>
        <w:tc>
          <w:tcPr>
            <w:tcW w:w="1233" w:type="pct"/>
            <w:tcBorders>
              <w:top w:val="single" w:sz="4" w:space="0" w:color="auto"/>
              <w:left w:val="nil"/>
              <w:bottom w:val="single" w:sz="4" w:space="0" w:color="auto"/>
              <w:right w:val="nil"/>
            </w:tcBorders>
            <w:vAlign w:val="center"/>
            <w:hideMark/>
          </w:tcPr>
          <w:p w14:paraId="18A0D22E" w14:textId="77777777" w:rsidR="00746C53" w:rsidRPr="00746C53" w:rsidRDefault="00746C53" w:rsidP="00746C53">
            <w:pPr>
              <w:spacing w:after="0" w:line="240" w:lineRule="auto"/>
              <w:jc w:val="left"/>
              <w:rPr>
                <w:rFonts w:eastAsia="Times New Roman" w:cs="Times New Roman"/>
                <w:color w:val="000000"/>
                <w:kern w:val="0"/>
                <w14:ligatures w14:val="none"/>
              </w:rPr>
            </w:pPr>
            <w:r w:rsidRPr="00746C53">
              <w:rPr>
                <w:rFonts w:eastAsia="Times New Roman" w:cs="Times New Roman"/>
                <w:color w:val="000000"/>
                <w:kern w:val="0"/>
                <w14:ligatures w14:val="none"/>
              </w:rPr>
              <w:t>Knows Purpose of ANC</w:t>
            </w:r>
          </w:p>
        </w:tc>
        <w:tc>
          <w:tcPr>
            <w:tcW w:w="665" w:type="pct"/>
            <w:tcBorders>
              <w:top w:val="single" w:sz="4" w:space="0" w:color="auto"/>
              <w:left w:val="nil"/>
              <w:bottom w:val="single" w:sz="4" w:space="0" w:color="auto"/>
              <w:right w:val="nil"/>
            </w:tcBorders>
            <w:vAlign w:val="center"/>
            <w:hideMark/>
          </w:tcPr>
          <w:p w14:paraId="6CABEC73"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14.62</w:t>
            </w:r>
          </w:p>
        </w:tc>
        <w:tc>
          <w:tcPr>
            <w:tcW w:w="1039" w:type="pct"/>
            <w:tcBorders>
              <w:top w:val="single" w:sz="4" w:space="0" w:color="auto"/>
              <w:left w:val="nil"/>
              <w:bottom w:val="single" w:sz="4" w:space="0" w:color="auto"/>
              <w:right w:val="nil"/>
            </w:tcBorders>
            <w:vAlign w:val="center"/>
            <w:hideMark/>
          </w:tcPr>
          <w:p w14:paraId="1A9AEB65"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1</w:t>
            </w:r>
          </w:p>
        </w:tc>
        <w:tc>
          <w:tcPr>
            <w:tcW w:w="983" w:type="pct"/>
            <w:tcBorders>
              <w:top w:val="single" w:sz="4" w:space="0" w:color="auto"/>
              <w:left w:val="nil"/>
              <w:bottom w:val="single" w:sz="4" w:space="0" w:color="auto"/>
              <w:right w:val="nil"/>
            </w:tcBorders>
            <w:vAlign w:val="center"/>
            <w:hideMark/>
          </w:tcPr>
          <w:p w14:paraId="44453FA8"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&lt;0.001</w:t>
            </w:r>
          </w:p>
        </w:tc>
        <w:tc>
          <w:tcPr>
            <w:tcW w:w="1080" w:type="pct"/>
            <w:tcBorders>
              <w:top w:val="single" w:sz="4" w:space="0" w:color="auto"/>
              <w:left w:val="nil"/>
              <w:bottom w:val="single" w:sz="4" w:space="0" w:color="auto"/>
              <w:right w:val="nil"/>
            </w:tcBorders>
            <w:vAlign w:val="center"/>
            <w:hideMark/>
          </w:tcPr>
          <w:p w14:paraId="2FA7F230"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Highly Significant</w:t>
            </w:r>
          </w:p>
        </w:tc>
      </w:tr>
      <w:tr w:rsidR="00746C53" w:rsidRPr="00746C53" w14:paraId="462E282A" w14:textId="77777777" w:rsidTr="00746C53">
        <w:trPr>
          <w:trHeight w:val="940"/>
        </w:trPr>
        <w:tc>
          <w:tcPr>
            <w:tcW w:w="1233" w:type="pct"/>
            <w:tcBorders>
              <w:top w:val="nil"/>
              <w:left w:val="nil"/>
              <w:bottom w:val="double" w:sz="6" w:space="0" w:color="auto"/>
              <w:right w:val="nil"/>
            </w:tcBorders>
            <w:vAlign w:val="center"/>
            <w:hideMark/>
          </w:tcPr>
          <w:p w14:paraId="613DB9D3" w14:textId="77777777" w:rsidR="00746C53" w:rsidRPr="00746C53" w:rsidRDefault="00746C53" w:rsidP="00746C53">
            <w:pPr>
              <w:spacing w:after="0" w:line="240" w:lineRule="auto"/>
              <w:jc w:val="left"/>
              <w:rPr>
                <w:rFonts w:eastAsia="Times New Roman" w:cs="Times New Roman"/>
                <w:color w:val="000000"/>
                <w:kern w:val="0"/>
                <w14:ligatures w14:val="none"/>
              </w:rPr>
            </w:pPr>
            <w:r w:rsidRPr="00746C53">
              <w:rPr>
                <w:rFonts w:eastAsia="Times New Roman" w:cs="Times New Roman"/>
                <w:color w:val="000000"/>
                <w:kern w:val="0"/>
                <w14:ligatures w14:val="none"/>
              </w:rPr>
              <w:t>Knows Recommended Visits</w:t>
            </w:r>
          </w:p>
        </w:tc>
        <w:tc>
          <w:tcPr>
            <w:tcW w:w="665" w:type="pct"/>
            <w:tcBorders>
              <w:top w:val="nil"/>
              <w:left w:val="nil"/>
              <w:bottom w:val="double" w:sz="6" w:space="0" w:color="auto"/>
              <w:right w:val="nil"/>
            </w:tcBorders>
            <w:vAlign w:val="center"/>
            <w:hideMark/>
          </w:tcPr>
          <w:p w14:paraId="180ECB77"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12.79</w:t>
            </w:r>
          </w:p>
        </w:tc>
        <w:tc>
          <w:tcPr>
            <w:tcW w:w="1039" w:type="pct"/>
            <w:tcBorders>
              <w:top w:val="nil"/>
              <w:left w:val="nil"/>
              <w:bottom w:val="double" w:sz="6" w:space="0" w:color="auto"/>
              <w:right w:val="nil"/>
            </w:tcBorders>
            <w:vAlign w:val="center"/>
            <w:hideMark/>
          </w:tcPr>
          <w:p w14:paraId="0AA058B8"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1</w:t>
            </w:r>
          </w:p>
        </w:tc>
        <w:tc>
          <w:tcPr>
            <w:tcW w:w="983" w:type="pct"/>
            <w:tcBorders>
              <w:top w:val="nil"/>
              <w:left w:val="nil"/>
              <w:bottom w:val="double" w:sz="6" w:space="0" w:color="auto"/>
              <w:right w:val="nil"/>
            </w:tcBorders>
            <w:vAlign w:val="center"/>
            <w:hideMark/>
          </w:tcPr>
          <w:p w14:paraId="44783F12"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&lt;0.001</w:t>
            </w:r>
          </w:p>
        </w:tc>
        <w:tc>
          <w:tcPr>
            <w:tcW w:w="1080" w:type="pct"/>
            <w:tcBorders>
              <w:top w:val="nil"/>
              <w:left w:val="nil"/>
              <w:bottom w:val="double" w:sz="6" w:space="0" w:color="auto"/>
              <w:right w:val="nil"/>
            </w:tcBorders>
            <w:vAlign w:val="center"/>
            <w:hideMark/>
          </w:tcPr>
          <w:p w14:paraId="5418602B"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Highly Significant</w:t>
            </w:r>
          </w:p>
        </w:tc>
      </w:tr>
    </w:tbl>
    <w:p w14:paraId="00C1CDE9" w14:textId="3E44C320" w:rsidR="00D3210C" w:rsidRPr="00D3210C" w:rsidRDefault="00D3210C" w:rsidP="00D3210C">
      <w:r w:rsidRPr="00D3210C">
        <w:br/>
        <w:t>Knowledge and awareness are among the strongest predictors of ANC attendance. The strongest relationship exists between understanding the purpose of ANC (</w:t>
      </w:r>
      <w:r w:rsidRPr="00D3210C">
        <w:rPr>
          <w:i/>
          <w:iCs/>
        </w:rPr>
        <w:t>p</w:t>
      </w:r>
      <w:r w:rsidRPr="00D3210C">
        <w:t xml:space="preserve"> &lt; 0.001) and attendance rates. This underscores the value of maternal-health education programs and behavioral-change communication in improving service uptake.</w:t>
      </w:r>
    </w:p>
    <w:p w14:paraId="26050151" w14:textId="47213F6A" w:rsidR="00D3210C" w:rsidRPr="00D3210C" w:rsidRDefault="00D3210C" w:rsidP="00D3210C">
      <w:pPr>
        <w:rPr>
          <w:b/>
          <w:bCs/>
        </w:rPr>
      </w:pPr>
      <w:r w:rsidRPr="00D3210C">
        <w:rPr>
          <w:b/>
          <w:bCs/>
        </w:rPr>
        <w:t>Hypothesis Testing Summary</w:t>
      </w:r>
    </w:p>
    <w:p w14:paraId="29105792" w14:textId="77777777" w:rsidR="00D3210C" w:rsidRPr="00D3210C" w:rsidRDefault="00D3210C" w:rsidP="00D3210C">
      <w:pPr>
        <w:rPr>
          <w:b/>
          <w:bCs/>
        </w:rPr>
      </w:pPr>
      <w:r w:rsidRPr="00D3210C">
        <w:rPr>
          <w:b/>
          <w:bCs/>
        </w:rPr>
        <w:t>Table 9. Summary of Chi-Square Hypothesis Results</w:t>
      </w:r>
    </w:p>
    <w:tbl>
      <w:tblPr>
        <w:tblW w:w="5000" w:type="pct"/>
        <w:tblLook w:val="04A0" w:firstRow="1" w:lastRow="0" w:firstColumn="1" w:lastColumn="0" w:noHBand="0" w:noVBand="1"/>
      </w:tblPr>
      <w:tblGrid>
        <w:gridCol w:w="2570"/>
        <w:gridCol w:w="2018"/>
        <w:gridCol w:w="2018"/>
        <w:gridCol w:w="2754"/>
      </w:tblGrid>
      <w:tr w:rsidR="00746C53" w:rsidRPr="00746C53" w14:paraId="62A72FA4" w14:textId="77777777" w:rsidTr="00746C53">
        <w:trPr>
          <w:trHeight w:val="620"/>
        </w:trPr>
        <w:tc>
          <w:tcPr>
            <w:tcW w:w="1373" w:type="pct"/>
            <w:tcBorders>
              <w:top w:val="double" w:sz="6" w:space="0" w:color="auto"/>
              <w:left w:val="nil"/>
              <w:bottom w:val="double" w:sz="6" w:space="0" w:color="auto"/>
              <w:right w:val="nil"/>
            </w:tcBorders>
            <w:vAlign w:val="center"/>
            <w:hideMark/>
          </w:tcPr>
          <w:p w14:paraId="25EFFC53"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Determinant Category</w:t>
            </w:r>
          </w:p>
        </w:tc>
        <w:tc>
          <w:tcPr>
            <w:tcW w:w="1078" w:type="pct"/>
            <w:tcBorders>
              <w:top w:val="double" w:sz="6" w:space="0" w:color="auto"/>
              <w:left w:val="nil"/>
              <w:bottom w:val="double" w:sz="6" w:space="0" w:color="auto"/>
              <w:right w:val="nil"/>
            </w:tcBorders>
            <w:vAlign w:val="center"/>
            <w:hideMark/>
          </w:tcPr>
          <w:p w14:paraId="02AFB22E"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Variable</w:t>
            </w:r>
          </w:p>
        </w:tc>
        <w:tc>
          <w:tcPr>
            <w:tcW w:w="1078" w:type="pct"/>
            <w:tcBorders>
              <w:top w:val="double" w:sz="6" w:space="0" w:color="auto"/>
              <w:left w:val="nil"/>
              <w:bottom w:val="double" w:sz="6" w:space="0" w:color="auto"/>
              <w:right w:val="nil"/>
            </w:tcBorders>
            <w:vAlign w:val="center"/>
            <w:hideMark/>
          </w:tcPr>
          <w:p w14:paraId="295340C4"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p-value</w:t>
            </w:r>
          </w:p>
        </w:tc>
        <w:tc>
          <w:tcPr>
            <w:tcW w:w="1471" w:type="pct"/>
            <w:tcBorders>
              <w:top w:val="double" w:sz="6" w:space="0" w:color="auto"/>
              <w:left w:val="nil"/>
              <w:bottom w:val="double" w:sz="6" w:space="0" w:color="auto"/>
              <w:right w:val="nil"/>
            </w:tcBorders>
            <w:vAlign w:val="center"/>
            <w:hideMark/>
          </w:tcPr>
          <w:p w14:paraId="79E85F91"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Relationship with ANC Attendance</w:t>
            </w:r>
          </w:p>
        </w:tc>
      </w:tr>
      <w:tr w:rsidR="00746C53" w:rsidRPr="00746C53" w14:paraId="7E4D8965" w14:textId="77777777" w:rsidTr="00746C53">
        <w:trPr>
          <w:trHeight w:val="320"/>
        </w:trPr>
        <w:tc>
          <w:tcPr>
            <w:tcW w:w="1373" w:type="pct"/>
            <w:vMerge w:val="restart"/>
            <w:tcBorders>
              <w:top w:val="nil"/>
              <w:left w:val="nil"/>
              <w:bottom w:val="nil"/>
              <w:right w:val="nil"/>
            </w:tcBorders>
            <w:vAlign w:val="center"/>
            <w:hideMark/>
          </w:tcPr>
          <w:p w14:paraId="42DB8B0F"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Socioeconomic</w:t>
            </w:r>
          </w:p>
        </w:tc>
        <w:tc>
          <w:tcPr>
            <w:tcW w:w="1078" w:type="pct"/>
            <w:tcBorders>
              <w:top w:val="nil"/>
              <w:left w:val="nil"/>
              <w:bottom w:val="nil"/>
              <w:right w:val="nil"/>
            </w:tcBorders>
            <w:vAlign w:val="center"/>
            <w:hideMark/>
          </w:tcPr>
          <w:p w14:paraId="7B72882D" w14:textId="77777777" w:rsidR="00746C53" w:rsidRPr="00746C53" w:rsidRDefault="00746C53" w:rsidP="00746C53">
            <w:pPr>
              <w:spacing w:after="0" w:line="240" w:lineRule="auto"/>
              <w:rPr>
                <w:rFonts w:eastAsia="Times New Roman" w:cs="Times New Roman"/>
                <w:color w:val="000000"/>
                <w:kern w:val="0"/>
                <w14:ligatures w14:val="none"/>
              </w:rPr>
            </w:pPr>
            <w:r w:rsidRPr="00746C53">
              <w:rPr>
                <w:rFonts w:eastAsia="Times New Roman" w:cs="Times New Roman"/>
                <w:color w:val="000000"/>
                <w:kern w:val="0"/>
                <w14:ligatures w14:val="none"/>
              </w:rPr>
              <w:t>Education</w:t>
            </w:r>
          </w:p>
        </w:tc>
        <w:tc>
          <w:tcPr>
            <w:tcW w:w="1078" w:type="pct"/>
            <w:tcBorders>
              <w:top w:val="nil"/>
              <w:left w:val="nil"/>
              <w:bottom w:val="nil"/>
              <w:right w:val="nil"/>
            </w:tcBorders>
            <w:vAlign w:val="center"/>
            <w:hideMark/>
          </w:tcPr>
          <w:p w14:paraId="73DF1C5B"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0.007</w:t>
            </w:r>
          </w:p>
        </w:tc>
        <w:tc>
          <w:tcPr>
            <w:tcW w:w="1471" w:type="pct"/>
            <w:tcBorders>
              <w:top w:val="nil"/>
              <w:left w:val="nil"/>
              <w:bottom w:val="nil"/>
              <w:right w:val="nil"/>
            </w:tcBorders>
            <w:vAlign w:val="center"/>
            <w:hideMark/>
          </w:tcPr>
          <w:p w14:paraId="514FD28F"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Significant</w:t>
            </w:r>
          </w:p>
        </w:tc>
      </w:tr>
      <w:tr w:rsidR="00746C53" w:rsidRPr="00746C53" w14:paraId="6BAA09C9" w14:textId="77777777" w:rsidTr="00746C53">
        <w:trPr>
          <w:trHeight w:val="310"/>
        </w:trPr>
        <w:tc>
          <w:tcPr>
            <w:tcW w:w="1373" w:type="pct"/>
            <w:vMerge/>
            <w:tcBorders>
              <w:top w:val="nil"/>
              <w:left w:val="nil"/>
              <w:bottom w:val="nil"/>
              <w:right w:val="nil"/>
            </w:tcBorders>
            <w:vAlign w:val="center"/>
            <w:hideMark/>
          </w:tcPr>
          <w:p w14:paraId="7F9CD289" w14:textId="77777777" w:rsidR="00746C53" w:rsidRPr="00746C53" w:rsidRDefault="00746C53" w:rsidP="00746C53">
            <w:pPr>
              <w:spacing w:after="0" w:line="240" w:lineRule="auto"/>
              <w:jc w:val="left"/>
              <w:rPr>
                <w:rFonts w:eastAsia="Times New Roman" w:cs="Times New Roman"/>
                <w:b/>
                <w:bCs/>
                <w:color w:val="000000"/>
                <w:kern w:val="0"/>
                <w14:ligatures w14:val="none"/>
              </w:rPr>
            </w:pPr>
          </w:p>
        </w:tc>
        <w:tc>
          <w:tcPr>
            <w:tcW w:w="1078" w:type="pct"/>
            <w:tcBorders>
              <w:top w:val="nil"/>
              <w:left w:val="nil"/>
              <w:bottom w:val="nil"/>
              <w:right w:val="nil"/>
            </w:tcBorders>
            <w:vAlign w:val="center"/>
            <w:hideMark/>
          </w:tcPr>
          <w:p w14:paraId="3E45D2DF" w14:textId="77777777" w:rsidR="00746C53" w:rsidRPr="00746C53" w:rsidRDefault="00746C53" w:rsidP="00746C53">
            <w:pPr>
              <w:spacing w:after="0" w:line="240" w:lineRule="auto"/>
              <w:rPr>
                <w:rFonts w:eastAsia="Times New Roman" w:cs="Times New Roman"/>
                <w:color w:val="000000"/>
                <w:kern w:val="0"/>
                <w14:ligatures w14:val="none"/>
              </w:rPr>
            </w:pPr>
            <w:r w:rsidRPr="00746C53">
              <w:rPr>
                <w:rFonts w:eastAsia="Times New Roman" w:cs="Times New Roman"/>
                <w:color w:val="000000"/>
                <w:kern w:val="0"/>
                <w14:ligatures w14:val="none"/>
              </w:rPr>
              <w:t>Occupation</w:t>
            </w:r>
          </w:p>
        </w:tc>
        <w:tc>
          <w:tcPr>
            <w:tcW w:w="1078" w:type="pct"/>
            <w:tcBorders>
              <w:top w:val="nil"/>
              <w:left w:val="nil"/>
              <w:bottom w:val="nil"/>
              <w:right w:val="nil"/>
            </w:tcBorders>
            <w:vAlign w:val="center"/>
            <w:hideMark/>
          </w:tcPr>
          <w:p w14:paraId="17B78DA8"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0.006</w:t>
            </w:r>
          </w:p>
        </w:tc>
        <w:tc>
          <w:tcPr>
            <w:tcW w:w="1471" w:type="pct"/>
            <w:tcBorders>
              <w:top w:val="nil"/>
              <w:left w:val="nil"/>
              <w:bottom w:val="nil"/>
              <w:right w:val="nil"/>
            </w:tcBorders>
            <w:vAlign w:val="center"/>
            <w:hideMark/>
          </w:tcPr>
          <w:p w14:paraId="77C214EF"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Significant</w:t>
            </w:r>
          </w:p>
        </w:tc>
      </w:tr>
      <w:tr w:rsidR="00746C53" w:rsidRPr="00746C53" w14:paraId="0F4CEDFC" w14:textId="77777777" w:rsidTr="00746C53">
        <w:trPr>
          <w:trHeight w:val="310"/>
        </w:trPr>
        <w:tc>
          <w:tcPr>
            <w:tcW w:w="1373" w:type="pct"/>
            <w:vMerge/>
            <w:tcBorders>
              <w:top w:val="nil"/>
              <w:left w:val="nil"/>
              <w:bottom w:val="nil"/>
              <w:right w:val="nil"/>
            </w:tcBorders>
            <w:vAlign w:val="center"/>
            <w:hideMark/>
          </w:tcPr>
          <w:p w14:paraId="754652B0" w14:textId="77777777" w:rsidR="00746C53" w:rsidRPr="00746C53" w:rsidRDefault="00746C53" w:rsidP="00746C53">
            <w:pPr>
              <w:spacing w:after="0" w:line="240" w:lineRule="auto"/>
              <w:jc w:val="left"/>
              <w:rPr>
                <w:rFonts w:eastAsia="Times New Roman" w:cs="Times New Roman"/>
                <w:b/>
                <w:bCs/>
                <w:color w:val="000000"/>
                <w:kern w:val="0"/>
                <w14:ligatures w14:val="none"/>
              </w:rPr>
            </w:pPr>
          </w:p>
        </w:tc>
        <w:tc>
          <w:tcPr>
            <w:tcW w:w="1078" w:type="pct"/>
            <w:tcBorders>
              <w:top w:val="nil"/>
              <w:left w:val="nil"/>
              <w:bottom w:val="nil"/>
              <w:right w:val="nil"/>
            </w:tcBorders>
            <w:vAlign w:val="center"/>
            <w:hideMark/>
          </w:tcPr>
          <w:p w14:paraId="25DF0EB8" w14:textId="77777777" w:rsidR="00746C53" w:rsidRPr="00746C53" w:rsidRDefault="00746C53" w:rsidP="00746C53">
            <w:pPr>
              <w:spacing w:after="0" w:line="240" w:lineRule="auto"/>
              <w:rPr>
                <w:rFonts w:eastAsia="Times New Roman" w:cs="Times New Roman"/>
                <w:color w:val="000000"/>
                <w:kern w:val="0"/>
                <w14:ligatures w14:val="none"/>
              </w:rPr>
            </w:pPr>
            <w:r w:rsidRPr="00746C53">
              <w:rPr>
                <w:rFonts w:eastAsia="Times New Roman" w:cs="Times New Roman"/>
                <w:color w:val="000000"/>
                <w:kern w:val="0"/>
                <w14:ligatures w14:val="none"/>
              </w:rPr>
              <w:t>Monthly Income</w:t>
            </w:r>
          </w:p>
        </w:tc>
        <w:tc>
          <w:tcPr>
            <w:tcW w:w="1078" w:type="pct"/>
            <w:tcBorders>
              <w:top w:val="nil"/>
              <w:left w:val="nil"/>
              <w:bottom w:val="nil"/>
              <w:right w:val="nil"/>
            </w:tcBorders>
            <w:vAlign w:val="center"/>
            <w:hideMark/>
          </w:tcPr>
          <w:p w14:paraId="79446828"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&lt;0.001</w:t>
            </w:r>
          </w:p>
        </w:tc>
        <w:tc>
          <w:tcPr>
            <w:tcW w:w="1471" w:type="pct"/>
            <w:tcBorders>
              <w:top w:val="nil"/>
              <w:left w:val="nil"/>
              <w:bottom w:val="nil"/>
              <w:right w:val="nil"/>
            </w:tcBorders>
            <w:vAlign w:val="center"/>
            <w:hideMark/>
          </w:tcPr>
          <w:p w14:paraId="505CB307"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Significant</w:t>
            </w:r>
          </w:p>
        </w:tc>
      </w:tr>
      <w:tr w:rsidR="00746C53" w:rsidRPr="00746C53" w14:paraId="03B5C7FD" w14:textId="77777777" w:rsidTr="00746C53">
        <w:trPr>
          <w:trHeight w:val="310"/>
        </w:trPr>
        <w:tc>
          <w:tcPr>
            <w:tcW w:w="1373" w:type="pct"/>
            <w:vMerge w:val="restart"/>
            <w:tcBorders>
              <w:top w:val="single" w:sz="4" w:space="0" w:color="auto"/>
              <w:left w:val="nil"/>
              <w:bottom w:val="single" w:sz="4" w:space="0" w:color="000000"/>
              <w:right w:val="nil"/>
            </w:tcBorders>
            <w:vAlign w:val="center"/>
            <w:hideMark/>
          </w:tcPr>
          <w:p w14:paraId="1552993E"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Cultural</w:t>
            </w:r>
          </w:p>
        </w:tc>
        <w:tc>
          <w:tcPr>
            <w:tcW w:w="1078" w:type="pct"/>
            <w:tcBorders>
              <w:top w:val="single" w:sz="4" w:space="0" w:color="auto"/>
              <w:left w:val="nil"/>
              <w:bottom w:val="nil"/>
              <w:right w:val="nil"/>
            </w:tcBorders>
            <w:vAlign w:val="center"/>
            <w:hideMark/>
          </w:tcPr>
          <w:p w14:paraId="1CCD97F2" w14:textId="77777777" w:rsidR="00746C53" w:rsidRPr="00746C53" w:rsidRDefault="00746C53" w:rsidP="00746C53">
            <w:pPr>
              <w:spacing w:after="0" w:line="240" w:lineRule="auto"/>
              <w:rPr>
                <w:rFonts w:eastAsia="Times New Roman" w:cs="Times New Roman"/>
                <w:color w:val="000000"/>
                <w:kern w:val="0"/>
                <w14:ligatures w14:val="none"/>
              </w:rPr>
            </w:pPr>
            <w:r w:rsidRPr="00746C53">
              <w:rPr>
                <w:rFonts w:eastAsia="Times New Roman" w:cs="Times New Roman"/>
                <w:color w:val="000000"/>
                <w:kern w:val="0"/>
                <w14:ligatures w14:val="none"/>
              </w:rPr>
              <w:t>Traditional Beliefs</w:t>
            </w:r>
          </w:p>
        </w:tc>
        <w:tc>
          <w:tcPr>
            <w:tcW w:w="1078" w:type="pct"/>
            <w:tcBorders>
              <w:top w:val="single" w:sz="4" w:space="0" w:color="auto"/>
              <w:left w:val="nil"/>
              <w:bottom w:val="nil"/>
              <w:right w:val="nil"/>
            </w:tcBorders>
            <w:vAlign w:val="center"/>
            <w:hideMark/>
          </w:tcPr>
          <w:p w14:paraId="164AF024"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0.011</w:t>
            </w:r>
          </w:p>
        </w:tc>
        <w:tc>
          <w:tcPr>
            <w:tcW w:w="1471" w:type="pct"/>
            <w:tcBorders>
              <w:top w:val="single" w:sz="4" w:space="0" w:color="auto"/>
              <w:left w:val="nil"/>
              <w:bottom w:val="nil"/>
              <w:right w:val="nil"/>
            </w:tcBorders>
            <w:vAlign w:val="center"/>
            <w:hideMark/>
          </w:tcPr>
          <w:p w14:paraId="53EB44A8"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Significant</w:t>
            </w:r>
          </w:p>
        </w:tc>
      </w:tr>
      <w:tr w:rsidR="00746C53" w:rsidRPr="00746C53" w14:paraId="624F7614" w14:textId="77777777" w:rsidTr="00746C53">
        <w:trPr>
          <w:trHeight w:val="620"/>
        </w:trPr>
        <w:tc>
          <w:tcPr>
            <w:tcW w:w="1373" w:type="pct"/>
            <w:vMerge/>
            <w:tcBorders>
              <w:top w:val="single" w:sz="4" w:space="0" w:color="auto"/>
              <w:left w:val="nil"/>
              <w:bottom w:val="single" w:sz="4" w:space="0" w:color="000000"/>
              <w:right w:val="nil"/>
            </w:tcBorders>
            <w:vAlign w:val="center"/>
            <w:hideMark/>
          </w:tcPr>
          <w:p w14:paraId="6FC5D80D" w14:textId="77777777" w:rsidR="00746C53" w:rsidRPr="00746C53" w:rsidRDefault="00746C53" w:rsidP="00746C53">
            <w:pPr>
              <w:spacing w:after="0" w:line="240" w:lineRule="auto"/>
              <w:jc w:val="left"/>
              <w:rPr>
                <w:rFonts w:eastAsia="Times New Roman" w:cs="Times New Roman"/>
                <w:b/>
                <w:bCs/>
                <w:color w:val="000000"/>
                <w:kern w:val="0"/>
                <w14:ligatures w14:val="none"/>
              </w:rPr>
            </w:pPr>
          </w:p>
        </w:tc>
        <w:tc>
          <w:tcPr>
            <w:tcW w:w="1078" w:type="pct"/>
            <w:tcBorders>
              <w:top w:val="nil"/>
              <w:left w:val="nil"/>
              <w:bottom w:val="nil"/>
              <w:right w:val="nil"/>
            </w:tcBorders>
            <w:vAlign w:val="center"/>
            <w:hideMark/>
          </w:tcPr>
          <w:p w14:paraId="13FE4BD5" w14:textId="77777777" w:rsidR="00746C53" w:rsidRPr="00746C53" w:rsidRDefault="00746C53" w:rsidP="00746C53">
            <w:pPr>
              <w:spacing w:after="0" w:line="240" w:lineRule="auto"/>
              <w:rPr>
                <w:rFonts w:eastAsia="Times New Roman" w:cs="Times New Roman"/>
                <w:color w:val="000000"/>
                <w:kern w:val="0"/>
                <w14:ligatures w14:val="none"/>
              </w:rPr>
            </w:pPr>
            <w:r w:rsidRPr="00746C53">
              <w:rPr>
                <w:rFonts w:eastAsia="Times New Roman" w:cs="Times New Roman"/>
                <w:color w:val="000000"/>
                <w:kern w:val="0"/>
                <w14:ligatures w14:val="none"/>
              </w:rPr>
              <w:t>Cultural Restrictions</w:t>
            </w:r>
          </w:p>
        </w:tc>
        <w:tc>
          <w:tcPr>
            <w:tcW w:w="1078" w:type="pct"/>
            <w:tcBorders>
              <w:top w:val="nil"/>
              <w:left w:val="nil"/>
              <w:bottom w:val="nil"/>
              <w:right w:val="nil"/>
            </w:tcBorders>
            <w:vAlign w:val="center"/>
            <w:hideMark/>
          </w:tcPr>
          <w:p w14:paraId="1DAFED71"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0.046</w:t>
            </w:r>
          </w:p>
        </w:tc>
        <w:tc>
          <w:tcPr>
            <w:tcW w:w="1471" w:type="pct"/>
            <w:tcBorders>
              <w:top w:val="nil"/>
              <w:left w:val="nil"/>
              <w:bottom w:val="nil"/>
              <w:right w:val="nil"/>
            </w:tcBorders>
            <w:vAlign w:val="center"/>
            <w:hideMark/>
          </w:tcPr>
          <w:p w14:paraId="0134D156"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Significant</w:t>
            </w:r>
          </w:p>
        </w:tc>
      </w:tr>
      <w:tr w:rsidR="00746C53" w:rsidRPr="00746C53" w14:paraId="04AC6467" w14:textId="77777777" w:rsidTr="00746C53">
        <w:trPr>
          <w:trHeight w:val="620"/>
        </w:trPr>
        <w:tc>
          <w:tcPr>
            <w:tcW w:w="1373" w:type="pct"/>
            <w:vMerge/>
            <w:tcBorders>
              <w:top w:val="single" w:sz="4" w:space="0" w:color="auto"/>
              <w:left w:val="nil"/>
              <w:bottom w:val="single" w:sz="4" w:space="0" w:color="000000"/>
              <w:right w:val="nil"/>
            </w:tcBorders>
            <w:vAlign w:val="center"/>
            <w:hideMark/>
          </w:tcPr>
          <w:p w14:paraId="1D71D30E" w14:textId="77777777" w:rsidR="00746C53" w:rsidRPr="00746C53" w:rsidRDefault="00746C53" w:rsidP="00746C53">
            <w:pPr>
              <w:spacing w:after="0" w:line="240" w:lineRule="auto"/>
              <w:jc w:val="left"/>
              <w:rPr>
                <w:rFonts w:eastAsia="Times New Roman" w:cs="Times New Roman"/>
                <w:b/>
                <w:bCs/>
                <w:color w:val="000000"/>
                <w:kern w:val="0"/>
                <w14:ligatures w14:val="none"/>
              </w:rPr>
            </w:pPr>
          </w:p>
        </w:tc>
        <w:tc>
          <w:tcPr>
            <w:tcW w:w="1078" w:type="pct"/>
            <w:tcBorders>
              <w:top w:val="nil"/>
              <w:left w:val="nil"/>
              <w:bottom w:val="single" w:sz="4" w:space="0" w:color="auto"/>
              <w:right w:val="nil"/>
            </w:tcBorders>
            <w:vAlign w:val="center"/>
            <w:hideMark/>
          </w:tcPr>
          <w:p w14:paraId="32BA93B5" w14:textId="77777777" w:rsidR="00746C53" w:rsidRPr="00746C53" w:rsidRDefault="00746C53" w:rsidP="00746C53">
            <w:pPr>
              <w:spacing w:after="0" w:line="240" w:lineRule="auto"/>
              <w:rPr>
                <w:rFonts w:eastAsia="Times New Roman" w:cs="Times New Roman"/>
                <w:color w:val="000000"/>
                <w:kern w:val="0"/>
                <w14:ligatures w14:val="none"/>
              </w:rPr>
            </w:pPr>
            <w:r w:rsidRPr="00746C53">
              <w:rPr>
                <w:rFonts w:eastAsia="Times New Roman" w:cs="Times New Roman"/>
                <w:color w:val="000000"/>
                <w:kern w:val="0"/>
                <w14:ligatures w14:val="none"/>
              </w:rPr>
              <w:t>Traditional Healer Visit</w:t>
            </w:r>
          </w:p>
        </w:tc>
        <w:tc>
          <w:tcPr>
            <w:tcW w:w="1078" w:type="pct"/>
            <w:tcBorders>
              <w:top w:val="nil"/>
              <w:left w:val="nil"/>
              <w:bottom w:val="single" w:sz="4" w:space="0" w:color="auto"/>
              <w:right w:val="nil"/>
            </w:tcBorders>
            <w:vAlign w:val="center"/>
            <w:hideMark/>
          </w:tcPr>
          <w:p w14:paraId="3AC15581"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0.022</w:t>
            </w:r>
          </w:p>
        </w:tc>
        <w:tc>
          <w:tcPr>
            <w:tcW w:w="1471" w:type="pct"/>
            <w:tcBorders>
              <w:top w:val="nil"/>
              <w:left w:val="nil"/>
              <w:bottom w:val="single" w:sz="4" w:space="0" w:color="auto"/>
              <w:right w:val="nil"/>
            </w:tcBorders>
            <w:vAlign w:val="center"/>
            <w:hideMark/>
          </w:tcPr>
          <w:p w14:paraId="25FA0C08"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Significant</w:t>
            </w:r>
          </w:p>
        </w:tc>
      </w:tr>
      <w:tr w:rsidR="00746C53" w:rsidRPr="00746C53" w14:paraId="178C0942" w14:textId="77777777" w:rsidTr="00746C53">
        <w:trPr>
          <w:trHeight w:val="310"/>
        </w:trPr>
        <w:tc>
          <w:tcPr>
            <w:tcW w:w="1373" w:type="pct"/>
            <w:vMerge w:val="restart"/>
            <w:tcBorders>
              <w:top w:val="nil"/>
              <w:left w:val="nil"/>
              <w:bottom w:val="nil"/>
              <w:right w:val="nil"/>
            </w:tcBorders>
            <w:vAlign w:val="center"/>
            <w:hideMark/>
          </w:tcPr>
          <w:p w14:paraId="6494808F"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Health System</w:t>
            </w:r>
          </w:p>
        </w:tc>
        <w:tc>
          <w:tcPr>
            <w:tcW w:w="1078" w:type="pct"/>
            <w:tcBorders>
              <w:top w:val="nil"/>
              <w:left w:val="nil"/>
              <w:bottom w:val="nil"/>
              <w:right w:val="nil"/>
            </w:tcBorders>
            <w:vAlign w:val="center"/>
            <w:hideMark/>
          </w:tcPr>
          <w:p w14:paraId="3014D02E" w14:textId="77777777" w:rsidR="00746C53" w:rsidRPr="00746C53" w:rsidRDefault="00746C53" w:rsidP="00746C53">
            <w:pPr>
              <w:spacing w:after="0" w:line="240" w:lineRule="auto"/>
              <w:rPr>
                <w:rFonts w:eastAsia="Times New Roman" w:cs="Times New Roman"/>
                <w:color w:val="000000"/>
                <w:kern w:val="0"/>
                <w14:ligatures w14:val="none"/>
              </w:rPr>
            </w:pPr>
            <w:r w:rsidRPr="00746C53">
              <w:rPr>
                <w:rFonts w:eastAsia="Times New Roman" w:cs="Times New Roman"/>
                <w:color w:val="000000"/>
                <w:kern w:val="0"/>
                <w14:ligatures w14:val="none"/>
              </w:rPr>
              <w:t>Distance</w:t>
            </w:r>
          </w:p>
        </w:tc>
        <w:tc>
          <w:tcPr>
            <w:tcW w:w="1078" w:type="pct"/>
            <w:tcBorders>
              <w:top w:val="nil"/>
              <w:left w:val="nil"/>
              <w:bottom w:val="nil"/>
              <w:right w:val="nil"/>
            </w:tcBorders>
            <w:vAlign w:val="center"/>
            <w:hideMark/>
          </w:tcPr>
          <w:p w14:paraId="29835392"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0.002</w:t>
            </w:r>
          </w:p>
        </w:tc>
        <w:tc>
          <w:tcPr>
            <w:tcW w:w="1471" w:type="pct"/>
            <w:tcBorders>
              <w:top w:val="nil"/>
              <w:left w:val="nil"/>
              <w:bottom w:val="nil"/>
              <w:right w:val="nil"/>
            </w:tcBorders>
            <w:vAlign w:val="center"/>
            <w:hideMark/>
          </w:tcPr>
          <w:p w14:paraId="2E29E03B"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Significant</w:t>
            </w:r>
          </w:p>
        </w:tc>
      </w:tr>
      <w:tr w:rsidR="00746C53" w:rsidRPr="00746C53" w14:paraId="241A379B" w14:textId="77777777" w:rsidTr="00746C53">
        <w:trPr>
          <w:trHeight w:val="310"/>
        </w:trPr>
        <w:tc>
          <w:tcPr>
            <w:tcW w:w="1373" w:type="pct"/>
            <w:vMerge/>
            <w:tcBorders>
              <w:top w:val="nil"/>
              <w:left w:val="nil"/>
              <w:bottom w:val="nil"/>
              <w:right w:val="nil"/>
            </w:tcBorders>
            <w:vAlign w:val="center"/>
            <w:hideMark/>
          </w:tcPr>
          <w:p w14:paraId="724BE9F0" w14:textId="77777777" w:rsidR="00746C53" w:rsidRPr="00746C53" w:rsidRDefault="00746C53" w:rsidP="00746C53">
            <w:pPr>
              <w:spacing w:after="0" w:line="240" w:lineRule="auto"/>
              <w:jc w:val="left"/>
              <w:rPr>
                <w:rFonts w:eastAsia="Times New Roman" w:cs="Times New Roman"/>
                <w:b/>
                <w:bCs/>
                <w:color w:val="000000"/>
                <w:kern w:val="0"/>
                <w14:ligatures w14:val="none"/>
              </w:rPr>
            </w:pPr>
          </w:p>
        </w:tc>
        <w:tc>
          <w:tcPr>
            <w:tcW w:w="1078" w:type="pct"/>
            <w:tcBorders>
              <w:top w:val="nil"/>
              <w:left w:val="nil"/>
              <w:bottom w:val="nil"/>
              <w:right w:val="nil"/>
            </w:tcBorders>
            <w:vAlign w:val="center"/>
            <w:hideMark/>
          </w:tcPr>
          <w:p w14:paraId="655A8888" w14:textId="77777777" w:rsidR="00746C53" w:rsidRPr="00746C53" w:rsidRDefault="00746C53" w:rsidP="00746C53">
            <w:pPr>
              <w:spacing w:after="0" w:line="240" w:lineRule="auto"/>
              <w:rPr>
                <w:rFonts w:eastAsia="Times New Roman" w:cs="Times New Roman"/>
                <w:color w:val="000000"/>
                <w:kern w:val="0"/>
                <w14:ligatures w14:val="none"/>
              </w:rPr>
            </w:pPr>
            <w:r w:rsidRPr="00746C53">
              <w:rPr>
                <w:rFonts w:eastAsia="Times New Roman" w:cs="Times New Roman"/>
                <w:color w:val="000000"/>
                <w:kern w:val="0"/>
                <w14:ligatures w14:val="none"/>
              </w:rPr>
              <w:t>Waiting Time</w:t>
            </w:r>
          </w:p>
        </w:tc>
        <w:tc>
          <w:tcPr>
            <w:tcW w:w="1078" w:type="pct"/>
            <w:tcBorders>
              <w:top w:val="nil"/>
              <w:left w:val="nil"/>
              <w:bottom w:val="nil"/>
              <w:right w:val="nil"/>
            </w:tcBorders>
            <w:vAlign w:val="center"/>
            <w:hideMark/>
          </w:tcPr>
          <w:p w14:paraId="5D34BC6B"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0.005</w:t>
            </w:r>
          </w:p>
        </w:tc>
        <w:tc>
          <w:tcPr>
            <w:tcW w:w="1471" w:type="pct"/>
            <w:tcBorders>
              <w:top w:val="nil"/>
              <w:left w:val="nil"/>
              <w:bottom w:val="nil"/>
              <w:right w:val="nil"/>
            </w:tcBorders>
            <w:vAlign w:val="center"/>
            <w:hideMark/>
          </w:tcPr>
          <w:p w14:paraId="4B2D4E1B"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Significant</w:t>
            </w:r>
          </w:p>
        </w:tc>
      </w:tr>
      <w:tr w:rsidR="00746C53" w:rsidRPr="00746C53" w14:paraId="78B4F8BC" w14:textId="77777777" w:rsidTr="00746C53">
        <w:trPr>
          <w:trHeight w:val="310"/>
        </w:trPr>
        <w:tc>
          <w:tcPr>
            <w:tcW w:w="1373" w:type="pct"/>
            <w:vMerge/>
            <w:tcBorders>
              <w:top w:val="nil"/>
              <w:left w:val="nil"/>
              <w:bottom w:val="nil"/>
              <w:right w:val="nil"/>
            </w:tcBorders>
            <w:vAlign w:val="center"/>
            <w:hideMark/>
          </w:tcPr>
          <w:p w14:paraId="1CD3E7F6" w14:textId="77777777" w:rsidR="00746C53" w:rsidRPr="00746C53" w:rsidRDefault="00746C53" w:rsidP="00746C53">
            <w:pPr>
              <w:spacing w:after="0" w:line="240" w:lineRule="auto"/>
              <w:jc w:val="left"/>
              <w:rPr>
                <w:rFonts w:eastAsia="Times New Roman" w:cs="Times New Roman"/>
                <w:b/>
                <w:bCs/>
                <w:color w:val="000000"/>
                <w:kern w:val="0"/>
                <w14:ligatures w14:val="none"/>
              </w:rPr>
            </w:pPr>
          </w:p>
        </w:tc>
        <w:tc>
          <w:tcPr>
            <w:tcW w:w="1078" w:type="pct"/>
            <w:tcBorders>
              <w:top w:val="nil"/>
              <w:left w:val="nil"/>
              <w:bottom w:val="nil"/>
              <w:right w:val="nil"/>
            </w:tcBorders>
            <w:vAlign w:val="center"/>
            <w:hideMark/>
          </w:tcPr>
          <w:p w14:paraId="08769A1E" w14:textId="77777777" w:rsidR="00746C53" w:rsidRPr="00746C53" w:rsidRDefault="00746C53" w:rsidP="00746C53">
            <w:pPr>
              <w:spacing w:after="0" w:line="240" w:lineRule="auto"/>
              <w:rPr>
                <w:rFonts w:eastAsia="Times New Roman" w:cs="Times New Roman"/>
                <w:color w:val="000000"/>
                <w:kern w:val="0"/>
                <w14:ligatures w14:val="none"/>
              </w:rPr>
            </w:pPr>
            <w:r w:rsidRPr="00746C53">
              <w:rPr>
                <w:rFonts w:eastAsia="Times New Roman" w:cs="Times New Roman"/>
                <w:color w:val="000000"/>
                <w:kern w:val="0"/>
                <w14:ligatures w14:val="none"/>
              </w:rPr>
              <w:t>Staff Attitude</w:t>
            </w:r>
          </w:p>
        </w:tc>
        <w:tc>
          <w:tcPr>
            <w:tcW w:w="1078" w:type="pct"/>
            <w:tcBorders>
              <w:top w:val="nil"/>
              <w:left w:val="nil"/>
              <w:bottom w:val="nil"/>
              <w:right w:val="nil"/>
            </w:tcBorders>
            <w:vAlign w:val="center"/>
            <w:hideMark/>
          </w:tcPr>
          <w:p w14:paraId="49032AE5"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0.003</w:t>
            </w:r>
          </w:p>
        </w:tc>
        <w:tc>
          <w:tcPr>
            <w:tcW w:w="1471" w:type="pct"/>
            <w:tcBorders>
              <w:top w:val="nil"/>
              <w:left w:val="nil"/>
              <w:bottom w:val="nil"/>
              <w:right w:val="nil"/>
            </w:tcBorders>
            <w:vAlign w:val="center"/>
            <w:hideMark/>
          </w:tcPr>
          <w:p w14:paraId="19915D4C"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Significant</w:t>
            </w:r>
          </w:p>
        </w:tc>
      </w:tr>
      <w:tr w:rsidR="00746C53" w:rsidRPr="00746C53" w14:paraId="65119D9C" w14:textId="77777777" w:rsidTr="00746C53">
        <w:trPr>
          <w:trHeight w:val="310"/>
        </w:trPr>
        <w:tc>
          <w:tcPr>
            <w:tcW w:w="1373" w:type="pct"/>
            <w:vMerge w:val="restart"/>
            <w:tcBorders>
              <w:top w:val="single" w:sz="4" w:space="0" w:color="auto"/>
              <w:left w:val="nil"/>
              <w:bottom w:val="double" w:sz="6" w:space="0" w:color="000000"/>
              <w:right w:val="nil"/>
            </w:tcBorders>
            <w:vAlign w:val="center"/>
            <w:hideMark/>
          </w:tcPr>
          <w:p w14:paraId="51B7331D" w14:textId="77777777" w:rsidR="00746C53" w:rsidRPr="00746C53" w:rsidRDefault="00746C53" w:rsidP="00746C53">
            <w:pPr>
              <w:spacing w:after="0" w:line="240" w:lineRule="auto"/>
              <w:jc w:val="center"/>
              <w:rPr>
                <w:rFonts w:eastAsia="Times New Roman" w:cs="Times New Roman"/>
                <w:b/>
                <w:bCs/>
                <w:color w:val="000000"/>
                <w:kern w:val="0"/>
                <w14:ligatures w14:val="none"/>
              </w:rPr>
            </w:pPr>
            <w:r w:rsidRPr="00746C53">
              <w:rPr>
                <w:rFonts w:eastAsia="Times New Roman" w:cs="Times New Roman"/>
                <w:b/>
                <w:bCs/>
                <w:color w:val="000000"/>
                <w:kern w:val="0"/>
                <w14:ligatures w14:val="none"/>
              </w:rPr>
              <w:t>Knowledge</w:t>
            </w:r>
          </w:p>
        </w:tc>
        <w:tc>
          <w:tcPr>
            <w:tcW w:w="1078" w:type="pct"/>
            <w:tcBorders>
              <w:top w:val="single" w:sz="4" w:space="0" w:color="auto"/>
              <w:left w:val="nil"/>
              <w:bottom w:val="nil"/>
              <w:right w:val="nil"/>
            </w:tcBorders>
            <w:vAlign w:val="center"/>
            <w:hideMark/>
          </w:tcPr>
          <w:p w14:paraId="7C30D23F" w14:textId="77777777" w:rsidR="00746C53" w:rsidRPr="00746C53" w:rsidRDefault="00746C53" w:rsidP="00746C53">
            <w:pPr>
              <w:spacing w:after="0" w:line="240" w:lineRule="auto"/>
              <w:rPr>
                <w:rFonts w:eastAsia="Times New Roman" w:cs="Times New Roman"/>
                <w:color w:val="000000"/>
                <w:kern w:val="0"/>
                <w14:ligatures w14:val="none"/>
              </w:rPr>
            </w:pPr>
            <w:r w:rsidRPr="00746C53">
              <w:rPr>
                <w:rFonts w:eastAsia="Times New Roman" w:cs="Times New Roman"/>
                <w:color w:val="000000"/>
                <w:kern w:val="0"/>
                <w14:ligatures w14:val="none"/>
              </w:rPr>
              <w:t>Awareness</w:t>
            </w:r>
          </w:p>
        </w:tc>
        <w:tc>
          <w:tcPr>
            <w:tcW w:w="1078" w:type="pct"/>
            <w:tcBorders>
              <w:top w:val="single" w:sz="4" w:space="0" w:color="auto"/>
              <w:left w:val="nil"/>
              <w:bottom w:val="nil"/>
              <w:right w:val="nil"/>
            </w:tcBorders>
            <w:vAlign w:val="center"/>
            <w:hideMark/>
          </w:tcPr>
          <w:p w14:paraId="77FEBE9C"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0.007</w:t>
            </w:r>
          </w:p>
        </w:tc>
        <w:tc>
          <w:tcPr>
            <w:tcW w:w="1471" w:type="pct"/>
            <w:tcBorders>
              <w:top w:val="single" w:sz="4" w:space="0" w:color="auto"/>
              <w:left w:val="nil"/>
              <w:bottom w:val="nil"/>
              <w:right w:val="nil"/>
            </w:tcBorders>
            <w:vAlign w:val="center"/>
            <w:hideMark/>
          </w:tcPr>
          <w:p w14:paraId="02E34D1A"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Significant</w:t>
            </w:r>
          </w:p>
        </w:tc>
      </w:tr>
      <w:tr w:rsidR="00746C53" w:rsidRPr="00746C53" w14:paraId="03065026" w14:textId="77777777" w:rsidTr="00746C53">
        <w:trPr>
          <w:trHeight w:val="310"/>
        </w:trPr>
        <w:tc>
          <w:tcPr>
            <w:tcW w:w="1373" w:type="pct"/>
            <w:vMerge/>
            <w:tcBorders>
              <w:top w:val="single" w:sz="4" w:space="0" w:color="auto"/>
              <w:left w:val="nil"/>
              <w:bottom w:val="double" w:sz="6" w:space="0" w:color="000000"/>
              <w:right w:val="nil"/>
            </w:tcBorders>
            <w:vAlign w:val="center"/>
            <w:hideMark/>
          </w:tcPr>
          <w:p w14:paraId="6FD8483B" w14:textId="77777777" w:rsidR="00746C53" w:rsidRPr="00746C53" w:rsidRDefault="00746C53" w:rsidP="00746C53">
            <w:pPr>
              <w:spacing w:after="0" w:line="240" w:lineRule="auto"/>
              <w:jc w:val="left"/>
              <w:rPr>
                <w:rFonts w:eastAsia="Times New Roman" w:cs="Times New Roman"/>
                <w:b/>
                <w:bCs/>
                <w:color w:val="000000"/>
                <w:kern w:val="0"/>
                <w14:ligatures w14:val="none"/>
              </w:rPr>
            </w:pPr>
          </w:p>
        </w:tc>
        <w:tc>
          <w:tcPr>
            <w:tcW w:w="1078" w:type="pct"/>
            <w:tcBorders>
              <w:top w:val="nil"/>
              <w:left w:val="nil"/>
              <w:bottom w:val="nil"/>
              <w:right w:val="nil"/>
            </w:tcBorders>
            <w:vAlign w:val="center"/>
            <w:hideMark/>
          </w:tcPr>
          <w:p w14:paraId="5757F91E" w14:textId="77777777" w:rsidR="00746C53" w:rsidRPr="00746C53" w:rsidRDefault="00746C53" w:rsidP="00746C53">
            <w:pPr>
              <w:spacing w:after="0" w:line="240" w:lineRule="auto"/>
              <w:rPr>
                <w:rFonts w:eastAsia="Times New Roman" w:cs="Times New Roman"/>
                <w:color w:val="000000"/>
                <w:kern w:val="0"/>
                <w14:ligatures w14:val="none"/>
              </w:rPr>
            </w:pPr>
            <w:r w:rsidRPr="00746C53">
              <w:rPr>
                <w:rFonts w:eastAsia="Times New Roman" w:cs="Times New Roman"/>
                <w:color w:val="000000"/>
                <w:kern w:val="0"/>
                <w14:ligatures w14:val="none"/>
              </w:rPr>
              <w:t>Purpose of ANC</w:t>
            </w:r>
          </w:p>
        </w:tc>
        <w:tc>
          <w:tcPr>
            <w:tcW w:w="1078" w:type="pct"/>
            <w:tcBorders>
              <w:top w:val="nil"/>
              <w:left w:val="nil"/>
              <w:bottom w:val="nil"/>
              <w:right w:val="nil"/>
            </w:tcBorders>
            <w:vAlign w:val="center"/>
            <w:hideMark/>
          </w:tcPr>
          <w:p w14:paraId="64FCCD23"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&lt;0.001</w:t>
            </w:r>
          </w:p>
        </w:tc>
        <w:tc>
          <w:tcPr>
            <w:tcW w:w="1471" w:type="pct"/>
            <w:tcBorders>
              <w:top w:val="nil"/>
              <w:left w:val="nil"/>
              <w:bottom w:val="nil"/>
              <w:right w:val="nil"/>
            </w:tcBorders>
            <w:vAlign w:val="center"/>
            <w:hideMark/>
          </w:tcPr>
          <w:p w14:paraId="51569E5E"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Significant</w:t>
            </w:r>
          </w:p>
        </w:tc>
      </w:tr>
      <w:tr w:rsidR="00746C53" w:rsidRPr="00746C53" w14:paraId="2F9DF5F6" w14:textId="77777777" w:rsidTr="00746C53">
        <w:trPr>
          <w:trHeight w:val="630"/>
        </w:trPr>
        <w:tc>
          <w:tcPr>
            <w:tcW w:w="1373" w:type="pct"/>
            <w:vMerge/>
            <w:tcBorders>
              <w:top w:val="single" w:sz="4" w:space="0" w:color="auto"/>
              <w:left w:val="nil"/>
              <w:bottom w:val="double" w:sz="6" w:space="0" w:color="000000"/>
              <w:right w:val="nil"/>
            </w:tcBorders>
            <w:vAlign w:val="center"/>
            <w:hideMark/>
          </w:tcPr>
          <w:p w14:paraId="243D66AC" w14:textId="77777777" w:rsidR="00746C53" w:rsidRPr="00746C53" w:rsidRDefault="00746C53" w:rsidP="00746C53">
            <w:pPr>
              <w:spacing w:after="0" w:line="240" w:lineRule="auto"/>
              <w:jc w:val="left"/>
              <w:rPr>
                <w:rFonts w:eastAsia="Times New Roman" w:cs="Times New Roman"/>
                <w:b/>
                <w:bCs/>
                <w:color w:val="000000"/>
                <w:kern w:val="0"/>
                <w14:ligatures w14:val="none"/>
              </w:rPr>
            </w:pPr>
          </w:p>
        </w:tc>
        <w:tc>
          <w:tcPr>
            <w:tcW w:w="1078" w:type="pct"/>
            <w:tcBorders>
              <w:top w:val="nil"/>
              <w:left w:val="nil"/>
              <w:bottom w:val="double" w:sz="6" w:space="0" w:color="auto"/>
              <w:right w:val="nil"/>
            </w:tcBorders>
            <w:vAlign w:val="center"/>
            <w:hideMark/>
          </w:tcPr>
          <w:p w14:paraId="6298960C" w14:textId="77777777" w:rsidR="00746C53" w:rsidRPr="00746C53" w:rsidRDefault="00746C53" w:rsidP="00746C53">
            <w:pPr>
              <w:spacing w:after="0" w:line="240" w:lineRule="auto"/>
              <w:rPr>
                <w:rFonts w:eastAsia="Times New Roman" w:cs="Times New Roman"/>
                <w:color w:val="000000"/>
                <w:kern w:val="0"/>
                <w14:ligatures w14:val="none"/>
              </w:rPr>
            </w:pPr>
            <w:r w:rsidRPr="00746C53">
              <w:rPr>
                <w:rFonts w:eastAsia="Times New Roman" w:cs="Times New Roman"/>
                <w:color w:val="000000"/>
                <w:kern w:val="0"/>
                <w14:ligatures w14:val="none"/>
              </w:rPr>
              <w:t>Recommended Visits</w:t>
            </w:r>
          </w:p>
        </w:tc>
        <w:tc>
          <w:tcPr>
            <w:tcW w:w="1078" w:type="pct"/>
            <w:tcBorders>
              <w:top w:val="nil"/>
              <w:left w:val="nil"/>
              <w:bottom w:val="double" w:sz="6" w:space="0" w:color="auto"/>
              <w:right w:val="nil"/>
            </w:tcBorders>
            <w:vAlign w:val="center"/>
            <w:hideMark/>
          </w:tcPr>
          <w:p w14:paraId="12C138BB"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&lt;0.001</w:t>
            </w:r>
          </w:p>
        </w:tc>
        <w:tc>
          <w:tcPr>
            <w:tcW w:w="1471" w:type="pct"/>
            <w:tcBorders>
              <w:top w:val="nil"/>
              <w:left w:val="nil"/>
              <w:bottom w:val="double" w:sz="6" w:space="0" w:color="auto"/>
              <w:right w:val="nil"/>
            </w:tcBorders>
            <w:vAlign w:val="center"/>
            <w:hideMark/>
          </w:tcPr>
          <w:p w14:paraId="19AA26C4" w14:textId="77777777" w:rsidR="00746C53" w:rsidRPr="00746C53" w:rsidRDefault="00746C53" w:rsidP="00746C53">
            <w:pPr>
              <w:spacing w:after="0" w:line="240" w:lineRule="auto"/>
              <w:jc w:val="center"/>
              <w:rPr>
                <w:rFonts w:eastAsia="Times New Roman" w:cs="Times New Roman"/>
                <w:color w:val="000000"/>
                <w:kern w:val="0"/>
                <w14:ligatures w14:val="none"/>
              </w:rPr>
            </w:pPr>
            <w:r w:rsidRPr="00746C53">
              <w:rPr>
                <w:rFonts w:eastAsia="Times New Roman" w:cs="Times New Roman"/>
                <w:color w:val="000000"/>
                <w:kern w:val="0"/>
                <w14:ligatures w14:val="none"/>
              </w:rPr>
              <w:t>Significant</w:t>
            </w:r>
          </w:p>
        </w:tc>
      </w:tr>
    </w:tbl>
    <w:p w14:paraId="7B1D2B66" w14:textId="1A9F46D9" w:rsidR="00D3210C" w:rsidRPr="00D3210C" w:rsidRDefault="00D3210C" w:rsidP="00D3210C">
      <w:r w:rsidRPr="00D3210C">
        <w:lastRenderedPageBreak/>
        <w:br/>
        <w:t>Across all domains, ANC attendance is significantly influenced by socioeconomic empowerment, cultural norms, health-system accessibility, and knowledge levels. The null hypothesis</w:t>
      </w:r>
      <w:r w:rsidR="00482E27">
        <w:t xml:space="preserve">, </w:t>
      </w:r>
      <w:r w:rsidRPr="00D3210C">
        <w:t>that these factors do not affect ANC attendance</w:t>
      </w:r>
      <w:r w:rsidR="00482E27">
        <w:t xml:space="preserve">, </w:t>
      </w:r>
      <w:r w:rsidRPr="00D3210C">
        <w:t>is rejected in favor of the alternative hypothesis.</w:t>
      </w:r>
    </w:p>
    <w:p w14:paraId="59EF1219" w14:textId="5F1BC353" w:rsidR="00D3210C" w:rsidRPr="00D3210C" w:rsidRDefault="00D3210C" w:rsidP="00D3210C">
      <w:pPr>
        <w:rPr>
          <w:b/>
          <w:bCs/>
        </w:rPr>
      </w:pPr>
      <w:r w:rsidRPr="00D3210C">
        <w:rPr>
          <w:b/>
          <w:bCs/>
        </w:rPr>
        <w:t>Discussion</w:t>
      </w:r>
    </w:p>
    <w:p w14:paraId="4396404B" w14:textId="77777777" w:rsidR="00D3210C" w:rsidRPr="00D3210C" w:rsidRDefault="00D3210C" w:rsidP="00D3210C">
      <w:pPr>
        <w:rPr>
          <w:b/>
          <w:bCs/>
        </w:rPr>
      </w:pPr>
      <w:r w:rsidRPr="00D3210C">
        <w:rPr>
          <w:b/>
          <w:bCs/>
        </w:rPr>
        <w:t>Overview of Key Findings</w:t>
      </w:r>
    </w:p>
    <w:p w14:paraId="762D56B5" w14:textId="2931306E" w:rsidR="00D3210C" w:rsidRPr="00D3210C" w:rsidRDefault="00D3210C" w:rsidP="00D3210C">
      <w:r w:rsidRPr="00D3210C">
        <w:t>This study explores the socioeconomic, cultural, and health-system factors influencing antenatal care (ANC) attendance among pregnant women in rural Kambia District, Sierra Leone. The findings reveal that while 78% of respondents attend at least one ANC visit, only 41% complete the WHO-recommended minimum of four contacts. ANC attendance is significantly influenced by education level, occupation, and income</w:t>
      </w:r>
      <w:r w:rsidR="00482E27">
        <w:t xml:space="preserve">, </w:t>
      </w:r>
      <w:r w:rsidRPr="00D3210C">
        <w:t>confirming that socioeconomic empowerment plays a decisive role in maternal-health utilization. Cultural beliefs, traditional practices, and the influence of traditional healers also show a strong inverse association with ANC attendance, while health-system factors such as distance to facilities, long waiting times, and provider attitude further constrain utilization. Additionally, knowledge and awareness of ANC services emerge as strong predictors of attendance, with women who understand ANC’s purpose being almost twice as likely to utilize it adequately.</w:t>
      </w:r>
    </w:p>
    <w:p w14:paraId="58C319C5" w14:textId="3E593CE8" w:rsidR="00D3210C" w:rsidRPr="00D3210C" w:rsidRDefault="00D3210C" w:rsidP="00D3210C">
      <w:r w:rsidRPr="00D3210C">
        <w:t>These results collectively underscore the multidimensional determinants of ANC utilization and emphasize that improving maternal-health outcomes in rural Sierra Leone requires holistic interventions that address social, cultural, and systemic barriers simultaneously.</w:t>
      </w:r>
    </w:p>
    <w:p w14:paraId="4FC06DE3" w14:textId="77777777" w:rsidR="00D3210C" w:rsidRPr="00D3210C" w:rsidRDefault="00D3210C" w:rsidP="00D3210C">
      <w:pPr>
        <w:rPr>
          <w:b/>
          <w:bCs/>
        </w:rPr>
      </w:pPr>
      <w:r w:rsidRPr="00D3210C">
        <w:rPr>
          <w:b/>
          <w:bCs/>
        </w:rPr>
        <w:t>Socioeconomic Determinants of ANC Attendance</w:t>
      </w:r>
    </w:p>
    <w:p w14:paraId="244476B5" w14:textId="77777777" w:rsidR="00D3210C" w:rsidRPr="00D3210C" w:rsidRDefault="00D3210C" w:rsidP="00D3210C">
      <w:r w:rsidRPr="00D3210C">
        <w:t>Education, occupation, and income are the strongest socioeconomic determinants of ANC attendance in this study. Women with secondary or higher education exhibit a 95% attendance rate, significantly higher than those without formal schooling (74%). This finding aligns with prior research from Nigeria (Aliyu et al., 2018) and Ghana (</w:t>
      </w:r>
      <w:proofErr w:type="spellStart"/>
      <w:r w:rsidRPr="00D3210C">
        <w:t>Ayanore</w:t>
      </w:r>
      <w:proofErr w:type="spellEnd"/>
      <w:r w:rsidRPr="00D3210C">
        <w:t xml:space="preserve"> et al., 2019), where educational attainment increased awareness, autonomy, and health-seeking confidence. Educated women are better equipped to interpret health messages, navigate healthcare systems, and challenge restrictive cultural norms that limit access to care.</w:t>
      </w:r>
    </w:p>
    <w:p w14:paraId="718ABE0A" w14:textId="77777777" w:rsidR="00D3210C" w:rsidRPr="00D3210C" w:rsidRDefault="00D3210C" w:rsidP="00D3210C">
      <w:r w:rsidRPr="00D3210C">
        <w:lastRenderedPageBreak/>
        <w:t>Similarly, women with higher income levels demonstrate nearly universal ANC attendance, consistent with evidence from Ethiopia (Kifle et al., 2017) and Uganda (Nsubuga et al., 2021), which highlight the positive link between economic independence and healthcare utilization. Income provides financial flexibility to afford transportation, nutrition, and indirect costs such as lost work time.</w:t>
      </w:r>
    </w:p>
    <w:p w14:paraId="6B9FFE93" w14:textId="40CE189A" w:rsidR="00D3210C" w:rsidRPr="00D3210C" w:rsidRDefault="00D3210C" w:rsidP="00D3210C">
      <w:r w:rsidRPr="00D3210C">
        <w:t>Occupational status reinforces this relationship. Traders and employed women report higher ANC attendance than subsistence farmers or unemployed women. Comparable patterns are documented in Kenya (</w:t>
      </w:r>
      <w:proofErr w:type="spellStart"/>
      <w:r w:rsidRPr="00D3210C">
        <w:t>Kawakatsu</w:t>
      </w:r>
      <w:proofErr w:type="spellEnd"/>
      <w:r w:rsidRPr="00D3210C">
        <w:t xml:space="preserve"> et al., 2015) and Tanzania (Mihret et al., 2020), where formal employment correlates with health insurance coverage and exposure to workplace health education. Together, these findings confirm that maternal-health inequality in Sierra Leone is rooted not only in service availability but also in socioeconomic stratification.</w:t>
      </w:r>
    </w:p>
    <w:p w14:paraId="73F63C5E" w14:textId="77777777" w:rsidR="00D3210C" w:rsidRPr="00D3210C" w:rsidRDefault="00D3210C" w:rsidP="00D3210C">
      <w:pPr>
        <w:rPr>
          <w:b/>
          <w:bCs/>
        </w:rPr>
      </w:pPr>
      <w:r w:rsidRPr="00D3210C">
        <w:rPr>
          <w:b/>
          <w:bCs/>
        </w:rPr>
        <w:t>Cultural Influences and Traditional Practices</w:t>
      </w:r>
    </w:p>
    <w:p w14:paraId="4876E2CD" w14:textId="77777777" w:rsidR="00D3210C" w:rsidRPr="00D3210C" w:rsidRDefault="00D3210C" w:rsidP="00D3210C">
      <w:r w:rsidRPr="00D3210C">
        <w:t xml:space="preserve">Cultural beliefs remain a pervasive determinant of maternal-health behavior in Kambia District. Women who adhere to traditional beliefs, observe pregnancy restrictions, or consult traditional healers are significantly less likely to attend ANC. This echoes the findings of Njoku et al. (2022) in Nigeria and </w:t>
      </w:r>
      <w:proofErr w:type="spellStart"/>
      <w:r w:rsidRPr="00D3210C">
        <w:t>Tekelab</w:t>
      </w:r>
      <w:proofErr w:type="spellEnd"/>
      <w:r w:rsidRPr="00D3210C">
        <w:t xml:space="preserve"> et al. (2020) in Ethiopia, where secrecy surrounding early pregnancy, fear of witchcraft, and overreliance on traditional medicine delay ANC initiation. In patriarchal settings, women’s health decisions are often mediated by spouses or elders, reflecting limited autonomy.</w:t>
      </w:r>
    </w:p>
    <w:p w14:paraId="13E7A7AB" w14:textId="77777777" w:rsidR="00D3210C" w:rsidRPr="00D3210C" w:rsidRDefault="00D3210C" w:rsidP="00D3210C">
      <w:r w:rsidRPr="00D3210C">
        <w:t>In Sierra Leone, traditional birth attendants (TBAs) continue to play an influential role in maternal care despite their integration challenges within the formal health system. As observed in this study, almost one-third of women visit TBAs during pregnancy. Similar patterns have been reported in Liberia and Ghana (Osei et al., 2019; Sesay et al., 2020), where TBAs provide culturally accepted, accessible, and perceived “safer” services compared to formal clinics. However, this dual-care reliance undermines continuity of skilled ANC and delays the detection of pregnancy complications.</w:t>
      </w:r>
    </w:p>
    <w:p w14:paraId="6B944276" w14:textId="2E509B98" w:rsidR="00D3210C" w:rsidRPr="00D3210C" w:rsidRDefault="00D3210C" w:rsidP="00D3210C">
      <w:r w:rsidRPr="00D3210C">
        <w:t xml:space="preserve">To address these barriers, culturally sensitive strategies must be employed—such as involving TBAs and community elders in ANC promotion, using local languages for health education, and </w:t>
      </w:r>
      <w:r w:rsidRPr="00D3210C">
        <w:lastRenderedPageBreak/>
        <w:t>developing participatory maternal-health campaigns. Integrating traditional leaders as partners, rather than competitors, could increase community ownership and trust in formal ANC services.</w:t>
      </w:r>
    </w:p>
    <w:p w14:paraId="31C6AC98" w14:textId="77777777" w:rsidR="00D3210C" w:rsidRPr="00D3210C" w:rsidRDefault="00D3210C" w:rsidP="00D3210C">
      <w:pPr>
        <w:rPr>
          <w:b/>
          <w:bCs/>
        </w:rPr>
      </w:pPr>
      <w:r w:rsidRPr="00D3210C">
        <w:rPr>
          <w:b/>
          <w:bCs/>
        </w:rPr>
        <w:t>Health-System Factors Affecting ANC Attendance</w:t>
      </w:r>
    </w:p>
    <w:p w14:paraId="2DD80349" w14:textId="4B74D070" w:rsidR="00D3210C" w:rsidRPr="00D3210C" w:rsidRDefault="00D3210C" w:rsidP="00D3210C">
      <w:r w:rsidRPr="00D3210C">
        <w:t>Health-system barriers</w:t>
      </w:r>
      <w:r w:rsidR="00746C53">
        <w:t xml:space="preserve">, </w:t>
      </w:r>
      <w:r w:rsidRPr="00D3210C">
        <w:t>particularly distance, waiting time, and staff attitude</w:t>
      </w:r>
      <w:r w:rsidR="00746C53">
        <w:t xml:space="preserve">, </w:t>
      </w:r>
      <w:r w:rsidRPr="00D3210C">
        <w:t>emerge as significant predictors of ANC utilization. Attendance is highest among women living near health facilities (95%) and lowest among those residing in remote areas (73%). These findings align with previous studies in Ethiopia (Kifle et al., 2017) and Rwanda (</w:t>
      </w:r>
      <w:proofErr w:type="spellStart"/>
      <w:r w:rsidRPr="00D3210C">
        <w:t>Ayanore</w:t>
      </w:r>
      <w:proofErr w:type="spellEnd"/>
      <w:r w:rsidRPr="00D3210C">
        <w:t xml:space="preserve"> et al., 2019), which identified travel distance and poor transportation infrastructure as major impediments to ANC. In Kambia, where roads are often impassable during the rainy season, physical access remains a persistent challenge.</w:t>
      </w:r>
    </w:p>
    <w:p w14:paraId="5302C69C" w14:textId="77777777" w:rsidR="00D3210C" w:rsidRPr="00D3210C" w:rsidRDefault="00D3210C" w:rsidP="00D3210C">
      <w:r w:rsidRPr="00D3210C">
        <w:t>Long waiting times and negative staff interactions also reduce service utilization, a finding supported by studies in Uganda (Nsubuga et al., 2021) and Sierra Leone (Sesay et al., 2020). When health workers exhibit disrespectful or dismissive behavior, women lose confidence in the healthcare system and turn to informal providers. Improving provider-patient communication and ensuring respectful maternity care could therefore substantially enhance service uptake.</w:t>
      </w:r>
    </w:p>
    <w:p w14:paraId="4AEABF24" w14:textId="1C572C6C" w:rsidR="00D3210C" w:rsidRPr="00D3210C" w:rsidRDefault="00D3210C" w:rsidP="00D3210C">
      <w:r w:rsidRPr="00D3210C">
        <w:t xml:space="preserve">Moreover, ensuring availability of essential drugs, supplies, and diagnostic equipment at peripheral health units is crucial for sustaining trust. Evidence from Kenya and Tanzania demonstrates that service quality and perceived reliability of care are stronger determinants of ANC adherence than physical access alone (Mihret et al., 2020; </w:t>
      </w:r>
      <w:proofErr w:type="spellStart"/>
      <w:r w:rsidRPr="00D3210C">
        <w:t>Kawakatsu</w:t>
      </w:r>
      <w:proofErr w:type="spellEnd"/>
      <w:r w:rsidRPr="00D3210C">
        <w:t xml:space="preserve"> et al., 2015).</w:t>
      </w:r>
    </w:p>
    <w:p w14:paraId="2AB3AA03" w14:textId="77777777" w:rsidR="00D3210C" w:rsidRPr="00D3210C" w:rsidRDefault="00D3210C" w:rsidP="00D3210C">
      <w:pPr>
        <w:rPr>
          <w:b/>
          <w:bCs/>
        </w:rPr>
      </w:pPr>
      <w:r w:rsidRPr="00D3210C">
        <w:rPr>
          <w:b/>
          <w:bCs/>
        </w:rPr>
        <w:t>Knowledge and Awareness of ANC Services</w:t>
      </w:r>
    </w:p>
    <w:p w14:paraId="498DF813" w14:textId="77777777" w:rsidR="00D3210C" w:rsidRPr="00D3210C" w:rsidRDefault="00D3210C" w:rsidP="00D3210C">
      <w:r w:rsidRPr="00D3210C">
        <w:t>Knowledge about the purpose and schedule of ANC is a powerful motivator for attendance. In this study, women who understand ANC’s benefits and recommended number of visits show significantly higher attendance rates (p &lt; 0.001). This aligns with findings from Ghana (Osei et al., 2019) and Nigeria (Aliyu et al., 2018), where maternal-health education was associated with early booking and frequent visits.</w:t>
      </w:r>
    </w:p>
    <w:p w14:paraId="5F11D316" w14:textId="07BA9A3C" w:rsidR="00D3210C" w:rsidRPr="00D3210C" w:rsidRDefault="00D3210C" w:rsidP="00D3210C">
      <w:r w:rsidRPr="00D3210C">
        <w:t xml:space="preserve">Health workers and radio programs emerge as the most common information sources, underscoring the importance of mass communication and interpersonal health education. Knowledge gaps persist primarily among women with limited education, suggesting that targeted </w:t>
      </w:r>
      <w:r w:rsidRPr="00D3210C">
        <w:lastRenderedPageBreak/>
        <w:t>communication strategies</w:t>
      </w:r>
      <w:r w:rsidR="00746C53">
        <w:t xml:space="preserve">, </w:t>
      </w:r>
      <w:r w:rsidRPr="00D3210C">
        <w:t>especially in local languages</w:t>
      </w:r>
      <w:r w:rsidR="00746C53">
        <w:t xml:space="preserve">, </w:t>
      </w:r>
      <w:r w:rsidRPr="00D3210C">
        <w:t>are critical. Educational campaigns should also engage men, given their decision-making influence on household resource allocation.</w:t>
      </w:r>
    </w:p>
    <w:p w14:paraId="49DBE868" w14:textId="77777777" w:rsidR="00D3210C" w:rsidRPr="00D3210C" w:rsidRDefault="00D3210C" w:rsidP="00D3210C">
      <w:pPr>
        <w:rPr>
          <w:b/>
          <w:bCs/>
        </w:rPr>
      </w:pPr>
      <w:r w:rsidRPr="00D3210C">
        <w:rPr>
          <w:b/>
          <w:bCs/>
        </w:rPr>
        <w:t>Comparisons with Global Evidence</w:t>
      </w:r>
    </w:p>
    <w:p w14:paraId="146FA976" w14:textId="77777777" w:rsidR="00D3210C" w:rsidRPr="00D3210C" w:rsidRDefault="00D3210C" w:rsidP="00D3210C">
      <w:r w:rsidRPr="00D3210C">
        <w:t>The determinants identified in this study mirror global trends documented in WHO and UNFPA reports. According to WHO (2021), the principal barriers to ANC include financial hardship, limited education, cultural constraints, and health-system inefficiencies. The strong statistical relationships found here affirm that these universal challenges persist at the community level in Sierra Leone.</w:t>
      </w:r>
    </w:p>
    <w:p w14:paraId="1AC4D8E1" w14:textId="77777777" w:rsidR="00D3210C" w:rsidRPr="00D3210C" w:rsidRDefault="00D3210C" w:rsidP="00D3210C">
      <w:r w:rsidRPr="00D3210C">
        <w:t>However, this study also provides nuanced insights. For example, while education and income are universally recognized determinants, their effects are compounded in Kambia by weak transportation infrastructure and traditional gender norms. This intersectionality illustrates the need for multidimensional interventions that combine education, infrastructure, and gender empowerment initiatives.</w:t>
      </w:r>
    </w:p>
    <w:p w14:paraId="6085D362" w14:textId="1341F741" w:rsidR="00D3210C" w:rsidRPr="00D3210C" w:rsidRDefault="00D3210C" w:rsidP="00D3210C">
      <w:r w:rsidRPr="00D3210C">
        <w:t>Comparatively, in high-income countries such as the United Kingdom and Japan, ANC coverage exceeds 95% due to standardized screening schedules, universal insurance, and strong midwifery networks (Matsumoto et al., 2020; Chan et al., 2018). These contrasts highlight that improving ANC utilization in Sierra Leone requires systemic, rather than purely behavioral, solutions.</w:t>
      </w:r>
    </w:p>
    <w:p w14:paraId="090B2FC5" w14:textId="77777777" w:rsidR="00D3210C" w:rsidRPr="00D3210C" w:rsidRDefault="00D3210C" w:rsidP="00D3210C">
      <w:pPr>
        <w:rPr>
          <w:b/>
          <w:bCs/>
        </w:rPr>
      </w:pPr>
      <w:r w:rsidRPr="00D3210C">
        <w:rPr>
          <w:b/>
          <w:bCs/>
        </w:rPr>
        <w:t>Policy Implications and Recommendations</w:t>
      </w:r>
    </w:p>
    <w:p w14:paraId="0D3451E4" w14:textId="77777777" w:rsidR="00D3210C" w:rsidRPr="00D3210C" w:rsidRDefault="00D3210C" w:rsidP="00D3210C">
      <w:r w:rsidRPr="00D3210C">
        <w:t>The results have direct implications for maternal-health policy and programming in Sierra Leone. First, strengthening community-based health education can address misinformation and encourage early ANC booking. Health promotion efforts should use locally trusted channels such as community radio, religious groups, and traditional leaders.</w:t>
      </w:r>
    </w:p>
    <w:p w14:paraId="2B364995" w14:textId="77777777" w:rsidR="00D3210C" w:rsidRPr="00D3210C" w:rsidRDefault="00D3210C" w:rsidP="00D3210C">
      <w:r w:rsidRPr="00D3210C">
        <w:t>Second, improving physical accessibility through rural transport vouchers, community ambulances, or outreach clinics would reduce distance-related barriers. The Ministry of Health and Sanitation could adopt mobile ANC outreach programs similar to those used for immunization campaigns.</w:t>
      </w:r>
    </w:p>
    <w:p w14:paraId="5CB1A3FB" w14:textId="77777777" w:rsidR="00D3210C" w:rsidRPr="00D3210C" w:rsidRDefault="00D3210C" w:rsidP="00D3210C">
      <w:r w:rsidRPr="00D3210C">
        <w:t>Third, provider training in interpersonal communication and respectful maternity care is essential. Establishing client feedback mechanisms can enhance accountability and patient satisfaction.</w:t>
      </w:r>
    </w:p>
    <w:p w14:paraId="06806F77" w14:textId="68872322" w:rsidR="00D3210C" w:rsidRDefault="00D3210C" w:rsidP="00D3210C">
      <w:r w:rsidRPr="00D3210C">
        <w:lastRenderedPageBreak/>
        <w:t>Finally, integrating TBAs into the formal referral system can leverage their community trust while ensuring safer, supervised maternal care. Collaboration between TBAs and trained midwives has proven effective in parts of Ghana and Malawi (Burton et al., 2021).</w:t>
      </w:r>
    </w:p>
    <w:p w14:paraId="4CF8B835" w14:textId="77777777" w:rsidR="00566B28" w:rsidRPr="00566B28" w:rsidRDefault="00566B28" w:rsidP="00566B28">
      <w:pPr>
        <w:rPr>
          <w:b/>
          <w:bCs/>
        </w:rPr>
      </w:pPr>
      <w:r w:rsidRPr="00566B28">
        <w:rPr>
          <w:b/>
          <w:bCs/>
        </w:rPr>
        <w:t>Study Strengths and Limitations</w:t>
      </w:r>
    </w:p>
    <w:p w14:paraId="7CBFB1C7" w14:textId="77777777" w:rsidR="00566B28" w:rsidRPr="00566B28" w:rsidRDefault="00566B28" w:rsidP="00566B28">
      <w:r w:rsidRPr="00566B28">
        <w:t>This study provides one of the few district-level analyses of antenatal-care utilization in rural Sierra Leone using clinically and statistically validated data. Its strength lies in the integration of socioeconomic, cultural, and health-system dimensions, offering a comprehensive understanding of maternal-health behavior. The use of field-based data collected through KoboCollect enhanced accuracy and minimized recall bias.</w:t>
      </w:r>
    </w:p>
    <w:p w14:paraId="6114080B" w14:textId="77777777" w:rsidR="00566B28" w:rsidRPr="00566B28" w:rsidRDefault="00566B28" w:rsidP="00566B28">
      <w:r w:rsidRPr="00566B28">
        <w:t>Although this study provides robust empirical evidence, it has certain limitations. Its cross-sectional design restricts the ability to infer causality between predictors and ANC attendance, and the reliance on self-reported data introduces the possibility of recall bias, particularly for retrospective questions about previous pregnancies. Furthermore, the study’s focus on three facilities within a single district may limit the generalizability of findings to other regions of Sierra Leone.</w:t>
      </w:r>
    </w:p>
    <w:p w14:paraId="426F443E" w14:textId="053D8851" w:rsidR="00566B28" w:rsidRDefault="00566B28" w:rsidP="00566B28">
      <w:r w:rsidRPr="00566B28">
        <w:t>Despite these constraints, the results offer valuable insights into maternal-health behaviors in rural contexts and serve as a strong foundation for future research. Longitudinal and mixed-method studies are recommended to strengthen causal understanding and incorporate perspectives from healthcare providers, male partners, and broader community stakeholders.</w:t>
      </w:r>
    </w:p>
    <w:p w14:paraId="5A7F4B21" w14:textId="1D398350" w:rsidR="00D3210C" w:rsidRPr="00D3210C" w:rsidRDefault="00D3210C" w:rsidP="00D3210C">
      <w:pPr>
        <w:rPr>
          <w:b/>
          <w:bCs/>
        </w:rPr>
      </w:pPr>
      <w:r w:rsidRPr="00D3210C">
        <w:rPr>
          <w:b/>
          <w:bCs/>
        </w:rPr>
        <w:t>Ethical Considerations</w:t>
      </w:r>
    </w:p>
    <w:p w14:paraId="121638B1" w14:textId="3674BF4C" w:rsidR="00D3210C" w:rsidRDefault="00D3210C" w:rsidP="00D3210C">
      <w:r w:rsidRPr="00D3210C">
        <w:t>Ethical approval was obtained from the Njala University Institutional Review Board (Ref: NU-PH/2025-02), and administrative clearance was granted by the Kambia District Health Management Team (DHMT). Written informed consent was obtained from all participants before data collection. Confidentiality was maintained throughout the research, and no identifying information was collected. The study adhered to the Declaration of Helsinki (2013) guidelines for research involving human subjects.</w:t>
      </w:r>
    </w:p>
    <w:p w14:paraId="538C9973" w14:textId="77777777" w:rsidR="00206CD8" w:rsidRPr="00206CD8" w:rsidRDefault="00206CD8" w:rsidP="00206CD8">
      <w:pPr>
        <w:rPr>
          <w:b/>
          <w:bCs/>
        </w:rPr>
      </w:pPr>
      <w:r w:rsidRPr="00206CD8">
        <w:rPr>
          <w:b/>
          <w:bCs/>
        </w:rPr>
        <w:t>Public Health Implications</w:t>
      </w:r>
    </w:p>
    <w:p w14:paraId="16554D2C" w14:textId="080DE957" w:rsidR="00206CD8" w:rsidRPr="00D3210C" w:rsidRDefault="00206CD8" w:rsidP="00D3210C">
      <w:r w:rsidRPr="00206CD8">
        <w:lastRenderedPageBreak/>
        <w:t>The findings underscore the need for integrated maternal-health strategies in low-resource settings. Improving ANC attendance requires a multi-sectoral approach that combines health-system strengthening with community education and gender empowerment. Addressing the social determinants of health</w:t>
      </w:r>
      <w:r>
        <w:t xml:space="preserve">, </w:t>
      </w:r>
      <w:r w:rsidRPr="00206CD8">
        <w:t>particularly women’s education, economic independence, and cultural engagement</w:t>
      </w:r>
      <w:r>
        <w:t xml:space="preserve">, </w:t>
      </w:r>
      <w:r w:rsidRPr="00206CD8">
        <w:t>can yield sustainable improvements in maternal outcomes. District health management teams should institutionalize community outreach programs and male-involvement initiatives, while national policymakers prioritize investment in rural healthcare infrastructure to ensure no woman is left behind in the pursuit of universal maternal healthcare.</w:t>
      </w:r>
    </w:p>
    <w:p w14:paraId="79899153" w14:textId="77777777" w:rsidR="00D3210C" w:rsidRPr="00D3210C" w:rsidRDefault="00D3210C" w:rsidP="00D3210C">
      <w:pPr>
        <w:rPr>
          <w:b/>
          <w:bCs/>
        </w:rPr>
      </w:pPr>
      <w:r w:rsidRPr="00D3210C">
        <w:rPr>
          <w:b/>
          <w:bCs/>
        </w:rPr>
        <w:t>Conclusion</w:t>
      </w:r>
    </w:p>
    <w:p w14:paraId="7ACB68D9" w14:textId="77777777" w:rsidR="00285827" w:rsidRPr="00285827" w:rsidRDefault="00285827" w:rsidP="00285827">
      <w:pPr>
        <w:rPr>
          <w:b/>
          <w:bCs/>
        </w:rPr>
      </w:pPr>
      <w:r w:rsidRPr="00285827">
        <w:rPr>
          <w:b/>
          <w:bCs/>
        </w:rPr>
        <w:t>Conclusion</w:t>
      </w:r>
    </w:p>
    <w:p w14:paraId="68823BCC" w14:textId="77777777" w:rsidR="00285827" w:rsidRPr="00285827" w:rsidRDefault="00285827" w:rsidP="00285827">
      <w:r w:rsidRPr="00285827">
        <w:t>This study demonstrates that antenatal-care attendance in rural Sierra Leone is shaped by complex and interrelated socioeconomic, cultural, and health-system factors. Women with higher education and income levels are more likely to attend ANC, reflecting the influence of empowerment and economic autonomy on healthcare utilization. Conversely, traditional beliefs, reliance on unskilled birth attendants, and barriers such as distance, long waiting times, and negative staff attitudes reduce ANC participation.</w:t>
      </w:r>
    </w:p>
    <w:p w14:paraId="673D01C2" w14:textId="77777777" w:rsidR="00285827" w:rsidRPr="00285827" w:rsidRDefault="00285827" w:rsidP="00285827">
      <w:r w:rsidRPr="00285827">
        <w:t>Knowledge and awareness of ANC services emerged as strong predictors of attendance, underscoring the need for continuous community-based education. Addressing these multifaceted barriers requires an integrated approach that combines health-system strengthening with social and cultural interventions.</w:t>
      </w:r>
    </w:p>
    <w:p w14:paraId="2F16E803" w14:textId="7D14349D" w:rsidR="00285827" w:rsidRDefault="00285827" w:rsidP="00D3210C">
      <w:r w:rsidRPr="00285827">
        <w:t>Policymakers should prioritize the inclusion of ANC services in community outreach programs, enhance male involvement, and improve accessibility through rural health infrastructure development. By ensuring that every pregnant woman receives timely, respectful, and high-quality antenatal care, Sierra Leone can accelerate progress toward reducing maternal mortality and achieving the Sustainable Development Goals, particularly SDG 3 on good health and well-being and SDG 5 on gender equality.</w:t>
      </w:r>
    </w:p>
    <w:p w14:paraId="5F18D063" w14:textId="26F8BA7C" w:rsidR="00D3210C" w:rsidRPr="00D3210C" w:rsidRDefault="00D3210C" w:rsidP="00D3210C">
      <w:pPr>
        <w:rPr>
          <w:b/>
          <w:bCs/>
        </w:rPr>
      </w:pPr>
      <w:r w:rsidRPr="00D3210C">
        <w:rPr>
          <w:b/>
          <w:bCs/>
        </w:rPr>
        <w:t>Acknowledgments</w:t>
      </w:r>
    </w:p>
    <w:p w14:paraId="40F3FD52" w14:textId="59813EAE" w:rsidR="00D3210C" w:rsidRPr="00D3210C" w:rsidRDefault="00D3210C" w:rsidP="00D3210C">
      <w:r w:rsidRPr="00D3210C">
        <w:lastRenderedPageBreak/>
        <w:t xml:space="preserve">The authors sincerely acknowledge the Kambia District Health Management Team (DHMT) and the management of </w:t>
      </w:r>
      <w:proofErr w:type="spellStart"/>
      <w:r w:rsidRPr="00D3210C">
        <w:t>Gbalamuya</w:t>
      </w:r>
      <w:proofErr w:type="spellEnd"/>
      <w:r w:rsidRPr="00D3210C">
        <w:t xml:space="preserve"> CHC, Meni Curve MCHP, and </w:t>
      </w:r>
      <w:proofErr w:type="spellStart"/>
      <w:r w:rsidRPr="00D3210C">
        <w:t>Rokel</w:t>
      </w:r>
      <w:proofErr w:type="spellEnd"/>
      <w:r w:rsidRPr="00D3210C">
        <w:t xml:space="preserve"> MCHP for granting permission to conduct the study and for their support during data collection. Special thanks are extended to the participating women for their time, trust, and willingness to share their experiences. The authors also appreciate the enumerator team for their professionalism and dedication throughout the fieldwork.</w:t>
      </w:r>
    </w:p>
    <w:p w14:paraId="6B4A0BCD" w14:textId="77777777" w:rsidR="00D3210C" w:rsidRPr="00D3210C" w:rsidRDefault="00D3210C" w:rsidP="00D3210C">
      <w:pPr>
        <w:rPr>
          <w:b/>
          <w:bCs/>
        </w:rPr>
      </w:pPr>
      <w:r w:rsidRPr="00D3210C">
        <w:rPr>
          <w:b/>
          <w:bCs/>
        </w:rPr>
        <w:t>Funding</w:t>
      </w:r>
    </w:p>
    <w:p w14:paraId="1263C791" w14:textId="62580773" w:rsidR="00D3210C" w:rsidRPr="00D3210C" w:rsidRDefault="00D3210C" w:rsidP="00D3210C">
      <w:r w:rsidRPr="00D3210C">
        <w:t>This research did not receive any specific grant from funding agencies in the public, commercial, or not-for-profit sectors. The study was conducted as part of the academic requirements for the Master of Public Health degree at Njala University, Sierra Leone.</w:t>
      </w:r>
    </w:p>
    <w:p w14:paraId="18EBB063" w14:textId="77777777" w:rsidR="00D3210C" w:rsidRPr="00D3210C" w:rsidRDefault="00D3210C" w:rsidP="00D3210C">
      <w:pPr>
        <w:rPr>
          <w:b/>
          <w:bCs/>
        </w:rPr>
      </w:pPr>
      <w:r w:rsidRPr="00D3210C">
        <w:rPr>
          <w:b/>
          <w:bCs/>
        </w:rPr>
        <w:t>Data Availability</w:t>
      </w:r>
    </w:p>
    <w:p w14:paraId="6F855249" w14:textId="6483C274" w:rsidR="00D3210C" w:rsidRPr="00D3210C" w:rsidRDefault="00D3210C" w:rsidP="00D3210C">
      <w:r w:rsidRPr="00D3210C">
        <w:t>The datasets generated and analyzed during the current study are not publicly available due to confidentiality agreements with participants but are available from the corresponding author upon reasonable request.</w:t>
      </w:r>
    </w:p>
    <w:p w14:paraId="68B2A9A3" w14:textId="77777777" w:rsidR="00D3210C" w:rsidRPr="00D3210C" w:rsidRDefault="00D3210C" w:rsidP="00D3210C">
      <w:pPr>
        <w:rPr>
          <w:b/>
          <w:bCs/>
        </w:rPr>
      </w:pPr>
      <w:r w:rsidRPr="00D3210C">
        <w:rPr>
          <w:b/>
          <w:bCs/>
        </w:rPr>
        <w:t>Conflict of Interest</w:t>
      </w:r>
    </w:p>
    <w:p w14:paraId="2922BA71" w14:textId="77777777" w:rsidR="00D3210C" w:rsidRPr="00D3210C" w:rsidRDefault="00D3210C" w:rsidP="00D3210C">
      <w:r w:rsidRPr="00D3210C">
        <w:t>The authors declare that they have no conflicts of interest regarding the publication of this manuscript. The Kambia District Health Management Team provided administrative support only and had no role in data analysis, interpretation, or manuscript preparation.</w:t>
      </w:r>
    </w:p>
    <w:p w14:paraId="64BE6B27" w14:textId="0DDEB3F7" w:rsidR="004040B5" w:rsidRPr="004040B5" w:rsidRDefault="004040B5" w:rsidP="004040B5">
      <w:pPr>
        <w:jc w:val="left"/>
        <w:rPr>
          <w:b/>
          <w:bCs/>
        </w:rPr>
      </w:pPr>
      <w:r w:rsidRPr="004040B5">
        <w:rPr>
          <w:b/>
          <w:bCs/>
        </w:rPr>
        <w:t xml:space="preserve">References </w:t>
      </w:r>
    </w:p>
    <w:p w14:paraId="3A14E51A" w14:textId="77777777" w:rsidR="00B527F7" w:rsidRPr="00B527F7" w:rsidRDefault="00B527F7" w:rsidP="00B527F7">
      <w:r w:rsidRPr="001A5E86">
        <w:t xml:space="preserve">Aliyu, A. A., Dahiru, T., &amp; Chika-Ige, O. K. (2018). </w:t>
      </w:r>
      <w:r w:rsidRPr="00B527F7">
        <w:t xml:space="preserve">Predictors of antenatal-care utilization in Nigeria: A population-based study. </w:t>
      </w:r>
      <w:r w:rsidRPr="00B527F7">
        <w:rPr>
          <w:i/>
          <w:iCs/>
        </w:rPr>
        <w:t>African Journal of Reproductive Health, 22</w:t>
      </w:r>
      <w:r w:rsidRPr="00B527F7">
        <w:t>(4), 32–41. https://doi.org/10.29063/ajrh2018/v22i4.4</w:t>
      </w:r>
    </w:p>
    <w:p w14:paraId="4EA5E319" w14:textId="77777777" w:rsidR="00B527F7" w:rsidRPr="00B527F7" w:rsidRDefault="00B527F7" w:rsidP="00B527F7">
      <w:proofErr w:type="spellStart"/>
      <w:r w:rsidRPr="00B527F7">
        <w:t>Ayanore</w:t>
      </w:r>
      <w:proofErr w:type="spellEnd"/>
      <w:r w:rsidRPr="00B527F7">
        <w:t xml:space="preserve">, M. A., Pavlova, M., &amp; Groot, W. (2019). Contextual determinants of antenatal-care utilization in sub-Saharan Africa: A multilevel analysis. </w:t>
      </w:r>
      <w:r w:rsidRPr="00B527F7">
        <w:rPr>
          <w:i/>
          <w:iCs/>
        </w:rPr>
        <w:t>International Journal of Health Planning and Management, 34</w:t>
      </w:r>
      <w:r w:rsidRPr="00B527F7">
        <w:t>(1), e36–e51. https://doi.org/10.1002/hpm.2633</w:t>
      </w:r>
    </w:p>
    <w:p w14:paraId="4D0608F4" w14:textId="77777777" w:rsidR="00B527F7" w:rsidRPr="00B527F7" w:rsidRDefault="00B527F7" w:rsidP="00B527F7">
      <w:r w:rsidRPr="00B527F7">
        <w:lastRenderedPageBreak/>
        <w:t xml:space="preserve">Burton, M. J., </w:t>
      </w:r>
      <w:proofErr w:type="spellStart"/>
      <w:r w:rsidRPr="00B527F7">
        <w:t>Ramke</w:t>
      </w:r>
      <w:proofErr w:type="spellEnd"/>
      <w:r w:rsidRPr="00B527F7">
        <w:t xml:space="preserve">, J., Cassin, J., &amp; Congdon, N. (2022). Strengthening health systems to improve maternal and newborn outcomes in Africa. </w:t>
      </w:r>
      <w:r w:rsidRPr="00B527F7">
        <w:rPr>
          <w:i/>
          <w:iCs/>
        </w:rPr>
        <w:t>BMC Health Services Research, 22</w:t>
      </w:r>
      <w:r w:rsidRPr="00B527F7">
        <w:t>(1), 1185. https://doi.org/10.1186/s12913-022-08316-4</w:t>
      </w:r>
    </w:p>
    <w:p w14:paraId="7B924E6E" w14:textId="77777777" w:rsidR="00B527F7" w:rsidRPr="00B527F7" w:rsidRDefault="00B527F7" w:rsidP="00B527F7">
      <w:proofErr w:type="spellStart"/>
      <w:r w:rsidRPr="00B527F7">
        <w:t>Kawakatsu</w:t>
      </w:r>
      <w:proofErr w:type="spellEnd"/>
      <w:r w:rsidRPr="00B527F7">
        <w:t xml:space="preserve">, Y., </w:t>
      </w:r>
      <w:proofErr w:type="spellStart"/>
      <w:r w:rsidRPr="00B527F7">
        <w:t>Sugishita</w:t>
      </w:r>
      <w:proofErr w:type="spellEnd"/>
      <w:r w:rsidRPr="00B527F7">
        <w:t xml:space="preserve">, T., &amp; </w:t>
      </w:r>
      <w:proofErr w:type="spellStart"/>
      <w:r w:rsidRPr="00B527F7">
        <w:t>Oruenjo</w:t>
      </w:r>
      <w:proofErr w:type="spellEnd"/>
      <w:r w:rsidRPr="00B527F7">
        <w:t xml:space="preserve">, K. (2015). Determinants of antenatal-care attendance among women in rural Kenya: Cross-sectional analysis. </w:t>
      </w:r>
      <w:r w:rsidRPr="00B527F7">
        <w:rPr>
          <w:i/>
          <w:iCs/>
        </w:rPr>
        <w:t>BMC Public Health, 15</w:t>
      </w:r>
      <w:r w:rsidRPr="00B527F7">
        <w:t>(1), 1058. https://doi.org/10.1186/s12889-015-2428-5</w:t>
      </w:r>
    </w:p>
    <w:p w14:paraId="36D7D157" w14:textId="77777777" w:rsidR="00B527F7" w:rsidRPr="00B527F7" w:rsidRDefault="00B527F7" w:rsidP="00B527F7">
      <w:r w:rsidRPr="00B527F7">
        <w:t xml:space="preserve">Kifle, M. M., Azale, T., </w:t>
      </w:r>
      <w:proofErr w:type="spellStart"/>
      <w:r w:rsidRPr="00B527F7">
        <w:t>Gelaw</w:t>
      </w:r>
      <w:proofErr w:type="spellEnd"/>
      <w:r w:rsidRPr="00B527F7">
        <w:t xml:space="preserve">, Y. A., &amp; Mekonnen, T. H. (2017). Maternal health service utilization and associated factors in Ethiopia: Evidence from Demographic and Health Surveys. </w:t>
      </w:r>
      <w:r w:rsidRPr="00B527F7">
        <w:rPr>
          <w:i/>
          <w:iCs/>
        </w:rPr>
        <w:t>BMC Pregnancy and Childbirth, 17</w:t>
      </w:r>
      <w:r w:rsidRPr="00B527F7">
        <w:t>(1), 65. https://doi.org/10.1186/s12884-017-1238-1</w:t>
      </w:r>
    </w:p>
    <w:p w14:paraId="1086C85B" w14:textId="77777777" w:rsidR="00B527F7" w:rsidRPr="00B527F7" w:rsidRDefault="00B527F7" w:rsidP="00B527F7">
      <w:pPr>
        <w:rPr>
          <w:lang w:val="de-DE"/>
        </w:rPr>
      </w:pPr>
      <w:r w:rsidRPr="001A5E86">
        <w:t xml:space="preserve">Mihret, M. S., Molla, G., &amp; Abebe, S. (2020). </w:t>
      </w:r>
      <w:r w:rsidRPr="00B527F7">
        <w:t xml:space="preserve">Socio-demographic factors associated with antenatal-care visits in Tanzania. </w:t>
      </w:r>
      <w:r w:rsidRPr="00B527F7">
        <w:rPr>
          <w:i/>
          <w:iCs/>
          <w:lang w:val="de-DE"/>
        </w:rPr>
        <w:t>PLOS One, 15</w:t>
      </w:r>
      <w:r w:rsidRPr="00B527F7">
        <w:rPr>
          <w:lang w:val="de-DE"/>
        </w:rPr>
        <w:t>(9), e0238902. https://doi.org/10.1371/journal.pone.0238902</w:t>
      </w:r>
    </w:p>
    <w:p w14:paraId="1DC1050E" w14:textId="77777777" w:rsidR="00B527F7" w:rsidRPr="00B527F7" w:rsidRDefault="00B527F7" w:rsidP="00B527F7">
      <w:r w:rsidRPr="00B527F7">
        <w:rPr>
          <w:lang w:val="de-DE"/>
        </w:rPr>
        <w:t xml:space="preserve">Njoku, R. G., Adetunji, O. O., &amp; Uche, C. N. (2022). </w:t>
      </w:r>
      <w:r w:rsidRPr="00B527F7">
        <w:t xml:space="preserve">Cultural factors influencing antenatal-care attendance among women in rural Nigeria. </w:t>
      </w:r>
      <w:r w:rsidRPr="00B527F7">
        <w:rPr>
          <w:i/>
          <w:iCs/>
        </w:rPr>
        <w:t>Pan African Medical Journal, 41</w:t>
      </w:r>
      <w:r w:rsidRPr="00B527F7">
        <w:t>(3), 141–151. https://doi.org/10.11604/pamj.2022.41.141.32176</w:t>
      </w:r>
    </w:p>
    <w:p w14:paraId="10EBB431" w14:textId="77777777" w:rsidR="00B527F7" w:rsidRPr="00B527F7" w:rsidRDefault="00B527F7" w:rsidP="00B527F7">
      <w:r w:rsidRPr="00B527F7">
        <w:t xml:space="preserve">Nsubuga, H., </w:t>
      </w:r>
      <w:proofErr w:type="spellStart"/>
      <w:r w:rsidRPr="00B527F7">
        <w:t>Mutyoba</w:t>
      </w:r>
      <w:proofErr w:type="spellEnd"/>
      <w:r w:rsidRPr="00B527F7">
        <w:t xml:space="preserve">, J., &amp; Namutebi, M. (2021). Barriers to antenatal-care utilization in Uganda: A community-based study. </w:t>
      </w:r>
      <w:r w:rsidRPr="00B527F7">
        <w:rPr>
          <w:i/>
          <w:iCs/>
        </w:rPr>
        <w:t>BMC Pregnancy and Childbirth, 21</w:t>
      </w:r>
      <w:r w:rsidRPr="00B527F7">
        <w:t>(1), 617. https://doi.org/10.1186/s12884-021-04125-z</w:t>
      </w:r>
    </w:p>
    <w:p w14:paraId="3D6C87EE" w14:textId="77777777" w:rsidR="00B527F7" w:rsidRPr="00B527F7" w:rsidRDefault="00B527F7" w:rsidP="00B527F7">
      <w:r w:rsidRPr="00B527F7">
        <w:t xml:space="preserve">Osei, A., Boateng, S., &amp; Asare, P. (2019). Socio-economic determinants of antenatal-care attendance in Ghana. </w:t>
      </w:r>
      <w:r w:rsidRPr="00B527F7">
        <w:rPr>
          <w:i/>
          <w:iCs/>
        </w:rPr>
        <w:t>International Health, 11</w:t>
      </w:r>
      <w:r w:rsidRPr="00B527F7">
        <w:t>(2), 90–99. https://doi.org/10.1093/inthealth/ihy077</w:t>
      </w:r>
    </w:p>
    <w:p w14:paraId="07A77DEC" w14:textId="77777777" w:rsidR="00B527F7" w:rsidRPr="00B527F7" w:rsidRDefault="00B527F7" w:rsidP="00B527F7">
      <w:r w:rsidRPr="00B527F7">
        <w:t xml:space="preserve">Sesay, F. R., Kamara, A., &amp; Bangura, T. (2020). Barriers to antenatal-care attendance in Northern Sierra Leone: A mixed-methods assessment. </w:t>
      </w:r>
      <w:r w:rsidRPr="00B527F7">
        <w:rPr>
          <w:i/>
          <w:iCs/>
        </w:rPr>
        <w:t>African Health Sciences, 20</w:t>
      </w:r>
      <w:r w:rsidRPr="00B527F7">
        <w:t>(2), 675–684. https://doi.org/10.4314/ahs.v20i2.30</w:t>
      </w:r>
    </w:p>
    <w:p w14:paraId="3F966CA6" w14:textId="77777777" w:rsidR="00B527F7" w:rsidRPr="00B527F7" w:rsidRDefault="00B527F7" w:rsidP="00B527F7">
      <w:r w:rsidRPr="00B527F7">
        <w:t xml:space="preserve">Statistics Sierra Leone (SSL). (2022). </w:t>
      </w:r>
      <w:r w:rsidRPr="00B527F7">
        <w:rPr>
          <w:i/>
          <w:iCs/>
        </w:rPr>
        <w:t>Population and Housing Census Summary Report 2021.</w:t>
      </w:r>
      <w:r w:rsidRPr="00B527F7">
        <w:t xml:space="preserve"> Freetown: SSL. https://www.statistics.sl</w:t>
      </w:r>
    </w:p>
    <w:p w14:paraId="08D2F2B3" w14:textId="77777777" w:rsidR="00B527F7" w:rsidRPr="00B527F7" w:rsidRDefault="00B527F7" w:rsidP="00B527F7">
      <w:proofErr w:type="spellStart"/>
      <w:r w:rsidRPr="00B527F7">
        <w:t>Tekelab</w:t>
      </w:r>
      <w:proofErr w:type="spellEnd"/>
      <w:r w:rsidRPr="00B527F7">
        <w:t xml:space="preserve">, T., </w:t>
      </w:r>
      <w:proofErr w:type="spellStart"/>
      <w:r w:rsidRPr="00B527F7">
        <w:t>Chojenta</w:t>
      </w:r>
      <w:proofErr w:type="spellEnd"/>
      <w:r w:rsidRPr="00B527F7">
        <w:t xml:space="preserve">, C., Smith, R., &amp; Loxton, D. (2020). Factors affecting utilization of antenatal care in developing countries: A systematic review. </w:t>
      </w:r>
      <w:r w:rsidRPr="00B527F7">
        <w:rPr>
          <w:i/>
          <w:iCs/>
        </w:rPr>
        <w:t>Reproductive Health, 16</w:t>
      </w:r>
      <w:r w:rsidRPr="00B527F7">
        <w:t>(1), 102. https://doi.org/10.1186/s12978-019-0808-0</w:t>
      </w:r>
    </w:p>
    <w:p w14:paraId="1FB58111" w14:textId="77777777" w:rsidR="00B527F7" w:rsidRPr="00B527F7" w:rsidRDefault="00B527F7" w:rsidP="00B527F7">
      <w:r w:rsidRPr="00B527F7">
        <w:lastRenderedPageBreak/>
        <w:t xml:space="preserve">United Nations Population Fund (UNFPA). (2023). </w:t>
      </w:r>
      <w:r w:rsidRPr="00B527F7">
        <w:rPr>
          <w:i/>
          <w:iCs/>
        </w:rPr>
        <w:t xml:space="preserve">State of World Population 2023: 8 </w:t>
      </w:r>
      <w:proofErr w:type="gramStart"/>
      <w:r w:rsidRPr="00B527F7">
        <w:rPr>
          <w:i/>
          <w:iCs/>
        </w:rPr>
        <w:t>Billion</w:t>
      </w:r>
      <w:proofErr w:type="gramEnd"/>
      <w:r w:rsidRPr="00B527F7">
        <w:rPr>
          <w:i/>
          <w:iCs/>
        </w:rPr>
        <w:t xml:space="preserve"> Lives, Infinite Possibilities.</w:t>
      </w:r>
      <w:r w:rsidRPr="00B527F7">
        <w:t xml:space="preserve"> New York: UNFPA. https://www.unfpa.org/swop-2023</w:t>
      </w:r>
    </w:p>
    <w:p w14:paraId="112519F5" w14:textId="77777777" w:rsidR="00B527F7" w:rsidRPr="00B527F7" w:rsidRDefault="00B527F7" w:rsidP="00B527F7">
      <w:r w:rsidRPr="00B527F7">
        <w:t xml:space="preserve">World Bank. (2023). </w:t>
      </w:r>
      <w:r w:rsidRPr="00B527F7">
        <w:rPr>
          <w:i/>
          <w:iCs/>
        </w:rPr>
        <w:t>World Development Indicators: Maternal Mortality Ratio (Sierra Leone).</w:t>
      </w:r>
      <w:r w:rsidRPr="00B527F7">
        <w:t xml:space="preserve"> Washington, DC: World Bank. https://data.worldbank.org/indicator/SH.STA.MMRT</w:t>
      </w:r>
    </w:p>
    <w:p w14:paraId="576188FF" w14:textId="77777777" w:rsidR="00B527F7" w:rsidRPr="00B527F7" w:rsidRDefault="00B527F7" w:rsidP="00B527F7">
      <w:r w:rsidRPr="00B527F7">
        <w:t xml:space="preserve">World Health Organization (WHO). (2016). </w:t>
      </w:r>
      <w:r w:rsidRPr="00B527F7">
        <w:rPr>
          <w:i/>
          <w:iCs/>
        </w:rPr>
        <w:t>WHO recommendations on antenatal care for a positive pregnancy experience.</w:t>
      </w:r>
      <w:r w:rsidRPr="00B527F7">
        <w:t xml:space="preserve"> Geneva: WHO. </w:t>
      </w:r>
      <w:hyperlink r:id="rId4" w:tgtFrame="_new" w:history="1">
        <w:r w:rsidRPr="00B527F7">
          <w:rPr>
            <w:rStyle w:val="Hyperlink"/>
          </w:rPr>
          <w:t>https://www.who.int/publications/i/item/9789241549912</w:t>
        </w:r>
      </w:hyperlink>
    </w:p>
    <w:p w14:paraId="53D172EE" w14:textId="77777777" w:rsidR="00B527F7" w:rsidRPr="00B527F7" w:rsidRDefault="00B527F7" w:rsidP="00B527F7">
      <w:r w:rsidRPr="00B527F7">
        <w:t xml:space="preserve">World Health Organization (WHO). (2021). </w:t>
      </w:r>
      <w:r w:rsidRPr="00B527F7">
        <w:rPr>
          <w:i/>
          <w:iCs/>
        </w:rPr>
        <w:t>Trends in maternal mortality 2000–2020: Estimates by WHO, UNICEF, UNFPA, and World Bank.</w:t>
      </w:r>
      <w:r w:rsidRPr="00B527F7">
        <w:t xml:space="preserve"> Geneva: WHO. </w:t>
      </w:r>
      <w:hyperlink r:id="rId5" w:tgtFrame="_new" w:history="1">
        <w:r w:rsidRPr="00B527F7">
          <w:rPr>
            <w:rStyle w:val="Hyperlink"/>
          </w:rPr>
          <w:t>https://www.who.int/publications/i/item/9789240068759</w:t>
        </w:r>
      </w:hyperlink>
    </w:p>
    <w:p w14:paraId="2532FB90" w14:textId="77777777" w:rsidR="00B527F7" w:rsidRPr="00B527F7" w:rsidRDefault="00B527F7" w:rsidP="00B527F7">
      <w:r w:rsidRPr="00B527F7">
        <w:t xml:space="preserve">World Health Organization (WHO). (2023). </w:t>
      </w:r>
      <w:r w:rsidRPr="00B527F7">
        <w:rPr>
          <w:i/>
          <w:iCs/>
        </w:rPr>
        <w:t>Improving maternal health through primary care integration.</w:t>
      </w:r>
      <w:r w:rsidRPr="00B527F7">
        <w:t xml:space="preserve"> Geneva: WHO. </w:t>
      </w:r>
      <w:hyperlink r:id="rId6" w:tgtFrame="_new" w:history="1">
        <w:r w:rsidRPr="00B527F7">
          <w:rPr>
            <w:rStyle w:val="Hyperlink"/>
          </w:rPr>
          <w:t>https://www.who.int/news-room/fact-sheets/detail/maternal-mortality</w:t>
        </w:r>
      </w:hyperlink>
    </w:p>
    <w:p w14:paraId="0CF55594" w14:textId="77777777" w:rsidR="00557DE2" w:rsidRDefault="00557DE2"/>
    <w:sectPr w:rsidR="00557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0C"/>
    <w:rsid w:val="000C51BD"/>
    <w:rsid w:val="001A5E86"/>
    <w:rsid w:val="00206CD8"/>
    <w:rsid w:val="00285827"/>
    <w:rsid w:val="002A593F"/>
    <w:rsid w:val="002C2729"/>
    <w:rsid w:val="003868C9"/>
    <w:rsid w:val="004040B5"/>
    <w:rsid w:val="00415B49"/>
    <w:rsid w:val="00482E27"/>
    <w:rsid w:val="00492CD2"/>
    <w:rsid w:val="004E296C"/>
    <w:rsid w:val="00557DE2"/>
    <w:rsid w:val="00566B28"/>
    <w:rsid w:val="00746C53"/>
    <w:rsid w:val="007475DD"/>
    <w:rsid w:val="0077765E"/>
    <w:rsid w:val="008943A5"/>
    <w:rsid w:val="00894E76"/>
    <w:rsid w:val="00942003"/>
    <w:rsid w:val="009B1FB4"/>
    <w:rsid w:val="009E0AFB"/>
    <w:rsid w:val="00A8478F"/>
    <w:rsid w:val="00B173CC"/>
    <w:rsid w:val="00B527F7"/>
    <w:rsid w:val="00B66707"/>
    <w:rsid w:val="00B700DD"/>
    <w:rsid w:val="00BC2755"/>
    <w:rsid w:val="00D3210C"/>
    <w:rsid w:val="00D342AF"/>
    <w:rsid w:val="00D56BB3"/>
    <w:rsid w:val="00DB785C"/>
    <w:rsid w:val="00DF7032"/>
    <w:rsid w:val="00E27F45"/>
    <w:rsid w:val="00E94016"/>
    <w:rsid w:val="00F759ED"/>
    <w:rsid w:val="00FF6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2771"/>
  <w15:chartTrackingRefBased/>
  <w15:docId w15:val="{1C1609D3-EC40-4D26-A7EF-9207F4B4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3CC"/>
    <w:pPr>
      <w:spacing w:line="360" w:lineRule="auto"/>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7475DD"/>
    <w:pPr>
      <w:keepNext/>
      <w:keepLines/>
      <w:spacing w:before="360" w:after="80"/>
      <w:jc w:val="center"/>
      <w:outlineLvl w:val="0"/>
    </w:pPr>
    <w:rPr>
      <w:rFonts w:eastAsiaTheme="majorEastAsia" w:cstheme="majorBidi"/>
      <w:b/>
      <w:color w:val="auto"/>
      <w:sz w:val="36"/>
      <w:szCs w:val="40"/>
    </w:rPr>
  </w:style>
  <w:style w:type="paragraph" w:styleId="Heading2">
    <w:name w:val="heading 2"/>
    <w:basedOn w:val="Normal"/>
    <w:next w:val="Normal"/>
    <w:link w:val="Heading2Char"/>
    <w:autoRedefine/>
    <w:uiPriority w:val="9"/>
    <w:unhideWhenUsed/>
    <w:qFormat/>
    <w:rsid w:val="007475DD"/>
    <w:pPr>
      <w:keepNext/>
      <w:keepLines/>
      <w:spacing w:before="160" w:after="80"/>
      <w:jc w:val="center"/>
      <w:outlineLvl w:val="1"/>
    </w:pPr>
    <w:rPr>
      <w:rFonts w:eastAsiaTheme="majorEastAsia" w:cstheme="majorBidi"/>
      <w:b/>
      <w:sz w:val="32"/>
      <w:szCs w:val="32"/>
    </w:rPr>
  </w:style>
  <w:style w:type="paragraph" w:styleId="Heading3">
    <w:name w:val="heading 3"/>
    <w:basedOn w:val="Normal"/>
    <w:next w:val="Normal"/>
    <w:link w:val="Heading3Char"/>
    <w:autoRedefine/>
    <w:uiPriority w:val="9"/>
    <w:semiHidden/>
    <w:unhideWhenUsed/>
    <w:qFormat/>
    <w:rsid w:val="00557DE2"/>
    <w:pPr>
      <w:keepNext/>
      <w:keepLines/>
      <w:spacing w:before="160" w:after="80"/>
      <w:jc w:val="left"/>
      <w:outlineLvl w:val="2"/>
    </w:pPr>
    <w:rPr>
      <w:rFonts w:eastAsiaTheme="majorEastAsia" w:cstheme="majorBidi"/>
      <w:b/>
      <w:sz w:val="28"/>
      <w:szCs w:val="28"/>
    </w:rPr>
  </w:style>
  <w:style w:type="paragraph" w:styleId="Heading4">
    <w:name w:val="heading 4"/>
    <w:basedOn w:val="Normal"/>
    <w:next w:val="Normal"/>
    <w:link w:val="Heading4Char"/>
    <w:autoRedefine/>
    <w:uiPriority w:val="9"/>
    <w:semiHidden/>
    <w:unhideWhenUsed/>
    <w:qFormat/>
    <w:rsid w:val="00B173CC"/>
    <w:pPr>
      <w:keepNext/>
      <w:keepLines/>
      <w:spacing w:before="80" w:after="40"/>
      <w:jc w:val="left"/>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D3210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21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21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21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21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5DD"/>
    <w:rPr>
      <w:rFonts w:ascii="Times New Roman" w:eastAsiaTheme="majorEastAsia" w:hAnsi="Times New Roman" w:cstheme="majorBidi"/>
      <w:b/>
      <w:sz w:val="36"/>
      <w:szCs w:val="40"/>
    </w:rPr>
  </w:style>
  <w:style w:type="character" w:customStyle="1" w:styleId="Heading2Char">
    <w:name w:val="Heading 2 Char"/>
    <w:basedOn w:val="DefaultParagraphFont"/>
    <w:link w:val="Heading2"/>
    <w:uiPriority w:val="9"/>
    <w:rsid w:val="007475DD"/>
    <w:rPr>
      <w:rFonts w:ascii="Times New Roman" w:eastAsiaTheme="majorEastAsia" w:hAnsi="Times New Roman" w:cstheme="majorBidi"/>
      <w:b/>
      <w:color w:val="000000" w:themeColor="text1"/>
      <w:sz w:val="32"/>
      <w:szCs w:val="32"/>
    </w:rPr>
  </w:style>
  <w:style w:type="character" w:customStyle="1" w:styleId="Heading3Char">
    <w:name w:val="Heading 3 Char"/>
    <w:basedOn w:val="DefaultParagraphFont"/>
    <w:link w:val="Heading3"/>
    <w:uiPriority w:val="9"/>
    <w:semiHidden/>
    <w:rsid w:val="00557DE2"/>
    <w:rPr>
      <w:rFonts w:ascii="Times New Roman" w:eastAsiaTheme="majorEastAsia" w:hAnsi="Times New Roman" w:cstheme="majorBidi"/>
      <w:b/>
      <w:color w:val="000000" w:themeColor="text1"/>
      <w:sz w:val="28"/>
      <w:szCs w:val="28"/>
    </w:rPr>
  </w:style>
  <w:style w:type="character" w:customStyle="1" w:styleId="Heading4Char">
    <w:name w:val="Heading 4 Char"/>
    <w:basedOn w:val="DefaultParagraphFont"/>
    <w:link w:val="Heading4"/>
    <w:uiPriority w:val="9"/>
    <w:semiHidden/>
    <w:rsid w:val="00B173CC"/>
    <w:rPr>
      <w:rFonts w:ascii="Times New Roman" w:eastAsiaTheme="majorEastAsia" w:hAnsi="Times New Roman" w:cstheme="majorBidi"/>
      <w:b/>
      <w:iCs/>
      <w:color w:val="000000" w:themeColor="text1"/>
      <w:sz w:val="28"/>
    </w:rPr>
  </w:style>
  <w:style w:type="character" w:customStyle="1" w:styleId="Heading5Char">
    <w:name w:val="Heading 5 Char"/>
    <w:basedOn w:val="DefaultParagraphFont"/>
    <w:link w:val="Heading5"/>
    <w:uiPriority w:val="9"/>
    <w:semiHidden/>
    <w:rsid w:val="00D32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2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10C"/>
    <w:rPr>
      <w:rFonts w:eastAsiaTheme="majorEastAsia" w:cstheme="majorBidi"/>
      <w:color w:val="272727" w:themeColor="text1" w:themeTint="D8"/>
    </w:rPr>
  </w:style>
  <w:style w:type="paragraph" w:styleId="Title">
    <w:name w:val="Title"/>
    <w:basedOn w:val="Normal"/>
    <w:next w:val="Normal"/>
    <w:link w:val="TitleChar"/>
    <w:uiPriority w:val="10"/>
    <w:qFormat/>
    <w:rsid w:val="00D3210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32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1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10C"/>
    <w:pPr>
      <w:spacing w:before="160"/>
      <w:jc w:val="center"/>
    </w:pPr>
    <w:rPr>
      <w:i/>
      <w:iCs/>
      <w:color w:val="404040" w:themeColor="text1" w:themeTint="BF"/>
    </w:rPr>
  </w:style>
  <w:style w:type="character" w:customStyle="1" w:styleId="QuoteChar">
    <w:name w:val="Quote Char"/>
    <w:basedOn w:val="DefaultParagraphFont"/>
    <w:link w:val="Quote"/>
    <w:uiPriority w:val="29"/>
    <w:rsid w:val="00D3210C"/>
    <w:rPr>
      <w:rFonts w:ascii="Times New Roman" w:hAnsi="Times New Roman"/>
      <w:i/>
      <w:iCs/>
      <w:color w:val="404040" w:themeColor="text1" w:themeTint="BF"/>
    </w:rPr>
  </w:style>
  <w:style w:type="paragraph" w:styleId="ListParagraph">
    <w:name w:val="List Paragraph"/>
    <w:basedOn w:val="Normal"/>
    <w:uiPriority w:val="34"/>
    <w:qFormat/>
    <w:rsid w:val="00D3210C"/>
    <w:pPr>
      <w:ind w:left="720"/>
      <w:contextualSpacing/>
    </w:pPr>
  </w:style>
  <w:style w:type="character" w:styleId="IntenseEmphasis">
    <w:name w:val="Intense Emphasis"/>
    <w:basedOn w:val="DefaultParagraphFont"/>
    <w:uiPriority w:val="21"/>
    <w:qFormat/>
    <w:rsid w:val="00D3210C"/>
    <w:rPr>
      <w:i/>
      <w:iCs/>
      <w:color w:val="2F5496" w:themeColor="accent1" w:themeShade="BF"/>
    </w:rPr>
  </w:style>
  <w:style w:type="paragraph" w:styleId="IntenseQuote">
    <w:name w:val="Intense Quote"/>
    <w:basedOn w:val="Normal"/>
    <w:next w:val="Normal"/>
    <w:link w:val="IntenseQuoteChar"/>
    <w:uiPriority w:val="30"/>
    <w:qFormat/>
    <w:rsid w:val="00D32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10C"/>
    <w:rPr>
      <w:rFonts w:ascii="Times New Roman" w:hAnsi="Times New Roman"/>
      <w:i/>
      <w:iCs/>
      <w:color w:val="2F5496" w:themeColor="accent1" w:themeShade="BF"/>
    </w:rPr>
  </w:style>
  <w:style w:type="character" w:styleId="IntenseReference">
    <w:name w:val="Intense Reference"/>
    <w:basedOn w:val="DefaultParagraphFont"/>
    <w:uiPriority w:val="32"/>
    <w:qFormat/>
    <w:rsid w:val="00D3210C"/>
    <w:rPr>
      <w:b/>
      <w:bCs/>
      <w:smallCaps/>
      <w:color w:val="2F5496" w:themeColor="accent1" w:themeShade="BF"/>
      <w:spacing w:val="5"/>
    </w:rPr>
  </w:style>
  <w:style w:type="character" w:styleId="Hyperlink">
    <w:name w:val="Hyperlink"/>
    <w:basedOn w:val="DefaultParagraphFont"/>
    <w:uiPriority w:val="99"/>
    <w:unhideWhenUsed/>
    <w:rsid w:val="00B527F7"/>
    <w:rPr>
      <w:color w:val="0563C1" w:themeColor="hyperlink"/>
      <w:u w:val="single"/>
    </w:rPr>
  </w:style>
  <w:style w:type="character" w:styleId="UnresolvedMention">
    <w:name w:val="Unresolved Mention"/>
    <w:basedOn w:val="DefaultParagraphFont"/>
    <w:uiPriority w:val="99"/>
    <w:semiHidden/>
    <w:unhideWhenUsed/>
    <w:rsid w:val="00B52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news-room/fact-sheets/detail/maternal-mortality" TargetMode="External"/><Relationship Id="rId5" Type="http://schemas.openxmlformats.org/officeDocument/2006/relationships/hyperlink" Target="https://www.who.int/publications/i/item/9789240068759" TargetMode="External"/><Relationship Id="rId4" Type="http://schemas.openxmlformats.org/officeDocument/2006/relationships/hyperlink" Target="https://www.who.int/publications/i/item/9789241549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1360</TotalTime>
  <Pages>21</Pages>
  <Words>5825</Words>
  <Characters>33208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Komba Finoh</dc:creator>
  <cp:keywords/>
  <dc:description/>
  <cp:lastModifiedBy>Emmanuel  Komba Finoh</cp:lastModifiedBy>
  <cp:revision>30</cp:revision>
  <dcterms:created xsi:type="dcterms:W3CDTF">2025-10-19T13:09:00Z</dcterms:created>
  <dcterms:modified xsi:type="dcterms:W3CDTF">2026-06-16T05:30:00Z</dcterms:modified>
</cp:coreProperties>
</file>