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bookmarkStart w:colFirst="0" w:colLast="0" w:name="_fcgaic254v2a" w:id="0"/>
      <w:bookmarkEnd w:id="0"/>
      <w:r w:rsidDel="00000000" w:rsidR="00000000" w:rsidRPr="00000000">
        <w:rPr>
          <w:rFonts w:ascii="Times New Roman" w:cs="Times New Roman" w:eastAsia="Times New Roman" w:hAnsi="Times New Roman"/>
          <w:sz w:val="24"/>
          <w:szCs w:val="24"/>
        </w:rPr>
        <w:drawing>
          <wp:inline distB="0" distT="0" distL="0" distR="0">
            <wp:extent cx="1438275" cy="1438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827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UNIVERSITY OF ZAMBIA</w:t>
      </w:r>
    </w:p>
    <w:p w:rsidR="00000000" w:rsidDel="00000000" w:rsidP="00000000" w:rsidRDefault="00000000" w:rsidRPr="00000000" w14:paraId="00000003">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OF HUMANITIES AND SOCIAL SCIENCES</w:t>
      </w:r>
    </w:p>
    <w:p w:rsidR="00000000" w:rsidDel="00000000" w:rsidP="00000000" w:rsidRDefault="00000000" w:rsidRPr="00000000" w14:paraId="00000004">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DEPARTMENT OF PSYCHOLOGY</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MENTAL ILLNESS AND SPIRITUAL WELLBEING AMONG STUDENTS AT THE UNIVERSITY OF ZAMBIA.</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D">
      <w:pPr>
        <w:spacing w:line="4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sectPr>
          <w:headerReference r:id="rId7" w:type="default"/>
          <w:footerReference r:id="rId8" w:type="first"/>
          <w:pgSz w:h="16838" w:w="11906"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13">
      <w:pPr>
        <w:pStyle w:val="Heading1"/>
        <w:spacing w:line="480" w:lineRule="auto"/>
        <w:rPr/>
      </w:pPr>
      <w:bookmarkStart w:colFirst="0" w:colLast="0" w:name="_67smqd4aagph" w:id="1"/>
      <w:bookmarkEnd w:id="1"/>
      <w:r w:rsidDel="00000000" w:rsidR="00000000" w:rsidRPr="00000000">
        <w:rPr>
          <w:rtl w:val="0"/>
        </w:rPr>
        <w:t xml:space="preserve">ABSTRACT</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illness poses a significant global health burden, impacting individuals' functioning, relationships, and overall quality of life. While traditional psychiatric approaches are crucial, a growing body of evidence highlights the profound and often overlooked relationship between mental health outcomes and spiritual well-being. This research investigates the nuanced connections between various dimensions of spiritual well-being, including both positive spiritual experiences and spiritual struggles, and the prevalence and severity of common mental health conditions, specifically depression and anxiety. Drawing on existing literature, which suggested that spirituality can serve as a protective factor and a resource for resilience, this study also explored instances where spiritual struggles exacerbated psychological distress.</w:t>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the complex interplay between mental illness and spiritual well-being among young adults attending the University of Zambia (UNZA). A mixed-methods approach was employed, combining quantitative surveys to assess self-reported mental health symptoms and spiritual well-being scales with qualitative in-depth interviews to explore students lived experiences, perceptions of the relationship between their mental health and spirituality, and coping strategies. Participants were recruited from various faculties at UNZA through stratified random sampling design employing well-validated instruments to collect data from a diverse participant group. Mental health outcomes were assessed using the Patient Health Questionnaire-9 (PHQ-9) for depression and the Generalized Anxiety Disorder 7-item scale (GAD-7) for anxiety. Spiritual well-being was   measured comprehensively using the Spiritual Well-Being Scale (SWBS), which captures both Religious Well-Being and Existential Well-Being. Crucially, the Religious and Spiritual Struggles Scale (RSS) was incorporated to assess various forms of spiritual distress. By simultaneously examining these dimensions, this study provides a more holistic understanding of how individuals’ spiritual lives intersect with their mental health.  </w:t>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Outcomes included a comprehensive understanding of the specific manifestations of mental illness among UNZA young adults, the prevailing spiritual beliefs and practices, and the nuanced ways in which these two domains interact. These underscore, the importance of integrating spiritual considerations into mental health assessment and intervention, informing the development of more comprehensive, patient-centred care models that acknowledge the spiritual dimension of human experience. The findings were significant implications for developing culturally sensitive and spiritually informed mental health interventions, support services, and educational programs at UNZA, ultimately contributing to the holistic well-being of its student population. This research also informs broader policy discussions on integrating spiritual care into mental health frameworks in Zambia and similar African contexts.</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OF CONTENTS</w:t>
      </w:r>
    </w:p>
    <w:sdt>
      <w:sdtPr>
        <w:id w:val="-872895489"/>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67smqd4aagp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ABSTRACT</w:t>
              <w:tab/>
              <w:t xml:space="preserve">i</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yidqbcb95x9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CHAPTER ONE: INTRODUCTION</w:t>
              <w:tab/>
              <w:t xml:space="preserve">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i0p9r4bh5qu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Overview</w:t>
              <w:tab/>
              <w:t xml:space="preserve">1</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rvl2ccnoz2t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Nuances and Potential Negative Aspects</w:t>
              <w:tab/>
              <w:t xml:space="preserve">3</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o2b1bvty6tw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Implications for Mental Health Care</w:t>
              <w:tab/>
              <w:t xml:space="preserve">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r9w9zdqndq4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Statement of the Problem</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pw6meywg6ax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Purpose of the Research</w:t>
              <w:tab/>
              <w:t xml:space="preserve">8</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irbnazrq822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General Objective</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g8epaqqwzu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Specific Objectives</w:t>
              <w:tab/>
              <w:t xml:space="preserve">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k2gahlpr34n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CHAPTER TWO: LITERATURE REVIEW</w:t>
              <w:tab/>
              <w:t xml:space="preserve">10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pt9m0s81w8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Spirituality as a Protective Factor and Resource for Mental Health</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8613tdkefw3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The Double-Edged Sword: Negative Impacts and Spiritual Struggles</w:t>
              <w:tab/>
              <w:t xml:space="preserve">12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pm1lflnog0l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Clinical Implications and Future Directions</w:t>
              <w:tab/>
              <w:t xml:space="preserve">13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jn06pioaffl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CHAPTER THREE: METHODOLOGY</w:t>
              <w:tab/>
              <w:t xml:space="preserve">15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un0vn2kef8q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Research Design</w:t>
              <w:tab/>
              <w:t xml:space="preserve">15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2btkbwgfaw6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Research Participants and Sampling Procedures</w:t>
              <w:tab/>
              <w:t xml:space="preserve">15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835563y0at9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3.2.1 Target Population</w:t>
              <w:tab/>
              <w:t xml:space="preserve">15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a8fvdpohol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3.2.2 Sample Size</w:t>
              <w:tab/>
              <w:t xml:space="preserve">15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evjvq0fm4yj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3.2.3 Sampling Procedures</w:t>
              <w:tab/>
              <w:t xml:space="preserve">16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la91cw5z8xb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Data Collection Instruments</w:t>
              <w:tab/>
              <w:t xml:space="preserve">16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jc1xm8a2y8s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3.3.1 Quantitative Data Collection</w:t>
              <w:tab/>
              <w:t xml:space="preserve">16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d4aceron2wk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3.3.2 Qualitative Data Collection</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5s3ek1vhb21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Data Analysis</w:t>
              <w:tab/>
              <w:t xml:space="preserve">21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w5teg6yj6ou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3.4.1 Quantitative Data Analysis</w:t>
              <w:tab/>
              <w:t xml:space="preserve">21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s96qsogqkmt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3.4.2</w:t>
              <w:tab/>
              <w:t xml:space="preserve">Qualitative Data Analysis</w:t>
              <w:tab/>
              <w:t xml:space="preserve">21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qlwbwlbsz8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Mixed Methods Data Integration</w:t>
              <w:tab/>
              <w:t xml:space="preserve">22</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vgootcgfjrl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Considerations</w:t>
              <w:tab/>
              <w:t xml:space="preserve">22</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l2rs1bv0hkh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Trustworthiness and Rigor</w:t>
              <w:tab/>
              <w:t xml:space="preserve">23</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vemepsj823t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CHAPTER FOUR: RESULTS</w:t>
              <w:tab/>
              <w:t xml:space="preserve">25</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dgy2u124nj3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DESCRIPTIVE STATISTICS SUMMARY AND QUOTES FROM THE QUALITATIVE QUESTIONNAIRE.</w:t>
              <w:tab/>
              <w:t xml:space="preserve">25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h4lr7ioiu27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DEMOGRAPHIC DATA</w:t>
              <w:tab/>
              <w:t xml:space="preserve">25</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cy0hzjhrkde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DESCRIPTIVE STATISTICS</w:t>
              <w:tab/>
              <w:t xml:space="preserve">28</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vag875kccja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Correlations</w:t>
              <w:tab/>
              <w:t xml:space="preserve">29</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qlwzlf1jga9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 One-Sample Test</w:t>
              <w:tab/>
              <w:t xml:space="preserve">30</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dl0sbjlfaiu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 CORRELATION RESULTS BETWEEN SPIRITUAL WELL BEING AND MENTAL ILLNESS</w:t>
              <w:tab/>
              <w:t xml:space="preserve">30</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yv7wyn7e8he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 SPIRITUAL WELL-BEING AS A PROTECTIVE FACTOR AGAINST MENTAL ILLNESS.</w:t>
              <w:tab/>
              <w:t xml:space="preserve">31</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ih62xys7qtc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4.8 RELATIONSHIP BETWEEN PSYCHOLOGICAL INTERVENTIONS AND SPIRITUAL PRINCIPLES FOR HOLISTIC HEALING.</w:t>
              <w:tab/>
              <w:t xml:space="preserve">33</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flcn535hg2j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CHAPTER FIVE: DISCUSSION</w:t>
              <w:tab/>
              <w:t xml:space="preserve">35</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el2jntyr6xb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CORRELATION BETWEEN SPIRITUAL WELL BEING AND MENTAL ILLNESS</w:t>
              <w:tab/>
              <w:t xml:space="preserve">35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rp1doafmpm9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SPIRITUAL WELLEING AS A PROTECTIVE FACTOR AGAINST MENTAL ILLNESS</w:t>
              <w:tab/>
              <w:t xml:space="preserve">36</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zdycmdpdy98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PSYCHOLOGICAL INTERVENTIONS AND SPIRITUAL PRINCIPLES FOR HOLISTIC HEALING.</w:t>
              <w:tab/>
              <w:t xml:space="preserve">37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vzyj6yq29ge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 IMPLICATIONS</w:t>
              <w:tab/>
              <w:t xml:space="preserve">39</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019"/>
            </w:tabs>
            <w:spacing w:after="100" w:before="0" w:line="360" w:lineRule="auto"/>
            <w:ind w:left="36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hyperlink w:anchor="_dhvvc4e6muq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 Limitations</w:t>
              <w:tab/>
              <w:t xml:space="preserve">40</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9019"/>
            </w:tabs>
            <w:spacing w:after="10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3c8x18hc85o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REFERENCES</w:t>
              <w:tab/>
              <w:t xml:space="preserve">41</w:t>
            </w:r>
          </w:hyperlink>
          <w:r w:rsidDel="00000000" w:rsidR="00000000" w:rsidRPr="00000000">
            <w:rPr>
              <w:rtl w:val="0"/>
            </w:rPr>
          </w:r>
        </w:p>
        <w:p w:rsidR="00000000" w:rsidDel="00000000" w:rsidP="00000000" w:rsidRDefault="00000000" w:rsidRPr="00000000" w14:paraId="00000045">
          <w:pPr>
            <w:spacing w:line="36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spacing w:line="480" w:lineRule="auto"/>
        <w:jc w:val="both"/>
        <w:rPr>
          <w:rFonts w:ascii="Times New Roman" w:cs="Times New Roman" w:eastAsia="Times New Roman" w:hAnsi="Times New Roman"/>
          <w:sz w:val="24"/>
          <w:szCs w:val="24"/>
        </w:rPr>
        <w:sectPr>
          <w:footerReference r:id="rId9" w:type="default"/>
          <w:type w:val="nextPage"/>
          <w:pgSz w:h="16838" w:w="11906"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rPr/>
      </w:pPr>
      <w:bookmarkStart w:colFirst="0" w:colLast="0" w:name="_yidqbcb95x9h" w:id="2"/>
      <w:bookmarkEnd w:id="2"/>
      <w:r w:rsidDel="00000000" w:rsidR="00000000" w:rsidRPr="00000000">
        <w:rPr>
          <w:rtl w:val="0"/>
        </w:rPr>
        <w:t xml:space="preserve">CHAPTER ONE: INTRODUCTION</w:t>
      </w:r>
    </w:p>
    <w:p w:rsidR="00000000" w:rsidDel="00000000" w:rsidP="00000000" w:rsidRDefault="00000000" w:rsidRPr="00000000" w14:paraId="00000048">
      <w:pPr>
        <w:pStyle w:val="Heading2"/>
        <w:rPr/>
      </w:pPr>
      <w:bookmarkStart w:colFirst="0" w:colLast="0" w:name="_i0p9r4bh5quw" w:id="3"/>
      <w:bookmarkEnd w:id="3"/>
      <w:r w:rsidDel="00000000" w:rsidR="00000000" w:rsidRPr="00000000">
        <w:rPr>
          <w:rtl w:val="0"/>
        </w:rPr>
        <w:t xml:space="preserve">1.1 Overview</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mental illness and spirituality is complex and multifaceted as they have both positive and negative influence on an individual, with each phenomena influencing the other. Spirituality can serve as a significant resource for mental health and recovery, offering individuals a sense of meaning, purpose, and hope that aids in coping and resilience (Pargament, 2011).</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Spirituality is the search for meaning, purpose, and connection to something larger than</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themselves. It can involve a sense of interconnectedness with nature, others, or a higher power, and often involves finding a deeper understanding of life's</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(Puchalski et al., 2014).</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Spiritual practices like meditation or prayer can function as coping mechanisms for stress and anxiety, fostering inner peace. Furthermore, social support and community found within spiritual or religious groups can combat loneliness and isolation, known risk factors for mental health challenges (Koenig, 2012). Spirituality can also cultivate positive emotions and healthy behaviours, contributing to overall well-being.</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sometimes associated with religion, spirituality can also be found in secular or even anti-religious contexts (Pargament, 2011).</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 is an organized system of beliefs, practices, rituals, and symbols designed to facilitate closeness to the sacred or transcendent (God, higher power, or ultimate truth/reality). (Koenig, 2012).</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is a state of mind characterized by emotional well-being, good behavioural adjustment, relative freedom from anxiety and disabling symptoms, and a capacity to establish constructive relationships and cope with the ordinary demands and stresses of life (American Psychological Association, n.d.-a).</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illness is classified as a syndrome characterized by a clinically significant disturbance in an individual's cognition, emotion regulation, or behaviour that reflects a dysfunction in the psychological, biological, or developmental processes underlying mental functioning. Mental disorders are usually associated with significant distress or disability in social, occupational, or other important activities. An expectable or culturally approved response to a common stressor or loss, such as the death of a loved one, is not a mental disorder. (American Psychiatric Association, 2022, p. 20)</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phenomena of Mental illness among young adults in Zambia is a significant and widespread concern, though precise, nationally representative prevalence figures can be challenging to obtain due to limitations in research, data collection, and reporting infrastructure. However, available information from various sources indicates a substantial burden.</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Noting the high Estimates of Mental illness among young adults in Zambia is of the essence. These include Significant Global Burden. According to Zambia's Ministry of Health, global research suggests that 15% of young people aged 10 to 35 have a diagnosable mental health condition, contributing significantly to the global burden of disease (Radio Christian Voice, 2025). This aligns with global estimates from organizations like the WHO.</w:t>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being High Prevalence Among Vulnerable Groups: Studies on specific vulnerable populations within Zambia suggest even higher rates. For instance, nearly three-quarters of street children in residential care have a mental health problem (Banda, 2016). Research also highlights high mental health challenges among Adolescent Girls and Young Women (AGYW), with one program screening over 11,000 AGYW finding that 80% demonstrated symptoms of moderate to severe depression (Centre for Infectious Disease Research in Zambia. [CIDRZ], 2023).</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Youth as Most Impacted. Some research indicates that young adults are often the most impacted population for mental disorders in Zambia (Mwambwa-Johnson, 2021).</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the Increasing Diagnoses. New data from the Ministry of Health shows that the number of adolescents (10–19 years) diagnosed and treated for depression rose from 704 cases in 2022 to 858 in 2024. While this might partly reflect better awareness and diagnosis, it also underscores the growing need for support (UNICEF, 2025).</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Fifth, Common Issues. Common mental health issues observed in Zambia, including among young adults, include acute psychotic episodes, schizophrenia, affective disorders (like depression), and alcohol-related problems (Mayeya et al., 2009, as cited in Nseluke &amp; Siziya, 2011). Depression and anxiety are particularly noted among adolescents (WHO, n.d.).</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sixth, Psychosocial Distress. A study on in-school adolescents in Zambia found that 15.7%</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experienced psychosocial distress (Siziya &amp; Mazaba, 2015). Risk factors included being bullied, involvement in fights, and alcohol consumption.</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shown the link between mental health and spirituality is a prominent area of research, with numerous studies demonstrating a complex and often beneficial relationship. While distinct from organized religion, spirituality broadly refers to an individual's search for meaning, purpose, and connection to something larger than oneself, which may or may not involve a belief in a higher power (Koenig, 2009; Pargament, 2013)</w:t>
      </w:r>
    </w:p>
    <w:p w:rsidR="00000000" w:rsidDel="00000000" w:rsidP="00000000" w:rsidRDefault="00000000" w:rsidRPr="00000000" w14:paraId="000000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generally indicates a positive correlation between higher levels of spirituality and improved mental health outcomes (Koenig et al., 2012; Smith et al., 2003). Spirituality can serve as a significant protective factor against various mental health challenges by providing various benefits such as. Meaning and Purpose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Spirituality often helps individuals find a sense of ultimate purpose and meaning in life, especially during difficult times, which can reduce feelings of hopelessness and despair (Koenig, 2009). This "meaning-making" is a powerful psychological resource. The second advantage is it serves as a Coping mechanism.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Spiritual practices (e.g., meditation, prayer, mindfulness, reflection) can be effective coping strategies for stress, anxiety, and depression. They promote calmness, self-awareness, emotional regulation, and a sense of inner peace (Ano &amp; Vasconcelles, 2005; Pargament, 2013). It also supports Hope and Optimism. A spiritual perspective can foster hope and optimism, encouraging individuals to believe in positive outcomes even in the face of adversity. This hopeful outlook contributes to greater resilience and the ability to endure hardship (Koenig et al., 2012). The relationship also allows Connection and Transcendence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Spirituality often involves a sense of connection to something greater than oneself, be it a higher power, nature, humanity, or the universe. This feeling of interconnectedness can reduce feelings of isolation and foster positive emotions like awe, gratitude, and compassion, all of which contribute to mental well-being (McLean Hospital, n.d.). This in turn promotes Resilience and Growth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Facing life's challenges through a spiritual lens can help individuals view suffering as part of a larger journey, fostering emotional resilience and post-traumatic growth (Pargament, 2013). Last but not least it strengthens Values and Ethics. Spirituality can provide a moral and ethical framework that guides behaviour and decision-making, contributing to a sense of integrity and inner harmony.</w:t>
      </w:r>
    </w:p>
    <w:p w:rsidR="00000000" w:rsidDel="00000000" w:rsidP="00000000" w:rsidRDefault="00000000" w:rsidRPr="00000000" w14:paraId="0000005B">
      <w:pPr>
        <w:pStyle w:val="Heading2"/>
        <w:rPr/>
      </w:pPr>
      <w:bookmarkStart w:colFirst="0" w:colLast="0" w:name="_hs6gde8oop1" w:id="4"/>
      <w:bookmarkEnd w:id="4"/>
      <w:r w:rsidDel="00000000" w:rsidR="00000000" w:rsidRPr="00000000">
        <w:rPr>
          <w:rtl w:val="0"/>
        </w:rPr>
        <w:t xml:space="preserve">1.2 Nuances and Potential Negative Aspects</w:t>
      </w:r>
    </w:p>
    <w:p w:rsidR="00000000" w:rsidDel="00000000" w:rsidP="00000000" w:rsidRDefault="00000000" w:rsidRPr="00000000" w14:paraId="0000005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predominant findings point to positive benefits, the relationship is nuanced, and spirituality can sometimes be associated with negative mental health outcomes, particularly when it leads to challenges such as Spiritual Struggles, Similar to negative religious coping, spiritual struggles involve internal conflict, doubt, or distress related to one's spiritual beliefs or practices. This can include feeling abandoned by a higher power, questioning one's purpose, or experiencing guilt and shame related to spiritual ideals (Pargament, 2013). Such struggles are consistently linked to poorer mental health (Exline, 2013). Another may be Spiritual Bypass, this term refers to the use of spiritual beliefs or practices to avoid dealing with unresolved emotional issues, psychological wounds, or personal responsibilities. It can manifest as excessive positivity, emotional repression, or a reluctance to engage with difficult feelings, potentially hindering genuine healing and growth (Quora, n.d.). Also, looking at Distorted Interpretations of psychopathology. Misinterpretations of spiritual concepts can lead to fear, anxiety (e.g., anxiety about judgment, prophecies), or unrealistic expectations that may neglect reality and practical problem-solving (Healio Journal, n.d.).Not forgetting Confusion with Psychopathology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some cases, intense spiritual experiences (e.g., visions, mystical states) may be mistaken for symptoms of mental illness, or conversely, psychotic symptoms might incorporate spiritual content (e.g., religious delusions) (Royal College of Psychiatrists, n.d.). Differentiating between these phenomena requires careful clinical assessment.</w:t>
      </w:r>
    </w:p>
    <w:p w:rsidR="00000000" w:rsidDel="00000000" w:rsidP="00000000" w:rsidRDefault="00000000" w:rsidRPr="00000000" w14:paraId="0000005D">
      <w:pPr>
        <w:pStyle w:val="Heading2"/>
        <w:rPr/>
      </w:pPr>
      <w:bookmarkStart w:colFirst="0" w:colLast="0" w:name="_omu8x8v3uagh" w:id="5"/>
      <w:bookmarkEnd w:id="5"/>
      <w:r w:rsidDel="00000000" w:rsidR="00000000" w:rsidRPr="00000000">
        <w:rPr>
          <w:rtl w:val="0"/>
        </w:rPr>
        <w:t xml:space="preserve">1.3 Implications for Mental Health Care</w:t>
      </w:r>
    </w:p>
    <w:p w:rsidR="00000000" w:rsidDel="00000000" w:rsidP="00000000" w:rsidRDefault="00000000" w:rsidRPr="00000000" w14:paraId="0000005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significant link, there is a growing recognition of the importance of integrating spiritual considerations into mental health care. Mental health professionals are increasingly encouraged to take a Spiritual History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Understanding a client's spiritual beliefs and practices can provide valuable insights into their coping mechanisms, values, and potential sources of resilience or distress (Royal College of Psychiatrists, n.d.). Also Utilize Spiritual Resources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For clients who value spirituality, incorporating spiritual practices or community support into treatment plans can enhance therapeutic outcomes and facilitate recovery (McLean Hospital, n.d.). Not neglecting the need to Address Spiritual Struggles, therapists can help clients navigate spiritual conflicts or distress, fostering healthy spiritual development and reducing negative mental health impacts (Pargament, 2013).</w:t>
      </w:r>
    </w:p>
    <w:p w:rsidR="00000000" w:rsidDel="00000000" w:rsidP="00000000" w:rsidRDefault="00000000" w:rsidRPr="00000000" w14:paraId="0000005F">
      <w:pPr>
        <w:pStyle w:val="Heading2"/>
        <w:rPr/>
      </w:pPr>
      <w:bookmarkStart w:colFirst="0" w:colLast="0" w:name="_r9w9zdqndq45" w:id="6"/>
      <w:bookmarkEnd w:id="6"/>
      <w:r w:rsidDel="00000000" w:rsidR="00000000" w:rsidRPr="00000000">
        <w:rPr>
          <w:rtl w:val="0"/>
        </w:rPr>
        <w:t xml:space="preserve">1.4 Statement of the Problem</w:t>
      </w:r>
    </w:p>
    <w:p w:rsidR="00000000" w:rsidDel="00000000" w:rsidP="00000000" w:rsidRDefault="00000000" w:rsidRPr="00000000" w14:paraId="0000006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Putting into consideration that more than half the population of Zambia is Christian. With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95.5% of the population being Christian. A huge portion being Protestant: 75.3% and a smaller percentage being Roman Catholic: 20.2%., even smaller is the Islam community with 2.7%. And Other religions (including Hindu, Baha'i, Buddhist, Jewish, Sikh): 2.7% (some sources combine this with "no religion") The smallest percentage being, No religion at 1.8%. It's important to note that traditional African religious beliefs often blend with Christian practices in many syncretic churches in Zambia, (ZamStats,2024).</w:t>
      </w:r>
    </w:p>
    <w:p w:rsidR="00000000" w:rsidDel="00000000" w:rsidP="00000000" w:rsidRDefault="00000000" w:rsidRPr="00000000" w14:paraId="0000006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Recognising that Zambia was declared a Christian nation by the late, his excellency President Fredrick Chiluba in 1991 on the 29th December. (Chiyeka,2021). And has hence been following guidelines from the Bible as a nation with the former President Edgar Lungu creating  a Ministry of National Guidance and Religious Affairs (MNGRA). On the 20th of  June 2020, the ministry launched a policy on how it was going to carry out its mandate. The main objectives of the policy are to enhance the application of the national values, principles and ethics in individual, institutional and national affairs and to actualise the Declaration (MNGRA, 2020: 14).  Hence, my paper will be looking at Spirituality highlighting the major religion of Christianity.</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paper I measure mental illness as the presence of persistent symptoms of disturbance in thoughts, feelings, or behaviours. Impairment in daily functioning. Distress or suffering. Last but not least Increased risk of harm to oneself or others (WHO, 2018). Using the phq-9 scale for depression and Gad -7 for general anxiety.</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Spiritual wellbeing was be measuredusing SWBS-10, which is a  Well-Being Scale.</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measures overall spiritual well-being, through the same two broad components of religious well-being, one’s perceived relationship with God or a higher power and  existential well-being which is one’s sense of meaning, purpose, and satisfaction in life independent of religion</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SWBS-10 is a brief measure of how spiritually fulfilled a person, both in terms of faith and life meaning. Also still noting spirituality as Inner peace and harmony, which means one's experience of a sense of calm, balance and tranquillity. As well as one's community and relationship, which looks at nurturing connections with others who share similar spiritual values and beliefs, not forgetting the biggest aspect of spirituality which is one's sense of meaning and purpose, which reflects in having a sense of direction and significance in life. (Koenig, 2012).</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illness is diverse in its affection and affects the ean population but for the fact that Africa's population as a whole is very young, with 60% of the entire continent aged below 25, making it the youngest continent in the world, in relation to its population makeup. All of the world's top 10 youngest countries by median age are in Africa, with Niger in first place with a median age of 15.1 years. (Wikipedia, 2025). Hence one may blatantly argue that Africa will make up the world labour by 2030. Our young adult being drivers of such a great time for our continent are therefore the sample group I wish to carry out my research upon. Noting that, failure to address the relationship between mental illness and spiritual warfare to fully understand better invention methods and theories for the upholding of Zambian culture. Will lead to poor treatments, lack of enough theories that fully and truly fit our culture and norms allowing creation of motivated and enthusiastic work culture and economies.</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the relationship between mental illness and spiritual wellbeing is unavoidable looking at the ongoing research and supporting evidence from various articles. Failure to address the discrepancies may lead to incomplete and ineffective treatment. This may be due to failure to address a core aspect of patient experience: For many individuals, spirituality is a deeply personal and central aspect of their identity and how they make sense of the world, including their suffering. Ignoring this dimension means overlooking a crucial part of their lived experience, leading to an incomplete understanding of their mental health challenges (McLean Hospital, n.d.; Pargament &amp; Exline, 2013).It may also lead to  missed opportunities for healing and resilience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spirituality often provides a sense of meaning, purpose, hope, and connection, which are powerful resources for coping with stress, fostering resilience, and promoting recovery from mental illness (Koenig, 2012; Immunize Nevada, 2024; Mainspring Recovery, n.d.). Neglecting this dimension means foregoing these potential therapeutic benefits. It would also mean a reduced treatment adherence and engagement: If a patient's spiritual beliefs or struggles are not acknowledged or are even dismissed, they may feel misunderstood, leading to disengagement from treatment or a reluctance to follow professional recommendations (Taheri et al., 2021; Mainspring Recovery, n.d.). Not forgetting our cultural context which may misdiagnose and inappropriate interventions, spiritual experiences can sometimes be misinterpreted as psychiatric symptoms, and vice versa. Without an understanding of a patient's spiritual background, there's a risk of misdiagnosis or applying interventions that conflict with their deeply held beliefs, potentially exacerbating distress (Mainspring Recovery, n.d.; Spirituality and mental health, n.d.). For example, intense spiritual experiences might be confused with psychotic symptoms if a clinician is not informed about the patient's spiritual context. Another detrimental consequence is Perpetuation</w:t>
      </w:r>
      <w:r w:rsidDel="00000000" w:rsidR="00000000" w:rsidRPr="00000000">
        <w:rPr>
          <w:rFonts w:ascii="Times New Roman" w:cs="Times New Roman" w:eastAsia="Times New Roman" w:hAnsi="Times New Roman"/>
          <w:color w:val="000000"/>
          <w:sz w:val="24"/>
          <w:szCs w:val="24"/>
          <w:rtl w:val="0"/>
        </w:rPr>
        <w:t xml:space="preserve"> of Suffering and Spiritual Distress</w:t>
      </w:r>
      <w:r w:rsidDel="00000000" w:rsidR="00000000" w:rsidRPr="00000000">
        <w:rPr>
          <w:rFonts w:ascii="Times New Roman" w:cs="Times New Roman" w:eastAsia="Times New Roman" w:hAnsi="Times New Roman"/>
          <w:sz w:val="24"/>
          <w:szCs w:val="24"/>
          <w:rtl w:val="0"/>
        </w:rPr>
        <w:t xml:space="preserve"> due to Unresolved Spiritual Struggles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many individuals with mental illness experience spiritual struggles (e.g., doubts about faith, feelings of abandonment by a higher power, guilt, or conflicts with religious communities). If these struggles are not addressed, they can worsen symptoms of depression, anxiety, and even increase suicidality (Pargament et al., 2011; McLean Hospital, n.d.; Exline et al., 2014). Which may lead to Lack of Meaning and Purpose, mental illness often strips individuals of their sense of meaning and purpose in life. Spirituality can provide a framework for finding meaning even in suffering, which is vital for recovery (Immunize Nevada, 2024; Ethos Recovery, n.d.). Ignoring this can leave individuals feeling lost and hopeless. Turning to Increased Isolation</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for many, religious or spiritual communities provide crucial social support. If mental health professionals fail to acknowledge or leverage these networks, patients may experience increased isolation, hindering their recovery (Immunize Nevada, 2024). The third problem is </w:t>
      </w:r>
      <w:r w:rsidDel="00000000" w:rsidR="00000000" w:rsidRPr="00000000">
        <w:rPr>
          <w:rFonts w:ascii="Times New Roman" w:cs="Times New Roman" w:eastAsia="Times New Roman" w:hAnsi="Times New Roman"/>
          <w:color w:val="000000"/>
          <w:sz w:val="24"/>
          <w:szCs w:val="24"/>
          <w:rtl w:val="0"/>
        </w:rPr>
        <w:t xml:space="preserve">ethical and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rofessional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hortcomings</w:t>
      </w:r>
      <w:r w:rsidDel="00000000" w:rsidR="00000000" w:rsidRPr="00000000">
        <w:rPr>
          <w:rFonts w:ascii="Times New Roman" w:cs="Times New Roman" w:eastAsia="Times New Roman" w:hAnsi="Times New Roman"/>
          <w:sz w:val="24"/>
          <w:szCs w:val="24"/>
          <w:rtl w:val="0"/>
        </w:rPr>
        <w:t xml:space="preserve">, lack of holistic care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modern healthcare increasingly emphasizes a holistic approach, recognizing the interconnectedness of physical, mental, social, and spiritual well-being. Neglecting the spiritual dimension creates a "hole" in truly holistic care (Chidarkikire, 2012; McLean Hospital, n.d.). This heightens the risk of cultural insensitivity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spiritual beliefs and practices are deeply intertwined with culture. Failing to address a patient's spiritual context can demonstrate cultural insensitivity and undermine trust in the therapeutic relationship. Speaking to the professional competency gaps, many mental health professionals report a lack of training or comfort in addressing spiritual issues (The Confluence Between Spiritual and Mental Health, 2024). This creates a competency gap that hinders their ability to provide comprehensive care. The biggest problem of them all for me being l</w:t>
      </w:r>
      <w:r w:rsidDel="00000000" w:rsidR="00000000" w:rsidRPr="00000000">
        <w:rPr>
          <w:rFonts w:ascii="Times New Roman" w:cs="Times New Roman" w:eastAsia="Times New Roman" w:hAnsi="Times New Roman"/>
          <w:color w:val="000000"/>
          <w:sz w:val="24"/>
          <w:szCs w:val="24"/>
          <w:rtl w:val="0"/>
        </w:rPr>
        <w:t xml:space="preserve">imited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color w:val="000000"/>
          <w:sz w:val="24"/>
          <w:szCs w:val="24"/>
          <w:rtl w:val="0"/>
        </w:rPr>
        <w:t xml:space="preserve">esearch and </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color w:val="000000"/>
          <w:sz w:val="24"/>
          <w:szCs w:val="24"/>
          <w:rtl w:val="0"/>
        </w:rPr>
        <w:t xml:space="preserve">nderstanding</w:t>
      </w:r>
      <w:r w:rsidDel="00000000" w:rsidR="00000000" w:rsidRPr="00000000">
        <w:rPr>
          <w:rFonts w:ascii="Times New Roman" w:cs="Times New Roman" w:eastAsia="Times New Roman" w:hAnsi="Times New Roman"/>
          <w:sz w:val="24"/>
          <w:szCs w:val="24"/>
          <w:rtl w:val="0"/>
        </w:rPr>
        <w:t xml:space="preserve">. Noting an incomplete picture of mental health, if research consistently overlooks the spiritual dimension, our understanding of the aetiology, experience, and recovery from mental illness remains incomplete. This limits the development of more effective, person-centred interventions. Bringing about the failure to identify negative spiritual impacts: While spirituality often has positive impacts, it can also contribute to distress (e.g., through rigid or dogmatic beliefs, spiritual abuse, or misinterpretations of religious teachings). Not investigating this relationship means missing opportunities to identify and address these potentially harmful aspects (Mainspring Recovery, n.d.; Spirituality and mental health, n.d.).</w:t>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neglecting the relationship between mental illness and spiritual well-being can lead to incomplete assessments, ineffective treatments, prolonged suffering, and a failure to provide truly holistic and patient-centred care. Integrating spiritual considerations is increasingly recognized as an essential component of modern mental healthcare.</w:t>
      </w:r>
    </w:p>
    <w:p w:rsidR="00000000" w:rsidDel="00000000" w:rsidP="00000000" w:rsidRDefault="00000000" w:rsidRPr="00000000" w14:paraId="0000006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topic was also dear to me due to my own personal experience of mentalillness. I had a mental  breakdown in school. Leading  to my finding of  faith,purpose and ambition. Hence believe that mental illness and spiritual wellbeing are positively correlated. I was of course careful to not let my own bias cloud the research outcomes. By interpreting data as it is and not influencing the responses to my favour of thinking.</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Harvard psychologist Gordon Allport a persons’ religious orientation may be intrinsic and/or extrinsic.</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highlight w:val="white"/>
        </w:rPr>
      </w:pPr>
      <w:bookmarkStart w:colFirst="0" w:colLast="0" w:name="_zackxogqa5cz" w:id="7"/>
      <w:bookmarkEnd w:id="7"/>
      <w:r w:rsidDel="00000000" w:rsidR="00000000" w:rsidRPr="00000000">
        <w:rPr>
          <w:rFonts w:ascii="Times New Roman" w:cs="Times New Roman" w:eastAsia="Times New Roman" w:hAnsi="Times New Roman"/>
          <w:sz w:val="24"/>
          <w:szCs w:val="24"/>
          <w:rtl w:val="0"/>
        </w:rPr>
        <w:t xml:space="preserve">Extrinsic orientation, Persons with this orientation</w:t>
      </w:r>
      <w:r w:rsidDel="00000000" w:rsidR="00000000" w:rsidRPr="00000000">
        <w:rPr>
          <w:rFonts w:ascii="Times New Roman" w:cs="Times New Roman" w:eastAsia="Times New Roman" w:hAnsi="Times New Roman"/>
          <w:sz w:val="24"/>
          <w:szCs w:val="24"/>
          <w:highlight w:val="white"/>
          <w:rtl w:val="0"/>
        </w:rPr>
        <w:t xml:space="preserve"> are disposed to use religion for their own ends. Many find religion useful in a variety of ways – to provide security and solace, sociability and distraction, status and self-justification. The embraced creed is lightly held or else selectively shaped to fit more primary needs. Persons with this orientation find their master motive in religion. Other needs, strong as they may be, are regarded as of less ultimate significance, and they are, so far as possible, brought in harmony with the religious beliefs and prescriptions. Having embraced a creed, the individual endeavours to internalize it and follow it fully.</w:t>
      </w:r>
    </w:p>
    <w:p w:rsidR="00000000" w:rsidDel="00000000" w:rsidP="00000000" w:rsidRDefault="00000000" w:rsidRPr="00000000" w14:paraId="0000006C">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Usually, the intrinsic orientation is associated with healthier personality and mental status, while the extrinsic orientation is associated with the opposite. Extrinsic religiosity is associated with dogmatism, prejudice, fear of death, and anxiety, it “does a good job of measuring the sort of religion that gives religion a bad name. This very important and consistent finding totally contradicts Ellis, who argued that one way that religiosity sabotaged” mental-health" was a lack of self-interest rather than be primarily self-interested, devout deity-oriented religionists put their hypothesized god(s) first and themselves second – or last. It is exactly this behaviour that has been most consistently associated with better mental-hea</w:t>
      </w:r>
      <w:r w:rsidDel="00000000" w:rsidR="00000000" w:rsidRPr="00000000">
        <w:rPr>
          <w:rFonts w:ascii="Times New Roman" w:cs="Times New Roman" w:eastAsia="Times New Roman" w:hAnsi="Times New Roman"/>
          <w:sz w:val="24"/>
          <w:szCs w:val="24"/>
          <w:rtl w:val="0"/>
        </w:rPr>
        <w:t xml:space="preserve">lth (Allport, G.W.,1967).</w:t>
      </w:r>
    </w:p>
    <w:p w:rsidR="00000000" w:rsidDel="00000000" w:rsidP="00000000" w:rsidRDefault="00000000" w:rsidRPr="00000000" w14:paraId="0000006D">
      <w:pPr>
        <w:pStyle w:val="Heading2"/>
        <w:rPr/>
      </w:pPr>
      <w:bookmarkStart w:colFirst="0" w:colLast="0" w:name="_pw6meywg6ax1" w:id="8"/>
      <w:bookmarkEnd w:id="8"/>
      <w:r w:rsidDel="00000000" w:rsidR="00000000" w:rsidRPr="00000000">
        <w:rPr>
          <w:rtl w:val="0"/>
        </w:rPr>
        <w:t xml:space="preserve">1.5 Purpose of the Research</w:t>
      </w:r>
    </w:p>
    <w:p w:rsidR="00000000" w:rsidDel="00000000" w:rsidP="00000000" w:rsidRDefault="00000000" w:rsidRPr="00000000" w14:paraId="0000006E">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this research is to find any relationship between spiritual wellbeing and mental illness.</w:t>
      </w:r>
    </w:p>
    <w:p w:rsidR="00000000" w:rsidDel="00000000" w:rsidP="00000000" w:rsidRDefault="00000000" w:rsidRPr="00000000" w14:paraId="0000006F">
      <w:pPr>
        <w:pStyle w:val="Heading2"/>
        <w:rPr/>
      </w:pPr>
      <w:bookmarkStart w:colFirst="0" w:colLast="0" w:name="_irbnazrq822j" w:id="9"/>
      <w:bookmarkEnd w:id="9"/>
      <w:r w:rsidDel="00000000" w:rsidR="00000000" w:rsidRPr="00000000">
        <w:rPr>
          <w:rtl w:val="0"/>
        </w:rPr>
        <w:t xml:space="preserve">1.6 General Objective</w:t>
      </w:r>
    </w:p>
    <w:p w:rsidR="00000000" w:rsidDel="00000000" w:rsidP="00000000" w:rsidRDefault="00000000" w:rsidRPr="00000000" w14:paraId="00000070">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to what extent mental illness has a relationship with spiritual wellbeing</w:t>
      </w:r>
    </w:p>
    <w:p w:rsidR="00000000" w:rsidDel="00000000" w:rsidP="00000000" w:rsidRDefault="00000000" w:rsidRPr="00000000" w14:paraId="00000071">
      <w:pPr>
        <w:pStyle w:val="Heading2"/>
        <w:rPr/>
      </w:pPr>
      <w:bookmarkStart w:colFirst="0" w:colLast="0" w:name="_g8epaqqwzu30" w:id="10"/>
      <w:bookmarkEnd w:id="10"/>
      <w:r w:rsidDel="00000000" w:rsidR="00000000" w:rsidRPr="00000000">
        <w:rPr>
          <w:rtl w:val="0"/>
        </w:rPr>
        <w:t xml:space="preserve">1.7 Specific Objectives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Find out if there is a correlation between spiritual wellbeing and mental illness.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Find out whether spiritual well-being can act as a protective factor against mental illness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Find if there is a relationship between psychological interventions and spiritual principles for holistic healing.</w:t>
      </w:r>
    </w:p>
    <w:p w:rsidR="00000000" w:rsidDel="00000000" w:rsidP="00000000" w:rsidRDefault="00000000" w:rsidRPr="00000000" w14:paraId="0000007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Research Questions:</w:t>
      </w:r>
    </w:p>
    <w:p w:rsidR="00000000" w:rsidDel="00000000" w:rsidP="00000000" w:rsidRDefault="00000000" w:rsidRPr="00000000" w14:paraId="00000076">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questions that arise of course ask,</w:t>
      </w:r>
    </w:p>
    <w:p w:rsidR="00000000" w:rsidDel="00000000" w:rsidP="00000000" w:rsidRDefault="00000000" w:rsidRPr="00000000" w14:paraId="00000077">
      <w:pPr>
        <w:numPr>
          <w:ilvl w:val="0"/>
          <w:numId w:val="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mental illness positively or negatively affect spiritual wellbeing?</w:t>
      </w:r>
    </w:p>
    <w:p w:rsidR="00000000" w:rsidDel="00000000" w:rsidP="00000000" w:rsidRDefault="00000000" w:rsidRPr="00000000" w14:paraId="00000078">
      <w:pPr>
        <w:numPr>
          <w:ilvl w:val="0"/>
          <w:numId w:val="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relationship between mental illness and spiritual wellbeing?</w:t>
      </w:r>
    </w:p>
    <w:p w:rsidR="00000000" w:rsidDel="00000000" w:rsidP="00000000" w:rsidRDefault="00000000" w:rsidRPr="00000000" w14:paraId="00000079">
      <w:pPr>
        <w:numPr>
          <w:ilvl w:val="0"/>
          <w:numId w:val="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spiritual wellbeing affect mental illness and to what extent?</w:t>
      </w:r>
    </w:p>
    <w:p w:rsidR="00000000" w:rsidDel="00000000" w:rsidP="00000000" w:rsidRDefault="00000000" w:rsidRPr="00000000" w14:paraId="0000007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spacing w:after="240" w:line="480" w:lineRule="auto"/>
        <w:rPr/>
      </w:pPr>
      <w:bookmarkStart w:colFirst="0" w:colLast="0" w:name="_k2gahlpr34nw" w:id="11"/>
      <w:bookmarkEnd w:id="11"/>
      <w:r w:rsidDel="00000000" w:rsidR="00000000" w:rsidRPr="00000000">
        <w:rPr>
          <w:rtl w:val="0"/>
        </w:rPr>
        <w:t xml:space="preserve">CHAPTER TWO: LITERATURE REVIEW</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mental illness and spirituality is indeed multifaceted, exhibiting both positive and negative influences, and the way they interact can vary greatly from person to person. Here's a breakdown of this complex connection.</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Literature review, extensive research suggests that religious involvement is generally correlated with better mental health outcome</w:t>
      </w:r>
      <w:r w:rsidDel="00000000" w:rsidR="00000000" w:rsidRPr="00000000">
        <w:rPr>
          <w:rFonts w:ascii="Times New Roman" w:cs="Times New Roman" w:eastAsia="Times New Roman" w:hAnsi="Times New Roman"/>
          <w:b w:val="1"/>
          <w:bCs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(Smith et al., 2003). Many spiritual practices, such as prayer, meditation, mindfulness, and engaging with sacred texts, offer effective coping strategies for stress, anxiety, and depression. These practices can promote inner peace, emotional regulation, and resilience. This positive association is often attributed to several mediating factors such as, Positive Religious Coping. When individuals draw strength, comfort, and meaning from their faith in constructive ways such as seeking spiritual support, practicing forgiveness, or reinterpreting adversity through a benevolent spiritual lens they tend to exhibit lower rates of depression and anxiety, along with greater resilience and life satisfaction (Ano &amp; Vasconcelles, 2005; Pargament, 2013). Spirituality often provides individuals with a framework for understanding life's challenges, giving them a sense of purpose and meaning that can be crucial for coping with mental health difficulties. This can foster hope and reduce feelings of despair. Social Support and Community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religious communities frequently offer robust social networks, fostering a sense of belonging, reducing isolation, and providing instrumental and emotional support, all of which are crucial for mental well-being and can mitigate the impact of stressors (Koenig et al., 2012). Meaning and Purpose, religion often provides a framework for understanding life's challenges, instilling hope, and offering a sense of purpose and meaning, which can be highly protective against despair and existential distress (Koenig, 2009). Healthier Lifestyles, many religious traditions promote behaviours like moderation in consumption, discourage substance abuse, and encourage healthy living, indirectly contributing to better mental health (Koenig et al., 2012)). Religious and spiritual communities can provide strong social networks, offering a sense of belonging, acceptance, and practical support during times of distress. This can combat feelings of isolation, which often accompany mental illness.</w:t>
      </w:r>
    </w:p>
    <w:p w:rsidR="00000000" w:rsidDel="00000000" w:rsidP="00000000" w:rsidRDefault="00000000" w:rsidRPr="00000000" w14:paraId="0000007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research has shown that  religion can be negatively correlated with mental health under specific circumstances, often when an individual's religious experience becomes a source of distress or conflict we see negative religious coping, this happens when individuals struggle with their faith, perceive God as punishing or abandoning, or experience internal conflict between their beliefs and life circumstances, this negative religious coping is strongly and consistently associated with heightened levels of depression, anxiety, and poorer overall psychological adjustment (Ano &amp; Vasconcelles, 2005; Pargament, 2013).  Furthermore, we see patterns of Guilt, Shame, and Rigid Beliefs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religious interpretations that foster excessive guilt, shame, fear of punishment, or a highly rigid adherence to doctrines can contribute to significant psychological distress and emotional burden (Pargament, 2013).</w:t>
      </w:r>
    </w:p>
    <w:p w:rsidR="00000000" w:rsidDel="00000000" w:rsidP="00000000" w:rsidRDefault="00000000" w:rsidRPr="00000000" w14:paraId="0000008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Noting that Barrier to Professional Help</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in some cases, religious beliefs or community attitudes may discourage individuals from seeking professional mental health treatment, viewing problems as purely spiritual or moral failings. This can delay necessary intervention and exacerbate mental health conditions (Koenig et al., 2012).</w:t>
      </w:r>
    </w:p>
    <w:p w:rsidR="00000000" w:rsidDel="00000000" w:rsidP="00000000" w:rsidRDefault="00000000" w:rsidRPr="00000000" w14:paraId="0000008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Harmful Religious Environments: Involvement in coercive or abusive religious groups (e.g., cults) can lead to severe psychological harm, including trauma, dependency, and the development of mental health disorders (Koenig, 2009).</w:t>
      </w:r>
    </w:p>
    <w:p w:rsidR="00000000" w:rsidDel="00000000" w:rsidP="00000000" w:rsidRDefault="00000000" w:rsidRPr="00000000" w14:paraId="0000008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the correlation is not merely "positive" or "negative" but rather contingent upon how individuals experience and engage with their faith, highlighting the importance of distinguishing between adaptive and maladaptive forms of religious coping and belief (Pargament, 2013).</w:t>
      </w:r>
    </w:p>
    <w:p w:rsidR="00000000" w:rsidDel="00000000" w:rsidP="00000000" w:rsidRDefault="00000000" w:rsidRPr="00000000" w14:paraId="00000083">
      <w:pPr>
        <w:pStyle w:val="Heading2"/>
        <w:rPr/>
      </w:pPr>
      <w:bookmarkStart w:colFirst="0" w:colLast="0" w:name="_pt9m0s81w85" w:id="12"/>
      <w:bookmarkEnd w:id="12"/>
      <w:r w:rsidDel="00000000" w:rsidR="00000000" w:rsidRPr="00000000">
        <w:rPr>
          <w:rtl w:val="0"/>
        </w:rPr>
        <w:t xml:space="preserve">2.1 Spirituality as a Protective Factor and Resource for Mental Health</w:t>
      </w:r>
    </w:p>
    <w:p w:rsidR="00000000" w:rsidDel="00000000" w:rsidP="00000000" w:rsidRDefault="00000000" w:rsidRPr="00000000" w14:paraId="0000008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substantial body of literature supports the notion that spirituality can serve as a significant protective factor against mental illness and a valuable resource for mental health recovery. Studies consistently indicate that higher levels of spirituality are generally associated with lower levels of psychopathology and increased psychological well-being (EBSCO Research Starters, n.d.).</w:t>
      </w:r>
    </w:p>
    <w:p w:rsidR="00000000" w:rsidDel="00000000" w:rsidP="00000000" w:rsidRDefault="00000000" w:rsidRPr="00000000" w14:paraId="0000008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scholars emphasize the protective and therapeutic roles of spirituality and religion. Koenig (2012, 2018, 2020), a prominent figure in this field, extensively documents the inverse relationship between religiosity/spirituality and various mental health conditions, particularly depression. Braam and Koenig (2019) corroborate this through a systematic review, highlighting the consistent finding of lower depression rates among individuals with higher spiritual or religious engagement in prospective studies. Miller et al. (2012) provide further longitudinal evidence, demonstrating that religiosity can buffer against major depression even in high-risk individuals. The mechanisms underlying these protective effects are multifaceted, often attributed to the social support networks inherent in religious communities, the provision of meaning and purpose, and the encouragement of positive coping strategies (Koenig, King, &amp; Carson, 2012; Pargament &amp; Exline, 2013). One of the primary mechanisms through which spirituality benefits mental health is by providing a sense of meaning and purpose (Pargament, 2011). In the face of suffering or adversity inherent to mental illness, a spiritual framework can offer a transcendent perspective, helping individuals reframe challenges and find hope. This hope is a crucial element of recovery, fostering resilience and motivation (Pargament, 2011; ResearchGate, n.d., "Spirituality and Recovery from Severe Mental Disorders").</w:t>
      </w:r>
    </w:p>
    <w:p w:rsidR="00000000" w:rsidDel="00000000" w:rsidP="00000000" w:rsidRDefault="00000000" w:rsidRPr="00000000" w14:paraId="0000008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Spiritual and religious practices often function as effective coping mechanisms. Activities such as prayer, meditation, mindfulness, and contemplation can aid in stress reduction, emotional regulation, and anxiety management (Pargament, 2011). Systematic reviews have found that faith-based cognitive behavioural therapy (CBT) may be more effective in treating depression and anxiety than control conditions and even standard CBT in some contexts (ResearchGate, n.d., "Relationship Between Spirituality and Mental Health Conditions Among Undergraduate Students").</w:t>
      </w:r>
    </w:p>
    <w:p w:rsidR="00000000" w:rsidDel="00000000" w:rsidP="00000000" w:rsidRDefault="00000000" w:rsidRPr="00000000" w14:paraId="0000008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engagement with religious or spiritual communities provides social support and a sense of belonging, which are vital for buffering against loneliness and isolation—significant risk factors for mental health deterioration (Koenig, 2012). These communities often offer a structured environment for support, shared values, and mutual care, contributing to overall well-being and faster recovery from mental illness (Merrimack Scholar Works, 2025; Royal College of Psychiatrists, n.d., "Ups and Downs of Spirituality in Mental Health").</w:t>
      </w:r>
    </w:p>
    <w:p w:rsidR="00000000" w:rsidDel="00000000" w:rsidP="00000000" w:rsidRDefault="00000000" w:rsidRPr="00000000" w14:paraId="0000008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emotions like gratitude, forgiveness, and compassion, often cultivated through spiritual practices, are also linked to improved mental health outcomes. Research indicates that spiritual well-being can reduce suicidal ideation, depressive symptoms, and hopelessness (CDC Stacks, 2023).</w:t>
      </w:r>
    </w:p>
    <w:p w:rsidR="00000000" w:rsidDel="00000000" w:rsidP="00000000" w:rsidRDefault="00000000" w:rsidRPr="00000000" w14:paraId="00000089">
      <w:pPr>
        <w:pStyle w:val="Heading2"/>
        <w:rPr/>
      </w:pPr>
      <w:bookmarkStart w:colFirst="0" w:colLast="0" w:name="_8gqjaoie015n" w:id="13"/>
      <w:bookmarkEnd w:id="13"/>
      <w:r w:rsidDel="00000000" w:rsidR="00000000" w:rsidRPr="00000000">
        <w:rPr>
          <w:rtl w:val="0"/>
        </w:rPr>
        <w:t xml:space="preserve">2.2 The Double-Edged Sword: Negative Impacts and Spiritual Struggles</w:t>
      </w:r>
    </w:p>
    <w:p w:rsidR="00000000" w:rsidDel="00000000" w:rsidP="00000000" w:rsidRDefault="00000000" w:rsidRPr="00000000" w14:paraId="0000008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often beneficial, the relationship between spirituality and mental illness is not without its complexities and potential downsides. Researchers emphasize that spirituality can be a "double-edged sword," capable of both fostering and impeding mental health (Lomax &amp; Pargament, 2016, as cited in Cambridge University Press, 2019).</w:t>
      </w:r>
    </w:p>
    <w:p w:rsidR="00000000" w:rsidDel="00000000" w:rsidP="00000000" w:rsidRDefault="00000000" w:rsidRPr="00000000" w14:paraId="0000008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Spiritual distress, or "spiritual struggles," can arise when individuals experience conflict or questioning related to their spiritual beliefs, feeling abandoned by a higher power, or grappling with guilt and shame (Pargament, 2011). These struggles have been consistently associated with poorer mental health outcomes, including increased depression, anxiety, and even suicidality (Frontiers in Public Health, 2024; Chaiya sit et al., 2021).</w:t>
      </w:r>
    </w:p>
    <w:p w:rsidR="00000000" w:rsidDel="00000000" w:rsidP="00000000" w:rsidRDefault="00000000" w:rsidRPr="00000000" w14:paraId="0000008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Rigid or dogmatic beliefs can sometimes contribute to anxiety, fear, and self-blame, especially if individuals feel they are failing to meet stringent spiritual expectations (Royal College of Psychiatrists, n.d., "Ups and Downs of Spirituality in Mental Health"). This can manifest as maladaptive coping strategies, where spiritual beliefs exacerbate distress rather than alleviate it (ResearchGate, n.d., "Spirituality and mental health: challenges and opportunities").</w:t>
      </w:r>
    </w:p>
    <w:p w:rsidR="00000000" w:rsidDel="00000000" w:rsidP="00000000" w:rsidRDefault="00000000" w:rsidRPr="00000000" w14:paraId="0000008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concern is the presence of stigma surrounding mental illness within certain religious or spiritual communities. Attributing mental health conditions to sin, lack of faith, or external malevolent forces can deter individuals from seeking professional, evidence-based treatment, leading to delayed intervention and worsened symptoms (Royal College of Psychiatrists, n.d., "Ups and Downs of Spirituality in Mental Health"). This highlights the importance of culturally sensitive approaches that bridge the gap between spiritual and clinical care.</w:t>
      </w:r>
    </w:p>
    <w:p w:rsidR="00000000" w:rsidDel="00000000" w:rsidP="00000000" w:rsidRDefault="00000000" w:rsidRPr="00000000" w14:paraId="0000008E">
      <w:pPr>
        <w:pStyle w:val="Heading2"/>
        <w:rPr/>
      </w:pPr>
      <w:bookmarkStart w:colFirst="0" w:colLast="0" w:name="_6r2ir7wunmgz" w:id="14"/>
      <w:bookmarkEnd w:id="14"/>
      <w:r w:rsidDel="00000000" w:rsidR="00000000" w:rsidRPr="00000000">
        <w:rPr>
          <w:rtl w:val="0"/>
        </w:rPr>
        <w:t xml:space="preserve">2.3 Clinical Implications and Future Directions</w:t>
      </w:r>
    </w:p>
    <w:p w:rsidR="00000000" w:rsidDel="00000000" w:rsidP="00000000" w:rsidRDefault="00000000" w:rsidRPr="00000000" w14:paraId="0000008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growing evidence base underscores the importance of integrating spiritual considerations into mental healthcare. Mental health professionals are increasingly encouraged to conduct spiritual assessments and incorporate a client's spiritual beliefs and practices into treatment plans where appropriate (Pargament, 2011; Royal College of Psychiatrists, n.d., "Ups and Downs of Spirituality in Mental Health"). Approaches like spiritually integrated psychotherapy aim to leverage spiritual resources to enhance coping and recovery (Pargament, 2011). Beyond prevention, spirituality is increasingly recognized for its therapeutic potential in mental health treatment and recovery. Cook (2020) and Tacey (2013) delve into the foundational aspects of this connection, arguing for a more integrated approach to mental health that acknowledges the spiritual dimension. Lucchetti et al. (2014) and Moreira-Almeida and Koenig (2014) provide reviews of evidence and practical guidelines for incorporating spirituality into clinical practice, suggesting that spiritual interventions can enhance treatment outcomes. This is echoed by Plante (2018), who presents various spiritual practices as proven techniques for managing a range of disorders. More recent studies like Taheri et al. (2021) indicate that spirituality can positively influence treatment adherence in patients with mental illnesses, potentially by mitigating the impact of stigma. Furthermore, Van Nieuw Amerongen et al. (2024) explore the intriguing link between spirituality and severe mental illness through the lens of neural networks, suggesting a biological basis for its therapeutic effects.</w:t>
      </w:r>
    </w:p>
    <w:p w:rsidR="00000000" w:rsidDel="00000000" w:rsidP="00000000" w:rsidRDefault="00000000" w:rsidRPr="00000000" w14:paraId="0000009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 is crucial that spiritual interventions complement rather than replace conventional mental health treatments like psychotherapy and pharmacotherapy. Clinicians must also be aware of the potential for spiritual bypassing, where individuals use spiritual practices to avoid confronting underlying psychological issues. Gallardo-Vergara et al. (2022) provide a recent systematic review of the literature from 2017 to 2021, affirming the general positive association but also pointing to areas requiring further research to understand nuanced interactions. Snider and McPhedran (2014) conducted a systematic review specific to Australia, indicating a consistent pattern of positive association between religiosity, spirituality, and mental health outcomes. Leung and Pong (2021) further solidify this by showing a clear connection between spiritual well-being and psychological health among university students.</w:t>
      </w:r>
    </w:p>
    <w:p w:rsidR="00000000" w:rsidDel="00000000" w:rsidP="00000000" w:rsidRDefault="00000000" w:rsidRPr="00000000" w14:paraId="0000009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 needs to continue exploring the nuances of this relationship, including the specific mechanisms through which various spiritual practices influence mental health. Longitudinal studies to establish clearer causal links. Cross-cultural research to understand how spiritual and religious contexts shape the experience of mental illness and well-being globally. Development of culturally and spiritually sensitive interventions that address both positive and negative aspects of spiritual coping.</w:t>
      </w:r>
    </w:p>
    <w:p w:rsidR="00000000" w:rsidDel="00000000" w:rsidP="00000000" w:rsidRDefault="00000000" w:rsidRPr="00000000" w14:paraId="00000092">
      <w:pPr>
        <w:spacing w:after="240" w:before="240" w:line="360" w:lineRule="auto"/>
        <w:jc w:val="both"/>
        <w:rPr>
          <w:rFonts w:ascii="Times New Roman" w:cs="Times New Roman" w:eastAsia="Times New Roman" w:hAnsi="Times New Roman"/>
          <w:sz w:val="24"/>
          <w:szCs w:val="24"/>
        </w:rPr>
      </w:pPr>
      <w:bookmarkStart w:colFirst="0" w:colLast="0" w:name="_wrzj7m2o39i1" w:id="15"/>
      <w:bookmarkEnd w:id="15"/>
      <w:r w:rsidDel="00000000" w:rsidR="00000000" w:rsidRPr="00000000">
        <w:rPr>
          <w:rFonts w:ascii="Times New Roman" w:cs="Times New Roman" w:eastAsia="Times New Roman" w:hAnsi="Times New Roman"/>
          <w:sz w:val="24"/>
          <w:szCs w:val="24"/>
          <w:rtl w:val="0"/>
        </w:rPr>
        <w:t xml:space="preserve">In conclusion, the relationship between mental illness and spiritual well-being is dynamic and complex. While spiritual well-being offers substantial protective factors and resources for coping, meaning-making, and recovery, potential spiritual struggles and negative interpretations can also contribute to distress. Recognizing this intricate interplay is essential for providing holistic, compassionate, and effective mental healthcare. The extant literature strongly supports a significant and largely positive relationship between spiritual well-being and mental health. Spirituality and religiosity frequently serve as vital resources for individuals facing mental health challenges, offering protection, enhancing coping mechanisms, and contributing to better treatment outcomes. The growing recognition of this dynamic underscores the importance of considering the spiritual dimension in both research and clinical practice within the field of mental health.</w:t>
      </w: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1"/>
        <w:rPr/>
      </w:pPr>
      <w:bookmarkStart w:colFirst="0" w:colLast="0" w:name="_jn06pioaffl5" w:id="16"/>
      <w:bookmarkEnd w:id="16"/>
      <w:r w:rsidDel="00000000" w:rsidR="00000000" w:rsidRPr="00000000">
        <w:rPr>
          <w:rtl w:val="0"/>
        </w:rPr>
        <w:t xml:space="preserve">CHAPTER THREE: METHODOLOGY</w:t>
      </w:r>
    </w:p>
    <w:p w:rsidR="00000000" w:rsidDel="00000000" w:rsidP="00000000" w:rsidRDefault="00000000" w:rsidRPr="00000000" w14:paraId="0000009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outlines the research methodology employed to investigate the relationship between spiritual well-being, spiritual struggles and mental health outcomes. It details the research design, participants, sampling procedures, data collection instruments, data analysis techniques, ethical considerations, and measures taken to ensure trustworthiness and rigor.</w:t>
      </w:r>
    </w:p>
    <w:p w:rsidR="00000000" w:rsidDel="00000000" w:rsidP="00000000" w:rsidRDefault="00000000" w:rsidRPr="00000000" w14:paraId="00000095">
      <w:pPr>
        <w:pStyle w:val="Heading2"/>
        <w:rPr/>
      </w:pPr>
      <w:bookmarkStart w:colFirst="0" w:colLast="0" w:name="_us5a1rkmud1g" w:id="17"/>
      <w:bookmarkEnd w:id="17"/>
      <w:r w:rsidDel="00000000" w:rsidR="00000000" w:rsidRPr="00000000">
        <w:rPr>
          <w:rtl w:val="0"/>
        </w:rPr>
        <w:t xml:space="preserve">3.1 Research Design</w:t>
      </w:r>
    </w:p>
    <w:p w:rsidR="00000000" w:rsidDel="00000000" w:rsidP="00000000" w:rsidRDefault="00000000" w:rsidRPr="00000000" w14:paraId="0000009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utilized a mixed methods convergent parallel design. This approach was chosen to provide a comprehensive understanding of the complex interplay between spiritual well-being, spiritual struggles, and mental health by simultaneously collecting and analysing both quantitative and qualitative data. The rationale for this design was to enable triangulation of findings, allowing for the comparison and corroboration of results from different data sources, thereby enhancing the overall validity and depth of insights into their relationship. By integrating both numerical patterns and lived experiences, the study aims to achieve a more holistic understanding than either approach could provide independently.</w:t>
      </w:r>
    </w:p>
    <w:p w:rsidR="00000000" w:rsidDel="00000000" w:rsidP="00000000" w:rsidRDefault="00000000" w:rsidRPr="00000000" w14:paraId="00000097">
      <w:pPr>
        <w:pStyle w:val="Heading2"/>
        <w:rPr/>
      </w:pPr>
      <w:bookmarkStart w:colFirst="0" w:colLast="0" w:name="_wbplbr88g4fo" w:id="18"/>
      <w:bookmarkEnd w:id="18"/>
      <w:r w:rsidDel="00000000" w:rsidR="00000000" w:rsidRPr="00000000">
        <w:rPr>
          <w:rtl w:val="0"/>
        </w:rPr>
        <w:t xml:space="preserve">3.2 Research Participants and Sampling Procedures</w:t>
      </w:r>
    </w:p>
    <w:p w:rsidR="00000000" w:rsidDel="00000000" w:rsidP="00000000" w:rsidRDefault="00000000" w:rsidRPr="00000000" w14:paraId="00000098">
      <w:pPr>
        <w:pStyle w:val="Heading3"/>
        <w:rPr/>
      </w:pPr>
      <w:bookmarkStart w:colFirst="0" w:colLast="0" w:name="_itgo1opf2r48" w:id="19"/>
      <w:bookmarkEnd w:id="19"/>
      <w:r w:rsidDel="00000000" w:rsidR="00000000" w:rsidRPr="00000000">
        <w:rPr>
          <w:rtl w:val="0"/>
        </w:rPr>
        <w:t xml:space="preserve">3.2.1 Target Population</w:t>
      </w:r>
    </w:p>
    <w:p w:rsidR="00000000" w:rsidDel="00000000" w:rsidP="00000000" w:rsidRDefault="00000000" w:rsidRPr="00000000" w14:paraId="00000099">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this study comprised of adults aged 18 years and above residing in Lusaka who are students at the University of Zambia.</w:t>
      </w:r>
      <w:r w:rsidDel="00000000" w:rsidR="00000000" w:rsidRPr="00000000">
        <w:rPr>
          <w:rtl w:val="0"/>
        </w:rPr>
      </w:r>
    </w:p>
    <w:p w:rsidR="00000000" w:rsidDel="00000000" w:rsidP="00000000" w:rsidRDefault="00000000" w:rsidRPr="00000000" w14:paraId="0000009A">
      <w:pPr>
        <w:pStyle w:val="Heading3"/>
        <w:rPr/>
      </w:pPr>
      <w:bookmarkStart w:colFirst="0" w:colLast="0" w:name="_vqdgkmuermmo" w:id="20"/>
      <w:bookmarkEnd w:id="20"/>
      <w:r w:rsidDel="00000000" w:rsidR="00000000" w:rsidRPr="00000000">
        <w:rPr>
          <w:rtl w:val="0"/>
        </w:rPr>
        <w:t xml:space="preserve">3.2.2 Sample Size</w:t>
      </w:r>
    </w:p>
    <w:p w:rsidR="00000000" w:rsidDel="00000000" w:rsidP="00000000" w:rsidRDefault="00000000" w:rsidRPr="00000000" w14:paraId="0000009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Quantitative Phase:</w:t>
      </w:r>
      <w:r w:rsidDel="00000000" w:rsidR="00000000" w:rsidRPr="00000000">
        <w:rPr>
          <w:rFonts w:ascii="Times New Roman" w:cs="Times New Roman" w:eastAsia="Times New Roman" w:hAnsi="Times New Roman"/>
          <w:sz w:val="24"/>
          <w:szCs w:val="24"/>
          <w:rtl w:val="0"/>
        </w:rPr>
        <w:t xml:space="preserve"> A sample size of approximately 157 participants was sought for the quantitative phase. This sample size was determined based on recommendations for survey research aimed at detecting moderate correlations and ensuring sufficient statistical power for regression analyses, given the multi-variable nature of the study. This number also aimed at providing a representative snapshot across different UNZA populace and student criterion.</w:t>
      </w:r>
    </w:p>
    <w:p w:rsidR="00000000" w:rsidDel="00000000" w:rsidP="00000000" w:rsidRDefault="00000000" w:rsidRPr="00000000" w14:paraId="0000009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Qualitative Phase:</w:t>
      </w:r>
      <w:r w:rsidDel="00000000" w:rsidR="00000000" w:rsidRPr="00000000">
        <w:rPr>
          <w:rFonts w:ascii="Times New Roman" w:cs="Times New Roman" w:eastAsia="Times New Roman" w:hAnsi="Times New Roman"/>
          <w:sz w:val="24"/>
          <w:szCs w:val="24"/>
          <w:rtl w:val="0"/>
        </w:rPr>
        <w:t xml:space="preserve"> A smaller, purposive sample of approximately 4 participants was  recruited for the qualitative phase. This number is deemed sufficient to achieve data saturation, allowing for the exploration of diverse perspectives and rich, in-depth experiences related to spiritual well-being, struggles, and their impact on mental health.</w:t>
      </w:r>
    </w:p>
    <w:p w:rsidR="00000000" w:rsidDel="00000000" w:rsidP="00000000" w:rsidRDefault="00000000" w:rsidRPr="00000000" w14:paraId="0000009D">
      <w:pPr>
        <w:pStyle w:val="Heading3"/>
        <w:rPr/>
      </w:pPr>
      <w:bookmarkStart w:colFirst="0" w:colLast="0" w:name="_q74vd7r67fg" w:id="21"/>
      <w:bookmarkEnd w:id="21"/>
      <w:r w:rsidDel="00000000" w:rsidR="00000000" w:rsidRPr="00000000">
        <w:rPr>
          <w:rtl w:val="0"/>
        </w:rPr>
        <w:t xml:space="preserve">3.2.3 Sampling Procedures</w:t>
      </w:r>
    </w:p>
    <w:p w:rsidR="00000000" w:rsidDel="00000000" w:rsidP="00000000" w:rsidRDefault="00000000" w:rsidRPr="00000000" w14:paraId="0000009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Quantitative Phase:</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onvenience sampling approach was employed for the quantitative phase, supplemented by efforts to achieve diversity across denominations. Participants where  recruited through direct contact with students and well explained questionnaire system putting all ethical considerations in perspective. Permission was sought from school authorities to distribute online survey links (via QR codes or direct URLs) to students during classes, , or via  communication channels (e.g., WhatsApp groups, facebook groups).</w:t>
      </w:r>
    </w:p>
    <w:p w:rsidR="00000000" w:rsidDel="00000000" w:rsidP="00000000" w:rsidRDefault="00000000" w:rsidRPr="00000000" w14:paraId="0000009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Qualitative Phase:</w:t>
      </w:r>
      <w:r w:rsidDel="00000000" w:rsidR="00000000" w:rsidRPr="00000000">
        <w:rPr>
          <w:rFonts w:ascii="Times New Roman" w:cs="Times New Roman" w:eastAsia="Times New Roman" w:hAnsi="Times New Roman"/>
          <w:sz w:val="24"/>
          <w:szCs w:val="24"/>
          <w:rtl w:val="0"/>
        </w:rPr>
        <w:t xml:space="preserve"> Purposive sampling was utilized to select participants for the qualitative interviews. From the quantitative survey participants, individuals who expressed willingness to be contacted for a follow-up interview were screened. Participants were selected based on their diverse scores on the spiritual well-being and spiritual struggles measures (e.g., individuals with high spiritual struggles, low spiritual well-being, as well as those with higher well-being, to capture a range of experiences). Maximum variation sampling was applied to ensure diversity in terms of age, gender, marital status, and year of  study.</w:t>
      </w:r>
    </w:p>
    <w:p w:rsidR="00000000" w:rsidDel="00000000" w:rsidP="00000000" w:rsidRDefault="00000000" w:rsidRPr="00000000" w14:paraId="000000A0">
      <w:pPr>
        <w:pStyle w:val="Heading2"/>
        <w:rPr/>
      </w:pPr>
      <w:bookmarkStart w:colFirst="0" w:colLast="0" w:name="_5e5m265fdy4e" w:id="22"/>
      <w:bookmarkEnd w:id="22"/>
      <w:r w:rsidDel="00000000" w:rsidR="00000000" w:rsidRPr="00000000">
        <w:rPr>
          <w:rtl w:val="0"/>
        </w:rPr>
        <w:t xml:space="preserve">3.3 Data Collection Instruments</w:t>
      </w:r>
    </w:p>
    <w:p w:rsidR="00000000" w:rsidDel="00000000" w:rsidP="00000000" w:rsidRDefault="00000000" w:rsidRPr="00000000" w14:paraId="000000A1">
      <w:pPr>
        <w:pStyle w:val="Heading3"/>
        <w:rPr/>
      </w:pPr>
      <w:bookmarkStart w:colFirst="0" w:colLast="0" w:name="_752anmnlgelj" w:id="23"/>
      <w:bookmarkEnd w:id="23"/>
      <w:r w:rsidDel="00000000" w:rsidR="00000000" w:rsidRPr="00000000">
        <w:rPr>
          <w:rtl w:val="0"/>
        </w:rPr>
        <w:t xml:space="preserve">3.3.1 Quantitative Data Collection</w:t>
      </w:r>
    </w:p>
    <w:p w:rsidR="00000000" w:rsidDel="00000000" w:rsidP="00000000" w:rsidRDefault="00000000" w:rsidRPr="00000000" w14:paraId="000000A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data was collected using a self-administered online questionnaire hosted on a secure platform (e.g., Qualtrics or Google Forms). The questionnaire  comprised of validated scales to measure key constructs:</w:t>
      </w:r>
    </w:p>
    <w:p w:rsidR="00000000" w:rsidDel="00000000" w:rsidP="00000000" w:rsidRDefault="00000000" w:rsidRPr="00000000" w14:paraId="000000A3">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Mental Health Outcomes (Depression and Anxiety):</w:t>
      </w:r>
    </w:p>
    <w:p w:rsidR="00000000" w:rsidDel="00000000" w:rsidP="00000000" w:rsidRDefault="00000000" w:rsidRPr="00000000" w14:paraId="000000A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Patient Health Questionnaire-9 (PHQ-9):</w:t>
      </w:r>
      <w:r w:rsidDel="00000000" w:rsidR="00000000" w:rsidRPr="00000000">
        <w:rPr>
          <w:rFonts w:ascii="Times New Roman" w:cs="Times New Roman" w:eastAsia="Times New Roman" w:hAnsi="Times New Roman"/>
          <w:sz w:val="24"/>
          <w:szCs w:val="24"/>
          <w:rtl w:val="0"/>
        </w:rPr>
        <w:t xml:space="preserve"> A 9-item scale widely used to screen for and measure the severity of depression (Kroenke et al., 2001).</w:t>
      </w:r>
    </w:p>
    <w:p w:rsidR="00000000" w:rsidDel="00000000" w:rsidP="00000000" w:rsidRDefault="00000000" w:rsidRPr="00000000" w14:paraId="000000A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Generalized Anxiety Disorder 7-item scale (GAD-7):</w:t>
      </w:r>
      <w:r w:rsidDel="00000000" w:rsidR="00000000" w:rsidRPr="00000000">
        <w:rPr>
          <w:rFonts w:ascii="Times New Roman" w:cs="Times New Roman" w:eastAsia="Times New Roman" w:hAnsi="Times New Roman"/>
          <w:sz w:val="24"/>
          <w:szCs w:val="24"/>
          <w:rtl w:val="0"/>
        </w:rPr>
        <w:t xml:space="preserve"> A 7-item scale for screening and measuring the severity of generalized anxiety disorder (Spitzer et al., 2006).</w:t>
      </w:r>
    </w:p>
    <w:p w:rsidR="00000000" w:rsidDel="00000000" w:rsidP="00000000" w:rsidRDefault="00000000" w:rsidRPr="00000000" w14:paraId="000000A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Spiritual Well-being: </w:t>
      </w:r>
      <w:r w:rsidDel="00000000" w:rsidR="00000000" w:rsidRPr="00000000">
        <w:rPr>
          <w:rFonts w:ascii="Times New Roman" w:cs="Times New Roman" w:eastAsia="Times New Roman" w:hAnsi="Times New Roman"/>
          <w:sz w:val="24"/>
          <w:szCs w:val="24"/>
          <w:rtl w:val="0"/>
        </w:rPr>
        <w:t xml:space="preserve">Spiritual Well-Being Scale (SWBS): A 10-item scale that measures two dimensions: Religious Well-Being (RWB) and Existential Well-Being (EWB) (Paloutzian &amp; Ellison, 1982).</w:t>
      </w:r>
    </w:p>
    <w:p w:rsidR="00000000" w:rsidDel="00000000" w:rsidP="00000000" w:rsidRDefault="00000000" w:rsidRPr="00000000" w14:paraId="000000A7">
      <w:pPr>
        <w:spacing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8">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Spiritual Struggles:</w:t>
      </w:r>
    </w:p>
    <w:p w:rsidR="00000000" w:rsidDel="00000000" w:rsidP="00000000" w:rsidRDefault="00000000" w:rsidRPr="00000000" w14:paraId="000000A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and Spiritual Struggles Scale (RSS)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14-item measure that assesses different types of spiritual struggles, including divine, demonic, interpersonal, moral, doubt, and ultimate meaning struggles (Pargament et al., 2011).</w:t>
      </w:r>
    </w:p>
    <w:p w:rsidR="00000000" w:rsidDel="00000000" w:rsidP="00000000" w:rsidRDefault="00000000" w:rsidRPr="00000000" w14:paraId="000000A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Demographic Information:</w:t>
      </w:r>
      <w:r w:rsidDel="00000000" w:rsidR="00000000" w:rsidRPr="00000000">
        <w:rPr>
          <w:rFonts w:ascii="Times New Roman" w:cs="Times New Roman" w:eastAsia="Times New Roman" w:hAnsi="Times New Roman"/>
          <w:sz w:val="24"/>
          <w:szCs w:val="24"/>
          <w:rtl w:val="0"/>
        </w:rPr>
        <w:t xml:space="preserve"> Standard demographic questions  included age, gender, education level, marital status and religion.</w:t>
      </w:r>
    </w:p>
    <w:p w:rsidR="00000000" w:rsidDel="00000000" w:rsidP="00000000" w:rsidRDefault="00000000" w:rsidRPr="00000000" w14:paraId="000000A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selection of the Patient Health Questionnaire-9 (PHQ-9), Generalized Anxiety Disorder 7-item scale (GAD-7), Spiritual Well-Being Scale (SWBS), and Religious and Spiritual Struggles Scale (RSS) is driven by their established psychometric properties, widespread use in research and clinical settings, and their direct relevance to the constructs of mental health outcomes (depression and anxiety) and spiritual well-being, including spiritual struggles.</w:t>
      </w:r>
    </w:p>
    <w:p w:rsidR="00000000" w:rsidDel="00000000" w:rsidP="00000000" w:rsidRDefault="00000000" w:rsidRPr="00000000" w14:paraId="000000A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Health Questionnaire-9 (PHQ-9) is an excellent choice for assessing depression due to its brevity and ease of administration. As a 9-item scale, it is quick and simple for both participants to complete and researchers to administer and score, making it highly efficient for research studies and clinical screening (Kroenke et al., 2001). Second, its strong psychometric properties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has been rigorously validated in diverse populations and settings, demonstrating high reliability and validity for screening, diagnosing, and measuring the severity of depression (Kroenke et al., 2001; Spitzer et al., 2008). Its ability to track changes in depressive symptoms over time is also a significant advantage. Thirdly, its clinical utility. The PHQ-9's items align directly with the diagnostic criteria for major depressive disorder from the DSM-IV (and subsequent DSM-5), making it highly relevant for clinical interpretation and identifying individuals who may require further assessment or intervention (Kroenke et al., 2001). Last but not least its widespread acceptance, its broad adoption in primary care, mental health research, and epidemiological studies lends credibility and allows for comparison of findings across different studies.</w:t>
      </w:r>
    </w:p>
    <w:p w:rsidR="00000000" w:rsidDel="00000000" w:rsidP="00000000" w:rsidRDefault="00000000" w:rsidRPr="00000000" w14:paraId="000000A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scored by 9 items. Each item is rated on a 4-point Likert scale, 0 = "Not at all", 1 = "Several days”, 2 = "More than half the days", 3 = "Nearly every day”. To get a total score,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simply add up the numerical values for the responses to all 9 items. The total score can range from 0 to 27. Interpretation of Total Score (Depression Severity), 0-4</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Minimal depression, 5-9: Mild depression, 10-14: Moderate depression, 15-19</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Moderately severe depression, 20-27: Severe depression. A score of 10 or greater is often used as a reasonable cut-off for identifying probable cases of major depressive disorder, indicating the need for further diagnostic assessment. Higher scores indicate greater severity of depressive symptoms.</w:t>
      </w:r>
    </w:p>
    <w:p w:rsidR="00000000" w:rsidDel="00000000" w:rsidP="00000000" w:rsidRDefault="00000000" w:rsidRPr="00000000" w14:paraId="000000A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GAD-7 is a robust choice for assessing generalized anxiety due to its efficiency and practicality. Similar to the PHQ-9, its 7-item format allows for rapid administration and scoring, which is ideal for both clinical screening and research data collection (Spitzer et al., 2006). Secondly, its diagnostic and severity measurement capabilities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GAD-7 is effective not only for screening for generalized anxiety disorder but also for assessing its severity, providing a continuous measure of anxiety symptoms (Spitzer et al., 2006). Thirdly, it has Proven validity and reliability, research has consistently shown the GAD-7 to have excellent reliability and validity across various populations, including diverse age groups and cultural backgrounds (Spitzer et al., 2006; Kroenke et al., 2007). Last but not least its complementary to PHQ-9, Often used in conjunction with the PHQ-9, these two scales provide a comprehensive assessment of common mental health issues (depression and anxiety) with a streamlined approach.</w:t>
      </w:r>
    </w:p>
    <w:p w:rsidR="00000000" w:rsidDel="00000000" w:rsidP="00000000" w:rsidRDefault="00000000" w:rsidRPr="00000000" w14:paraId="000000A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scored by 7 items. Each item is rated on a 4-point Likert scale, similar to the PHQ-9. 0 = "Not at all", 1 = "Several days", 2 = "More than half the days", 3 = "Nearly every day". To get a total score, sum the numerical values for the responses to all 7 items. The total score can range from 0 to 21. Interpretations are 0-4: Minimal anxiety, 5-9</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Mild anxiety, 10-14: Moderate anxiety, 15-21</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Severe anxiety.  A score of 10 or greater is generally considered a reasonable cut-off for identifying probable cases of generalized anxiety disorder, warranting further clinical evaluation. The Spiritual Well-Being Scale (SWBS-10) has emerged as a concise yet robust instrument for assessing spiritual health across diverse populations. Its two-dimensional structure—comprising Religious Well-Being (RWB) and Existential Well-Being (EWB)—offers a nuanced understanding of how individuals relate to both transcendent beliefs and personal meaning in life (Paloutzian &amp; Ellison, 1982).</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study, the SWBS-10 demonstrated high internal consistency, with Cronbach’s alpha values exceeding .85 for the total scale, aligning with previous findings (Bufford, Paloutzian, &amp; Ellison, 1991). This reliability underscores the scale’s effectiveness in capturing stable spiritual traits, even with a reduced item count. The 5-point Likert format allows for a broad range of responses, enhancing sensitivity to individual differences in spiritual orientation.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Moreover, the SWBS-10’s brevity makes it particularly suitable for clinical and research settings where time constraints are a concern. Despite its shortened format, it retains strong psychometric properties comparable to the original 20-item version (Ledbetter et al., 1991). The scale’s ability to differentiate between religious and existential dimensions is especially valuable in multicultural contexts, where spirituality may be expressed in secular or non-theistic terms.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Given its reliability and conceptual clarity, the SWBS-10 is a valuable tool for exploring the intersection between spiritual wellbeing and mental health. Future research may benefit from longitudinal applications of the scale to assess changes in spiritual wellbeing over time, particularly in response to therapeutic interventions or life transitions. Due to time management the shorter version was used. The SWBS-10, is a 10-item short form of the Spiritual Well-Being Scale that yields two subscale scores (Religious Well-Being and Existential Well-Being) and a Total Spiritual Well-Being score. Sum the items from each subscale to create subscale scores and add those to get the Total score.</w:t>
      </w:r>
    </w:p>
    <w:p w:rsidR="00000000" w:rsidDel="00000000" w:rsidP="00000000" w:rsidRDefault="00000000" w:rsidRPr="00000000" w14:paraId="000000B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Response scale:</w:t>
      </w:r>
      <w:r w:rsidDel="00000000" w:rsidR="00000000" w:rsidRPr="00000000">
        <w:rPr>
          <w:rFonts w:ascii="Times New Roman" w:cs="Times New Roman" w:eastAsia="Times New Roman" w:hAnsi="Times New Roman"/>
          <w:sz w:val="24"/>
          <w:szCs w:val="24"/>
          <w:rtl w:val="0"/>
        </w:rPr>
        <w:t xml:space="preserve"> Items are typically rated on a 5-point Likert scale (1 = strongly agree to 5= strongly disagree) or the specific response options given in your version of the instrument</w:t>
      </w:r>
    </w:p>
    <w:p w:rsidR="00000000" w:rsidDel="00000000" w:rsidP="00000000" w:rsidRDefault="00000000" w:rsidRPr="00000000" w14:paraId="000000B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Subscales:</w:t>
      </w:r>
      <w:r w:rsidDel="00000000" w:rsidR="00000000" w:rsidRPr="00000000">
        <w:rPr>
          <w:rFonts w:ascii="Times New Roman" w:cs="Times New Roman" w:eastAsia="Times New Roman" w:hAnsi="Times New Roman"/>
          <w:sz w:val="24"/>
          <w:szCs w:val="24"/>
          <w:rtl w:val="0"/>
        </w:rPr>
        <w:t xml:space="preserve"> There are two 5-item subscales: Religious Well-Being (RWB) and Existential Well-Being (EWB)</w:t>
      </w:r>
    </w:p>
    <w:p w:rsidR="00000000" w:rsidDel="00000000" w:rsidP="00000000" w:rsidRDefault="00000000" w:rsidRPr="00000000" w14:paraId="000000B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Religious Well-Being (RWB):</w:t>
      </w:r>
      <w:r w:rsidDel="00000000" w:rsidR="00000000" w:rsidRPr="00000000">
        <w:rPr>
          <w:rFonts w:ascii="Times New Roman" w:cs="Times New Roman" w:eastAsia="Times New Roman" w:hAnsi="Times New Roman"/>
          <w:sz w:val="24"/>
          <w:szCs w:val="24"/>
          <w:rtl w:val="0"/>
        </w:rPr>
        <w:t xml:space="preserve"> This subscale measures the individual's perceived well-being in relation to God or a higher power. It typically consists of the odd-numbered items (1, 3, 5, 7, 9, 11, 13, 15, 17, 19). </w:t>
      </w:r>
      <w:r w:rsidDel="00000000" w:rsidR="00000000" w:rsidRPr="00000000">
        <w:rPr>
          <w:rFonts w:ascii="Times New Roman" w:cs="Times New Roman" w:eastAsia="Times New Roman" w:hAnsi="Times New Roman"/>
          <w:b w:val="1"/>
          <w:bCs w:val="1"/>
          <w:sz w:val="24"/>
          <w:szCs w:val="24"/>
          <w:rtl w:val="0"/>
        </w:rPr>
        <w:t xml:space="preserve">Existential Well-Being (EWB):</w:t>
      </w:r>
      <w:r w:rsidDel="00000000" w:rsidR="00000000" w:rsidRPr="00000000">
        <w:rPr>
          <w:rFonts w:ascii="Times New Roman" w:cs="Times New Roman" w:eastAsia="Times New Roman" w:hAnsi="Times New Roman"/>
          <w:sz w:val="24"/>
          <w:szCs w:val="24"/>
          <w:rtl w:val="0"/>
        </w:rPr>
        <w:t xml:space="preserve"> This subscale measures an individual's sense of purpose, meaning, and satisfaction in life. It typically consists of the even-numbered items (2, 4, 6, 8, 10, 12, 14, 16, 18, 20). Reverse-Scored Items, Crucially, some items on the SWBS are negatively worded and must be reverse-scored before summing. The original manual specifies which items are reverse-scored to ensure that higher scores consistently reflect higher well-being.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Sum the scores for the respective items within each subscale (RWB and EWB) after accounting for reverse-scoring. Each subscale score will range from 10 to 60. Sum the scores from the RWB and EWB subscales. The total SWBS score will range from 20 to 120.  Higher scores on the total SWBS and its subscales indicate higher levels of spiritual well-being</w:t>
      </w:r>
    </w:p>
    <w:p w:rsidR="00000000" w:rsidDel="00000000" w:rsidP="00000000" w:rsidRDefault="00000000" w:rsidRPr="00000000" w14:paraId="000000B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RSS is a critical inclusion for a comprehensive study of spiritual well-being and mental health because of its, Focus on Negative Aspects of Spirituality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while many scales measure positive aspects of spirituality, the RSS specifically addresses "spiritual struggles," which are often linked to negative mental health outcomes (Pargament et al., 2011). These struggles can involve doubts, conflicts with religious communities, perceived divine punishment, or existential crises. Including this scale provides a balanced perspective, acknowledging that spirituality is not always a source of comfort but can also be a source of distress. Secondly, its Multidimensionality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RSS assesses various distinct types of spiritual struggles, including divine, demonic, interpersonal, moral, doubt, and ultimate meaning struggles (Pargament et al., 2011). This allows for a more granular understanding of the specific forms of spiritual distress individuals might experience and how these relate to different mental health symptoms. Thirdly, empirical link to mental health</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research has consistently demonstrated that spiritual struggles are associated with increased psychological distress, depression, anxiety, and poorer health outcomes (Pargament et al., 2011; Exline et al., 2014). By including the RSS, researchers can investigate whether and how different types of spiritual struggles mediate or moderate the relationship between spiritual well-being and mental illness.</w:t>
      </w:r>
    </w:p>
    <w:p w:rsidR="00000000" w:rsidDel="00000000" w:rsidP="00000000" w:rsidRDefault="00000000" w:rsidRPr="00000000" w14:paraId="000000B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version is 26 items, shorter versions include the  RSS-14 and  RSS-5, exist and are scored similarly for their respective items. Typically, a 4-point Likert scale.   1 = "A little", 2 = "Moderately", 3 = "Quite a bit", 4 = "A great deal" (or similar phrasing). The RSS assesses several distinct types of spiritual struggles like Divine, Demonic, Interpersonal, Moral, Doubt, Ultimate Meaning. Scoring typically involves summing the scores for the items within each specific subscale (type of struggle). A total RSS score can also be calculated by summing all 14 (or fewer, for shorter versions) items. Higher scores on the RSS (either total or specific subscales) indicate greater intensity or frequency of religious and spiritual struggles. Since the scale measures "struggles," higher scores generally suggest more negative spiritual experiences.</w:t>
      </w:r>
    </w:p>
    <w:p w:rsidR="00000000" w:rsidDel="00000000" w:rsidP="00000000" w:rsidRDefault="00000000" w:rsidRPr="00000000" w14:paraId="000000B8">
      <w:pPr>
        <w:pStyle w:val="Heading3"/>
        <w:rPr/>
      </w:pPr>
      <w:bookmarkStart w:colFirst="0" w:colLast="0" w:name="_7z5wzn7q2i6q" w:id="24"/>
      <w:bookmarkEnd w:id="24"/>
      <w:r w:rsidDel="00000000" w:rsidR="00000000" w:rsidRPr="00000000">
        <w:rPr>
          <w:rtl w:val="0"/>
        </w:rPr>
        <w:t xml:space="preserve">3.3.2 Qualitative Data Collection</w:t>
      </w:r>
    </w:p>
    <w:p w:rsidR="00000000" w:rsidDel="00000000" w:rsidP="00000000" w:rsidRDefault="00000000" w:rsidRPr="00000000" w14:paraId="000000B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data was collected through semi-structured individual interviews.</w:t>
      </w:r>
    </w:p>
    <w:p w:rsidR="00000000" w:rsidDel="00000000" w:rsidP="00000000" w:rsidRDefault="00000000" w:rsidRPr="00000000" w14:paraId="000000B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In-depth interviews, lasted approximately 60-90 minutes, conducted with selected participants. An interview guide was developed with open-ended questions designed to explore participants lived experiences, perceptions of spiritual well-being and struggles, the impact of these on their mental health, coping mechanisms, and their experiences with faith-based support within their church communities.</w:t>
      </w:r>
    </w:p>
    <w:p w:rsidR="00000000" w:rsidDel="00000000" w:rsidP="00000000" w:rsidRDefault="00000000" w:rsidRPr="00000000" w14:paraId="000000B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Interviews were conducted in a private, confidential setting like a quiet room at a church, a community centre, or via secure online video conferencing platform if preferred by the participant and feasible, minimizing distractions. </w:t>
      </w:r>
    </w:p>
    <w:p w:rsidR="00000000" w:rsidDel="00000000" w:rsidP="00000000" w:rsidRDefault="00000000" w:rsidRPr="00000000" w14:paraId="000000BC">
      <w:pPr>
        <w:pStyle w:val="Heading2"/>
        <w:rPr/>
      </w:pPr>
      <w:bookmarkStart w:colFirst="0" w:colLast="0" w:name="_6h8yxcfkkz5u" w:id="25"/>
      <w:bookmarkEnd w:id="25"/>
      <w:r w:rsidDel="00000000" w:rsidR="00000000" w:rsidRPr="00000000">
        <w:rPr>
          <w:rtl w:val="0"/>
        </w:rPr>
        <w:t xml:space="preserve">3.4 Data Analysis</w:t>
      </w:r>
    </w:p>
    <w:p w:rsidR="00000000" w:rsidDel="00000000" w:rsidP="00000000" w:rsidRDefault="00000000" w:rsidRPr="00000000" w14:paraId="000000BD">
      <w:pPr>
        <w:pStyle w:val="Heading3"/>
        <w:rPr/>
      </w:pPr>
      <w:bookmarkStart w:colFirst="0" w:colLast="0" w:name="_8roysaxfvxvd" w:id="26"/>
      <w:bookmarkEnd w:id="26"/>
      <w:r w:rsidDel="00000000" w:rsidR="00000000" w:rsidRPr="00000000">
        <w:rPr>
          <w:rtl w:val="0"/>
        </w:rPr>
        <w:t xml:space="preserve">3.4.1 Quantitative Data Analysis</w:t>
      </w:r>
    </w:p>
    <w:p w:rsidR="00000000" w:rsidDel="00000000" w:rsidP="00000000" w:rsidRDefault="00000000" w:rsidRPr="00000000" w14:paraId="000000B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data was analyzed using IBM SPSS Statistics version 26.</w:t>
      </w:r>
    </w:p>
    <w:p w:rsidR="00000000" w:rsidDel="00000000" w:rsidP="00000000" w:rsidRDefault="00000000" w:rsidRPr="00000000" w14:paraId="000000B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Descriptive Statistics:</w:t>
      </w:r>
      <w:r w:rsidDel="00000000" w:rsidR="00000000" w:rsidRPr="00000000">
        <w:rPr>
          <w:rFonts w:ascii="Times New Roman" w:cs="Times New Roman" w:eastAsia="Times New Roman" w:hAnsi="Times New Roman"/>
          <w:sz w:val="24"/>
          <w:szCs w:val="24"/>
          <w:rtl w:val="0"/>
        </w:rPr>
        <w:t xml:space="preserve"> Frequencies, percentages, means, and standard deviations were used to summarize participant demographics and the distribution of scores on all quantitative scales.</w:t>
      </w:r>
    </w:p>
    <w:p w:rsidR="00000000" w:rsidDel="00000000" w:rsidP="00000000" w:rsidRDefault="00000000" w:rsidRPr="00000000" w14:paraId="000000C0">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Inferential Statistics:</w:t>
      </w:r>
    </w:p>
    <w:p w:rsidR="00000000" w:rsidDel="00000000" w:rsidP="00000000" w:rsidRDefault="00000000" w:rsidRPr="00000000" w14:paraId="000000C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Correlation Analyses:</w:t>
      </w:r>
      <w:r w:rsidDel="00000000" w:rsidR="00000000" w:rsidRPr="00000000">
        <w:rPr>
          <w:rFonts w:ascii="Times New Roman" w:cs="Times New Roman" w:eastAsia="Times New Roman" w:hAnsi="Times New Roman"/>
          <w:sz w:val="24"/>
          <w:szCs w:val="24"/>
          <w:rtl w:val="0"/>
        </w:rPr>
        <w:t xml:space="preserve"> Pearson's product-moment correlation coefficients was calculated to examine the bivariate relationships between spiritual well-being, spiritual struggles, and mental health outcomes (depression and anxiety).</w:t>
      </w:r>
    </w:p>
    <w:p w:rsidR="00000000" w:rsidDel="00000000" w:rsidP="00000000" w:rsidRDefault="00000000" w:rsidRPr="00000000" w14:paraId="000000C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Multiple Regression Analysis:</w:t>
      </w:r>
      <w:r w:rsidDel="00000000" w:rsidR="00000000" w:rsidRPr="00000000">
        <w:rPr>
          <w:rFonts w:ascii="Times New Roman" w:cs="Times New Roman" w:eastAsia="Times New Roman" w:hAnsi="Times New Roman"/>
          <w:sz w:val="24"/>
          <w:szCs w:val="24"/>
          <w:rtl w:val="0"/>
        </w:rPr>
        <w:t xml:space="preserve"> Hierarchical multiple regression analysis was conducted to identify the unique contributions of spiritual well-being and different types of spiritual struggles in predicting depression and anxiety, while controlling for relevant demographic variables.</w:t>
      </w:r>
    </w:p>
    <w:p w:rsidR="00000000" w:rsidDel="00000000" w:rsidP="00000000" w:rsidRDefault="00000000" w:rsidRPr="00000000" w14:paraId="000000C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significance was set at p&lt;.05.</w:t>
      </w:r>
    </w:p>
    <w:p w:rsidR="00000000" w:rsidDel="00000000" w:rsidP="00000000" w:rsidRDefault="00000000" w:rsidRPr="00000000" w14:paraId="000000C4">
      <w:pPr>
        <w:pStyle w:val="Heading3"/>
        <w:numPr>
          <w:ilvl w:val="2"/>
          <w:numId w:val="4"/>
        </w:numPr>
        <w:ind w:left="720" w:hanging="720"/>
        <w:rPr/>
      </w:pPr>
      <w:bookmarkStart w:colFirst="0" w:colLast="0" w:name="_iohsumo5r4w" w:id="27"/>
      <w:bookmarkEnd w:id="27"/>
      <w:r w:rsidDel="00000000" w:rsidR="00000000" w:rsidRPr="00000000">
        <w:rPr>
          <w:rtl w:val="0"/>
        </w:rPr>
        <w:t xml:space="preserve">Qualitative Data Analysis</w:t>
      </w:r>
    </w:p>
    <w:p w:rsidR="00000000" w:rsidDel="00000000" w:rsidP="00000000" w:rsidRDefault="00000000" w:rsidRPr="00000000" w14:paraId="000000C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data was analysed using Thematic Analysis following the six-phase approach outlined by Braun and Clarke (2006). Familiarization with the data this is repeatedly reading and actively listening to interview transcripts to gain an overall understanding. First. Generating initial codes</w:t>
      </w:r>
      <w:r w:rsidDel="00000000" w:rsidR="00000000" w:rsidRPr="00000000">
        <w:rPr>
          <w:rFonts w:ascii="Times New Roman" w:cs="Times New Roman" w:eastAsia="Times New Roman" w:hAnsi="Times New Roman"/>
          <w:b w:val="1"/>
          <w:bCs w:val="1"/>
          <w:sz w:val="24"/>
          <w:szCs w:val="24"/>
          <w:rtl w:val="0"/>
        </w:rPr>
        <w:t xml:space="preserve"> by </w:t>
      </w:r>
      <w:r w:rsidDel="00000000" w:rsidR="00000000" w:rsidRPr="00000000">
        <w:rPr>
          <w:rFonts w:ascii="Times New Roman" w:cs="Times New Roman" w:eastAsia="Times New Roman" w:hAnsi="Times New Roman"/>
          <w:sz w:val="24"/>
          <w:szCs w:val="24"/>
          <w:rtl w:val="0"/>
        </w:rPr>
        <w:t xml:space="preserve">identifying interesting features across the entire dataset and coding them systematically. Secondly by,</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searching for themes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Collating codes into potential overarching themes. Thirdly. Reviewing themes ,refining themes to ensure they are coherent, distinct, and accurately reflect the coded extracts. Fourth by defining and naming themes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Developing clear definitions and evocative names for each theme, explaining its essence and relationship to the overall data. And lastly Producing the report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Selecting compelling verbatim quotes to illustrate each theme and constructing a coherent narrative that addresses the research question.</w:t>
      </w:r>
    </w:p>
    <w:p w:rsidR="00000000" w:rsidDel="00000000" w:rsidP="00000000" w:rsidRDefault="00000000" w:rsidRPr="00000000" w14:paraId="000000C7">
      <w:pPr>
        <w:pStyle w:val="Heading3"/>
        <w:rPr/>
      </w:pPr>
      <w:bookmarkStart w:colFirst="0" w:colLast="0" w:name="_x6f2l0gfjqz6" w:id="28"/>
      <w:bookmarkEnd w:id="28"/>
      <w:r w:rsidDel="00000000" w:rsidR="00000000" w:rsidRPr="00000000">
        <w:rPr>
          <w:rtl w:val="0"/>
        </w:rPr>
        <w:t xml:space="preserve">Mixed Methods Data Integration</w:t>
      </w:r>
    </w:p>
    <w:p w:rsidR="00000000" w:rsidDel="00000000" w:rsidP="00000000" w:rsidRDefault="00000000" w:rsidRPr="00000000" w14:paraId="000000C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quantitative and qualitative data occurred at the interpretation and discussion stages of the study, characteristic of a convergent parallel design.</w:t>
      </w:r>
    </w:p>
    <w:p w:rsidR="00000000" w:rsidDel="00000000" w:rsidP="00000000" w:rsidRDefault="00000000" w:rsidRPr="00000000" w14:paraId="000000C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separate quantitative and qualitative analyses was completed and findings were brought together.</w:t>
      </w:r>
    </w:p>
    <w:p w:rsidR="00000000" w:rsidDel="00000000" w:rsidP="00000000" w:rsidRDefault="00000000" w:rsidRPr="00000000" w14:paraId="000000C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Triangulation:</w:t>
      </w:r>
      <w:r w:rsidDel="00000000" w:rsidR="00000000" w:rsidRPr="00000000">
        <w:rPr>
          <w:rFonts w:ascii="Times New Roman" w:cs="Times New Roman" w:eastAsia="Times New Roman" w:hAnsi="Times New Roman"/>
          <w:sz w:val="24"/>
          <w:szCs w:val="24"/>
          <w:rtl w:val="0"/>
        </w:rPr>
        <w:t xml:space="preserve"> The quantitative findings like significant correlations between spiritual struggles and depression were compared with the qualitative findings like participant narratives describing how their spiritual doubts contributed to feelings of hopelessness.</w:t>
      </w:r>
    </w:p>
    <w:p w:rsidR="00000000" w:rsidDel="00000000" w:rsidP="00000000" w:rsidRDefault="00000000" w:rsidRPr="00000000" w14:paraId="000000C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focuses on identifying areas of convergence instances where both datasets support similar conclusions, divergence instances where results might appear contradictory, prompting deeper exploration, and complementarity instances where one dataset expands or explains the other, providing richer context.</w:t>
      </w:r>
    </w:p>
    <w:p w:rsidR="00000000" w:rsidDel="00000000" w:rsidP="00000000" w:rsidRDefault="00000000" w:rsidRPr="00000000" w14:paraId="000000C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side-by-side comparison and synthesis lead to a more nuanced and comprehensive understanding of the relationship between spiritual well-being, spiritual struggles, and mental health, allowing for stronger conclusions to be drawn than from either method alone.</w:t>
      </w:r>
    </w:p>
    <w:p w:rsidR="00000000" w:rsidDel="00000000" w:rsidP="00000000" w:rsidRDefault="00000000" w:rsidRPr="00000000" w14:paraId="000000CD">
      <w:pPr>
        <w:pStyle w:val="Heading2"/>
        <w:rPr/>
      </w:pPr>
      <w:bookmarkStart w:colFirst="0" w:colLast="0" w:name="_e8c361e2fv1x" w:id="29"/>
      <w:bookmarkEnd w:id="29"/>
      <w:r w:rsidDel="00000000" w:rsidR="00000000" w:rsidRPr="00000000">
        <w:rPr>
          <w:rtl w:val="0"/>
        </w:rPr>
        <w:t xml:space="preserve">Ethical Considerations</w:t>
      </w:r>
    </w:p>
    <w:p w:rsidR="00000000" w:rsidDel="00000000" w:rsidP="00000000" w:rsidRDefault="00000000" w:rsidRPr="00000000" w14:paraId="000000C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from the University of Zambia, Psychology Department. All participants were fully informed of the study's purpose, procedures, potential risks (e.g., emotional discomfort from discussing sensitive topics), and benefits (e.g., contribution to understanding, potential for personal reflection) through a detailed informed consent button option. Key ethical principles were strictly adhered to:</w:t>
      </w:r>
    </w:p>
    <w:p w:rsidR="00000000" w:rsidDel="00000000" w:rsidP="00000000" w:rsidRDefault="00000000" w:rsidRPr="00000000" w14:paraId="000000C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Voluntary Participation</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Participation was entirely voluntary, and participants had the right to decline participation or withdraw at any point without penalty or prejudice.</w:t>
      </w:r>
    </w:p>
    <w:p w:rsidR="00000000" w:rsidDel="00000000" w:rsidP="00000000" w:rsidRDefault="00000000" w:rsidRPr="00000000" w14:paraId="000000D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Confidentiality and Anonymity:</w:t>
      </w:r>
      <w:r w:rsidDel="00000000" w:rsidR="00000000" w:rsidRPr="00000000">
        <w:rPr>
          <w:rFonts w:ascii="Times New Roman" w:cs="Times New Roman" w:eastAsia="Times New Roman" w:hAnsi="Times New Roman"/>
          <w:sz w:val="24"/>
          <w:szCs w:val="24"/>
          <w:rtl w:val="0"/>
        </w:rPr>
        <w:t xml:space="preserve"> All data collected was treated with strict confidentiality. Quantitative data was anonymised by removing all direct identifiers. Qualitative interview data was anonymised by assigning unique pseudonyms, and any potentially identifying details was omitted from transcripts and reports.</w:t>
      </w:r>
    </w:p>
    <w:p w:rsidR="00000000" w:rsidDel="00000000" w:rsidP="00000000" w:rsidRDefault="00000000" w:rsidRPr="00000000" w14:paraId="000000D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Security:</w:t>
      </w:r>
      <w:r w:rsidDel="00000000" w:rsidR="00000000" w:rsidRPr="00000000">
        <w:rPr>
          <w:rFonts w:ascii="Times New Roman" w:cs="Times New Roman" w:eastAsia="Times New Roman" w:hAnsi="Times New Roman"/>
          <w:sz w:val="24"/>
          <w:szCs w:val="24"/>
          <w:rtl w:val="0"/>
        </w:rPr>
        <w:t xml:space="preserve"> All collected data (transcripts, survey responses, audio recordings) was stored securely on password-protected institutional servers or in locked physical cabinets accessible only to the researcher.</w:t>
      </w:r>
    </w:p>
    <w:p w:rsidR="00000000" w:rsidDel="00000000" w:rsidP="00000000" w:rsidRDefault="00000000" w:rsidRPr="00000000" w14:paraId="000000D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Minimizing Harm and Referral:</w:t>
      </w:r>
      <w:r w:rsidDel="00000000" w:rsidR="00000000" w:rsidRPr="00000000">
        <w:rPr>
          <w:rFonts w:ascii="Times New Roman" w:cs="Times New Roman" w:eastAsia="Times New Roman" w:hAnsi="Times New Roman"/>
          <w:sz w:val="24"/>
          <w:szCs w:val="24"/>
          <w:rtl w:val="0"/>
        </w:rPr>
        <w:t xml:space="preserve"> Participants were informed that discussing sensitive topics might evoke emotional distress. In such instances, they were given the option to pause or stop the interview/survey. Professional counselling services and Christian counselling options in unza, was provided to all participants as a referral pathway, regardless of their direct participation in the study.</w:t>
      </w:r>
    </w:p>
    <w:p w:rsidR="00000000" w:rsidDel="00000000" w:rsidP="00000000" w:rsidRDefault="00000000" w:rsidRPr="00000000" w14:paraId="000000D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Researcher Reflexivity:</w:t>
      </w:r>
      <w:r w:rsidDel="00000000" w:rsidR="00000000" w:rsidRPr="00000000">
        <w:rPr>
          <w:rFonts w:ascii="Times New Roman" w:cs="Times New Roman" w:eastAsia="Times New Roman" w:hAnsi="Times New Roman"/>
          <w:sz w:val="24"/>
          <w:szCs w:val="24"/>
          <w:rtl w:val="0"/>
        </w:rPr>
        <w:t xml:space="preserve"> The principal researcher maintained a reflexive journal throughout the qualitative data collection and analysis process to acknowledge and bracket personal biases or perspectives related to faith, mental health, and the research topic.</w:t>
      </w:r>
    </w:p>
    <w:p w:rsidR="00000000" w:rsidDel="00000000" w:rsidP="00000000" w:rsidRDefault="00000000" w:rsidRPr="00000000" w14:paraId="000000D4">
      <w:pPr>
        <w:pStyle w:val="Heading2"/>
        <w:rPr/>
      </w:pPr>
      <w:bookmarkStart w:colFirst="0" w:colLast="0" w:name="_6es5iwh0i1pg" w:id="30"/>
      <w:bookmarkEnd w:id="30"/>
      <w:r w:rsidDel="00000000" w:rsidR="00000000" w:rsidRPr="00000000">
        <w:rPr>
          <w:rtl w:val="0"/>
        </w:rPr>
        <w:t xml:space="preserve">Trustworthiness and Rigor</w:t>
      </w:r>
    </w:p>
    <w:p w:rsidR="00000000" w:rsidDel="00000000" w:rsidP="00000000" w:rsidRDefault="00000000" w:rsidRPr="00000000" w14:paraId="000000D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the trustworthiness of the qualitative findings and the overall rigor of this mixed-methods study:</w:t>
      </w:r>
    </w:p>
    <w:p w:rsidR="00000000" w:rsidDel="00000000" w:rsidP="00000000" w:rsidRDefault="00000000" w:rsidRPr="00000000" w14:paraId="000000D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Credibility (Qualitative): Was enhanced through member checking, where a subset of interview participants were invited to review their interview transcripts and/or preliminary themes to ensure accuracy and resonance with their experiences. Thick description was employed in reporting findings to allow readers to understand the context.</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Transferability (Qualitative): Was supported by providing a detailed description of the research context and participant characteristics, enabling readers to assess the applicability of the findings to other similar settings or populations.</w:t>
      </w:r>
    </w:p>
    <w:p w:rsidR="00000000" w:rsidDel="00000000" w:rsidP="00000000" w:rsidRDefault="00000000" w:rsidRPr="00000000" w14:paraId="000000D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Dependability (Qualitative): Was ensured through maintaining a clear audit trail of all research decisions, from data collection to analysis, to demonstrate consistency and transparency.</w:t>
      </w:r>
    </w:p>
    <w:p w:rsidR="00000000" w:rsidDel="00000000" w:rsidP="00000000" w:rsidRDefault="00000000" w:rsidRPr="00000000" w14:paraId="000000D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Confirmability (Qualitative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Was addressed by maintaining a reflexive journal and ensuring that interpretations are clearly grounded in the participants' raw data.</w:t>
      </w:r>
    </w:p>
    <w:p w:rsidR="00000000" w:rsidDel="00000000" w:rsidP="00000000" w:rsidRDefault="00000000" w:rsidRPr="00000000" w14:paraId="000000D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and Validity (Quantitative): Was addressed through the use of pre-validated and psychometrically sound scales (PHQ-9, GAD-7, SWBS, RSS) with established reliability and validity in diverse populations. Internal consistency (Cronbach's alpha) was reported for all scales in the current sample.</w:t>
      </w:r>
    </w:p>
    <w:p w:rsidR="00000000" w:rsidDel="00000000" w:rsidP="00000000" w:rsidRDefault="00000000" w:rsidRPr="00000000" w14:paraId="000000DC">
      <w:pPr>
        <w:spacing w:after="240" w:before="240" w:line="360" w:lineRule="auto"/>
        <w:jc w:val="both"/>
        <w:rPr>
          <w:rFonts w:ascii="Times New Roman" w:cs="Times New Roman" w:eastAsia="Times New Roman" w:hAnsi="Times New Roman"/>
          <w:sz w:val="24"/>
          <w:szCs w:val="24"/>
        </w:rPr>
        <w:sectPr>
          <w:footerReference r:id="rId10" w:type="default"/>
          <w:footerReference r:id="rId11" w:type="first"/>
          <w:type w:val="nextPage"/>
          <w:pgSz w:h="16838" w:w="11906"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Mixed Methods Integration (Overall Rigor): The convergent parallel design, with its explicit integration at the interpretation stage, enhances the overall rigor by allowing for triangulation of findings, thereby strengthening the validity and comprehensiveness of the conclusions drawn from both quantitative and qualitative data</w:t>
      </w:r>
    </w:p>
    <w:p w:rsidR="00000000" w:rsidDel="00000000" w:rsidP="00000000" w:rsidRDefault="00000000" w:rsidRPr="00000000" w14:paraId="000000DD">
      <w:pPr>
        <w:pStyle w:val="Heading1"/>
        <w:rPr>
          <w:b w:val="0"/>
          <w:bCs w:val="0"/>
        </w:rPr>
      </w:pPr>
      <w:bookmarkStart w:colFirst="0" w:colLast="0" w:name="_vemepsj823t4" w:id="31"/>
      <w:bookmarkEnd w:id="31"/>
      <w:r w:rsidDel="00000000" w:rsidR="00000000" w:rsidRPr="00000000">
        <w:rPr>
          <w:rFonts w:ascii="Times New Roman" w:cs="Times New Roman" w:eastAsia="Times New Roman" w:hAnsi="Times New Roman"/>
          <w:b w:val="1"/>
          <w:bCs w:val="1"/>
          <w:sz w:val="24"/>
          <w:szCs w:val="24"/>
          <w:rtl w:val="0"/>
        </w:rPr>
        <w:t xml:space="preserve">CHAPTER FOUR: RESULTS</w:t>
      </w:r>
      <w:r w:rsidDel="00000000" w:rsidR="00000000" w:rsidRPr="00000000">
        <w:rPr>
          <w:rtl w:val="0"/>
        </w:rPr>
      </w:r>
    </w:p>
    <w:p w:rsidR="00000000" w:rsidDel="00000000" w:rsidP="00000000" w:rsidRDefault="00000000" w:rsidRPr="00000000" w14:paraId="000000D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consistency of the study instruments was acceptable to excellent with Cronbach’s alpha coefficients as follows SWBS-10(a=.860), RSS-14(a=.834),PHQ-9(a=.877)), and GAD-7(a=.891)</w:t>
      </w:r>
    </w:p>
    <w:p w:rsidR="00000000" w:rsidDel="00000000" w:rsidP="00000000" w:rsidRDefault="00000000" w:rsidRPr="00000000" w14:paraId="000000DF">
      <w:pPr>
        <w:pStyle w:val="Heading2"/>
        <w:rPr/>
      </w:pPr>
      <w:bookmarkStart w:colFirst="0" w:colLast="0" w:name="_dgy2u124nj3o" w:id="32"/>
      <w:bookmarkEnd w:id="32"/>
      <w:r w:rsidDel="00000000" w:rsidR="00000000" w:rsidRPr="00000000">
        <w:rPr>
          <w:rtl w:val="0"/>
        </w:rPr>
        <w:t xml:space="preserve">4.1 DESCRIPTIVE STATISTICS SUMMARY AND QUOTES FROM THE QUALITATIVE QUESTIONNAIRE.</w:t>
      </w:r>
    </w:p>
    <w:p w:rsidR="00000000" w:rsidDel="00000000" w:rsidP="00000000" w:rsidRDefault="00000000" w:rsidRPr="00000000" w14:paraId="000000E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I SEE SPIRITUAL WELLBEING AS BEING MORALLY UPRIGHT WITH GOD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AM ALRIGHT EVEN WHEN STRUGLING CAUSE HE ALWAYS CARES”</w:t>
      </w:r>
    </w:p>
    <w:p w:rsidR="00000000" w:rsidDel="00000000" w:rsidP="00000000" w:rsidRDefault="00000000" w:rsidRPr="00000000" w14:paraId="000000E2">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“PRAYER IS THE KEY”</w:t>
      </w:r>
    </w:p>
    <w:p w:rsidR="00000000" w:rsidDel="00000000" w:rsidP="00000000" w:rsidRDefault="00000000" w:rsidRPr="00000000" w14:paraId="000000E3">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“GOD IS SEPARATE FROM SPIRITUALITY AND SPIRITUAL WLLBEING SEPARATE FROM MENTAL HEALTH”</w:t>
      </w:r>
    </w:p>
    <w:p w:rsidR="00000000" w:rsidDel="00000000" w:rsidP="00000000" w:rsidRDefault="00000000" w:rsidRPr="00000000" w14:paraId="000000E4">
      <w:pPr>
        <w:pStyle w:val="Heading2"/>
        <w:rPr/>
      </w:pPr>
      <w:bookmarkStart w:colFirst="0" w:colLast="0" w:name="_h4lr7ioiu27o" w:id="33"/>
      <w:bookmarkEnd w:id="33"/>
      <w:r w:rsidDel="00000000" w:rsidR="00000000" w:rsidRPr="00000000">
        <w:rPr>
          <w:rtl w:val="0"/>
        </w:rPr>
        <w:t xml:space="preserve">4.2 DEMOGRAPHIC DATA</w:t>
      </w:r>
    </w:p>
    <w:p w:rsidR="00000000" w:rsidDel="00000000" w:rsidP="00000000" w:rsidRDefault="00000000" w:rsidRPr="00000000" w14:paraId="000000E5">
      <w:pPr>
        <w:spacing w:line="480" w:lineRule="auto"/>
        <w:rPr>
          <w:rFonts w:ascii="Times New Roman" w:cs="Times New Roman" w:eastAsia="Times New Roman" w:hAnsi="Times New Roman"/>
          <w:b w:val="1"/>
          <w:bCs w:val="1"/>
          <w:sz w:val="24"/>
          <w:szCs w:val="24"/>
        </w:rPr>
      </w:pPr>
      <w:r w:rsidDel="00000000" w:rsidR="00000000" w:rsidRPr="00000000">
        <w:rPr/>
        <w:drawing>
          <wp:inline distB="0" distT="0" distL="0" distR="0">
            <wp:extent cx="5488673" cy="3765522"/>
            <wp:effectExtent b="0" l="0" r="0" t="0"/>
            <wp:docPr descr="IMG_256" id="3" name="image3.png"/>
            <a:graphic>
              <a:graphicData uri="http://schemas.openxmlformats.org/drawingml/2006/picture">
                <pic:pic>
                  <pic:nvPicPr>
                    <pic:cNvPr descr="IMG_256" id="0" name="image3.png"/>
                    <pic:cNvPicPr preferRelativeResize="0"/>
                  </pic:nvPicPr>
                  <pic:blipFill>
                    <a:blip r:embed="rId12"/>
                    <a:srcRect b="0" l="0" r="0" t="0"/>
                    <a:stretch>
                      <a:fillRect/>
                    </a:stretch>
                  </pic:blipFill>
                  <pic:spPr>
                    <a:xfrm>
                      <a:off x="0" y="0"/>
                      <a:ext cx="5488673" cy="3765522"/>
                    </a:xfrm>
                    <a:prstGeom prst="rect"/>
                    <a:ln/>
                  </pic:spPr>
                </pic:pic>
              </a:graphicData>
            </a:graphic>
          </wp:inline>
        </w:drawing>
      </w:r>
      <w:r w:rsidDel="00000000" w:rsidR="00000000" w:rsidRPr="00000000">
        <w:rPr>
          <w:rtl w:val="0"/>
        </w:rPr>
      </w:r>
    </w:p>
    <w:tbl>
      <w:tblPr>
        <w:tblStyle w:val="Table1"/>
        <w:tblW w:w="9653.0" w:type="dxa"/>
        <w:jc w:val="left"/>
        <w:tblInd w:w="96.0" w:type="dxa"/>
        <w:tblLayout w:type="fixed"/>
        <w:tblLook w:val="0400"/>
      </w:tblPr>
      <w:tblGrid>
        <w:gridCol w:w="9653"/>
        <w:tblGridChange w:id="0">
          <w:tblGrid>
            <w:gridCol w:w="9653"/>
          </w:tblGrid>
        </w:tblGridChange>
      </w:tblGrid>
      <w:tr>
        <w:trPr>
          <w:cantSplit w:val="0"/>
          <w:trHeight w:val="468" w:hRule="atLeast"/>
          <w:tblHeader w:val="0"/>
        </w:trPr>
        <w:tc>
          <w:tcPr>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Dominant Age Range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majority of respondents were between 18 and 23 years old(80.2%), indicating a youthful population, most students are early-career individuals.</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Mid-20s Representation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Only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fall in the 24–26 bracket, suggesting fewer participants in mid-career or postgraduate stages.</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Older Respondents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Just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 older than 26, showing minimal engagement from older demographics.</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096000" cy="4410075"/>
                  <wp:effectExtent b="0" l="0" r="0" t="0"/>
                  <wp:docPr descr="IMG_256" id="2" name="image2.png"/>
                  <a:graphic>
                    <a:graphicData uri="http://schemas.openxmlformats.org/drawingml/2006/picture">
                      <pic:pic>
                        <pic:nvPicPr>
                          <pic:cNvPr descr="IMG_256" id="0" name="image2.png"/>
                          <pic:cNvPicPr preferRelativeResize="0"/>
                        </pic:nvPicPr>
                        <pic:blipFill>
                          <a:blip r:embed="rId13"/>
                          <a:srcRect b="0" l="0" r="0" t="0"/>
                          <a:stretch>
                            <a:fillRect/>
                          </a:stretch>
                        </pic:blipFill>
                        <pic:spPr>
                          <a:xfrm>
                            <a:off x="0" y="0"/>
                            <a:ext cx="6096000" cy="4410075"/>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pacing w:line="480" w:lineRule="auto"/>
              <w:rPr>
                <w:rFonts w:ascii="Times New Roman" w:cs="Times New Roman" w:eastAsia="Times New Roman" w:hAnsi="Times New Roman"/>
                <w:b w:val="1"/>
                <w:bCs w:val="1"/>
                <w:sz w:val="24"/>
                <w:szCs w:val="24"/>
              </w:rPr>
            </w:pPr>
            <w:r w:rsidDel="00000000" w:rsidR="00000000" w:rsidRPr="00000000">
              <w:rPr>
                <w:rtl w:val="0"/>
              </w:rPr>
              <w:t xml:space="preserve">This chart gives a quick visual snapshot of gender representation in the dataset. The majority identify as female, with males forming a significant portion, and a small group opting not to disclose.</w:t>
            </w:r>
            <w:r w:rsidDel="00000000" w:rsidR="00000000" w:rsidRPr="00000000">
              <w:rPr>
                <w:rtl w:val="0"/>
              </w:rPr>
            </w:r>
          </w:p>
          <w:tbl>
            <w:tblPr>
              <w:tblStyle w:val="Table2"/>
              <w:tblW w:w="3954.0" w:type="dxa"/>
              <w:jc w:val="left"/>
              <w:tblLayout w:type="fixed"/>
              <w:tblLook w:val="0400"/>
            </w:tblPr>
            <w:tblGrid>
              <w:gridCol w:w="3954"/>
              <w:tblGridChange w:id="0">
                <w:tblGrid>
                  <w:gridCol w:w="3954"/>
                </w:tblGrid>
              </w:tblGridChange>
            </w:tblGrid>
            <w:tr>
              <w:trPr>
                <w:cantSplit w:val="0"/>
                <w:tblHeader w:val="0"/>
              </w:trPr>
              <w:tc>
                <w:tcP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3"/>
                    <w:tblW w:w="3864.0000000000005" w:type="dxa"/>
                    <w:jc w:val="left"/>
                    <w:tblLayout w:type="fixed"/>
                    <w:tblLook w:val="0400"/>
                  </w:tblPr>
                  <w:tblGrid>
                    <w:gridCol w:w="1848"/>
                    <w:gridCol w:w="1154"/>
                    <w:gridCol w:w="862"/>
                    <w:tblGridChange w:id="0">
                      <w:tblGrid>
                        <w:gridCol w:w="1848"/>
                        <w:gridCol w:w="1154"/>
                        <w:gridCol w:w="862"/>
                      </w:tblGrid>
                    </w:tblGridChange>
                  </w:tblGrid>
                  <w:tr>
                    <w:trPr>
                      <w:cantSplit w:val="0"/>
                      <w:tblHeader w:val="1"/>
                    </w:trPr>
                    <w:tc>
                      <w:tcPr>
                        <w:tcBorders>
                          <w:top w:color="000000" w:space="0" w:sz="4" w:val="single"/>
                          <w:bottom w:color="000000" w:space="0" w:sz="4" w:val="single"/>
                        </w:tcBorders>
                        <w:vAlign w:val="center"/>
                      </w:tcPr>
                      <w:p w:rsidR="00000000" w:rsidDel="00000000" w:rsidP="00000000" w:rsidRDefault="00000000" w:rsidRPr="00000000" w14:paraId="000000EC">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Marital Status</w:t>
                        </w:r>
                      </w:p>
                    </w:tc>
                    <w:tc>
                      <w:tcPr>
                        <w:tcBorders>
                          <w:top w:color="000000" w:space="0" w:sz="4" w:val="single"/>
                          <w:bottom w:color="000000" w:space="0" w:sz="4" w:val="single"/>
                        </w:tcBorders>
                        <w:vAlign w:val="center"/>
                      </w:tcPr>
                      <w:p w:rsidR="00000000" w:rsidDel="00000000" w:rsidP="00000000" w:rsidRDefault="00000000" w:rsidRPr="00000000" w14:paraId="000000ED">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Frequency</w:t>
                        </w:r>
                      </w:p>
                    </w:tc>
                    <w:tc>
                      <w:tcPr>
                        <w:tcBorders>
                          <w:top w:color="000000" w:space="0" w:sz="4" w:val="single"/>
                          <w:bottom w:color="000000" w:space="0" w:sz="4" w:val="single"/>
                        </w:tcBorders>
                        <w:vAlign w:val="center"/>
                      </w:tcPr>
                      <w:p w:rsidR="00000000" w:rsidDel="00000000" w:rsidP="00000000" w:rsidRDefault="00000000" w:rsidRPr="00000000" w14:paraId="000000EE">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w:t>
                        </w:r>
                      </w:p>
                    </w:tc>
                  </w:tr>
                  <w:tr>
                    <w:trPr>
                      <w:cantSplit w:val="0"/>
                      <w:tblHeader w:val="0"/>
                    </w:trPr>
                    <w:tc>
                      <w:tcPr>
                        <w:vAlign w:val="center"/>
                      </w:tcPr>
                      <w:p w:rsidR="00000000" w:rsidDel="00000000" w:rsidP="00000000" w:rsidRDefault="00000000" w:rsidRPr="00000000" w14:paraId="000000E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Other/Unspecified</w:t>
                        </w:r>
                      </w:p>
                    </w:tc>
                    <w:tc>
                      <w:tcPr>
                        <w:vAlign w:val="center"/>
                      </w:tcPr>
                      <w:p w:rsidR="00000000" w:rsidDel="00000000" w:rsidP="00000000" w:rsidRDefault="00000000" w:rsidRPr="00000000" w14:paraId="000000F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vAlign w:val="center"/>
                      </w:tcPr>
                      <w:p w:rsidR="00000000" w:rsidDel="00000000" w:rsidP="00000000" w:rsidRDefault="00000000" w:rsidRPr="00000000" w14:paraId="000000F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w:t>
                        </w:r>
                      </w:p>
                    </w:tc>
                  </w:tr>
                  <w:tr>
                    <w:trPr>
                      <w:cantSplit w:val="0"/>
                      <w:tblHeader w:val="0"/>
                    </w:trPr>
                    <w:tc>
                      <w:tcPr>
                        <w:vAlign w:val="center"/>
                      </w:tcPr>
                      <w:p w:rsidR="00000000" w:rsidDel="00000000" w:rsidP="00000000" w:rsidRDefault="00000000" w:rsidRPr="00000000" w14:paraId="000000F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vAlign w:val="center"/>
                      </w:tcPr>
                      <w:p w:rsidR="00000000" w:rsidDel="00000000" w:rsidP="00000000" w:rsidRDefault="00000000" w:rsidRPr="00000000" w14:paraId="000000F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F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blHeader w:val="0"/>
                    </w:trPr>
                    <w:tc>
                      <w:tcPr>
                        <w:vAlign w:val="center"/>
                      </w:tcPr>
                      <w:p w:rsidR="00000000" w:rsidDel="00000000" w:rsidP="00000000" w:rsidRDefault="00000000" w:rsidRPr="00000000" w14:paraId="000000F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vAlign w:val="center"/>
                      </w:tcPr>
                      <w:p w:rsidR="00000000" w:rsidDel="00000000" w:rsidP="00000000" w:rsidRDefault="00000000" w:rsidRPr="00000000" w14:paraId="000000F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F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r>
                    <w:trPr>
                      <w:cantSplit w:val="0"/>
                      <w:tblHeader w:val="0"/>
                    </w:trPr>
                    <w:tc>
                      <w:tcPr>
                        <w:tcBorders>
                          <w:bottom w:color="000000" w:space="0" w:sz="4" w:val="single"/>
                        </w:tcBorders>
                        <w:vAlign w:val="center"/>
                      </w:tcPr>
                      <w:p w:rsidR="00000000" w:rsidDel="00000000" w:rsidP="00000000" w:rsidRDefault="00000000" w:rsidRPr="00000000" w14:paraId="000000F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tc>
                    <w:tc>
                      <w:tcPr>
                        <w:tcBorders>
                          <w:bottom w:color="000000" w:space="0" w:sz="4" w:val="single"/>
                        </w:tcBorders>
                        <w:vAlign w:val="center"/>
                      </w:tcPr>
                      <w:p w:rsidR="00000000" w:rsidDel="00000000" w:rsidP="00000000" w:rsidRDefault="00000000" w:rsidRPr="00000000" w14:paraId="000000F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tcBorders>
                        <w:vAlign w:val="center"/>
                      </w:tcPr>
                      <w:p w:rsidR="00000000" w:rsidDel="00000000" w:rsidP="00000000" w:rsidRDefault="00000000" w:rsidRPr="00000000" w14:paraId="000000F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bl>
                <w:p w:rsidR="00000000" w:rsidDel="00000000" w:rsidP="00000000" w:rsidRDefault="00000000" w:rsidRPr="00000000" w14:paraId="000000FB">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vast majority of respondents did not specify their marital status or fall into a general ‘Other’ category. Only 5.1% of respondents reported being single, married, or divorced.</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716464" cy="5416535"/>
                  <wp:effectExtent b="0" l="0" r="0" t="0"/>
                  <wp:docPr descr="IMG_256" id="4" name="image4.png"/>
                  <a:graphic>
                    <a:graphicData uri="http://schemas.openxmlformats.org/drawingml/2006/picture">
                      <pic:pic>
                        <pic:nvPicPr>
                          <pic:cNvPr descr="IMG_256" id="0" name="image4.png"/>
                          <pic:cNvPicPr preferRelativeResize="0"/>
                        </pic:nvPicPr>
                        <pic:blipFill>
                          <a:blip r:embed="rId14"/>
                          <a:srcRect b="0" l="0" r="0" t="0"/>
                          <a:stretch>
                            <a:fillRect/>
                          </a:stretch>
                        </pic:blipFill>
                        <pic:spPr>
                          <a:xfrm>
                            <a:off x="0" y="0"/>
                            <a:ext cx="5716464" cy="5416535"/>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80" w:line="48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116 respondents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73.9%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25 respondents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15.9%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80" w:before="0" w:line="48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Maybe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16 respondents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chart shows that nearly three-quarters of respondents identify as Christian, while a smaller portion either do not or are unsure.</w:t>
            </w:r>
          </w:p>
          <w:p w:rsidR="00000000" w:rsidDel="00000000" w:rsidP="00000000" w:rsidRDefault="00000000" w:rsidRPr="00000000" w14:paraId="00000102">
            <w:pPr>
              <w:pStyle w:val="Heading2"/>
              <w:rPr/>
            </w:pPr>
            <w:bookmarkStart w:colFirst="0" w:colLast="0" w:name="_cy0hzjhrkde1" w:id="34"/>
            <w:bookmarkEnd w:id="34"/>
            <w:r w:rsidDel="00000000" w:rsidR="00000000" w:rsidRPr="00000000">
              <w:rPr>
                <w:rtl w:val="0"/>
              </w:rPr>
              <w:t xml:space="preserve">4.3 DESCRIPTIVE STATISTICS</w:t>
            </w:r>
          </w:p>
          <w:tbl>
            <w:tblPr>
              <w:tblStyle w:val="Table4"/>
              <w:tblW w:w="7419.0" w:type="dxa"/>
              <w:jc w:val="left"/>
              <w:tblInd w:w="108.0" w:type="dxa"/>
              <w:tblLayout w:type="fixed"/>
              <w:tblLook w:val="0400"/>
            </w:tblPr>
            <w:tblGrid>
              <w:gridCol w:w="1773"/>
              <w:gridCol w:w="929"/>
              <w:gridCol w:w="1147"/>
              <w:gridCol w:w="1187"/>
              <w:gridCol w:w="1003"/>
              <w:gridCol w:w="1380"/>
              <w:tblGridChange w:id="0">
                <w:tblGrid>
                  <w:gridCol w:w="1773"/>
                  <w:gridCol w:w="929"/>
                  <w:gridCol w:w="1147"/>
                  <w:gridCol w:w="1187"/>
                  <w:gridCol w:w="1003"/>
                  <w:gridCol w:w="1380"/>
                </w:tblGrid>
              </w:tblGridChange>
            </w:tblGrid>
            <w:tr>
              <w:trPr>
                <w:cantSplit w:val="1"/>
                <w:tblHeader w:val="0"/>
              </w:trPr>
              <w:tc>
                <w:tcPr>
                  <w:gridSpan w:val="6"/>
                  <w:shd w:fill="ffffff" w:val="clear"/>
                  <w:vAlign w:val="center"/>
                </w:tcPr>
                <w:p w:rsidR="00000000" w:rsidDel="00000000" w:rsidP="00000000" w:rsidRDefault="00000000" w:rsidRPr="00000000" w14:paraId="00000103">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tl w:val="0"/>
                    </w:rPr>
                  </w:r>
                </w:p>
              </w:tc>
            </w:tr>
            <w:tr>
              <w:trPr>
                <w:cantSplit w:val="1"/>
                <w:tblHeader w:val="0"/>
              </w:trPr>
              <w:tc>
                <w:tcPr>
                  <w:shd w:fill="ffffff" w:val="clear"/>
                  <w:vAlign w:val="bottom"/>
                </w:tcPr>
                <w:p w:rsidR="00000000" w:rsidDel="00000000" w:rsidP="00000000" w:rsidRDefault="00000000" w:rsidRPr="00000000" w14:paraId="00000109">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0A">
                  <w:pPr>
                    <w:spacing w:line="48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w:t>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0B">
                  <w:pPr>
                    <w:spacing w:line="48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Minimum</w:t>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0C">
                  <w:pPr>
                    <w:spacing w:line="48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Maximum</w:t>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0D">
                  <w:pPr>
                    <w:spacing w:line="48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w:t>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0E">
                  <w:pPr>
                    <w:spacing w:line="48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Std. Deviation</w:t>
                  </w:r>
                </w:p>
              </w:tc>
            </w:tr>
            <w:tr>
              <w:trPr>
                <w:cantSplit w:val="1"/>
                <w:tblHeader w:val="0"/>
              </w:trPr>
              <w:tc>
                <w:tcPr/>
                <w:p w:rsidR="00000000" w:rsidDel="00000000" w:rsidP="00000000" w:rsidRDefault="00000000" w:rsidRPr="00000000" w14:paraId="0000010F">
                  <w:pPr>
                    <w:spacing w:line="48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swbs</w:t>
                  </w:r>
                </w:p>
              </w:tc>
              <w:tc>
                <w:tcPr>
                  <w:shd w:fill="ffffff" w:val="clear"/>
                </w:tcPr>
                <w:p w:rsidR="00000000" w:rsidDel="00000000" w:rsidP="00000000" w:rsidRDefault="00000000" w:rsidRPr="00000000" w14:paraId="00000110">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shd w:fill="ffffff" w:val="clear"/>
                </w:tcPr>
                <w:p w:rsidR="00000000" w:rsidDel="00000000" w:rsidP="00000000" w:rsidRDefault="00000000" w:rsidRPr="00000000" w14:paraId="00000111">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11.00</w:t>
                  </w:r>
                </w:p>
              </w:tc>
              <w:tc>
                <w:tcPr>
                  <w:shd w:fill="ffffff" w:val="clear"/>
                </w:tcPr>
                <w:p w:rsidR="00000000" w:rsidDel="00000000" w:rsidP="00000000" w:rsidRDefault="00000000" w:rsidRPr="00000000" w14:paraId="00000112">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29.00</w:t>
                  </w:r>
                </w:p>
              </w:tc>
              <w:tc>
                <w:tcPr>
                  <w:shd w:fill="ffffff" w:val="clear"/>
                </w:tcPr>
                <w:p w:rsidR="00000000" w:rsidDel="00000000" w:rsidP="00000000" w:rsidRDefault="00000000" w:rsidRPr="00000000" w14:paraId="00000113">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20.4395</w:t>
                  </w:r>
                </w:p>
              </w:tc>
              <w:tc>
                <w:tcPr>
                  <w:shd w:fill="ffffff" w:val="clear"/>
                </w:tcPr>
                <w:p w:rsidR="00000000" w:rsidDel="00000000" w:rsidP="00000000" w:rsidRDefault="00000000" w:rsidRPr="00000000" w14:paraId="00000114">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3.95866</w:t>
                  </w:r>
                </w:p>
              </w:tc>
            </w:tr>
            <w:tr>
              <w:trPr>
                <w:cantSplit w:val="1"/>
                <w:tblHeader w:val="0"/>
              </w:trPr>
              <w:tc>
                <w:tcPr/>
                <w:p w:rsidR="00000000" w:rsidDel="00000000" w:rsidP="00000000" w:rsidRDefault="00000000" w:rsidRPr="00000000" w14:paraId="00000115">
                  <w:pPr>
                    <w:spacing w:line="48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rss_total_score</w:t>
                  </w:r>
                </w:p>
              </w:tc>
              <w:tc>
                <w:tcPr>
                  <w:shd w:fill="ffffff" w:val="clear"/>
                </w:tcPr>
                <w:p w:rsidR="00000000" w:rsidDel="00000000" w:rsidP="00000000" w:rsidRDefault="00000000" w:rsidRPr="00000000" w14:paraId="00000116">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shd w:fill="ffffff" w:val="clear"/>
                </w:tcPr>
                <w:p w:rsidR="00000000" w:rsidDel="00000000" w:rsidP="00000000" w:rsidRDefault="00000000" w:rsidRPr="00000000" w14:paraId="00000117">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15.00</w:t>
                  </w:r>
                </w:p>
              </w:tc>
              <w:tc>
                <w:tcPr>
                  <w:shd w:fill="ffffff" w:val="clear"/>
                </w:tcPr>
                <w:p w:rsidR="00000000" w:rsidDel="00000000" w:rsidP="00000000" w:rsidRDefault="00000000" w:rsidRPr="00000000" w14:paraId="00000118">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65.00</w:t>
                  </w:r>
                </w:p>
              </w:tc>
              <w:tc>
                <w:tcPr>
                  <w:shd w:fill="ffffff" w:val="clear"/>
                </w:tcPr>
                <w:p w:rsidR="00000000" w:rsidDel="00000000" w:rsidP="00000000" w:rsidRDefault="00000000" w:rsidRPr="00000000" w14:paraId="00000119">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28.8025</w:t>
                  </w:r>
                </w:p>
              </w:tc>
              <w:tc>
                <w:tcPr>
                  <w:shd w:fill="ffffff" w:val="clear"/>
                </w:tcPr>
                <w:p w:rsidR="00000000" w:rsidDel="00000000" w:rsidP="00000000" w:rsidRDefault="00000000" w:rsidRPr="00000000" w14:paraId="0000011A">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9.17804</w:t>
                  </w:r>
                </w:p>
              </w:tc>
            </w:tr>
            <w:tr>
              <w:trPr>
                <w:cantSplit w:val="1"/>
                <w:tblHeader w:val="0"/>
              </w:trPr>
              <w:tc>
                <w:tcPr/>
                <w:p w:rsidR="00000000" w:rsidDel="00000000" w:rsidP="00000000" w:rsidRDefault="00000000" w:rsidRPr="00000000" w14:paraId="0000011B">
                  <w:pPr>
                    <w:spacing w:line="48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phq9_total_score</w:t>
                  </w:r>
                </w:p>
              </w:tc>
              <w:tc>
                <w:tcPr>
                  <w:shd w:fill="ffffff" w:val="clear"/>
                </w:tcPr>
                <w:p w:rsidR="00000000" w:rsidDel="00000000" w:rsidP="00000000" w:rsidRDefault="00000000" w:rsidRPr="00000000" w14:paraId="0000011C">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shd w:fill="ffffff" w:val="clear"/>
                </w:tcPr>
                <w:p w:rsidR="00000000" w:rsidDel="00000000" w:rsidP="00000000" w:rsidRDefault="00000000" w:rsidRPr="00000000" w14:paraId="0000011D">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13.00</w:t>
                  </w:r>
                </w:p>
              </w:tc>
              <w:tc>
                <w:tcPr>
                  <w:shd w:fill="ffffff" w:val="clear"/>
                </w:tcPr>
                <w:p w:rsidR="00000000" w:rsidDel="00000000" w:rsidP="00000000" w:rsidRDefault="00000000" w:rsidRPr="00000000" w14:paraId="0000011E">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35.00</w:t>
                  </w:r>
                </w:p>
              </w:tc>
              <w:tc>
                <w:tcPr>
                  <w:shd w:fill="ffffff" w:val="clear"/>
                </w:tcPr>
                <w:p w:rsidR="00000000" w:rsidDel="00000000" w:rsidP="00000000" w:rsidRDefault="00000000" w:rsidRPr="00000000" w14:paraId="0000011F">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24.0255</w:t>
                  </w:r>
                </w:p>
              </w:tc>
              <w:tc>
                <w:tcPr>
                  <w:shd w:fill="ffffff" w:val="clear"/>
                </w:tcPr>
                <w:p w:rsidR="00000000" w:rsidDel="00000000" w:rsidP="00000000" w:rsidRDefault="00000000" w:rsidRPr="00000000" w14:paraId="00000120">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5.96028</w:t>
                  </w:r>
                </w:p>
              </w:tc>
            </w:tr>
            <w:tr>
              <w:trPr>
                <w:cantSplit w:val="1"/>
                <w:tblHeader w:val="0"/>
              </w:trPr>
              <w:tc>
                <w:tcPr/>
                <w:p w:rsidR="00000000" w:rsidDel="00000000" w:rsidP="00000000" w:rsidRDefault="00000000" w:rsidRPr="00000000" w14:paraId="00000121">
                  <w:pPr>
                    <w:spacing w:line="48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gad7_total_score</w:t>
                  </w:r>
                </w:p>
              </w:tc>
              <w:tc>
                <w:tcPr>
                  <w:shd w:fill="ffffff" w:val="clear"/>
                </w:tcPr>
                <w:p w:rsidR="00000000" w:rsidDel="00000000" w:rsidP="00000000" w:rsidRDefault="00000000" w:rsidRPr="00000000" w14:paraId="00000122">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shd w:fill="ffffff" w:val="clear"/>
                </w:tcPr>
                <w:p w:rsidR="00000000" w:rsidDel="00000000" w:rsidP="00000000" w:rsidRDefault="00000000" w:rsidRPr="00000000" w14:paraId="00000123">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8.00</w:t>
                  </w:r>
                </w:p>
              </w:tc>
              <w:tc>
                <w:tcPr>
                  <w:shd w:fill="ffffff" w:val="clear"/>
                </w:tcPr>
                <w:p w:rsidR="00000000" w:rsidDel="00000000" w:rsidP="00000000" w:rsidRDefault="00000000" w:rsidRPr="00000000" w14:paraId="00000124">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28.00</w:t>
                  </w:r>
                </w:p>
              </w:tc>
              <w:tc>
                <w:tcPr>
                  <w:shd w:fill="ffffff" w:val="clear"/>
                </w:tcPr>
                <w:p w:rsidR="00000000" w:rsidDel="00000000" w:rsidP="00000000" w:rsidRDefault="00000000" w:rsidRPr="00000000" w14:paraId="00000125">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18.2038</w:t>
                  </w:r>
                </w:p>
              </w:tc>
              <w:tc>
                <w:tcPr>
                  <w:shd w:fill="ffffff" w:val="clear"/>
                </w:tcPr>
                <w:p w:rsidR="00000000" w:rsidDel="00000000" w:rsidP="00000000" w:rsidRDefault="00000000" w:rsidRPr="00000000" w14:paraId="00000126">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5.11751</w:t>
                  </w:r>
                </w:p>
              </w:tc>
            </w:tr>
            <w:tr>
              <w:trPr>
                <w:cantSplit w:val="1"/>
                <w:tblHeader w:val="0"/>
              </w:trPr>
              <w:tc>
                <w:tcPr>
                  <w:tcBorders>
                    <w:bottom w:color="000000" w:space="0" w:sz="4" w:val="single"/>
                  </w:tcBorders>
                </w:tcPr>
                <w:p w:rsidR="00000000" w:rsidDel="00000000" w:rsidP="00000000" w:rsidRDefault="00000000" w:rsidRPr="00000000" w14:paraId="00000127">
                  <w:pPr>
                    <w:spacing w:line="48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N (listwise)</w:t>
                  </w:r>
                </w:p>
              </w:tc>
              <w:tc>
                <w:tcPr>
                  <w:tcBorders>
                    <w:bottom w:color="000000" w:space="0" w:sz="4" w:val="single"/>
                  </w:tcBorders>
                  <w:shd w:fill="ffffff" w:val="clear"/>
                </w:tcPr>
                <w:p w:rsidR="00000000" w:rsidDel="00000000" w:rsidP="00000000" w:rsidRDefault="00000000" w:rsidRPr="00000000" w14:paraId="00000128">
                  <w:pPr>
                    <w:spacing w:line="48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shd w:fill="ffffff" w:val="clear"/>
                  <w:vAlign w:val="center"/>
                </w:tcPr>
                <w:p w:rsidR="00000000" w:rsidDel="00000000" w:rsidP="00000000" w:rsidRDefault="00000000" w:rsidRPr="00000000" w14:paraId="00000129">
                  <w:pPr>
                    <w:spacing w:line="48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2A">
                  <w:pPr>
                    <w:spacing w:line="48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2B">
                  <w:pPr>
                    <w:spacing w:line="48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12C">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rPr>
                <w:rFonts w:ascii="Times New Roman" w:cs="Times New Roman" w:eastAsia="Times New Roman" w:hAnsi="Times New Roman"/>
                <w:b w:val="1"/>
                <w:bCs w:val="1"/>
                <w:color w:val="010205"/>
                <w:sz w:val="24"/>
                <w:szCs w:val="24"/>
              </w:rPr>
            </w:pPr>
            <w:r w:rsidDel="00000000" w:rsidR="00000000" w:rsidRPr="00000000">
              <w:rPr>
                <w:rtl w:val="0"/>
              </w:rPr>
            </w:r>
          </w:p>
        </w:tc>
      </w:tr>
    </w:tbl>
    <w:p w:rsidR="00000000" w:rsidDel="00000000" w:rsidP="00000000" w:rsidRDefault="00000000" w:rsidRPr="00000000" w14:paraId="000001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N = 157</w:t>
      </w:r>
    </w:p>
    <w:p w:rsidR="00000000" w:rsidDel="00000000" w:rsidP="00000000" w:rsidRDefault="00000000" w:rsidRPr="00000000" w14:paraId="000001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Subjective well-being (SWbS)</w:t>
      </w:r>
    </w:p>
    <w:p w:rsidR="00000000" w:rsidDel="00000000" w:rsidP="00000000" w:rsidRDefault="00000000" w:rsidRPr="00000000" w14:paraId="000001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Range: 11.00–29.00.</w:t>
      </w:r>
    </w:p>
    <w:p w:rsidR="00000000" w:rsidDel="00000000" w:rsidP="00000000" w:rsidRDefault="00000000" w:rsidRPr="00000000" w14:paraId="000001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Mean: 20.44.</w:t>
      </w:r>
    </w:p>
    <w:p w:rsidR="00000000" w:rsidDel="00000000" w:rsidP="00000000" w:rsidRDefault="00000000" w:rsidRPr="00000000" w14:paraId="000001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 3.96.</w:t>
      </w:r>
    </w:p>
    <w:p w:rsidR="00000000" w:rsidDel="00000000" w:rsidP="00000000" w:rsidRDefault="00000000" w:rsidRPr="00000000" w14:paraId="000001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scores clustered near the mid–upper part of the observed range with modest dispersion, suggesting limited variability in reported well-being.</w:t>
      </w:r>
    </w:p>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RSS total score (rss _total_score)</w:t>
      </w:r>
    </w:p>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15.00–65.00.</w:t>
      </w:r>
    </w:p>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Mean: 28.80.</w:t>
      </w:r>
    </w:p>
    <w:p w:rsidR="00000000" w:rsidDel="00000000" w:rsidP="00000000" w:rsidRDefault="00000000" w:rsidRPr="00000000" w14:paraId="000001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 9.18.</w:t>
      </w:r>
    </w:p>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the RSS scores showed substantial spread around the mean, indicating heterogeneity in respondents’ reported resource/support levels.</w:t>
      </w:r>
    </w:p>
    <w:p w:rsidR="00000000" w:rsidDel="00000000" w:rsidP="00000000" w:rsidRDefault="00000000" w:rsidRPr="00000000" w14:paraId="000001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Depressive symptoms (PHQ-9 total)</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Range: 13.00–35.00.</w:t>
      </w:r>
    </w:p>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Mean: 24.03.</w:t>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 5.96.</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mean PHQ-9 was relatively high in this sample with moderate variability, consistent with elevated symptom severity for many participants.</w:t>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Anxiety symptoms (GAD-7 total)</w:t>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Range: 8.00–28.00.</w:t>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Mean: 18.20.</w:t>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 5.12.</w:t>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mean GAD-7 indicated elevated anxiety scores with moderate dispersion.</w:t>
      </w:r>
    </w:p>
    <w:tbl>
      <w:tblPr>
        <w:tblStyle w:val="Table5"/>
        <w:tblpPr w:leftFromText="180" w:rightFromText="180" w:topFromText="0" w:bottomFromText="0" w:vertAnchor="text" w:horzAnchor="text" w:tblpX="0" w:tblpY="1"/>
        <w:tblW w:w="6684.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59"/>
        <w:gridCol w:w="1989"/>
        <w:gridCol w:w="1468"/>
        <w:gridCol w:w="1468"/>
        <w:tblGridChange w:id="0">
          <w:tblGrid>
            <w:gridCol w:w="1759"/>
            <w:gridCol w:w="1989"/>
            <w:gridCol w:w="1468"/>
            <w:gridCol w:w="1468"/>
          </w:tblGrid>
        </w:tblGridChange>
      </w:tblGrid>
      <w:tr>
        <w:trPr>
          <w:cantSplit w:val="1"/>
          <w:tblHeader w:val="0"/>
        </w:trPr>
        <w:tc>
          <w:tcPr>
            <w:gridSpan w:val="4"/>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47">
            <w:pPr>
              <w:pStyle w:val="Heading3"/>
              <w:rPr/>
            </w:pPr>
            <w:bookmarkStart w:colFirst="0" w:colLast="0" w:name="_vag875kccja4" w:id="35"/>
            <w:bookmarkEnd w:id="35"/>
            <w:r w:rsidDel="00000000" w:rsidR="00000000" w:rsidRPr="00000000">
              <w:rPr>
                <w:rtl w:val="0"/>
              </w:rPr>
              <w:t xml:space="preserve">4.4 Correlations</w:t>
            </w:r>
          </w:p>
        </w:tc>
      </w:tr>
      <w:tr>
        <w:trPr>
          <w:cantSplit w:val="1"/>
          <w:tblHeader w:val="0"/>
        </w:trPr>
        <w:tc>
          <w:tcPr>
            <w:gridSpan w:val="2"/>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4B">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4D">
            <w:pPr>
              <w:spacing w:line="360" w:lineRule="auto"/>
              <w:ind w:left="60" w:right="60" w:firstLine="0"/>
              <w:rPr>
                <w:b w:val="1"/>
                <w:bCs w:val="1"/>
                <w:sz w:val="18"/>
                <w:szCs w:val="18"/>
              </w:rPr>
            </w:pPr>
            <w:r w:rsidDel="00000000" w:rsidR="00000000" w:rsidRPr="00000000">
              <w:rPr>
                <w:b w:val="1"/>
                <w:bCs w:val="1"/>
                <w:sz w:val="18"/>
                <w:szCs w:val="18"/>
                <w:rtl w:val="0"/>
              </w:rPr>
              <w:t xml:space="preserve">How old are you</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4E">
            <w:pPr>
              <w:spacing w:line="360" w:lineRule="auto"/>
              <w:ind w:left="60" w:right="60" w:firstLine="0"/>
              <w:rPr>
                <w:b w:val="1"/>
                <w:bCs w:val="1"/>
                <w:sz w:val="18"/>
                <w:szCs w:val="18"/>
              </w:rPr>
            </w:pPr>
            <w:r w:rsidDel="00000000" w:rsidR="00000000" w:rsidRPr="00000000">
              <w:rPr>
                <w:b w:val="1"/>
                <w:bCs w:val="1"/>
                <w:sz w:val="18"/>
                <w:szCs w:val="18"/>
                <w:rtl w:val="0"/>
              </w:rPr>
              <w:t xml:space="preserve">phq9_total_score</w:t>
            </w:r>
          </w:p>
        </w:tc>
      </w:tr>
      <w:tr>
        <w:trPr>
          <w:cantSplit w:val="1"/>
          <w:tblHeader w:val="0"/>
        </w:trPr>
        <w:tc>
          <w:tcPr>
            <w:vMerge w:val="restart"/>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4F">
            <w:pPr>
              <w:spacing w:line="360" w:lineRule="auto"/>
              <w:ind w:left="60" w:right="60" w:firstLine="0"/>
              <w:rPr>
                <w:sz w:val="18"/>
                <w:szCs w:val="18"/>
              </w:rPr>
            </w:pPr>
            <w:r w:rsidDel="00000000" w:rsidR="00000000" w:rsidRPr="00000000">
              <w:rPr>
                <w:sz w:val="18"/>
                <w:szCs w:val="18"/>
                <w:rtl w:val="0"/>
              </w:rPr>
              <w:t xml:space="preserve">How old are you</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0">
            <w:pPr>
              <w:spacing w:line="360" w:lineRule="auto"/>
              <w:ind w:left="60" w:right="60" w:firstLine="0"/>
              <w:rPr>
                <w:sz w:val="18"/>
                <w:szCs w:val="18"/>
              </w:rPr>
            </w:pPr>
            <w:r w:rsidDel="00000000" w:rsidR="00000000" w:rsidRPr="00000000">
              <w:rPr>
                <w:sz w:val="18"/>
                <w:szCs w:val="18"/>
                <w:rtl w:val="0"/>
              </w:rPr>
              <w:t xml:space="preserve">Pearson Correlation</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151">
            <w:pPr>
              <w:spacing w:line="360" w:lineRule="auto"/>
              <w:ind w:left="60" w:right="60" w:firstLine="0"/>
              <w:rPr>
                <w:sz w:val="18"/>
                <w:szCs w:val="18"/>
              </w:rPr>
            </w:pPr>
            <w:r w:rsidDel="00000000" w:rsidR="00000000" w:rsidRPr="00000000">
              <w:rPr>
                <w:sz w:val="18"/>
                <w:szCs w:val="18"/>
                <w:rtl w:val="0"/>
              </w:rPr>
              <w:t xml:space="preserve">1</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152">
            <w:pPr>
              <w:spacing w:line="360" w:lineRule="auto"/>
              <w:ind w:left="60" w:right="60" w:firstLine="0"/>
              <w:rPr>
                <w:sz w:val="18"/>
                <w:szCs w:val="18"/>
              </w:rPr>
            </w:pPr>
            <w:r w:rsidDel="00000000" w:rsidR="00000000" w:rsidRPr="00000000">
              <w:rPr>
                <w:sz w:val="18"/>
                <w:szCs w:val="18"/>
                <w:rtl w:val="0"/>
              </w:rPr>
              <w:t xml:space="preserve">-.017</w:t>
            </w:r>
          </w:p>
        </w:tc>
      </w:tr>
      <w:tr>
        <w:trPr>
          <w:cantSplit w:val="1"/>
          <w:tblHeader w:val="0"/>
        </w:trPr>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4">
            <w:pPr>
              <w:spacing w:line="360" w:lineRule="auto"/>
              <w:ind w:left="60" w:right="60" w:firstLine="0"/>
              <w:rPr>
                <w:sz w:val="18"/>
                <w:szCs w:val="18"/>
              </w:rPr>
            </w:pPr>
            <w:r w:rsidDel="00000000" w:rsidR="00000000" w:rsidRPr="00000000">
              <w:rPr>
                <w:sz w:val="18"/>
                <w:szCs w:val="18"/>
                <w:rtl w:val="0"/>
              </w:rPr>
              <w:t xml:space="preserve">Sig. (2-tailed)</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5">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6">
            <w:pPr>
              <w:spacing w:line="360" w:lineRule="auto"/>
              <w:ind w:left="60" w:right="60" w:firstLine="0"/>
              <w:rPr>
                <w:sz w:val="18"/>
                <w:szCs w:val="18"/>
              </w:rPr>
            </w:pPr>
            <w:r w:rsidDel="00000000" w:rsidR="00000000" w:rsidRPr="00000000">
              <w:rPr>
                <w:sz w:val="18"/>
                <w:szCs w:val="18"/>
                <w:rtl w:val="0"/>
              </w:rPr>
              <w:t xml:space="preserve">.833</w:t>
            </w:r>
          </w:p>
        </w:tc>
      </w:tr>
      <w:tr>
        <w:trPr>
          <w:cantSplit w:val="1"/>
          <w:tblHeader w:val="0"/>
        </w:trPr>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8">
            <w:pPr>
              <w:spacing w:line="360" w:lineRule="auto"/>
              <w:ind w:left="60" w:right="60" w:firstLine="0"/>
              <w:rPr>
                <w:sz w:val="18"/>
                <w:szCs w:val="18"/>
              </w:rPr>
            </w:pPr>
            <w:r w:rsidDel="00000000" w:rsidR="00000000" w:rsidRPr="00000000">
              <w:rPr>
                <w:sz w:val="18"/>
                <w:szCs w:val="18"/>
                <w:rtl w:val="0"/>
              </w:rPr>
              <w:t xml:space="preserve">N</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9">
            <w:pPr>
              <w:spacing w:line="360" w:lineRule="auto"/>
              <w:ind w:left="60" w:right="60" w:firstLine="0"/>
              <w:rPr>
                <w:sz w:val="18"/>
                <w:szCs w:val="18"/>
              </w:rPr>
            </w:pPr>
            <w:r w:rsidDel="00000000" w:rsidR="00000000" w:rsidRPr="00000000">
              <w:rPr>
                <w:sz w:val="18"/>
                <w:szCs w:val="18"/>
                <w:rtl w:val="0"/>
              </w:rPr>
              <w:t xml:space="preserve">157</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A">
            <w:pPr>
              <w:spacing w:line="360" w:lineRule="auto"/>
              <w:ind w:left="60" w:right="60" w:firstLine="0"/>
              <w:rPr>
                <w:sz w:val="18"/>
                <w:szCs w:val="18"/>
              </w:rPr>
            </w:pPr>
            <w:r w:rsidDel="00000000" w:rsidR="00000000" w:rsidRPr="00000000">
              <w:rPr>
                <w:sz w:val="18"/>
                <w:szCs w:val="18"/>
                <w:rtl w:val="0"/>
              </w:rPr>
              <w:t xml:space="preserve">157</w:t>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B">
            <w:pPr>
              <w:spacing w:line="360" w:lineRule="auto"/>
              <w:ind w:left="60" w:right="60" w:firstLine="0"/>
              <w:rPr>
                <w:sz w:val="18"/>
                <w:szCs w:val="18"/>
              </w:rPr>
            </w:pPr>
            <w:r w:rsidDel="00000000" w:rsidR="00000000" w:rsidRPr="00000000">
              <w:rPr>
                <w:sz w:val="18"/>
                <w:szCs w:val="18"/>
                <w:rtl w:val="0"/>
              </w:rPr>
              <w:t xml:space="preserve">phq9_total_score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C">
            <w:pPr>
              <w:spacing w:line="360" w:lineRule="auto"/>
              <w:ind w:left="60" w:right="60" w:firstLine="0"/>
              <w:rPr>
                <w:sz w:val="18"/>
                <w:szCs w:val="18"/>
              </w:rPr>
            </w:pPr>
            <w:r w:rsidDel="00000000" w:rsidR="00000000" w:rsidRPr="00000000">
              <w:rPr>
                <w:sz w:val="18"/>
                <w:szCs w:val="18"/>
                <w:rtl w:val="0"/>
              </w:rPr>
              <w:t xml:space="preserve">Pearson Correlation</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D">
            <w:pPr>
              <w:spacing w:line="360" w:lineRule="auto"/>
              <w:ind w:left="60" w:right="60" w:firstLine="0"/>
              <w:rPr>
                <w:sz w:val="18"/>
                <w:szCs w:val="18"/>
              </w:rPr>
            </w:pPr>
            <w:r w:rsidDel="00000000" w:rsidR="00000000" w:rsidRPr="00000000">
              <w:rPr>
                <w:sz w:val="18"/>
                <w:szCs w:val="18"/>
                <w:rtl w:val="0"/>
              </w:rPr>
              <w:t xml:space="preserve">-.017</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E">
            <w:pPr>
              <w:spacing w:line="360" w:lineRule="auto"/>
              <w:ind w:left="60" w:right="60" w:firstLine="0"/>
              <w:rPr>
                <w:sz w:val="18"/>
                <w:szCs w:val="18"/>
              </w:rPr>
            </w:pPr>
            <w:r w:rsidDel="00000000" w:rsidR="00000000" w:rsidRPr="00000000">
              <w:rPr>
                <w:sz w:val="18"/>
                <w:szCs w:val="18"/>
                <w:rtl w:val="0"/>
              </w:rPr>
              <w:t xml:space="preserve">1</w:t>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0">
            <w:pPr>
              <w:spacing w:line="360" w:lineRule="auto"/>
              <w:ind w:left="60" w:right="60" w:firstLine="0"/>
              <w:rPr>
                <w:sz w:val="18"/>
                <w:szCs w:val="18"/>
              </w:rPr>
            </w:pPr>
            <w:r w:rsidDel="00000000" w:rsidR="00000000" w:rsidRPr="00000000">
              <w:rPr>
                <w:sz w:val="18"/>
                <w:szCs w:val="18"/>
                <w:rtl w:val="0"/>
              </w:rPr>
              <w:t xml:space="preserve">Sig. (2-tailed)</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1">
            <w:pPr>
              <w:spacing w:line="360" w:lineRule="auto"/>
              <w:ind w:left="60" w:right="60" w:firstLine="0"/>
              <w:rPr>
                <w:sz w:val="18"/>
                <w:szCs w:val="18"/>
              </w:rPr>
            </w:pPr>
            <w:r w:rsidDel="00000000" w:rsidR="00000000" w:rsidRPr="00000000">
              <w:rPr>
                <w:sz w:val="18"/>
                <w:szCs w:val="18"/>
                <w:rtl w:val="0"/>
              </w:rPr>
              <w:t xml:space="preserve">.833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4">
            <w:pPr>
              <w:spacing w:line="360" w:lineRule="auto"/>
              <w:ind w:left="60" w:right="60" w:firstLine="0"/>
              <w:rPr>
                <w:sz w:val="18"/>
                <w:szCs w:val="18"/>
              </w:rPr>
            </w:pPr>
            <w:r w:rsidDel="00000000" w:rsidR="00000000" w:rsidRPr="00000000">
              <w:rPr>
                <w:sz w:val="18"/>
                <w:szCs w:val="18"/>
                <w:rtl w:val="0"/>
              </w:rPr>
              <w:t xml:space="preserve">N</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65">
            <w:pPr>
              <w:spacing w:line="360" w:lineRule="auto"/>
              <w:ind w:left="60" w:right="60" w:firstLine="0"/>
              <w:rPr>
                <w:sz w:val="18"/>
                <w:szCs w:val="18"/>
              </w:rPr>
            </w:pPr>
            <w:r w:rsidDel="00000000" w:rsidR="00000000" w:rsidRPr="00000000">
              <w:rPr>
                <w:sz w:val="18"/>
                <w:szCs w:val="18"/>
                <w:rtl w:val="0"/>
              </w:rPr>
              <w:t xml:space="preserve">157</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66">
            <w:pPr>
              <w:spacing w:line="360" w:lineRule="auto"/>
              <w:ind w:left="60" w:right="60" w:firstLine="0"/>
              <w:rPr>
                <w:sz w:val="18"/>
                <w:szCs w:val="18"/>
              </w:rPr>
            </w:pPr>
            <w:r w:rsidDel="00000000" w:rsidR="00000000" w:rsidRPr="00000000">
              <w:rPr>
                <w:sz w:val="18"/>
                <w:szCs w:val="18"/>
                <w:rtl w:val="0"/>
              </w:rPr>
              <w:t xml:space="preserve">157</w:t>
            </w:r>
          </w:p>
        </w:tc>
      </w:tr>
    </w:tb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 Correlation Coefficient (-0.017):</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value is very close to zero, indicating no meaningful linear relationship between age and PHQ-9 scores.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negative sign suggests a slight inverse relationship, but it's so small it's statistically negligible.</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Significance Level (p = 0.833)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p-value above 0.05 means the result is not statistically significant.</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other words, there's no evidence that age is related to depression scores in the sample.</w:t>
      </w:r>
    </w:p>
    <w:tbl>
      <w:tblPr>
        <w:tblStyle w:val="Table6"/>
        <w:tblW w:w="9700.0" w:type="dxa"/>
        <w:jc w:val="left"/>
        <w:tblInd w:w="108.0" w:type="dxa"/>
        <w:tblLayout w:type="fixed"/>
        <w:tblLook w:val="0400"/>
      </w:tblPr>
      <w:tblGrid>
        <w:gridCol w:w="1775"/>
        <w:gridCol w:w="1034"/>
        <w:gridCol w:w="1033"/>
        <w:gridCol w:w="1418"/>
        <w:gridCol w:w="1480"/>
        <w:gridCol w:w="1480"/>
        <w:gridCol w:w="1480"/>
        <w:tblGridChange w:id="0">
          <w:tblGrid>
            <w:gridCol w:w="1775"/>
            <w:gridCol w:w="1034"/>
            <w:gridCol w:w="1033"/>
            <w:gridCol w:w="1418"/>
            <w:gridCol w:w="1480"/>
            <w:gridCol w:w="1480"/>
            <w:gridCol w:w="1480"/>
          </w:tblGrid>
        </w:tblGridChange>
      </w:tblGrid>
      <w:tr>
        <w:trPr>
          <w:cantSplit w:val="1"/>
          <w:tblHeader w:val="0"/>
        </w:trPr>
        <w:tc>
          <w:tcPr>
            <w:gridSpan w:val="7"/>
            <w:shd w:fill="ffffff" w:val="clear"/>
            <w:vAlign w:val="center"/>
          </w:tcPr>
          <w:p w:rsidR="00000000" w:rsidDel="00000000" w:rsidP="00000000" w:rsidRDefault="00000000" w:rsidRPr="00000000" w14:paraId="0000016D">
            <w:pPr>
              <w:pStyle w:val="Heading2"/>
              <w:rPr/>
            </w:pPr>
            <w:bookmarkStart w:colFirst="0" w:colLast="0" w:name="_qlwzlf1jga95" w:id="36"/>
            <w:bookmarkEnd w:id="36"/>
            <w:r w:rsidDel="00000000" w:rsidR="00000000" w:rsidRPr="00000000">
              <w:rPr>
                <w:rtl w:val="0"/>
              </w:rPr>
              <w:t xml:space="preserve">4.5 One-Sample Test</w:t>
            </w:r>
          </w:p>
        </w:tc>
      </w:tr>
      <w:tr>
        <w:trPr>
          <w:cantSplit w:val="1"/>
          <w:trHeight w:val="396" w:hRule="atLeast"/>
          <w:tblHeader w:val="0"/>
        </w:trPr>
        <w:tc>
          <w:tcPr>
            <w:shd w:fill="ffffff" w:val="clear"/>
            <w:vAlign w:val="bottom"/>
          </w:tcPr>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tcBorders>
            <w:shd w:fill="ffffff" w:val="clear"/>
            <w:vAlign w:val="bottom"/>
          </w:tcPr>
          <w:p w:rsidR="00000000" w:rsidDel="00000000" w:rsidP="00000000" w:rsidRDefault="00000000" w:rsidRPr="00000000" w14:paraId="00000175">
            <w:pPr>
              <w:spacing w:line="360" w:lineRule="auto"/>
              <w:ind w:left="60" w:right="60" w:firstLine="0"/>
              <w:rPr>
                <w:sz w:val="18"/>
                <w:szCs w:val="18"/>
              </w:rPr>
            </w:pPr>
            <w:r w:rsidDel="00000000" w:rsidR="00000000" w:rsidRPr="00000000">
              <w:rPr>
                <w:sz w:val="18"/>
                <w:szCs w:val="18"/>
                <w:rtl w:val="0"/>
              </w:rPr>
              <w:t xml:space="preserve">Test Value = 0</w:t>
            </w:r>
          </w:p>
        </w:tc>
      </w:tr>
      <w:tr>
        <w:trPr>
          <w:cantSplit w:val="1"/>
          <w:tblHeader w:val="0"/>
        </w:trPr>
        <w:tc>
          <w:tcPr>
            <w:shd w:fill="ffffff" w:val="clear"/>
            <w:vAlign w:val="bottom"/>
          </w:tcPr>
          <w:p w:rsidR="00000000" w:rsidDel="00000000" w:rsidP="00000000" w:rsidRDefault="00000000" w:rsidRPr="00000000" w14:paraId="0000017B">
            <w:pPr>
              <w:spacing w:line="360" w:lineRule="auto"/>
              <w:rPr>
                <w:sz w:val="18"/>
                <w:szCs w:val="18"/>
              </w:rPr>
            </w:pPr>
            <w:r w:rsidDel="00000000" w:rsidR="00000000" w:rsidRPr="00000000">
              <w:rPr>
                <w:rtl w:val="0"/>
              </w:rPr>
            </w:r>
          </w:p>
        </w:tc>
        <w:tc>
          <w:tcPr>
            <w:tcBorders>
              <w:bottom w:color="000000" w:space="0" w:sz="4" w:val="single"/>
            </w:tcBorders>
            <w:shd w:fill="ffffff" w:val="clear"/>
            <w:vAlign w:val="bottom"/>
          </w:tcPr>
          <w:p w:rsidR="00000000" w:rsidDel="00000000" w:rsidP="00000000" w:rsidRDefault="00000000" w:rsidRPr="00000000" w14:paraId="0000017C">
            <w:pPr>
              <w:spacing w:line="360" w:lineRule="auto"/>
              <w:ind w:left="60" w:right="60" w:firstLine="0"/>
              <w:rPr>
                <w:b w:val="1"/>
                <w:bCs w:val="1"/>
                <w:sz w:val="18"/>
                <w:szCs w:val="18"/>
              </w:rPr>
            </w:pPr>
            <w:r w:rsidDel="00000000" w:rsidR="00000000" w:rsidRPr="00000000">
              <w:rPr>
                <w:b w:val="1"/>
                <w:bCs w:val="1"/>
                <w:sz w:val="18"/>
                <w:szCs w:val="18"/>
                <w:rtl w:val="0"/>
              </w:rPr>
              <w:t xml:space="preserve">t</w:t>
            </w:r>
          </w:p>
        </w:tc>
        <w:tc>
          <w:tcPr>
            <w:tcBorders>
              <w:bottom w:color="000000" w:space="0" w:sz="4" w:val="single"/>
            </w:tcBorders>
            <w:shd w:fill="ffffff" w:val="clear"/>
            <w:vAlign w:val="bottom"/>
          </w:tcPr>
          <w:p w:rsidR="00000000" w:rsidDel="00000000" w:rsidP="00000000" w:rsidRDefault="00000000" w:rsidRPr="00000000" w14:paraId="0000017D">
            <w:pPr>
              <w:spacing w:line="360" w:lineRule="auto"/>
              <w:ind w:left="60" w:right="60" w:firstLine="0"/>
              <w:rPr>
                <w:b w:val="1"/>
                <w:bCs w:val="1"/>
                <w:sz w:val="18"/>
                <w:szCs w:val="18"/>
              </w:rPr>
            </w:pPr>
            <w:r w:rsidDel="00000000" w:rsidR="00000000" w:rsidRPr="00000000">
              <w:rPr>
                <w:b w:val="1"/>
                <w:bCs w:val="1"/>
                <w:sz w:val="18"/>
                <w:szCs w:val="18"/>
                <w:rtl w:val="0"/>
              </w:rPr>
              <w:t xml:space="preserve">df</w:t>
            </w:r>
          </w:p>
        </w:tc>
        <w:tc>
          <w:tcPr>
            <w:tcBorders>
              <w:bottom w:color="000000" w:space="0" w:sz="4" w:val="single"/>
            </w:tcBorders>
            <w:shd w:fill="ffffff" w:val="clear"/>
            <w:vAlign w:val="bottom"/>
          </w:tcPr>
          <w:p w:rsidR="00000000" w:rsidDel="00000000" w:rsidP="00000000" w:rsidRDefault="00000000" w:rsidRPr="00000000" w14:paraId="0000017E">
            <w:pPr>
              <w:spacing w:line="360" w:lineRule="auto"/>
              <w:ind w:left="60" w:right="60" w:firstLine="0"/>
              <w:rPr>
                <w:b w:val="1"/>
                <w:bCs w:val="1"/>
                <w:sz w:val="18"/>
                <w:szCs w:val="18"/>
              </w:rPr>
            </w:pPr>
            <w:r w:rsidDel="00000000" w:rsidR="00000000" w:rsidRPr="00000000">
              <w:rPr>
                <w:b w:val="1"/>
                <w:bCs w:val="1"/>
                <w:sz w:val="18"/>
                <w:szCs w:val="18"/>
                <w:rtl w:val="0"/>
              </w:rPr>
              <w:t xml:space="preserve">Sig. (2-tailed)</w:t>
            </w:r>
          </w:p>
        </w:tc>
        <w:tc>
          <w:tcPr>
            <w:tcBorders>
              <w:bottom w:color="000000" w:space="0" w:sz="4" w:val="single"/>
            </w:tcBorders>
            <w:shd w:fill="ffffff" w:val="clear"/>
            <w:vAlign w:val="bottom"/>
          </w:tcPr>
          <w:p w:rsidR="00000000" w:rsidDel="00000000" w:rsidP="00000000" w:rsidRDefault="00000000" w:rsidRPr="00000000" w14:paraId="0000017F">
            <w:pPr>
              <w:spacing w:line="360" w:lineRule="auto"/>
              <w:ind w:left="60" w:right="60" w:firstLine="0"/>
              <w:rPr>
                <w:b w:val="1"/>
                <w:bCs w:val="1"/>
                <w:sz w:val="18"/>
                <w:szCs w:val="18"/>
              </w:rPr>
            </w:pPr>
            <w:r w:rsidDel="00000000" w:rsidR="00000000" w:rsidRPr="00000000">
              <w:rPr>
                <w:b w:val="1"/>
                <w:bCs w:val="1"/>
                <w:sz w:val="18"/>
                <w:szCs w:val="18"/>
                <w:rtl w:val="0"/>
              </w:rPr>
              <w:t xml:space="preserve">Mean Difference</w:t>
            </w:r>
          </w:p>
        </w:tc>
        <w:tc>
          <w:tcPr>
            <w:gridSpan w:val="2"/>
            <w:tcBorders>
              <w:bottom w:color="000000" w:space="0" w:sz="4" w:val="single"/>
            </w:tcBorders>
            <w:shd w:fill="ffffff" w:val="clear"/>
            <w:vAlign w:val="bottom"/>
          </w:tcPr>
          <w:p w:rsidR="00000000" w:rsidDel="00000000" w:rsidP="00000000" w:rsidRDefault="00000000" w:rsidRPr="00000000" w14:paraId="00000180">
            <w:pPr>
              <w:spacing w:line="360" w:lineRule="auto"/>
              <w:ind w:left="60" w:right="60" w:firstLine="0"/>
              <w:rPr>
                <w:b w:val="1"/>
                <w:bCs w:val="1"/>
                <w:sz w:val="18"/>
                <w:szCs w:val="18"/>
              </w:rPr>
            </w:pPr>
            <w:r w:rsidDel="00000000" w:rsidR="00000000" w:rsidRPr="00000000">
              <w:rPr>
                <w:b w:val="1"/>
                <w:bCs w:val="1"/>
                <w:sz w:val="18"/>
                <w:szCs w:val="18"/>
                <w:rtl w:val="0"/>
              </w:rPr>
              <w:t xml:space="preserve">95% Confidence Interval of the Difference</w:t>
            </w:r>
          </w:p>
        </w:tc>
      </w:tr>
      <w:tr>
        <w:trPr>
          <w:cantSplit w:val="1"/>
          <w:tblHeader w:val="0"/>
        </w:trPr>
        <w:tc>
          <w:tcPr>
            <w:shd w:fill="ffffff" w:val="clear"/>
            <w:vAlign w:val="bottom"/>
          </w:tcPr>
          <w:p w:rsidR="00000000" w:rsidDel="00000000" w:rsidP="00000000" w:rsidRDefault="00000000" w:rsidRPr="00000000" w14:paraId="00000182">
            <w:pPr>
              <w:spacing w:line="360" w:lineRule="auto"/>
              <w:rPr>
                <w:sz w:val="18"/>
                <w:szCs w:val="18"/>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83">
            <w:pPr>
              <w:spacing w:line="360" w:lineRule="auto"/>
              <w:rPr>
                <w:sz w:val="18"/>
                <w:szCs w:val="18"/>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84">
            <w:pPr>
              <w:spacing w:line="360" w:lineRule="auto"/>
              <w:rPr>
                <w:sz w:val="18"/>
                <w:szCs w:val="18"/>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85">
            <w:pPr>
              <w:spacing w:line="360" w:lineRule="auto"/>
              <w:rPr>
                <w:sz w:val="18"/>
                <w:szCs w:val="18"/>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86">
            <w:pPr>
              <w:spacing w:line="360" w:lineRule="auto"/>
              <w:rPr>
                <w:sz w:val="18"/>
                <w:szCs w:val="18"/>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87">
            <w:pPr>
              <w:spacing w:line="360" w:lineRule="auto"/>
              <w:ind w:left="60" w:right="60" w:firstLine="0"/>
              <w:rPr>
                <w:sz w:val="18"/>
                <w:szCs w:val="18"/>
              </w:rPr>
            </w:pPr>
            <w:r w:rsidDel="00000000" w:rsidR="00000000" w:rsidRPr="00000000">
              <w:rPr>
                <w:sz w:val="18"/>
                <w:szCs w:val="18"/>
                <w:rtl w:val="0"/>
              </w:rPr>
              <w:t xml:space="preserve">Lower</w:t>
            </w:r>
          </w:p>
        </w:tc>
        <w:tc>
          <w:tcPr>
            <w:tcBorders>
              <w:top w:color="000000" w:space="0" w:sz="4" w:val="single"/>
            </w:tcBorders>
            <w:shd w:fill="ffffff" w:val="clear"/>
            <w:vAlign w:val="bottom"/>
          </w:tcPr>
          <w:p w:rsidR="00000000" w:rsidDel="00000000" w:rsidP="00000000" w:rsidRDefault="00000000" w:rsidRPr="00000000" w14:paraId="00000188">
            <w:pPr>
              <w:spacing w:line="360" w:lineRule="auto"/>
              <w:ind w:left="60" w:right="60" w:firstLine="0"/>
              <w:rPr>
                <w:sz w:val="18"/>
                <w:szCs w:val="18"/>
              </w:rPr>
            </w:pPr>
            <w:r w:rsidDel="00000000" w:rsidR="00000000" w:rsidRPr="00000000">
              <w:rPr>
                <w:sz w:val="18"/>
                <w:szCs w:val="18"/>
                <w:rtl w:val="0"/>
              </w:rPr>
              <w:t xml:space="preserve">Upper</w:t>
            </w:r>
          </w:p>
        </w:tc>
      </w:tr>
      <w:tr>
        <w:trPr>
          <w:cantSplit w:val="1"/>
          <w:tblHeader w:val="0"/>
        </w:trPr>
        <w:tc>
          <w:tcPr/>
          <w:p w:rsidR="00000000" w:rsidDel="00000000" w:rsidP="00000000" w:rsidRDefault="00000000" w:rsidRPr="00000000" w14:paraId="00000189">
            <w:pPr>
              <w:spacing w:line="360" w:lineRule="auto"/>
              <w:ind w:left="60" w:right="60" w:firstLine="0"/>
              <w:rPr>
                <w:sz w:val="18"/>
                <w:szCs w:val="18"/>
              </w:rPr>
            </w:pPr>
            <w:r w:rsidDel="00000000" w:rsidR="00000000" w:rsidRPr="00000000">
              <w:rPr>
                <w:sz w:val="18"/>
                <w:szCs w:val="18"/>
                <w:rtl w:val="0"/>
              </w:rPr>
              <w:t xml:space="preserve">What is your sex</w:t>
            </w:r>
          </w:p>
        </w:tc>
        <w:tc>
          <w:tcPr>
            <w:shd w:fill="ffffff" w:val="clear"/>
          </w:tcPr>
          <w:p w:rsidR="00000000" w:rsidDel="00000000" w:rsidP="00000000" w:rsidRDefault="00000000" w:rsidRPr="00000000" w14:paraId="0000018A">
            <w:pPr>
              <w:spacing w:line="360" w:lineRule="auto"/>
              <w:ind w:left="60" w:right="60" w:firstLine="0"/>
              <w:rPr>
                <w:sz w:val="18"/>
                <w:szCs w:val="18"/>
              </w:rPr>
            </w:pPr>
            <w:r w:rsidDel="00000000" w:rsidR="00000000" w:rsidRPr="00000000">
              <w:rPr>
                <w:sz w:val="18"/>
                <w:szCs w:val="18"/>
                <w:rtl w:val="0"/>
              </w:rPr>
              <w:t xml:space="preserve">31.750</w:t>
            </w:r>
          </w:p>
        </w:tc>
        <w:tc>
          <w:tcPr>
            <w:shd w:fill="ffffff" w:val="clear"/>
          </w:tcPr>
          <w:p w:rsidR="00000000" w:rsidDel="00000000" w:rsidP="00000000" w:rsidRDefault="00000000" w:rsidRPr="00000000" w14:paraId="0000018B">
            <w:pPr>
              <w:spacing w:line="360" w:lineRule="auto"/>
              <w:ind w:left="60" w:right="60" w:firstLine="0"/>
              <w:rPr>
                <w:sz w:val="18"/>
                <w:szCs w:val="18"/>
              </w:rPr>
            </w:pPr>
            <w:r w:rsidDel="00000000" w:rsidR="00000000" w:rsidRPr="00000000">
              <w:rPr>
                <w:sz w:val="18"/>
                <w:szCs w:val="18"/>
                <w:rtl w:val="0"/>
              </w:rPr>
              <w:t xml:space="preserve">156</w:t>
            </w:r>
          </w:p>
        </w:tc>
        <w:tc>
          <w:tcPr>
            <w:shd w:fill="ffffff" w:val="clear"/>
          </w:tcPr>
          <w:p w:rsidR="00000000" w:rsidDel="00000000" w:rsidP="00000000" w:rsidRDefault="00000000" w:rsidRPr="00000000" w14:paraId="0000018C">
            <w:pPr>
              <w:spacing w:line="360" w:lineRule="auto"/>
              <w:ind w:left="60" w:right="60" w:firstLine="0"/>
              <w:rPr>
                <w:sz w:val="18"/>
                <w:szCs w:val="18"/>
              </w:rPr>
            </w:pPr>
            <w:r w:rsidDel="00000000" w:rsidR="00000000" w:rsidRPr="00000000">
              <w:rPr>
                <w:sz w:val="18"/>
                <w:szCs w:val="18"/>
                <w:rtl w:val="0"/>
              </w:rPr>
              <w:t xml:space="preserve">.000</w:t>
            </w:r>
          </w:p>
        </w:tc>
        <w:tc>
          <w:tcPr>
            <w:shd w:fill="ffffff" w:val="clear"/>
          </w:tcPr>
          <w:p w:rsidR="00000000" w:rsidDel="00000000" w:rsidP="00000000" w:rsidRDefault="00000000" w:rsidRPr="00000000" w14:paraId="0000018D">
            <w:pPr>
              <w:spacing w:line="360" w:lineRule="auto"/>
              <w:ind w:left="60" w:right="60" w:firstLine="0"/>
              <w:rPr>
                <w:sz w:val="18"/>
                <w:szCs w:val="18"/>
              </w:rPr>
            </w:pPr>
            <w:r w:rsidDel="00000000" w:rsidR="00000000" w:rsidRPr="00000000">
              <w:rPr>
                <w:sz w:val="18"/>
                <w:szCs w:val="18"/>
                <w:rtl w:val="0"/>
              </w:rPr>
              <w:t xml:space="preserve">1.446</w:t>
            </w:r>
          </w:p>
        </w:tc>
        <w:tc>
          <w:tcPr>
            <w:shd w:fill="ffffff" w:val="clear"/>
          </w:tcPr>
          <w:p w:rsidR="00000000" w:rsidDel="00000000" w:rsidP="00000000" w:rsidRDefault="00000000" w:rsidRPr="00000000" w14:paraId="0000018E">
            <w:pPr>
              <w:spacing w:line="360" w:lineRule="auto"/>
              <w:ind w:left="60" w:right="60" w:firstLine="0"/>
              <w:rPr>
                <w:sz w:val="18"/>
                <w:szCs w:val="18"/>
              </w:rPr>
            </w:pPr>
            <w:r w:rsidDel="00000000" w:rsidR="00000000" w:rsidRPr="00000000">
              <w:rPr>
                <w:sz w:val="18"/>
                <w:szCs w:val="18"/>
                <w:rtl w:val="0"/>
              </w:rPr>
              <w:t xml:space="preserve">1.36</w:t>
            </w:r>
          </w:p>
        </w:tc>
        <w:tc>
          <w:tcPr>
            <w:shd w:fill="ffffff" w:val="clear"/>
          </w:tcPr>
          <w:p w:rsidR="00000000" w:rsidDel="00000000" w:rsidP="00000000" w:rsidRDefault="00000000" w:rsidRPr="00000000" w14:paraId="0000018F">
            <w:pPr>
              <w:spacing w:line="360" w:lineRule="auto"/>
              <w:ind w:left="60" w:right="60" w:firstLine="0"/>
              <w:rPr>
                <w:sz w:val="18"/>
                <w:szCs w:val="18"/>
              </w:rPr>
            </w:pPr>
            <w:r w:rsidDel="00000000" w:rsidR="00000000" w:rsidRPr="00000000">
              <w:rPr>
                <w:sz w:val="18"/>
                <w:szCs w:val="18"/>
                <w:rtl w:val="0"/>
              </w:rPr>
              <w:t xml:space="preserve">1.54</w:t>
            </w:r>
          </w:p>
        </w:tc>
      </w:tr>
      <w:tr>
        <w:trPr>
          <w:cantSplit w:val="1"/>
          <w:tblHeader w:val="0"/>
        </w:trPr>
        <w:tc>
          <w:tcPr>
            <w:tcBorders>
              <w:bottom w:color="000000" w:space="0" w:sz="4" w:val="single"/>
            </w:tcBorders>
          </w:tcPr>
          <w:p w:rsidR="00000000" w:rsidDel="00000000" w:rsidP="00000000" w:rsidRDefault="00000000" w:rsidRPr="00000000" w14:paraId="00000190">
            <w:pPr>
              <w:spacing w:line="360" w:lineRule="auto"/>
              <w:ind w:left="60" w:right="60" w:firstLine="0"/>
              <w:rPr>
                <w:color w:val="264a60"/>
                <w:sz w:val="18"/>
                <w:szCs w:val="18"/>
              </w:rPr>
            </w:pPr>
            <w:r w:rsidDel="00000000" w:rsidR="00000000" w:rsidRPr="00000000">
              <w:rPr>
                <w:sz w:val="18"/>
                <w:szCs w:val="18"/>
                <w:rtl w:val="0"/>
              </w:rPr>
              <w:t xml:space="preserve">phq9_total_score</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91">
            <w:pPr>
              <w:spacing w:line="360" w:lineRule="auto"/>
              <w:ind w:left="60" w:right="60" w:firstLine="0"/>
              <w:rPr>
                <w:color w:val="010205"/>
                <w:sz w:val="18"/>
                <w:szCs w:val="18"/>
              </w:rPr>
            </w:pPr>
            <w:r w:rsidDel="00000000" w:rsidR="00000000" w:rsidRPr="00000000">
              <w:rPr>
                <w:color w:val="010205"/>
                <w:sz w:val="18"/>
                <w:szCs w:val="18"/>
                <w:rtl w:val="0"/>
              </w:rPr>
              <w:t xml:space="preserve">50.507</w:t>
            </w:r>
          </w:p>
        </w:tc>
        <w:tc>
          <w:tcPr>
            <w:tcBorders>
              <w:bottom w:color="000000" w:space="0" w:sz="4" w:val="single"/>
            </w:tcBorders>
            <w:shd w:fill="ffffff" w:val="clear"/>
          </w:tcPr>
          <w:p w:rsidR="00000000" w:rsidDel="00000000" w:rsidP="00000000" w:rsidRDefault="00000000" w:rsidRPr="00000000" w14:paraId="00000192">
            <w:pPr>
              <w:spacing w:line="360" w:lineRule="auto"/>
              <w:ind w:left="60" w:right="60" w:firstLine="0"/>
              <w:rPr>
                <w:color w:val="010205"/>
                <w:sz w:val="18"/>
                <w:szCs w:val="18"/>
              </w:rPr>
            </w:pPr>
            <w:r w:rsidDel="00000000" w:rsidR="00000000" w:rsidRPr="00000000">
              <w:rPr>
                <w:color w:val="010205"/>
                <w:sz w:val="18"/>
                <w:szCs w:val="18"/>
                <w:rtl w:val="0"/>
              </w:rPr>
              <w:t xml:space="preserve">156</w:t>
            </w:r>
          </w:p>
        </w:tc>
        <w:tc>
          <w:tcPr>
            <w:tcBorders>
              <w:bottom w:color="000000" w:space="0" w:sz="4" w:val="single"/>
            </w:tcBorders>
            <w:shd w:fill="ffffff" w:val="clear"/>
          </w:tcPr>
          <w:p w:rsidR="00000000" w:rsidDel="00000000" w:rsidP="00000000" w:rsidRDefault="00000000" w:rsidRPr="00000000" w14:paraId="00000193">
            <w:pPr>
              <w:spacing w:line="360" w:lineRule="auto"/>
              <w:ind w:left="60" w:right="60" w:firstLine="0"/>
              <w:rPr>
                <w:color w:val="010205"/>
                <w:sz w:val="18"/>
                <w:szCs w:val="18"/>
              </w:rPr>
            </w:pPr>
            <w:r w:rsidDel="00000000" w:rsidR="00000000" w:rsidRPr="00000000">
              <w:rPr>
                <w:color w:val="010205"/>
                <w:sz w:val="18"/>
                <w:szCs w:val="18"/>
                <w:rtl w:val="0"/>
              </w:rPr>
              <w:t xml:space="preserve">.000</w:t>
            </w:r>
          </w:p>
        </w:tc>
        <w:tc>
          <w:tcPr>
            <w:tcBorders>
              <w:bottom w:color="000000" w:space="0" w:sz="4" w:val="single"/>
            </w:tcBorders>
            <w:shd w:fill="ffffff" w:val="clear"/>
          </w:tcPr>
          <w:p w:rsidR="00000000" w:rsidDel="00000000" w:rsidP="00000000" w:rsidRDefault="00000000" w:rsidRPr="00000000" w14:paraId="00000194">
            <w:pPr>
              <w:spacing w:line="360" w:lineRule="auto"/>
              <w:ind w:left="60" w:right="60" w:firstLine="0"/>
              <w:rPr>
                <w:color w:val="010205"/>
                <w:sz w:val="18"/>
                <w:szCs w:val="18"/>
              </w:rPr>
            </w:pPr>
            <w:r w:rsidDel="00000000" w:rsidR="00000000" w:rsidRPr="00000000">
              <w:rPr>
                <w:color w:val="010205"/>
                <w:sz w:val="18"/>
                <w:szCs w:val="18"/>
                <w:rtl w:val="0"/>
              </w:rPr>
              <w:t xml:space="preserve">24.02548</w:t>
            </w:r>
          </w:p>
        </w:tc>
        <w:tc>
          <w:tcPr>
            <w:tcBorders>
              <w:bottom w:color="000000" w:space="0" w:sz="4" w:val="single"/>
            </w:tcBorders>
            <w:shd w:fill="ffffff" w:val="clear"/>
          </w:tcPr>
          <w:p w:rsidR="00000000" w:rsidDel="00000000" w:rsidP="00000000" w:rsidRDefault="00000000" w:rsidRPr="00000000" w14:paraId="00000195">
            <w:pPr>
              <w:spacing w:line="360" w:lineRule="auto"/>
              <w:ind w:left="60" w:right="60" w:firstLine="0"/>
              <w:rPr>
                <w:color w:val="010205"/>
                <w:sz w:val="18"/>
                <w:szCs w:val="18"/>
              </w:rPr>
            </w:pPr>
            <w:r w:rsidDel="00000000" w:rsidR="00000000" w:rsidRPr="00000000">
              <w:rPr>
                <w:color w:val="010205"/>
                <w:sz w:val="18"/>
                <w:szCs w:val="18"/>
                <w:rtl w:val="0"/>
              </w:rPr>
              <w:t xml:space="preserve">23.0859</w:t>
            </w:r>
          </w:p>
        </w:tc>
        <w:tc>
          <w:tcPr>
            <w:tcBorders>
              <w:bottom w:color="000000" w:space="0" w:sz="4" w:val="single"/>
            </w:tcBorders>
            <w:shd w:fill="ffffff" w:val="clear"/>
          </w:tcPr>
          <w:p w:rsidR="00000000" w:rsidDel="00000000" w:rsidP="00000000" w:rsidRDefault="00000000" w:rsidRPr="00000000" w14:paraId="00000196">
            <w:pPr>
              <w:spacing w:line="360" w:lineRule="auto"/>
              <w:ind w:left="60" w:right="60" w:firstLine="0"/>
              <w:rPr>
                <w:color w:val="010205"/>
                <w:sz w:val="18"/>
                <w:szCs w:val="18"/>
              </w:rPr>
            </w:pPr>
            <w:r w:rsidDel="00000000" w:rsidR="00000000" w:rsidRPr="00000000">
              <w:rPr>
                <w:color w:val="010205"/>
                <w:sz w:val="18"/>
                <w:szCs w:val="18"/>
                <w:rtl w:val="0"/>
              </w:rPr>
              <w:t xml:space="preserve">24.9651</w:t>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variable “What is your sex” was numerically coded as 1 = Male, 2 = Female.</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mean of 1.446 suggests a higher proportion of females in the sample.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p-value (.000) shows this mean is significantly different from 0, but since 0 isn’t a valid category, this test mainly confirms that the sex variable has a meaningful distribution.</w:t>
      </w:r>
    </w:p>
    <w:p w:rsidR="00000000" w:rsidDel="00000000" w:rsidP="00000000" w:rsidRDefault="00000000" w:rsidRPr="00000000" w14:paraId="0000019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pStyle w:val="Heading2"/>
        <w:rPr/>
      </w:pPr>
      <w:bookmarkStart w:colFirst="0" w:colLast="0" w:name="_dl0sbjlfaiu6" w:id="37"/>
      <w:bookmarkEnd w:id="37"/>
      <w:r w:rsidDel="00000000" w:rsidR="00000000" w:rsidRPr="00000000">
        <w:rPr>
          <w:rtl w:val="0"/>
        </w:rPr>
        <w:t xml:space="preserve">4.6 CORRELATION RESULTS BETWEEN SPIRITUAL WELL BEING AND MENTAL ILLNESS</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7"/>
        <w:tblW w:w="7980.0" w:type="dxa"/>
        <w:jc w:val="left"/>
        <w:tblInd w:w="96.0" w:type="dxa"/>
        <w:tblLayout w:type="fixed"/>
        <w:tblLook w:val="0400"/>
      </w:tblPr>
      <w:tblGrid>
        <w:gridCol w:w="1869"/>
        <w:gridCol w:w="1310"/>
        <w:gridCol w:w="876"/>
        <w:gridCol w:w="1976"/>
        <w:gridCol w:w="1949"/>
        <w:tblGridChange w:id="0">
          <w:tblGrid>
            <w:gridCol w:w="1869"/>
            <w:gridCol w:w="1310"/>
            <w:gridCol w:w="876"/>
            <w:gridCol w:w="1976"/>
            <w:gridCol w:w="1949"/>
          </w:tblGrid>
        </w:tblGridChange>
      </w:tblGrid>
      <w:tr>
        <w:trPr>
          <w:cantSplit w:val="0"/>
          <w:trHeight w:val="654" w:hRule="atLeast"/>
          <w:tblHeader w:val="0"/>
        </w:trPr>
        <w:tc>
          <w:tcPr>
            <w:gridSpan w:val="2"/>
            <w:tcBorders>
              <w:top w:color="000000" w:space="0" w:sz="4" w:val="single"/>
              <w:left w:color="000000" w:space="0" w:sz="0" w:val="nil"/>
              <w:bottom w:color="000000" w:space="0" w:sz="4" w:val="single"/>
            </w:tcBorders>
            <w:shd w:fill="ffffff" w:val="clear"/>
            <w:vAlign w:val="center"/>
          </w:tcPr>
          <w:p w:rsidR="00000000" w:rsidDel="00000000" w:rsidP="00000000" w:rsidRDefault="00000000" w:rsidRPr="00000000" w14:paraId="0000019D">
            <w:pPr>
              <w:spacing w:line="36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9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swbs</w:t>
            </w:r>
          </w:p>
        </w:tc>
        <w:tc>
          <w:tcPr>
            <w:tcBorders>
              <w:top w:color="000000" w:space="0" w:sz="4" w:val="single"/>
              <w:bottom w:color="000000" w:space="0" w:sz="4" w:val="single"/>
            </w:tcBorders>
            <w:shd w:fill="ffffff" w:val="clear"/>
            <w:vAlign w:val="bottom"/>
          </w:tcPr>
          <w:p w:rsidR="00000000" w:rsidDel="00000000" w:rsidP="00000000" w:rsidRDefault="00000000" w:rsidRPr="00000000" w14:paraId="000001A0">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phq9_total_score</w:t>
            </w:r>
          </w:p>
        </w:tc>
        <w:tc>
          <w:tcPr>
            <w:tcBorders>
              <w:top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1A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gad7_total_score</w:t>
            </w:r>
          </w:p>
        </w:tc>
      </w:tr>
      <w:tr>
        <w:trPr>
          <w:cantSplit w:val="0"/>
          <w:trHeight w:val="966" w:hRule="atLeast"/>
          <w:tblHeader w:val="0"/>
        </w:trPr>
        <w:tc>
          <w:tcPr>
            <w:tcBorders>
              <w:top w:color="000000" w:space="0" w:sz="4" w:val="single"/>
              <w:left w:color="000000" w:space="0" w:sz="0" w:val="nil"/>
            </w:tcBorders>
          </w:tcPr>
          <w:p w:rsidR="00000000" w:rsidDel="00000000" w:rsidP="00000000" w:rsidRDefault="00000000" w:rsidRPr="00000000" w14:paraId="000001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swbs</w:t>
            </w:r>
          </w:p>
        </w:tc>
        <w:tc>
          <w:tcPr>
            <w:tcBorders>
              <w:top w:color="000000" w:space="0" w:sz="4" w:val="single"/>
            </w:tcBorders>
          </w:tcPr>
          <w:p w:rsidR="00000000" w:rsidDel="00000000" w:rsidP="00000000" w:rsidRDefault="00000000" w:rsidRPr="00000000" w14:paraId="000001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Correlation</w:t>
            </w:r>
          </w:p>
        </w:tc>
        <w:tc>
          <w:tcPr>
            <w:tcBorders>
              <w:top w:color="000000" w:space="0" w:sz="4" w:val="single"/>
            </w:tcBorders>
            <w:shd w:fill="ffffff" w:val="clear"/>
          </w:tcPr>
          <w:p w:rsidR="00000000" w:rsidDel="00000000" w:rsidP="00000000" w:rsidRDefault="00000000" w:rsidRPr="00000000" w14:paraId="000001A4">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w:t>
            </w:r>
          </w:p>
        </w:tc>
        <w:tc>
          <w:tcPr>
            <w:tcBorders>
              <w:top w:color="000000" w:space="0" w:sz="4" w:val="single"/>
            </w:tcBorders>
            <w:shd w:fill="ffffff" w:val="clear"/>
          </w:tcPr>
          <w:p w:rsidR="00000000" w:rsidDel="00000000" w:rsidP="00000000" w:rsidRDefault="00000000" w:rsidRPr="00000000" w14:paraId="000001A5">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-.321</w:t>
            </w:r>
            <w:r w:rsidDel="00000000" w:rsidR="00000000" w:rsidRPr="00000000">
              <w:rPr>
                <w:rFonts w:ascii="Times New Roman" w:cs="Times New Roman" w:eastAsia="Times New Roman" w:hAnsi="Times New Roman"/>
                <w:color w:val="010205"/>
                <w:sz w:val="24"/>
                <w:szCs w:val="24"/>
                <w:u w:val="none"/>
                <w:vertAlign w:val="superscript"/>
                <w:rtl w:val="0"/>
              </w:rPr>
              <w:t xml:space="preserve">**</w:t>
            </w:r>
            <w:r w:rsidDel="00000000" w:rsidR="00000000" w:rsidRPr="00000000">
              <w:rPr>
                <w:rtl w:val="0"/>
              </w:rPr>
            </w:r>
          </w:p>
        </w:tc>
        <w:tc>
          <w:tcPr>
            <w:tcBorders>
              <w:top w:color="000000" w:space="0" w:sz="4" w:val="single"/>
              <w:right w:color="000000" w:space="0" w:sz="0" w:val="nil"/>
            </w:tcBorders>
            <w:shd w:fill="ffffff" w:val="clear"/>
          </w:tcPr>
          <w:p w:rsidR="00000000" w:rsidDel="00000000" w:rsidP="00000000" w:rsidRDefault="00000000" w:rsidRPr="00000000" w14:paraId="000001A6">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-.315</w:t>
            </w:r>
            <w:r w:rsidDel="00000000" w:rsidR="00000000" w:rsidRPr="00000000">
              <w:rPr>
                <w:rFonts w:ascii="Times New Roman" w:cs="Times New Roman" w:eastAsia="Times New Roman" w:hAnsi="Times New Roman"/>
                <w:color w:val="010205"/>
                <w:sz w:val="24"/>
                <w:szCs w:val="24"/>
                <w:u w:val="none"/>
                <w:vertAlign w:val="superscript"/>
                <w:rtl w:val="0"/>
              </w:rPr>
              <w:t xml:space="preserve">**</w:t>
            </w:r>
            <w:r w:rsidDel="00000000" w:rsidR="00000000" w:rsidRPr="00000000">
              <w:rPr>
                <w:rtl w:val="0"/>
              </w:rPr>
            </w:r>
          </w:p>
        </w:tc>
      </w:tr>
      <w:tr>
        <w:trPr>
          <w:cantSplit w:val="0"/>
          <w:trHeight w:val="639" w:hRule="atLeast"/>
          <w:tblHeader w:val="0"/>
        </w:trPr>
        <w:tc>
          <w:tcPr>
            <w:tcBorders>
              <w:top w:color="000000" w:space="0" w:sz="0" w:val="nil"/>
              <w:left w:color="000000" w:space="0" w:sz="0" w:val="nil"/>
            </w:tcBorders>
            <w:vAlign w:val="center"/>
          </w:tcPr>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1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(2-tailed)</w:t>
            </w:r>
          </w:p>
        </w:tc>
        <w:tc>
          <w:tcPr>
            <w:tcBorders>
              <w:top w:color="000000" w:space="0" w:sz="0" w:val="nil"/>
            </w:tcBorders>
            <w:shd w:fill="ffffff" w:val="clear"/>
            <w:vAlign w:val="center"/>
          </w:tcPr>
          <w:p w:rsidR="00000000" w:rsidDel="00000000" w:rsidP="00000000" w:rsidRDefault="00000000" w:rsidRPr="00000000" w14:paraId="000001A9">
            <w:pPr>
              <w:spacing w:line="36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AA">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w:t>
            </w:r>
          </w:p>
        </w:tc>
        <w:tc>
          <w:tcPr>
            <w:tcBorders>
              <w:top w:color="000000" w:space="0" w:sz="0" w:val="nil"/>
              <w:right w:color="000000" w:space="0" w:sz="0" w:val="nil"/>
            </w:tcBorders>
            <w:shd w:fill="ffffff" w:val="clear"/>
          </w:tcPr>
          <w:p w:rsidR="00000000" w:rsidDel="00000000" w:rsidP="00000000" w:rsidRDefault="00000000" w:rsidRPr="00000000" w14:paraId="000001AB">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w:t>
            </w:r>
          </w:p>
        </w:tc>
      </w:tr>
      <w:tr>
        <w:trPr>
          <w:cantSplit w:val="0"/>
          <w:trHeight w:val="327"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1AC">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bottom w:color="000000" w:space="0" w:sz="0" w:val="nil"/>
            </w:tcBorders>
            <w:shd w:fill="ffffff" w:val="clear"/>
          </w:tcPr>
          <w:p w:rsidR="00000000" w:rsidDel="00000000" w:rsidP="00000000" w:rsidRDefault="00000000" w:rsidRPr="00000000" w14:paraId="000001AE">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tcBorders>
              <w:top w:color="000000" w:space="0" w:sz="0" w:val="nil"/>
              <w:bottom w:color="000000" w:space="0" w:sz="0" w:val="nil"/>
            </w:tcBorders>
            <w:shd w:fill="ffffff" w:val="clear"/>
          </w:tcPr>
          <w:p w:rsidR="00000000" w:rsidDel="00000000" w:rsidP="00000000" w:rsidRDefault="00000000" w:rsidRPr="00000000" w14:paraId="000001AF">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1B0">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r>
      <w:tr>
        <w:trPr>
          <w:cantSplit w:val="0"/>
          <w:trHeight w:val="951" w:hRule="atLeast"/>
          <w:tblHeader w:val="0"/>
        </w:trPr>
        <w:tc>
          <w:tcPr>
            <w:tcBorders>
              <w:left w:color="000000" w:space="0" w:sz="0" w:val="nil"/>
            </w:tcBorders>
          </w:tcPr>
          <w:p w:rsidR="00000000" w:rsidDel="00000000" w:rsidP="00000000" w:rsidRDefault="00000000" w:rsidRPr="00000000" w14:paraId="000001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phq9_total_score</w:t>
            </w:r>
          </w:p>
        </w:tc>
        <w:tc>
          <w:tcPr/>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Correlation</w:t>
            </w:r>
          </w:p>
        </w:tc>
        <w:tc>
          <w:tcPr>
            <w:shd w:fill="ffffff" w:val="clear"/>
          </w:tcPr>
          <w:p w:rsidR="00000000" w:rsidDel="00000000" w:rsidP="00000000" w:rsidRDefault="00000000" w:rsidRPr="00000000" w14:paraId="000001B3">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-.321</w:t>
            </w:r>
            <w:r w:rsidDel="00000000" w:rsidR="00000000" w:rsidRPr="00000000">
              <w:rPr>
                <w:rFonts w:ascii="Times New Roman" w:cs="Times New Roman" w:eastAsia="Times New Roman" w:hAnsi="Times New Roman"/>
                <w:color w:val="010205"/>
                <w:sz w:val="24"/>
                <w:szCs w:val="24"/>
                <w:u w:val="none"/>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B4">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w:t>
            </w:r>
          </w:p>
        </w:tc>
        <w:tc>
          <w:tcPr>
            <w:tcBorders>
              <w:right w:color="000000" w:space="0" w:sz="0" w:val="nil"/>
            </w:tcBorders>
            <w:shd w:fill="ffffff" w:val="clear"/>
          </w:tcPr>
          <w:p w:rsidR="00000000" w:rsidDel="00000000" w:rsidP="00000000" w:rsidRDefault="00000000" w:rsidRPr="00000000" w14:paraId="000001B5">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.835</w:t>
            </w:r>
            <w:r w:rsidDel="00000000" w:rsidR="00000000" w:rsidRPr="00000000">
              <w:rPr>
                <w:rFonts w:ascii="Times New Roman" w:cs="Times New Roman" w:eastAsia="Times New Roman" w:hAnsi="Times New Roman"/>
                <w:color w:val="010205"/>
                <w:sz w:val="24"/>
                <w:szCs w:val="24"/>
                <w:u w:val="none"/>
                <w:vertAlign w:val="superscript"/>
                <w:rtl w:val="0"/>
              </w:rPr>
              <w:t xml:space="preserve">**</w:t>
            </w:r>
            <w:r w:rsidDel="00000000" w:rsidR="00000000" w:rsidRPr="00000000">
              <w:rPr>
                <w:rtl w:val="0"/>
              </w:rPr>
            </w:r>
          </w:p>
        </w:tc>
      </w:tr>
      <w:tr>
        <w:trPr>
          <w:cantSplit w:val="0"/>
          <w:trHeight w:val="639" w:hRule="atLeast"/>
          <w:tblHeader w:val="0"/>
        </w:trPr>
        <w:tc>
          <w:tcPr>
            <w:tcBorders>
              <w:left w:color="000000" w:space="0" w:sz="0" w:val="nil"/>
            </w:tcBorders>
            <w:vAlign w:val="center"/>
          </w:tcPr>
          <w:p w:rsidR="00000000" w:rsidDel="00000000" w:rsidP="00000000" w:rsidRDefault="00000000" w:rsidRPr="00000000" w14:paraId="000001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(2-tailed)</w:t>
            </w:r>
          </w:p>
        </w:tc>
        <w:tc>
          <w:tcPr>
            <w:shd w:fill="ffffff" w:val="clear"/>
          </w:tcPr>
          <w:p w:rsidR="00000000" w:rsidDel="00000000" w:rsidP="00000000" w:rsidRDefault="00000000" w:rsidRPr="00000000" w14:paraId="000001B8">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w:t>
            </w:r>
          </w:p>
        </w:tc>
        <w:tc>
          <w:tcPr>
            <w:shd w:fill="ffffff" w:val="clear"/>
            <w:vAlign w:val="center"/>
          </w:tcPr>
          <w:p w:rsidR="00000000" w:rsidDel="00000000" w:rsidP="00000000" w:rsidRDefault="00000000" w:rsidRPr="00000000" w14:paraId="000001B9">
            <w:pPr>
              <w:spacing w:line="360" w:lineRule="auto"/>
              <w:rPr>
                <w:rFonts w:ascii="Times New Roman" w:cs="Times New Roman" w:eastAsia="Times New Roman" w:hAnsi="Times New Roman"/>
                <w:color w:val="000000"/>
                <w:sz w:val="24"/>
                <w:szCs w:val="24"/>
              </w:rPr>
            </w:pPr>
            <w:r w:rsidDel="00000000" w:rsidR="00000000" w:rsidRPr="00000000">
              <w:rPr>
                <w:rtl w:val="0"/>
              </w:rPr>
            </w:r>
          </w:p>
        </w:tc>
        <w:tc>
          <w:tcPr>
            <w:tcBorders>
              <w:right w:color="000000" w:space="0" w:sz="0" w:val="nil"/>
            </w:tcBorders>
            <w:shd w:fill="ffffff" w:val="clear"/>
          </w:tcPr>
          <w:p w:rsidR="00000000" w:rsidDel="00000000" w:rsidP="00000000" w:rsidRDefault="00000000" w:rsidRPr="00000000" w14:paraId="000001BA">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w:t>
            </w:r>
          </w:p>
        </w:tc>
      </w:tr>
      <w:tr>
        <w:trPr>
          <w:cantSplit w:val="0"/>
          <w:trHeight w:val="327" w:hRule="atLeast"/>
          <w:tblHeader w:val="0"/>
        </w:trPr>
        <w:tc>
          <w:tcPr>
            <w:tcBorders>
              <w:left w:color="000000" w:space="0" w:sz="0" w:val="nil"/>
              <w:bottom w:color="000000" w:space="0" w:sz="0" w:val="nil"/>
            </w:tcBorders>
            <w:vAlign w:val="center"/>
          </w:tcPr>
          <w:p w:rsidR="00000000" w:rsidDel="00000000" w:rsidP="00000000" w:rsidRDefault="00000000" w:rsidRPr="00000000" w14:paraId="000001BB">
            <w:pPr>
              <w:spacing w:line="36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1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bottom w:color="000000" w:space="0" w:sz="0" w:val="nil"/>
            </w:tcBorders>
            <w:shd w:fill="ffffff" w:val="clear"/>
          </w:tcPr>
          <w:p w:rsidR="00000000" w:rsidDel="00000000" w:rsidP="00000000" w:rsidRDefault="00000000" w:rsidRPr="00000000" w14:paraId="000001BD">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tcBorders>
              <w:bottom w:color="000000" w:space="0" w:sz="0" w:val="nil"/>
            </w:tcBorders>
            <w:shd w:fill="ffffff" w:val="clear"/>
          </w:tcPr>
          <w:p w:rsidR="00000000" w:rsidDel="00000000" w:rsidP="00000000" w:rsidRDefault="00000000" w:rsidRPr="00000000" w14:paraId="000001BE">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tcBorders>
              <w:bottom w:color="000000" w:space="0" w:sz="0" w:val="nil"/>
              <w:right w:color="000000" w:space="0" w:sz="0" w:val="nil"/>
            </w:tcBorders>
            <w:shd w:fill="ffffff" w:val="clear"/>
          </w:tcPr>
          <w:p w:rsidR="00000000" w:rsidDel="00000000" w:rsidP="00000000" w:rsidRDefault="00000000" w:rsidRPr="00000000" w14:paraId="000001BF">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r>
      <w:tr>
        <w:trPr>
          <w:cantSplit w:val="0"/>
          <w:trHeight w:val="951" w:hRule="atLeast"/>
          <w:tblHeader w:val="0"/>
        </w:trPr>
        <w:tc>
          <w:tcPr>
            <w:tcBorders>
              <w:left w:color="000000" w:space="0" w:sz="0" w:val="nil"/>
            </w:tcBorders>
          </w:tcPr>
          <w:p w:rsidR="00000000" w:rsidDel="00000000" w:rsidP="00000000" w:rsidRDefault="00000000" w:rsidRPr="00000000" w14:paraId="000001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gad7_total_score</w:t>
            </w:r>
          </w:p>
        </w:tc>
        <w:tc>
          <w:tcPr/>
          <w:p w:rsidR="00000000" w:rsidDel="00000000" w:rsidP="00000000" w:rsidRDefault="00000000" w:rsidRPr="00000000" w14:paraId="000001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Correlation</w:t>
            </w:r>
          </w:p>
        </w:tc>
        <w:tc>
          <w:tcPr>
            <w:shd w:fill="ffffff" w:val="clear"/>
          </w:tcPr>
          <w:p w:rsidR="00000000" w:rsidDel="00000000" w:rsidP="00000000" w:rsidRDefault="00000000" w:rsidRPr="00000000" w14:paraId="000001C2">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-.315</w:t>
            </w:r>
            <w:r w:rsidDel="00000000" w:rsidR="00000000" w:rsidRPr="00000000">
              <w:rPr>
                <w:rFonts w:ascii="Times New Roman" w:cs="Times New Roman" w:eastAsia="Times New Roman" w:hAnsi="Times New Roman"/>
                <w:color w:val="010205"/>
                <w:sz w:val="24"/>
                <w:szCs w:val="24"/>
                <w:u w:val="none"/>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C3">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.835</w:t>
            </w:r>
            <w:r w:rsidDel="00000000" w:rsidR="00000000" w:rsidRPr="00000000">
              <w:rPr>
                <w:rFonts w:ascii="Times New Roman" w:cs="Times New Roman" w:eastAsia="Times New Roman" w:hAnsi="Times New Roman"/>
                <w:color w:val="010205"/>
                <w:sz w:val="24"/>
                <w:szCs w:val="24"/>
                <w:u w:val="none"/>
                <w:vertAlign w:val="superscript"/>
                <w:rtl w:val="0"/>
              </w:rPr>
              <w:t xml:space="preserve">**</w:t>
            </w:r>
            <w:r w:rsidDel="00000000" w:rsidR="00000000" w:rsidRPr="00000000">
              <w:rPr>
                <w:rtl w:val="0"/>
              </w:rPr>
            </w:r>
          </w:p>
        </w:tc>
        <w:tc>
          <w:tcPr>
            <w:tcBorders>
              <w:right w:color="000000" w:space="0" w:sz="0" w:val="nil"/>
            </w:tcBorders>
            <w:shd w:fill="ffffff" w:val="clear"/>
          </w:tcPr>
          <w:p w:rsidR="00000000" w:rsidDel="00000000" w:rsidP="00000000" w:rsidRDefault="00000000" w:rsidRPr="00000000" w14:paraId="000001C4">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w:t>
            </w:r>
          </w:p>
        </w:tc>
      </w:tr>
      <w:tr>
        <w:trPr>
          <w:cantSplit w:val="0"/>
          <w:trHeight w:val="639" w:hRule="atLeast"/>
          <w:tblHeader w:val="0"/>
        </w:trPr>
        <w:tc>
          <w:tcPr>
            <w:tcBorders>
              <w:top w:color="000000" w:space="0" w:sz="0" w:val="nil"/>
              <w:left w:color="000000" w:space="0" w:sz="0" w:val="nil"/>
            </w:tcBorders>
            <w:vAlign w:val="center"/>
          </w:tcPr>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(2-tailed)</w:t>
            </w:r>
          </w:p>
        </w:tc>
        <w:tc>
          <w:tcPr>
            <w:tcBorders>
              <w:top w:color="000000" w:space="0" w:sz="0" w:val="nil"/>
            </w:tcBorders>
            <w:shd w:fill="ffffff" w:val="clear"/>
          </w:tcPr>
          <w:p w:rsidR="00000000" w:rsidDel="00000000" w:rsidP="00000000" w:rsidRDefault="00000000" w:rsidRPr="00000000" w14:paraId="000001C7">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w:t>
            </w:r>
          </w:p>
        </w:tc>
        <w:tc>
          <w:tcPr>
            <w:tcBorders>
              <w:top w:color="000000" w:space="0" w:sz="0" w:val="nil"/>
            </w:tcBorders>
            <w:shd w:fill="ffffff" w:val="clear"/>
          </w:tcPr>
          <w:p w:rsidR="00000000" w:rsidDel="00000000" w:rsidP="00000000" w:rsidRDefault="00000000" w:rsidRPr="00000000" w14:paraId="000001C8">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w:t>
            </w:r>
          </w:p>
        </w:tc>
        <w:tc>
          <w:tcPr>
            <w:tcBorders>
              <w:top w:color="000000" w:space="0" w:sz="0" w:val="nil"/>
              <w:right w:color="000000" w:space="0" w:sz="0" w:val="nil"/>
            </w:tcBorders>
            <w:shd w:fill="ffffff" w:val="clear"/>
            <w:vAlign w:val="center"/>
          </w:tcPr>
          <w:p w:rsidR="00000000" w:rsidDel="00000000" w:rsidP="00000000" w:rsidRDefault="00000000" w:rsidRPr="00000000" w14:paraId="000001C9">
            <w:pPr>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27" w:hRule="atLeast"/>
          <w:tblHeader w:val="0"/>
        </w:trPr>
        <w:tc>
          <w:tcPr>
            <w:tcBorders>
              <w:top w:color="000000" w:space="0" w:sz="0" w:val="nil"/>
              <w:left w:color="000000" w:space="0" w:sz="0" w:val="nil"/>
            </w:tcBorders>
            <w:vAlign w:val="center"/>
          </w:tcPr>
          <w:p w:rsidR="00000000" w:rsidDel="00000000" w:rsidP="00000000" w:rsidRDefault="00000000" w:rsidRPr="00000000" w14:paraId="000001CA">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bottom w:color="000000" w:space="0" w:sz="4" w:val="single"/>
            </w:tcBorders>
            <w:shd w:fill="ffffff" w:val="clear"/>
          </w:tcPr>
          <w:p w:rsidR="00000000" w:rsidDel="00000000" w:rsidP="00000000" w:rsidRDefault="00000000" w:rsidRPr="00000000" w14:paraId="000001CC">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tcBorders>
              <w:top w:color="000000" w:space="0" w:sz="0" w:val="nil"/>
              <w:bottom w:color="000000" w:space="0" w:sz="4" w:val="single"/>
            </w:tcBorders>
            <w:shd w:fill="ffffff" w:val="clear"/>
          </w:tcPr>
          <w:p w:rsidR="00000000" w:rsidDel="00000000" w:rsidP="00000000" w:rsidRDefault="00000000" w:rsidRPr="00000000" w14:paraId="000001CD">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c>
          <w:tcPr>
            <w:tcBorders>
              <w:top w:color="000000" w:space="0" w:sz="0" w:val="nil"/>
              <w:bottom w:color="000000" w:space="0" w:sz="4" w:val="single"/>
              <w:right w:color="000000" w:space="0" w:sz="0" w:val="nil"/>
            </w:tcBorders>
            <w:shd w:fill="ffffff" w:val="clear"/>
          </w:tcPr>
          <w:p w:rsidR="00000000" w:rsidDel="00000000" w:rsidP="00000000" w:rsidRDefault="00000000" w:rsidRPr="00000000" w14:paraId="000001CE">
            <w:pPr>
              <w:spacing w:line="360" w:lineRule="auto"/>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157</w:t>
            </w:r>
          </w:p>
        </w:tc>
      </w:tr>
    </w:tbl>
    <w:p w:rsidR="00000000" w:rsidDel="00000000" w:rsidP="00000000" w:rsidRDefault="00000000" w:rsidRPr="00000000" w14:paraId="000001C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:Subjective well-being (swbs), depression symptoms (PHQ-9 total), anxiety symptoms (GAD-7 total).</w:t>
      </w:r>
    </w:p>
    <w:p w:rsidR="00000000" w:rsidDel="00000000" w:rsidP="00000000" w:rsidRDefault="00000000" w:rsidRPr="00000000" w14:paraId="000001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N = 157 for all correlations.</w:t>
      </w:r>
    </w:p>
    <w:p w:rsidR="00000000" w:rsidDel="00000000" w:rsidP="00000000" w:rsidRDefault="00000000" w:rsidRPr="00000000" w14:paraId="000001D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correlations (two-tailed):</w:t>
      </w:r>
    </w:p>
    <w:p w:rsidR="00000000" w:rsidDel="00000000" w:rsidP="00000000" w:rsidRDefault="00000000" w:rsidRPr="00000000" w14:paraId="000001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swbs – PHQ-9: r = −0.321, p &lt; .001, indicating a small-to-moderate negative association; higher depressive symptoms were associated with lower subjective well-being.</w:t>
      </w:r>
    </w:p>
    <w:p w:rsidR="00000000" w:rsidDel="00000000" w:rsidP="00000000" w:rsidRDefault="00000000" w:rsidRPr="00000000" w14:paraId="000001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swbs – GAD-7: r = −0.315, p &lt; .001, indicating a small-to-moderate negative association; higher anxiety symptoms were associated with lower subjective well-being.</w:t>
      </w:r>
    </w:p>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PHQ-9 – GAD-7: r = 0.835, p &lt; .001, indicating a very strong positive association; depressive and anxiety symptom scores were highly correlated.</w:t>
      </w:r>
    </w:p>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note: All correlations were statistically significant at the 0.01 level (two-tailed).</w:t>
      </w:r>
    </w:p>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 interpretation: Depression and anxiety symptoms tended to co-occur strongly in this sample, and both were modestly associated with reduced subjective well-being, suggesting convergent emotional distress effects on well-being</w:t>
      </w:r>
    </w:p>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pStyle w:val="Heading2"/>
        <w:rPr/>
      </w:pPr>
      <w:bookmarkStart w:colFirst="0" w:colLast="0" w:name="_yv7wyn7e8heo" w:id="38"/>
      <w:bookmarkEnd w:id="38"/>
      <w:r w:rsidDel="00000000" w:rsidR="00000000" w:rsidRPr="00000000">
        <w:rPr>
          <w:rtl w:val="0"/>
        </w:rPr>
        <w:t xml:space="preserve">4.7 SPIRITUAL WELL-BEING AS A PROTECTIVE FACTOR AGAINST MENTAL ILLNESS.</w:t>
      </w:r>
    </w:p>
    <w:tbl>
      <w:tblPr>
        <w:tblStyle w:val="Table8"/>
        <w:tblW w:w="5843.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5"/>
        <w:gridCol w:w="1024"/>
        <w:gridCol w:w="1086"/>
        <w:gridCol w:w="1469"/>
        <w:gridCol w:w="1469"/>
        <w:tblGridChange w:id="0">
          <w:tblGrid>
            <w:gridCol w:w="795"/>
            <w:gridCol w:w="1024"/>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C">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b w:val="1"/>
                <w:bCs w:val="1"/>
                <w:color w:val="010205"/>
                <w:sz w:val="24"/>
                <w:szCs w:val="24"/>
                <w:rtl w:val="0"/>
              </w:rPr>
              <w:t xml:space="preserve">Model Summary</w:t>
            </w:r>
            <w:r w:rsidDel="00000000" w:rsidR="00000000" w:rsidRPr="00000000">
              <w:rPr>
                <w:rtl w:val="0"/>
              </w:rPr>
            </w:r>
          </w:p>
        </w:tc>
      </w:tr>
      <w:tr>
        <w:trPr>
          <w:cantSplit w:val="1"/>
          <w:tblHeader w:val="0"/>
        </w:trPr>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E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E2">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E3">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E4">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E5">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E7">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E8">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E9">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EA">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5.80147</w:t>
            </w:r>
          </w:p>
        </w:tc>
      </w:tr>
      <w:tr>
        <w:trPr>
          <w:cantSplit w:val="1"/>
          <w:tblHeader w:val="0"/>
        </w:trPr>
        <w:tc>
          <w:tcPr>
            <w:gridSpan w:val="5"/>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1EB">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a. Predictors: (Constant), rss_total_score</w:t>
            </w:r>
          </w:p>
        </w:tc>
      </w:tr>
    </w:tbl>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tabs>
          <w:tab w:val="right" w:leader="none" w:pos="9749"/>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9"/>
        <w:tblW w:w="8519.999999999998"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607"/>
        <w:gridCol w:w="1331"/>
        <w:gridCol w:w="1331"/>
        <w:gridCol w:w="1469"/>
        <w:gridCol w:w="1024"/>
        <w:gridCol w:w="1024"/>
        <w:tblGridChange w:id="0">
          <w:tblGrid>
            <w:gridCol w:w="734"/>
            <w:gridCol w:w="1607"/>
            <w:gridCol w:w="1331"/>
            <w:gridCol w:w="1331"/>
            <w:gridCol w:w="1469"/>
            <w:gridCol w:w="1024"/>
            <w:gridCol w:w="1024"/>
          </w:tblGrid>
        </w:tblGridChange>
      </w:tblGrid>
      <w:tr>
        <w:trPr>
          <w:cantSplit w:val="1"/>
          <w:trHeight w:val="95" w:hRule="atLeast"/>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4">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b w:val="1"/>
                <w:bCs w:val="1"/>
                <w:color w:val="010205"/>
                <w:sz w:val="24"/>
                <w:szCs w:val="24"/>
                <w:rtl w:val="0"/>
              </w:rPr>
              <w:t xml:space="preserve">Coefficients</w:t>
            </w:r>
            <w:r w:rsidDel="00000000" w:rsidR="00000000" w:rsidRPr="00000000">
              <w:rPr>
                <w:rFonts w:ascii="Times New Roman" w:cs="Times New Roman" w:eastAsia="Times New Roman" w:hAnsi="Times New Roman"/>
                <w:b w:val="1"/>
                <w:bCs w:val="1"/>
                <w:color w:val="010205"/>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B">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FD">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F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0">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4">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5">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9">
            <w:pPr>
              <w:spacing w:line="360" w:lineRule="auto"/>
              <w:ind w:left="60" w:right="60" w:firstLine="0"/>
              <w:rPr>
                <w:rFonts w:ascii="Times New Roman" w:cs="Times New Roman" w:eastAsia="Times New Roman" w:hAnsi="Times New Roman"/>
                <w:color w:val="264a60"/>
                <w:sz w:val="24"/>
                <w:szCs w:val="24"/>
              </w:rPr>
            </w:pPr>
            <w:r w:rsidDel="00000000" w:rsidR="00000000" w:rsidRPr="00000000">
              <w:rPr>
                <w:rFonts w:ascii="Times New Roman" w:cs="Times New Roman" w:eastAsia="Times New Roman" w:hAnsi="Times New Roman"/>
                <w:color w:val="264a60"/>
                <w:sz w:val="24"/>
                <w:szCs w:val="24"/>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A">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B">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19.495</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C">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E">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12.747</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rss_total_score</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2">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3">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4">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5">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3.108</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7">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a. Dependent Variable: phq9_total_score</w:t>
            </w:r>
          </w:p>
        </w:tc>
      </w:tr>
    </w:tbl>
    <w:p w:rsidR="00000000" w:rsidDel="00000000" w:rsidP="00000000" w:rsidRDefault="00000000" w:rsidRPr="00000000" w14:paraId="000002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0"/>
        <w:tblW w:w="7969.000000000001"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7"/>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0">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b w:val="1"/>
                <w:bCs w:val="1"/>
                <w:color w:val="010205"/>
                <w:sz w:val="24"/>
                <w:szCs w:val="24"/>
                <w:rtl w:val="0"/>
              </w:rPr>
              <w:t xml:space="preserve">ANOVA</w:t>
            </w:r>
            <w:r w:rsidDel="00000000" w:rsidR="00000000" w:rsidRPr="00000000">
              <w:rPr>
                <w:rFonts w:ascii="Times New Roman" w:cs="Times New Roman" w:eastAsia="Times New Roman" w:hAnsi="Times New Roman"/>
                <w:b w:val="1"/>
                <w:bCs w:val="1"/>
                <w:color w:val="010205"/>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27">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29">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 of Squares</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2A">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df</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2B">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Square</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2C">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2D">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w:t>
            </w:r>
          </w:p>
        </w:tc>
      </w:tr>
      <w:tr>
        <w:trPr>
          <w:cantSplit w:val="1"/>
          <w:tblHeader w:val="0"/>
        </w:trPr>
        <w:tc>
          <w:tcPr>
            <w:vMerge w:val="restart"/>
            <w:tcBorders>
              <w:top w:color="000000" w:space="0" w:sz="4" w:val="single"/>
              <w:left w:color="000000" w:space="0" w:sz="0" w:val="nil"/>
              <w:bottom w:color="152935" w:space="0" w:sz="8" w:val="single"/>
              <w:right w:color="000000" w:space="0" w:sz="0" w:val="nil"/>
            </w:tcBorders>
          </w:tcPr>
          <w:p w:rsidR="00000000" w:rsidDel="00000000" w:rsidP="00000000" w:rsidRDefault="00000000" w:rsidRPr="00000000" w14:paraId="0000022E">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2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30">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325.063</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3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32">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325.063</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33">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9.658</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34">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4" w:val="single"/>
              <w:left w:color="000000" w:space="0" w:sz="0" w:val="nil"/>
              <w:bottom w:color="152935" w:space="0" w:sz="8" w:val="single"/>
              <w:right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7">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5216.835</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8">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9">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33.657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4" w:val="single"/>
              <w:left w:color="000000" w:space="0" w:sz="0" w:val="nil"/>
              <w:bottom w:color="152935" w:space="0" w:sz="8" w:val="single"/>
              <w:right w:color="000000" w:space="0" w:sz="0" w:val="nil"/>
            </w:tcBorders>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D">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3E">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5541.898</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3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1">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43">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a. Dependent Variable: phq9_total_score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4A">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b. Predictors: (Constant), rss_total_score</w:t>
            </w:r>
          </w:p>
        </w:tc>
      </w:tr>
    </w:tbl>
    <w:p w:rsidR="00000000" w:rsidDel="00000000" w:rsidP="00000000" w:rsidRDefault="00000000" w:rsidRPr="00000000" w14:paraId="000002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results predicting PHQ-9 total score</w:t>
      </w:r>
    </w:p>
    <w:p w:rsidR="00000000" w:rsidDel="00000000" w:rsidP="00000000" w:rsidRDefault="00000000" w:rsidRPr="00000000" w14:paraId="000002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Dependent variable:PHQ-9 total score (N = 157).</w:t>
      </w:r>
    </w:p>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 intercept: B = 19.495, SE = 1.529, t = 12.747, p &lt; .001.</w:t>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Predictor (rss_total_score): Unstandardized B = 0.157, SE = 0.051, standardized β = 0.242, t = 3.108, p = .002.</w:t>
      </w:r>
    </w:p>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one-unit increase in rss_total_score was associated with a 0.157-point increase in PHQ-9 score. The association was statistically significant at p = .002, indicating a positive relationship between rss_total_score and depressive symptom severity.</w:t>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 0.242, indicating a small positive correlation between the set of predictors and the dependent variable.</w:t>
      </w:r>
    </w:p>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 Square = 0.059, meaning the model explained 5.9% of the variance in PHQ-9 total scores.</w:t>
      </w:r>
    </w:p>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Adjusted R Square = 0.053, indicating the small explained variance remained after accounting for model complexity.</w:t>
      </w:r>
    </w:p>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Standard error of the estimate = 5.80147, representing the typical deviation of observed PHQ-9 scores from the model’s predicted scores.</w:t>
      </w:r>
    </w:p>
    <w:p w:rsidR="00000000" w:rsidDel="00000000" w:rsidP="00000000" w:rsidRDefault="00000000" w:rsidRPr="00000000" w14:paraId="0000025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this means for the model</w:t>
      </w:r>
    </w:p>
    <w:p w:rsidR="00000000" w:rsidDel="00000000" w:rsidP="00000000" w:rsidRDefault="00000000" w:rsidRPr="00000000" w14:paraId="000002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produced a statistically significant association between rss_total_score and PHQ-9 (see coefficients), but it accounted for only a small portion of variability in depressive symptoms. Most variation in PHQ-9 scores was left unexplained by rss_total_score alone.</w:t>
      </w:r>
    </w:p>
    <w:p w:rsidR="00000000" w:rsidDel="00000000" w:rsidP="00000000" w:rsidRDefault="00000000" w:rsidRPr="00000000" w14:paraId="0000026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significance</w:t>
      </w:r>
    </w:p>
    <w:p w:rsidR="00000000" w:rsidDel="00000000" w:rsidP="00000000" w:rsidRDefault="00000000" w:rsidRPr="00000000" w14:paraId="000002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R Square of 5.9% indicates limited practical predictive power for rss_total_score by itself. The predictor is related to PHQ-9 scores, but it is not sufficient as a standalone predictor for individual screening or precise prediction of depressive symptom severity.</w:t>
      </w:r>
    </w:p>
    <w:p w:rsidR="00000000" w:rsidDel="00000000" w:rsidP="00000000" w:rsidRDefault="00000000" w:rsidRPr="00000000" w14:paraId="0000026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pStyle w:val="Heading2"/>
        <w:rPr/>
      </w:pPr>
      <w:bookmarkStart w:colFirst="0" w:colLast="0" w:name="_ih62xys7qtcg" w:id="39"/>
      <w:bookmarkEnd w:id="39"/>
      <w:r w:rsidDel="00000000" w:rsidR="00000000" w:rsidRPr="00000000">
        <w:rPr>
          <w:rtl w:val="0"/>
        </w:rPr>
        <w:t xml:space="preserve">4.8 RELATIONSHIP BETWEEN PSYCHOLOGICAL INTERVENTIONS AND SPIRITUAL PRINCIPLES FOR HOLISTIC HEALING.</w:t>
      </w:r>
    </w:p>
    <w:p w:rsidR="00000000" w:rsidDel="00000000" w:rsidP="00000000" w:rsidRDefault="00000000" w:rsidRPr="00000000" w14:paraId="000002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1"/>
        <w:tblW w:w="5843.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5"/>
        <w:gridCol w:w="1024"/>
        <w:gridCol w:w="1086"/>
        <w:gridCol w:w="1469"/>
        <w:gridCol w:w="1469"/>
        <w:tblGridChange w:id="0">
          <w:tblGrid>
            <w:gridCol w:w="795"/>
            <w:gridCol w:w="1024"/>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9">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b w:val="1"/>
                <w:bCs w:val="1"/>
                <w:color w:val="010205"/>
                <w:sz w:val="24"/>
                <w:szCs w:val="24"/>
                <w:rtl w:val="0"/>
              </w:rPr>
              <w:t xml:space="preserve">Model Summary</w:t>
            </w:r>
            <w:r w:rsidDel="00000000" w:rsidR="00000000" w:rsidRPr="00000000">
              <w:rPr>
                <w:rtl w:val="0"/>
              </w:rPr>
            </w:r>
          </w:p>
        </w:tc>
      </w:tr>
      <w:tr>
        <w:trPr>
          <w:cantSplit w:val="1"/>
          <w:tblHeader w:val="0"/>
        </w:trPr>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E">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70">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7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72">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3">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74">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75">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7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77">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4.89505</w:t>
            </w:r>
          </w:p>
        </w:tc>
      </w:tr>
      <w:tr>
        <w:trPr>
          <w:cantSplit w:val="1"/>
          <w:tblHeader w:val="0"/>
        </w:trPr>
        <w:tc>
          <w:tcPr>
            <w:gridSpan w:val="5"/>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78">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a. Predictors: (Constant), rss_total_score</w:t>
            </w:r>
          </w:p>
        </w:tc>
      </w:tr>
    </w:tbl>
    <w:p w:rsidR="00000000" w:rsidDel="00000000" w:rsidP="00000000" w:rsidRDefault="00000000" w:rsidRPr="00000000" w14:paraId="000002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2"/>
        <w:tblpPr w:leftFromText="180" w:rightFromText="180" w:topFromText="0" w:bottomFromText="0" w:vertAnchor="text" w:horzAnchor="text" w:tblpX="0" w:tblpY="1"/>
        <w:tblW w:w="851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607"/>
        <w:gridCol w:w="1331"/>
        <w:gridCol w:w="1331"/>
        <w:gridCol w:w="1469"/>
        <w:gridCol w:w="1024"/>
        <w:gridCol w:w="1024"/>
        <w:tblGridChange w:id="0">
          <w:tblGrid>
            <w:gridCol w:w="734"/>
            <w:gridCol w:w="1607"/>
            <w:gridCol w:w="1331"/>
            <w:gridCol w:w="1331"/>
            <w:gridCol w:w="1469"/>
            <w:gridCol w:w="1024"/>
            <w:gridCol w:w="1024"/>
          </w:tblGrid>
        </w:tblGridChange>
      </w:tblGrid>
      <w:tr>
        <w:trPr>
          <w:cantSplit w:val="1"/>
          <w:tblHeader w:val="0"/>
        </w:trPr>
        <w:tc>
          <w:tcPr>
            <w:gridSpan w:val="7"/>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7F">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b w:val="1"/>
                <w:bCs w:val="1"/>
                <w:color w:val="010205"/>
                <w:sz w:val="24"/>
                <w:szCs w:val="24"/>
                <w:rtl w:val="0"/>
              </w:rPr>
              <w:t xml:space="preserve">Coefficients</w:t>
            </w:r>
            <w:r w:rsidDel="00000000" w:rsidR="00000000" w:rsidRPr="00000000">
              <w:rPr>
                <w:rFonts w:ascii="Times New Roman" w:cs="Times New Roman" w:eastAsia="Times New Roman" w:hAnsi="Times New Roman"/>
                <w:b w:val="1"/>
                <w:bCs w:val="1"/>
                <w:color w:val="010205"/>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8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88">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8A">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B">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C">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0">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4">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5">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6">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13.361</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7">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98">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9">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10.354</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A">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9C">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rss_total_score</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9D">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9E">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.043</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9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A0">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3.937</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A1">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2">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gad7_total_score</w:t>
            </w:r>
          </w:p>
        </w:tc>
      </w:tr>
    </w:tbl>
    <w:p w:rsidR="00000000" w:rsidDel="00000000" w:rsidP="00000000" w:rsidRDefault="00000000" w:rsidRPr="00000000" w14:paraId="000002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AA">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3"/>
        <w:tblW w:w="7969.000000000001"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7"/>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AB">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b w:val="1"/>
                <w:bCs w:val="1"/>
                <w:color w:val="010205"/>
                <w:sz w:val="24"/>
                <w:szCs w:val="24"/>
                <w:rtl w:val="0"/>
              </w:rPr>
              <w:t xml:space="preserve">ANOVA</w:t>
            </w:r>
            <w:r w:rsidDel="00000000" w:rsidR="00000000" w:rsidRPr="00000000">
              <w:rPr>
                <w:rFonts w:ascii="Times New Roman" w:cs="Times New Roman" w:eastAsia="Times New Roman" w:hAnsi="Times New Roman"/>
                <w:b w:val="1"/>
                <w:bCs w:val="1"/>
                <w:color w:val="010205"/>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B2">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B4">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 of Squares</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B5">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df</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B6">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Square</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B7">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B8">
            <w:pPr>
              <w:spacing w:line="360" w:lineRule="auto"/>
              <w:ind w:left="60" w:righ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w:t>
            </w:r>
          </w:p>
        </w:tc>
      </w:tr>
      <w:tr>
        <w:trPr>
          <w:cantSplit w:val="1"/>
          <w:tblHeader w:val="0"/>
        </w:trPr>
        <w:tc>
          <w:tcPr>
            <w:vMerge w:val="restart"/>
            <w:tcBorders>
              <w:top w:color="000000" w:space="0" w:sz="4" w:val="single"/>
              <w:left w:color="000000" w:space="0" w:sz="0" w:val="nil"/>
              <w:bottom w:color="152935" w:space="0" w:sz="8" w:val="single"/>
              <w:right w:color="000000" w:space="0" w:sz="0" w:val="nil"/>
            </w:tcBorders>
          </w:tcPr>
          <w:p w:rsidR="00000000" w:rsidDel="00000000" w:rsidP="00000000" w:rsidRDefault="00000000" w:rsidRPr="00000000" w14:paraId="000002B9">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BA">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B">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371.443</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C">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D">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371.443</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E">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15.502</w:t>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F">
            <w:pPr>
              <w:spacing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4" w:val="single"/>
              <w:left w:color="000000" w:space="0" w:sz="0" w:val="nil"/>
              <w:bottom w:color="152935" w:space="0" w:sz="8" w:val="single"/>
              <w:right w:color="000000" w:space="0" w:sz="0" w:val="nil"/>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1">
            <w:pPr>
              <w:spacing w:line="360" w:lineRule="auto"/>
              <w:ind w:left="60" w:right="60" w:firstLine="0"/>
              <w:rPr>
                <w:rFonts w:ascii="Times New Roman" w:cs="Times New Roman" w:eastAsia="Times New Roman" w:hAnsi="Times New Roman"/>
                <w:color w:val="264a60"/>
                <w:sz w:val="24"/>
                <w:szCs w:val="24"/>
              </w:rPr>
            </w:pPr>
            <w:r w:rsidDel="00000000" w:rsidR="00000000" w:rsidRPr="00000000">
              <w:rPr>
                <w:rFonts w:ascii="Times New Roman" w:cs="Times New Roman" w:eastAsia="Times New Roman" w:hAnsi="Times New Roman"/>
                <w:color w:val="264a60"/>
                <w:sz w:val="24"/>
                <w:szCs w:val="24"/>
                <w:rtl w:val="0"/>
              </w:rPr>
              <w:t xml:space="preserve">Residual</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2">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3714.035</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3">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4">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23.962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5">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4" w:val="single"/>
              <w:left w:color="000000" w:space="0" w:sz="0" w:val="nil"/>
              <w:bottom w:color="152935" w:space="0" w:sz="8" w:val="single"/>
              <w:right w:color="000000" w:space="0" w:sz="0" w:val="nil"/>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C8">
            <w:pPr>
              <w:spacing w:line="360" w:lineRule="auto"/>
              <w:ind w:left="60" w:right="60" w:firstLine="0"/>
              <w:rPr>
                <w:rFonts w:ascii="Times New Roman" w:cs="Times New Roman" w:eastAsia="Times New Roman" w:hAnsi="Times New Roman"/>
                <w:color w:val="264a60"/>
                <w:sz w:val="24"/>
                <w:szCs w:val="24"/>
              </w:rPr>
            </w:pPr>
            <w:r w:rsidDel="00000000" w:rsidR="00000000" w:rsidRPr="00000000">
              <w:rPr>
                <w:rFonts w:ascii="Times New Roman" w:cs="Times New Roman" w:eastAsia="Times New Roman" w:hAnsi="Times New Roman"/>
                <w:color w:val="264a60"/>
                <w:sz w:val="24"/>
                <w:szCs w:val="24"/>
                <w:rtl w:val="0"/>
              </w:rPr>
              <w:t xml:space="preserve">Total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C9">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4085.478</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CA">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156</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B">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C">
            <w:pPr>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E">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a. Dependent Variable: gad7_total_score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5">
            <w:pPr>
              <w:spacing w:line="360" w:lineRule="auto"/>
              <w:ind w:left="60" w:right="60" w:firstLine="0"/>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b. Predictors: (Constant), rss_total_score</w:t>
            </w:r>
          </w:p>
        </w:tc>
      </w:tr>
    </w:tbl>
    <w:p w:rsidR="00000000" w:rsidDel="00000000" w:rsidP="00000000" w:rsidRDefault="00000000" w:rsidRPr="00000000" w14:paraId="000002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fit statistics*</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 = 0.302, indicating a small positive correlation between the predictor set and the dependent variable.</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 Square = 0.091, meaning the model explained 9.1% of the variance in the outcome.</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Adjusted R Square = 0.085, indicating the explained variance remained small after adjusting for model complexity.</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Standard error of the estimate = 4.89505, representing the typical deviation of observed scores from predicted scores.</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this means is the predictor rss_total_score was associated with the outcome, but the model accounted for only a modest portion of variability (9.1%). Most variation in the dependent variable remained unexplained by rss_total_score alone. ANOVA results revealed a statistically significant model: </w:t>
      </w:r>
      <w:r w:rsidDel="00000000" w:rsidR="00000000" w:rsidRPr="00000000">
        <w:rPr>
          <w:rFonts w:ascii="Times New Roman" w:cs="Times New Roman" w:eastAsia="Times New Roman" w:hAnsi="Times New Roman"/>
          <w:b w:val="1"/>
          <w:bCs w:val="1"/>
          <w:sz w:val="24"/>
          <w:szCs w:val="24"/>
          <w:rtl w:val="0"/>
        </w:rPr>
        <w:t xml:space="preserve">F(1, 155) = 15.502, p &lt; .001</w:t>
      </w:r>
      <w:r w:rsidDel="00000000" w:rsidR="00000000" w:rsidRPr="00000000">
        <w:rPr>
          <w:rFonts w:ascii="Times New Roman" w:cs="Times New Roman" w:eastAsia="Times New Roman" w:hAnsi="Times New Roman"/>
          <w:sz w:val="24"/>
          <w:szCs w:val="24"/>
          <w:rtl w:val="0"/>
        </w:rPr>
        <w:t xml:space="preserve">, indicating that spiritual wellbeing significantly predicts anxiety levels. The regression sum of squares (371.443) compared to the residual (3714.035) suggests that spiritual well being accounts for a meaningful portion of the variance in anxiety symptoms</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pStyle w:val="Heading1"/>
        <w:rPr/>
      </w:pPr>
      <w:bookmarkStart w:colFirst="0" w:colLast="0" w:name="_flcn535hg2jp" w:id="40"/>
      <w:bookmarkEnd w:id="40"/>
      <w:r w:rsidDel="00000000" w:rsidR="00000000" w:rsidRPr="00000000">
        <w:rPr>
          <w:rtl w:val="0"/>
        </w:rPr>
        <w:t xml:space="preserve">CHAPTER FIVE: DISCUSSION</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relationship between mental illness and spiritual wellbeing is complex, multidimensional, and increasingly recognized in both clinical and holistic health frameworks. Research suggests that spiritual well-being can positively influence mental health outcomes, while mental illness may challenge or reshape one’s spiritual beliefs and practices.</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Positive impact of spiritual well-being on mental health have shown in emotional resilience Individuals with strong spiritual well-being often report greater ability to cope with stress, anxiety, and depression. This study found that a sense of purpose was found in high spiritual well-being.  Spirituality provides meaning and direction, which can buffer against feelings of hopelessness and despair common in mental illness. Community and support are also highlighted in our qualitative questionnaire, many spiritual practices involve communal activities, offering social support that is vital for mental health recovery. Another factor is mindfulness and meditation that are fostered Spiritual disciplines like prayer and meditation are linked to reduced symptoms of anxiety and improved mood regulation. The Bidirectional Relationship between Mental illness can disrupt spiritual well being, leading to feelings of spiritual disconnection, guilt, or existential crisis. Conversely, spiritual struggles such as feeling abandoned by a higher power can exacerbate mental health symptoms, particularly depression and anxiety. The clinical integration aspect is of the essence as mental health professionals increasingly incorporate spiritual assessments into treatment plans, recognizing that spirituality can be a source of healing or distress. Therapeutic approaches like spiritually integrated psychotherapy aim to align treatment with a patient’s spiritual values and beliefs.</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previous tables included data on spiritual well being, mental health scores and  demographic correlations Higher spiritual wellbeing scores correlated with lower levels of depression and anxiety. Individuals engaged in regular spiritual practices reported better coping mechanisms. Variations across age, gender, or cultural background in how spirituality influences mental health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8">
      <w:pPr>
        <w:pStyle w:val="Heading2"/>
        <w:rPr/>
      </w:pPr>
      <w:bookmarkStart w:colFirst="0" w:colLast="0" w:name="_el2jntyr6xb5" w:id="41"/>
      <w:bookmarkEnd w:id="41"/>
      <w:r w:rsidDel="00000000" w:rsidR="00000000" w:rsidRPr="00000000">
        <w:rPr>
          <w:rtl w:val="0"/>
        </w:rPr>
        <w:t xml:space="preserve">5.1 CORRELATION BETWEEN SPIRITUAL WELL BEING AND MENTAL ILLNESS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showed a significant relationship between spiritual well being and mental illness with a moderate negative correlation were higher spiritual well-being is associated with lower depression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see coefficient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Moderate negative correlation was also noticed with higher spiritual well-being associated with lower anxiety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see coefficient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 strong positive correlation between depression and anxiety scores as they tend to rise together.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see coefficient)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Research generally indicates a positive correlation between higher levels of spirituality and improved mental health outcomes (Koenig et al., 2012; Smith et al., 2003). In consistency with prior research spirituality does indeed have a relationship with mental illness. Spirituality can serve as a significant protective factor against various mental health challenges by providing various benefits such as. Meaning and Purpose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Spirituality often helps individuals find a sense of ultimate purpose and meaning in life, especially during difficult times, which can reduce feelings of hopelessness and despair (Koenig, 2009). As the intent of the research question, number one. On finding out what type of relationship is between mental illness and spiritual wellbeing and the direction of the relationship. A negative correlation is noted in this research populace. And It is important to note that correlation does not imply causation. While the data supports a moderate association, further research particularly longitudinal or experimental studies are needed to determine whether enhancing spiritual well-being can directly reduce symptoms of mental illness. Additionally, cultural, religious, and personal interpretations of spirituality may influence these outcomes and should be considered in future research. As noticed in the qualitative questionnaire some participants view God and spirituality as two separate concepts and so couldn’t account for a solid relationship in order to achieve the benefits harnessed through religiosity. In the findings an underscore of the potential value of integrating spiritual well being into mental health frameworks. Mental health professionals may benefit from considering spiritual dimensions when assessing and treating individuals, especially in culturally sensitive contexts where spirituality is deeply embedded in personal identity and coping mechanisms. All of this of course is in agreement with the findings on. The growing evidence base that  underscores the importance of integrating spiritual considerations into mental healthcare. Mental health professionals are increasingly encouraged to conduct spiritual assessments and incorporate a client's spiritual beliefs and practices into treatment plans as where appropriate (Pargament, 2011; Royal College of Psychiatrists, n.d., "Ups and Downs of Spirituality in Mental Health").</w:t>
      </w:r>
    </w:p>
    <w:p w:rsidR="00000000" w:rsidDel="00000000" w:rsidP="00000000" w:rsidRDefault="00000000" w:rsidRPr="00000000" w14:paraId="000002EA">
      <w:pPr>
        <w:pStyle w:val="Heading2"/>
        <w:rPr/>
      </w:pPr>
      <w:bookmarkStart w:colFirst="0" w:colLast="0" w:name="_rp1doafmpm9e" w:id="42"/>
      <w:bookmarkEnd w:id="42"/>
      <w:r w:rsidDel="00000000" w:rsidR="00000000" w:rsidRPr="00000000">
        <w:rPr>
          <w:rtl w:val="0"/>
        </w:rPr>
        <w:t xml:space="preserve">5.2 SPIRITUAL WELLEING AS A PROTECTIVE FACTOR AGAINST MENTAL ILLNESS</w:t>
      </w:r>
    </w:p>
    <w:p w:rsidR="00000000" w:rsidDel="00000000" w:rsidP="00000000" w:rsidRDefault="00000000" w:rsidRPr="00000000" w14:paraId="000002E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study was to investigate whether spiritual well being could act as a protective factor against mental illness, specifically depression. To examine this, a simple linear regression analysis was conducted using spiritual well being (rss_total_score) as the predictor and depression severity (phq9_total_score) as the dependent variable.</w:t>
      </w:r>
    </w:p>
    <w:p w:rsidR="00000000" w:rsidDel="00000000" w:rsidP="00000000" w:rsidRDefault="00000000" w:rsidRPr="00000000" w14:paraId="000002E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found that each one unit increase in rss_total_score was associated with a 0.157-point increase in PHQ-9 score. The association was statistically significant at p = .002, indicating a positive relationship between rss_total_score and depressive symptom severity. This suggests that spiritual struggles and conflicts do tend to affect mental illness which shows that better outcomes in  ones spiritual well-being can indeed act as a protective factor against mental illness further more just as literature review showed Spiritual and religious practices often function as effective coping mechanisms. Activities such as prayer, meditation, mindfulness, and contemplation can aid in stress reduction, emotional regulation, and anxiety management (Pargament, 2011). Systematic reviews have found that faith-based cognitive behavioral therapy (CBT) may be more effective in treating depression and anxiety than control conditions and even standard CBT in some contexts (ResearchGate, n.d., "Relationship Between Spirituality and Mental Health Conditions Among Undergraduate Students").The ANOVA results revealed a statistically significant model: </w:t>
      </w:r>
      <w:r w:rsidDel="00000000" w:rsidR="00000000" w:rsidRPr="00000000">
        <w:rPr>
          <w:rFonts w:ascii="Times New Roman" w:cs="Times New Roman" w:eastAsia="Times New Roman" w:hAnsi="Times New Roman"/>
          <w:b w:val="0"/>
          <w:bCs w:val="0"/>
          <w:sz w:val="24"/>
          <w:szCs w:val="24"/>
          <w:rtl w:val="0"/>
        </w:rPr>
        <w:t xml:space="preserve">F(1, 155) = 9.658, p = .002</w:t>
      </w:r>
      <w:r w:rsidDel="00000000" w:rsidR="00000000" w:rsidRPr="00000000">
        <w:rPr>
          <w:rFonts w:ascii="Times New Roman" w:cs="Times New Roman" w:eastAsia="Times New Roman" w:hAnsi="Times New Roman"/>
          <w:sz w:val="24"/>
          <w:szCs w:val="24"/>
          <w:rtl w:val="0"/>
        </w:rPr>
        <w:t xml:space="preserve">, indicating that spiritual well being significantly predicts depression scores. The regression sum of squares (see table above) compared to the residual sum of squares (see table above) suggests that while spiritual well being explains a modest portion of the variance in depression scores, its contribution is meaningful and not due to chance. Furthermore, engagement with religious or spiritual communities provides social support and a sense of belonging, which are vital for buffering against loneliness and isolation significant risk factors for mental health deterioration (Koenig, 2012). Just as qualitative data suggests most participants found strength in their support and peer groups. Researchers emphasize that spirituality can be a "double-edged sword," capable of both fostering and impeding mental health (Lomax &amp; Pargament, 2016, as cited in Cambridge University Press, 2019). However, it is important to recognize the limitations of the model. The relatively low proportion of explained variance suggests that while spiritual wellbeing is a significant factor, it is not the sole determinant of mental health outcomes. Other psycho social, biological, and environmental variables likely play substantial roles. Moreover, the cross-sectional nature of the data limits causal inference; longitudinal studies would be necessary to determine whether increases in spiritual wellbeing lead to sustained reductions in depression over time, the statistical evidence from this study supports the notion that spiritual wellbeing contributes to mental health and may serve as a protective factor against depression. These insights have practical implications for mental health interventions, suggesting that fostering spiritual wellbeing through practices such as mindfulness, reflection, or engagement with spiritual communities could be a valuable component of holistic mental health care</w:t>
      </w:r>
    </w:p>
    <w:p w:rsidR="00000000" w:rsidDel="00000000" w:rsidP="00000000" w:rsidRDefault="00000000" w:rsidRPr="00000000" w14:paraId="000002ED">
      <w:pPr>
        <w:pStyle w:val="Heading2"/>
        <w:rPr/>
      </w:pPr>
      <w:bookmarkStart w:colFirst="0" w:colLast="0" w:name="_zdycmdpdy98c" w:id="43"/>
      <w:bookmarkEnd w:id="43"/>
      <w:r w:rsidDel="00000000" w:rsidR="00000000" w:rsidRPr="00000000">
        <w:rPr>
          <w:rtl w:val="0"/>
        </w:rPr>
        <w:t xml:space="preserve">5.3 PSYCHOLOGICAL INTERVENTIONS AND SPIRITUAL PRINCIPLES FOR HOLISTIC HEALING.</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sought to examine the relationship between spiritual principles and psychological outcomes, specifically anxiety levels, to assess the potential of integrating spiritual wellbeing into psychological interventions for holistic healing. Using regression analysis, spiritual wellbeing (rss_total_score) was tested as a predictor of anxiety severity (gad7_total_score). The ANOVA results revealed a statistically significant model, indicating that spiritual wellbeing significantly predicts anxiety levels. The regression sum of squares (see table aove) compared to the residual (see table above) suggests that spiritual wellbeing accounts for a meaningful portion of the variance in anxiety symptoms. This supports the hypothesis that spiritual principles may play a protective or therapeutic role in mental health. These findings align with a growing body of research advocating for holistic healing approaches that integrate psychological and spiritual dimensions. Spiritual principles such as mindfulness, forgiveness, gratitude, and a sense of connectedness, can foster emotional resilience, reduce existential distress, and promote inner peace. When embedded within psychological interventions, these principles may enhance therapeutic outcomes by addressing not only cognitive and behavioral symptoms but also deeper existential and emotional needs. The significant inverse relationship between spiritual wellbeing and anxiety underscores the potential value of spiritually informed psychological care. For example, interventions such as spiritually oriented cognitive behavioral therapy (CBT), mindfulness-based stress reduction (MBSR), or narrative therapy that incorporates personal meaning and purpose may be particularly effective for individuals seeking more integrative healing. However, it is important to recognize that spirituality is deeply personal and culturally nuanced. The effectiveness of spiritually integrated interventions may vary depending on individual beliefs, cultural background, and openness to spiritual frameworks. Future research should explore these moderating factors and consider longitudinal designs to assess the sustained impact of such interventions. In conclusion, the findings provide empirical support for the integration of spiritual principles into psychological interventions. This approach holds promise for advancing holistic healing, where mental health care addresses the full spectrum of human experience mind, body, and spirit. The growing evidence base underscores the importance of integrating spiritual considerations into mental healthcare. Mental health professionals are increasingly encouraged to conduct spiritual assessments and incorporate a client's spiritual beliefs and practices into treatment plans where appropriate (Pargament, 2011; Royal College of Psychiatrists, n.d., "Ups and Downs of Spirituality in Mental Health"). Approaches like spiritually integrated psychotherapy aim to leverage spiritual resources to enhance coping and recovery (Pargament, 2011). Beyond prevention, spirituality is increasingly recognized for its therapeutic potential in mental health treatment and recovery</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set out to explore the multifaceted relationship between spiritual wellbeing and mental illness through three interconnected objectives. The findings consistently highlight the significance of spiritual wellbeing as a meaningful factor in psychological health.</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Correlation Between Spiritual Wellbeing and Mental Illness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analysis revealed significant negative correlations between spiritual wellbeing and both depression and anxiety. Individuals with higher spiritual wellbeing reported lower levels of psychological distress, suggesting that spirituality may serve as a buffer against mental illness.</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Spiritual Wellbeing as a Protective Factor Against Mental Illness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Regression analysis confirmed that spiritual wellbeing significantly predicts depression and anxiety scores. These results support the hypothesis that spiritual wellbeing can function as a protective factor, contributing to emotional resilience and reducing vulnerability to mental health disorders.</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Relationship Between Psychological Interventions and Spiritual Principles for Holistic Healing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study further demonstrated that spiritual wellbeing is a significant predictor of anxiety levels, reinforcing the potential value of integrating spiritual principles into psychological interventions. This holistic approach may enhance therapeutic outcomes by addressing both emotional symptoms and existential needs.</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Together, these findings underscore the importance of considering spiritual wellbeing in mental health research and practice. While spirituality is not a standalone solution, it offers a valuable dimension that complements traditional psychological interventions. Future research should continue to explore culturally sensitive, spiritually integrated models of care that promote holistic healing and long-term mental wellness.</w:t>
      </w:r>
    </w:p>
    <w:p w:rsidR="00000000" w:rsidDel="00000000" w:rsidP="00000000" w:rsidRDefault="00000000" w:rsidRPr="00000000" w14:paraId="000002F4">
      <w:pPr>
        <w:pStyle w:val="Heading2"/>
        <w:rPr/>
      </w:pPr>
      <w:bookmarkStart w:colFirst="0" w:colLast="0" w:name="_vzyj6yq29ge8" w:id="44"/>
      <w:bookmarkEnd w:id="44"/>
      <w:r w:rsidDel="00000000" w:rsidR="00000000" w:rsidRPr="00000000">
        <w:rPr>
          <w:rtl w:val="0"/>
        </w:rPr>
        <w:t xml:space="preserve">5.4 IMPLICATIONS</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 that higher levels of spiritual wellbeing were associated with lower symptoms of depression and anxiety among UNZA students carries several theoretical, clinical and institutional implications. Theoretically, the result reinforces multidimensional conceptualizations of mental health which emphasize the role of existential meaning, belief systems and spiritual coping alongside biological and psychosocial determinants. It indicates that spiritual wellbeing is not a peripheral construct but may be functionally relevant to students’ psychological adjustment in university contexts.</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a practical level, the results suggest that student support services could improve mental health outcomes by recognizing and, where appropriate, deliberately incorporating spiritual resources into prevention and intervention strategies. This does not imply that services should promote religion, but rather that campus counselling, psychoeducation programmes and peer-support structures could be strengthened by acknowledging the way many students already draw on spiritual frameworks for resilience, hope, identity and meaning-making. Within a predominantly religious and spiritually engaged cultural context such as Zambia, ignoring this dimension risks underutilizing a widely available, culturally congruent coping resource.</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Institutionally, the study creates a rationale for more structured collaboration between psychological services, chaplaincy, peer ministries and student development offices. Integrative models  in which spiritual care is not a substitute for clinical support but a parallel channel voluntarily accessed by students  may increase reach, acceptability and cultural fit of mental health initiatives on campus. In addition, the findings justify the inclusion of spiritual wellbeing indicators in periodic student wellbeing assessments to enable earlier identification of students at elevated risk.</w:t>
      </w:r>
    </w:p>
    <w:p w:rsidR="00000000" w:rsidDel="00000000" w:rsidP="00000000" w:rsidRDefault="00000000" w:rsidRPr="00000000" w14:paraId="000002F8">
      <w:pPr>
        <w:pStyle w:val="Heading2"/>
        <w:rPr/>
      </w:pPr>
      <w:bookmarkStart w:colFirst="0" w:colLast="0" w:name="_dhvvc4e6muqk" w:id="45"/>
      <w:bookmarkEnd w:id="45"/>
      <w:r w:rsidDel="00000000" w:rsidR="00000000" w:rsidRPr="00000000">
        <w:rPr>
          <w:rtl w:val="0"/>
        </w:rPr>
        <w:t xml:space="preserve">5.5 Limitations</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Notwithstanding these implications, the interpretation of the findings must be qualified by several limitations. First, the cross-sectional design precluded causal conclusions; the study cannot determine whether spiritual wellbeing actively reduces mental illness or whether students with fewer symptoms are better able to sustain spiritual wellbeing. Second, reliance on self-report measures (SWBS-10, RSS-14, PHQ-9 and GAD-7) introduced risks of social desirability bias, inaccurate recall and culturally variable interpretation of items, particularly on spirituality constructs which are inherently subjective.</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the sample was restricted to a single institution (UNZA), limiting the external validity of the findings to other student bodies or the broader youth population. Fourth, the measures used to operationalise spirituality were developed in contexts different from Zambia and may not fully capture indigenous spiritual constructs, lived religiosity, or non-religious spiritual meanings unique to local students. Fifth, the study did not control for potential confounds such as financial stress, family support, trauma exposure, sleep, academic workload or personality traits, any of which could account for or attenuate the observed relationship.</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limitations mean the findings should be interpreted as evidence of association rather than proof of causal influence, and as institution-specific rather than universally generalisable.</w:t>
      </w:r>
    </w:p>
    <w:p w:rsidR="00000000" w:rsidDel="00000000" w:rsidP="00000000" w:rsidRDefault="00000000" w:rsidRPr="00000000" w14:paraId="000002F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E">
      <w:pPr>
        <w:pStyle w:val="Heading1"/>
        <w:rPr/>
      </w:pPr>
      <w:bookmarkStart w:colFirst="0" w:colLast="0" w:name="_3c8x18hc85os" w:id="46"/>
      <w:bookmarkEnd w:id="46"/>
      <w:r w:rsidDel="00000000" w:rsidR="00000000" w:rsidRPr="00000000">
        <w:rPr>
          <w:rtl w:val="0"/>
        </w:rPr>
        <w:t xml:space="preserve">REFERENCES</w:t>
      </w:r>
    </w:p>
    <w:p w:rsidR="00000000" w:rsidDel="00000000" w:rsidP="00000000" w:rsidRDefault="00000000" w:rsidRPr="00000000" w14:paraId="000002FF">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Braam, A. W., &amp; Koenig, H. G. (2019). Religion, spirituality and depression in prospective studies: A systematic review. </w:t>
      </w:r>
      <w:r w:rsidDel="00000000" w:rsidR="00000000" w:rsidRPr="00000000">
        <w:rPr>
          <w:rFonts w:ascii="Times New Roman" w:cs="Times New Roman" w:eastAsia="Times New Roman" w:hAnsi="Times New Roman"/>
          <w:i w:val="1"/>
          <w:iCs w:val="1"/>
          <w:sz w:val="24"/>
          <w:szCs w:val="24"/>
          <w:rtl w:val="0"/>
        </w:rPr>
        <w:t xml:space="preserve">Journal of Affective Disorders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257</w:t>
      </w:r>
      <w:r w:rsidDel="00000000" w:rsidR="00000000" w:rsidRPr="00000000">
        <w:rPr>
          <w:rFonts w:ascii="Times New Roman" w:cs="Times New Roman" w:eastAsia="Times New Roman" w:hAnsi="Times New Roman"/>
          <w:sz w:val="24"/>
          <w:szCs w:val="24"/>
          <w:rtl w:val="0"/>
        </w:rPr>
        <w:t xml:space="preserve">, 428–438.</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https://doi.org/10.1016/j.jad.2019.06.063</w:t>
          <w:br w:type="textWrapping"/>
        </w:r>
      </w:hyperlink>
      <w:r w:rsidDel="00000000" w:rsidR="00000000" w:rsidRPr="00000000">
        <w:rPr>
          <w:rtl w:val="0"/>
        </w:rPr>
      </w:r>
    </w:p>
    <w:p w:rsidR="00000000" w:rsidDel="00000000" w:rsidP="00000000" w:rsidRDefault="00000000" w:rsidRPr="00000000" w14:paraId="00000300">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Cook, C. C. H. (2020). Spirituality, religion &amp; mental health: Exploring the boundaries. </w:t>
      </w:r>
      <w:r w:rsidDel="00000000" w:rsidR="00000000" w:rsidRPr="00000000">
        <w:rPr>
          <w:rFonts w:ascii="Times New Roman" w:cs="Times New Roman" w:eastAsia="Times New Roman" w:hAnsi="Times New Roman"/>
          <w:i w:val="1"/>
          <w:iCs w:val="1"/>
          <w:sz w:val="24"/>
          <w:szCs w:val="24"/>
          <w:rtl w:val="0"/>
        </w:rPr>
        <w:t xml:space="preserve">Journal for the Study of Spirituality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1–13.</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https://doi.org/10.1080/20440243.2020.1774525</w:t>
          <w:br w:type="textWrapping"/>
        </w:r>
      </w:hyperlink>
      <w:r w:rsidDel="00000000" w:rsidR="00000000" w:rsidRPr="00000000">
        <w:rPr>
          <w:rtl w:val="0"/>
        </w:rPr>
      </w:r>
    </w:p>
    <w:p w:rsidR="00000000" w:rsidDel="00000000" w:rsidP="00000000" w:rsidRDefault="00000000" w:rsidRPr="00000000" w14:paraId="00000301">
      <w:pPr>
        <w:spacing w:line="36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Exline, J. J., Pargament, K. I., Grubbs, J. B., &amp; Yali, A. M. (2014). The Religious and Spiritual Struggles Scale: A systematic review of psychometric properties and associations with mental health. </w:t>
      </w:r>
      <w:r w:rsidDel="00000000" w:rsidR="00000000" w:rsidRPr="00000000">
        <w:rPr>
          <w:rFonts w:ascii="Times New Roman" w:cs="Times New Roman" w:eastAsia="Times New Roman" w:hAnsi="Times New Roman"/>
          <w:i w:val="1"/>
          <w:iCs w:val="1"/>
          <w:color w:val="000000"/>
          <w:sz w:val="24"/>
          <w:szCs w:val="24"/>
          <w:rtl w:val="0"/>
        </w:rPr>
        <w:t xml:space="preserve">Psychology of Religion and Spirituality</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30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Gallardo-Vergara, K., Moreno-Peral, P., &amp; del Valle, J. M. (2022). Spirituality and mental health: A systematic review of the literature from 2017 to 2021. </w:t>
      </w:r>
      <w:r w:rsidDel="00000000" w:rsidR="00000000" w:rsidRPr="00000000">
        <w:rPr>
          <w:rFonts w:ascii="Times New Roman" w:cs="Times New Roman" w:eastAsia="Times New Roman" w:hAnsi="Times New Roman"/>
          <w:i w:val="1"/>
          <w:iCs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998765.</w:t>
      </w:r>
    </w:p>
    <w:p w:rsidR="00000000" w:rsidDel="00000000" w:rsidP="00000000" w:rsidRDefault="00000000" w:rsidRPr="00000000" w14:paraId="00000303">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Koenig, H. G. (2012). Religion, spirituality, and health: The research and clinical implications. </w:t>
      </w:r>
      <w:r w:rsidDel="00000000" w:rsidR="00000000" w:rsidRPr="00000000">
        <w:rPr>
          <w:rFonts w:ascii="Times New Roman" w:cs="Times New Roman" w:eastAsia="Times New Roman" w:hAnsi="Times New Roman"/>
          <w:i w:val="1"/>
          <w:iCs w:val="1"/>
          <w:sz w:val="24"/>
          <w:szCs w:val="24"/>
          <w:rtl w:val="0"/>
        </w:rPr>
        <w:t xml:space="preserve">ISRN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2012</w:t>
      </w:r>
      <w:r w:rsidDel="00000000" w:rsidR="00000000" w:rsidRPr="00000000">
        <w:rPr>
          <w:rFonts w:ascii="Times New Roman" w:cs="Times New Roman" w:eastAsia="Times New Roman" w:hAnsi="Times New Roman"/>
          <w:sz w:val="24"/>
          <w:szCs w:val="24"/>
          <w:rtl w:val="0"/>
        </w:rPr>
        <w:t xml:space="preserve">, 278730.</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https://doi.org/10.5402/2012/278730</w:t>
          <w:br w:type="textWrapping"/>
        </w:r>
      </w:hyperlink>
      <w:r w:rsidDel="00000000" w:rsidR="00000000" w:rsidRPr="00000000">
        <w:rPr>
          <w:rtl w:val="0"/>
        </w:rPr>
      </w:r>
    </w:p>
    <w:p w:rsidR="00000000" w:rsidDel="00000000" w:rsidP="00000000" w:rsidRDefault="00000000" w:rsidRPr="00000000" w14:paraId="0000030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Koenig, H. G. (2018). </w:t>
      </w:r>
      <w:r w:rsidDel="00000000" w:rsidR="00000000" w:rsidRPr="00000000">
        <w:rPr>
          <w:rFonts w:ascii="Times New Roman" w:cs="Times New Roman" w:eastAsia="Times New Roman" w:hAnsi="Times New Roman"/>
          <w:i w:val="1"/>
          <w:iCs w:val="1"/>
          <w:sz w:val="24"/>
          <w:szCs w:val="24"/>
          <w:rtl w:val="0"/>
        </w:rPr>
        <w:t xml:space="preserve">Religion and mental health: Research and clinical applications</w:t>
      </w:r>
      <w:r w:rsidDel="00000000" w:rsidR="00000000" w:rsidRPr="00000000">
        <w:rPr>
          <w:rFonts w:ascii="Times New Roman" w:cs="Times New Roman" w:eastAsia="Times New Roman" w:hAnsi="Times New Roman"/>
          <w:sz w:val="24"/>
          <w:szCs w:val="24"/>
          <w:rtl w:val="0"/>
        </w:rPr>
        <w:t xml:space="preserve">. Academic Press.</w:t>
      </w:r>
    </w:p>
    <w:p w:rsidR="00000000" w:rsidDel="00000000" w:rsidP="00000000" w:rsidRDefault="00000000" w:rsidRPr="00000000" w14:paraId="0000030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Koenig, H. G., King, D. E., &amp; Carson, V. B. (2012). </w:t>
      </w:r>
      <w:r w:rsidDel="00000000" w:rsidR="00000000" w:rsidRPr="00000000">
        <w:rPr>
          <w:rFonts w:ascii="Times New Roman" w:cs="Times New Roman" w:eastAsia="Times New Roman" w:hAnsi="Times New Roman"/>
          <w:i w:val="1"/>
          <w:iCs w:val="1"/>
          <w:sz w:val="24"/>
          <w:szCs w:val="24"/>
          <w:rtl w:val="0"/>
        </w:rPr>
        <w:t xml:space="preserve">Handbook of religion and health</w:t>
      </w:r>
      <w:r w:rsidDel="00000000" w:rsidR="00000000" w:rsidRPr="00000000">
        <w:rPr>
          <w:rFonts w:ascii="Times New Roman" w:cs="Times New Roman" w:eastAsia="Times New Roman" w:hAnsi="Times New Roman"/>
          <w:sz w:val="24"/>
          <w:szCs w:val="24"/>
          <w:rtl w:val="0"/>
        </w:rPr>
        <w:t xml:space="preserve"> (2nd ed.). Oxford University Press.</w:t>
      </w:r>
    </w:p>
    <w:p w:rsidR="00000000" w:rsidDel="00000000" w:rsidP="00000000" w:rsidRDefault="00000000" w:rsidRPr="00000000" w14:paraId="00000306">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Leung, C. H., &amp; Pong, H. K. (2021). Cross-sectional study of the relationship between the spiritual wellbeing and psychological health among university Students. </w:t>
      </w:r>
      <w:r w:rsidDel="00000000" w:rsidR="00000000" w:rsidRPr="00000000">
        <w:rPr>
          <w:rFonts w:ascii="Times New Roman" w:cs="Times New Roman" w:eastAsia="Times New Roman" w:hAnsi="Times New Roman"/>
          <w:i w:val="1"/>
          <w:iCs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(4), e0249702.</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https://doi.org/10.1371/journal.pone.0249702</w:t>
          <w:br w:type="textWrapping"/>
        </w:r>
      </w:hyperlink>
      <w:r w:rsidDel="00000000" w:rsidR="00000000" w:rsidRPr="00000000">
        <w:rPr>
          <w:rtl w:val="0"/>
        </w:rPr>
      </w:r>
    </w:p>
    <w:p w:rsidR="00000000" w:rsidDel="00000000" w:rsidP="00000000" w:rsidRDefault="00000000" w:rsidRPr="00000000" w14:paraId="00000307">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Lucchetti, G., Moreira-Almeida, A., Lucchetti, A. L., &amp; Koenig, H. G. (2014). Spirituality, religiousness, and mental health: A review of the current scientific evidence. </w:t>
      </w:r>
      <w:r w:rsidDel="00000000" w:rsidR="00000000" w:rsidRPr="00000000">
        <w:rPr>
          <w:rFonts w:ascii="Times New Roman" w:cs="Times New Roman" w:eastAsia="Times New Roman" w:hAnsi="Times New Roman"/>
          <w:i w:val="1"/>
          <w:iCs w:val="1"/>
          <w:sz w:val="24"/>
          <w:szCs w:val="24"/>
          <w:rtl w:val="0"/>
        </w:rPr>
        <w:t xml:space="preserve">Brazilian Journal of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(2), 176–182.</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https://doi.org/10.1590/1516-4446-2013-1255</w:t>
          <w:br w:type="textWrapping"/>
        </w:r>
      </w:hyperlink>
      <w:r w:rsidDel="00000000" w:rsidR="00000000" w:rsidRPr="00000000">
        <w:rPr>
          <w:rtl w:val="0"/>
        </w:rPr>
      </w:r>
    </w:p>
    <w:p w:rsidR="00000000" w:rsidDel="00000000" w:rsidP="00000000" w:rsidRDefault="00000000" w:rsidRPr="00000000" w14:paraId="00000308">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Miller, L., Wickramaratne, P., Gameroff, M. J., Sage, M., Tenke, C. E., &amp; Weissman, M. M. (2012). Religiosity and major depression in adults at high risk: A ten-year prospective study. </w:t>
      </w:r>
      <w:r w:rsidDel="00000000" w:rsidR="00000000" w:rsidRPr="00000000">
        <w:rPr>
          <w:rFonts w:ascii="Times New Roman" w:cs="Times New Roman" w:eastAsia="Times New Roman" w:hAnsi="Times New Roman"/>
          <w:i w:val="1"/>
          <w:iCs w:val="1"/>
          <w:sz w:val="24"/>
          <w:szCs w:val="24"/>
          <w:rtl w:val="0"/>
        </w:rPr>
        <w:t xml:space="preserve">American Journal of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169</w:t>
      </w:r>
      <w:r w:rsidDel="00000000" w:rsidR="00000000" w:rsidRPr="00000000">
        <w:rPr>
          <w:rFonts w:ascii="Times New Roman" w:cs="Times New Roman" w:eastAsia="Times New Roman" w:hAnsi="Times New Roman"/>
          <w:sz w:val="24"/>
          <w:szCs w:val="24"/>
          <w:rtl w:val="0"/>
        </w:rPr>
        <w:t xml:space="preserve">(1), 89–94.</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https://doi.org/10.1176/appi.ajp.2011.10121823</w:t>
          <w:br w:type="textWrapping"/>
        </w:r>
      </w:hyperlink>
      <w:r w:rsidDel="00000000" w:rsidR="00000000" w:rsidRPr="00000000">
        <w:rPr>
          <w:rtl w:val="0"/>
        </w:rPr>
      </w:r>
    </w:p>
    <w:p w:rsidR="00000000" w:rsidDel="00000000" w:rsidP="00000000" w:rsidRDefault="00000000" w:rsidRPr="00000000" w14:paraId="0000030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Moreira-Almeida, A., &amp; Koenig, H. G. (2014). Clinical implications of spirituality to mental health: Review of evidence and practical guidelines. </w:t>
      </w:r>
      <w:r w:rsidDel="00000000" w:rsidR="00000000" w:rsidRPr="00000000">
        <w:rPr>
          <w:rFonts w:ascii="Times New Roman" w:cs="Times New Roman" w:eastAsia="Times New Roman" w:hAnsi="Times New Roman"/>
          <w:i w:val="1"/>
          <w:iCs w:val="1"/>
          <w:sz w:val="24"/>
          <w:szCs w:val="24"/>
          <w:rtl w:val="0"/>
        </w:rPr>
        <w:t xml:space="preserve">Brazilian Journal of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(2), 176–182.</w:t>
      </w:r>
    </w:p>
    <w:p w:rsidR="00000000" w:rsidDel="00000000" w:rsidP="00000000" w:rsidRDefault="00000000" w:rsidRPr="00000000" w14:paraId="0000030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Pargament, K. I., &amp; Exline, J. J. (2013). </w:t>
      </w:r>
      <w:r w:rsidDel="00000000" w:rsidR="00000000" w:rsidRPr="00000000">
        <w:rPr>
          <w:rFonts w:ascii="Times New Roman" w:cs="Times New Roman" w:eastAsia="Times New Roman" w:hAnsi="Times New Roman"/>
          <w:i w:val="1"/>
          <w:iCs w:val="1"/>
          <w:sz w:val="24"/>
          <w:szCs w:val="24"/>
          <w:rtl w:val="0"/>
        </w:rPr>
        <w:t xml:space="preserve">APA handbook of psychology, religion, and spirituality (Vol. 1): Context, theory, and research</w:t>
      </w:r>
      <w:r w:rsidDel="00000000" w:rsidR="00000000" w:rsidRPr="00000000">
        <w:rPr>
          <w:rFonts w:ascii="Times New Roman" w:cs="Times New Roman" w:eastAsia="Times New Roman" w:hAnsi="Times New Roman"/>
          <w:sz w:val="24"/>
          <w:szCs w:val="24"/>
          <w:rtl w:val="0"/>
        </w:rPr>
        <w:t xml:space="preserve">. American Psychological Association.</w:t>
        <w:br w:type="textWrapping"/>
      </w:r>
    </w:p>
    <w:p w:rsidR="00000000" w:rsidDel="00000000" w:rsidP="00000000" w:rsidRDefault="00000000" w:rsidRPr="00000000" w14:paraId="0000030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Pargament, K. I., Mahoney, A., &amp; Shafranske, E. P. (Eds.). (2013). </w:t>
      </w:r>
      <w:r w:rsidDel="00000000" w:rsidR="00000000" w:rsidRPr="00000000">
        <w:rPr>
          <w:rFonts w:ascii="Times New Roman" w:cs="Times New Roman" w:eastAsia="Times New Roman" w:hAnsi="Times New Roman"/>
          <w:i w:val="1"/>
          <w:iCs w:val="1"/>
          <w:sz w:val="24"/>
          <w:szCs w:val="24"/>
          <w:rtl w:val="0"/>
        </w:rPr>
        <w:t xml:space="preserve">APA handbook of psychology, religion, and spirituality (Vol. 2): An applied psychology of religion and spirituality</w:t>
      </w:r>
      <w:r w:rsidDel="00000000" w:rsidR="00000000" w:rsidRPr="00000000">
        <w:rPr>
          <w:rFonts w:ascii="Times New Roman" w:cs="Times New Roman" w:eastAsia="Times New Roman" w:hAnsi="Times New Roman"/>
          <w:sz w:val="24"/>
          <w:szCs w:val="24"/>
          <w:rtl w:val="0"/>
        </w:rPr>
        <w:t xml:space="preserve">. American Psychological Association.</w:t>
      </w:r>
    </w:p>
    <w:p w:rsidR="00000000" w:rsidDel="00000000" w:rsidP="00000000" w:rsidRDefault="00000000" w:rsidRPr="00000000" w14:paraId="0000030C">
      <w:pPr>
        <w:spacing w:line="36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Pargament, K. I., Murray-Swank, N. A., Magyar, G. M., &amp; Ano, G. G. (2011). The Religious and Spiritual Struggles Scale: Development and preliminary validation. </w:t>
      </w:r>
      <w:r w:rsidDel="00000000" w:rsidR="00000000" w:rsidRPr="00000000">
        <w:rPr>
          <w:rFonts w:ascii="Times New Roman" w:cs="Times New Roman" w:eastAsia="Times New Roman" w:hAnsi="Times New Roman"/>
          <w:i w:val="1"/>
          <w:iCs w:val="1"/>
          <w:color w:val="000000"/>
          <w:sz w:val="24"/>
          <w:szCs w:val="24"/>
          <w:rtl w:val="0"/>
        </w:rPr>
        <w:t xml:space="preserve">Psychology of Religion and Spirituality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(2), 164–179.</w:t>
      </w:r>
      <w:hyperlink r:id="rId27">
        <w:r w:rsidDel="00000000" w:rsidR="00000000" w:rsidRPr="00000000">
          <w:rPr>
            <w:rFonts w:ascii="Times New Roman" w:cs="Times New Roman" w:eastAsia="Times New Roman" w:hAnsi="Times New Roman"/>
            <w:color w:val="000000"/>
            <w:sz w:val="24"/>
            <w:szCs w:val="24"/>
            <w:rtl w:val="0"/>
          </w:rPr>
          <w:t xml:space="preserve"> </w:t>
        </w:r>
      </w:hyperlink>
      <w:hyperlink r:id="rId28">
        <w:r w:rsidDel="00000000" w:rsidR="00000000" w:rsidRPr="00000000">
          <w:rPr>
            <w:rFonts w:ascii="Times New Roman" w:cs="Times New Roman" w:eastAsia="Times New Roman" w:hAnsi="Times New Roman"/>
            <w:color w:val="000000"/>
            <w:sz w:val="24"/>
            <w:szCs w:val="24"/>
            <w:rtl w:val="0"/>
          </w:rPr>
          <w:t xml:space="preserve">https://doi.org/10.1037/a0023023</w:t>
        </w:r>
      </w:hyperlink>
      <w:r w:rsidDel="00000000" w:rsidR="00000000" w:rsidRPr="00000000">
        <w:rPr>
          <w:rtl w:val="0"/>
        </w:rPr>
      </w:r>
    </w:p>
    <w:p w:rsidR="00000000" w:rsidDel="00000000" w:rsidP="00000000" w:rsidRDefault="00000000" w:rsidRPr="00000000" w14:paraId="0000030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Plante, T. G. (Ed.). (2018). </w:t>
      </w:r>
      <w:r w:rsidDel="00000000" w:rsidR="00000000" w:rsidRPr="00000000">
        <w:rPr>
          <w:rFonts w:ascii="Times New Roman" w:cs="Times New Roman" w:eastAsia="Times New Roman" w:hAnsi="Times New Roman"/>
          <w:i w:val="1"/>
          <w:iCs w:val="1"/>
          <w:sz w:val="24"/>
          <w:szCs w:val="24"/>
          <w:rtl w:val="0"/>
        </w:rPr>
        <w:t xml:space="preserve">Healing with spiritual practices: Proven techniques for disorders from addictions and anxiety to cancer and chronic pain</w:t>
      </w:r>
      <w:r w:rsidDel="00000000" w:rsidR="00000000" w:rsidRPr="00000000">
        <w:rPr>
          <w:rFonts w:ascii="Times New Roman" w:cs="Times New Roman" w:eastAsia="Times New Roman" w:hAnsi="Times New Roman"/>
          <w:sz w:val="24"/>
          <w:szCs w:val="24"/>
          <w:rtl w:val="0"/>
        </w:rPr>
        <w:t xml:space="preserve">. Praeger.</w:t>
        <w:br w:type="textWrapping"/>
      </w:r>
    </w:p>
    <w:p w:rsidR="00000000" w:rsidDel="00000000" w:rsidP="00000000" w:rsidRDefault="00000000" w:rsidRPr="00000000" w14:paraId="0000030E">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Powell, L. H., Shahabi, L., &amp; Thoresen, C. E. (2003). Religion and spirituality: Linkages to physical health. </w:t>
      </w:r>
      <w:r w:rsidDel="00000000" w:rsidR="00000000" w:rsidRPr="00000000">
        <w:rPr>
          <w:rFonts w:ascii="Times New Roman" w:cs="Times New Roman" w:eastAsia="Times New Roman" w:hAnsi="Times New Roman"/>
          <w:i w:val="1"/>
          <w:iCs w:val="1"/>
          <w:sz w:val="24"/>
          <w:szCs w:val="24"/>
          <w:rtl w:val="0"/>
        </w:rPr>
        <w:t xml:space="preserve">American Psychologist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58</w:t>
      </w:r>
      <w:r w:rsidDel="00000000" w:rsidR="00000000" w:rsidRPr="00000000">
        <w:rPr>
          <w:rFonts w:ascii="Times New Roman" w:cs="Times New Roman" w:eastAsia="Times New Roman" w:hAnsi="Times New Roman"/>
          <w:sz w:val="24"/>
          <w:szCs w:val="24"/>
          <w:rtl w:val="0"/>
        </w:rPr>
        <w:t xml:space="preserve">(1), 36–52.</w:t>
      </w:r>
      <w:hyperlink r:id="rId29">
        <w:r w:rsidDel="00000000" w:rsidR="00000000" w:rsidRPr="00000000">
          <w:rPr>
            <w:rFonts w:ascii="Times New Roman" w:cs="Times New Roman" w:eastAsia="Times New Roman" w:hAnsi="Times New Roman"/>
            <w:sz w:val="24"/>
            <w:szCs w:val="24"/>
            <w:rtl w:val="0"/>
          </w:rPr>
          <w:t xml:space="preserve"> </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https://doi.org/10.1037/0003-066X.58.1.36</w:t>
          <w:br w:type="textWrapping"/>
        </w:r>
      </w:hyperlink>
      <w:r w:rsidDel="00000000" w:rsidR="00000000" w:rsidRPr="00000000">
        <w:rPr>
          <w:rtl w:val="0"/>
        </w:rPr>
      </w:r>
    </w:p>
    <w:p w:rsidR="00000000" w:rsidDel="00000000" w:rsidP="00000000" w:rsidRDefault="00000000" w:rsidRPr="00000000" w14:paraId="0000030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Rosmarin, D. H., &amp; Koenig, H. G. (Eds.). (2020). </w:t>
      </w:r>
      <w:r w:rsidDel="00000000" w:rsidR="00000000" w:rsidRPr="00000000">
        <w:rPr>
          <w:rFonts w:ascii="Times New Roman" w:cs="Times New Roman" w:eastAsia="Times New Roman" w:hAnsi="Times New Roman"/>
          <w:i w:val="1"/>
          <w:iCs w:val="1"/>
          <w:sz w:val="24"/>
          <w:szCs w:val="24"/>
          <w:rtl w:val="0"/>
        </w:rPr>
        <w:t xml:space="preserve">Handbook of spirituality, religion, and mental health</w:t>
      </w:r>
      <w:r w:rsidDel="00000000" w:rsidR="00000000" w:rsidRPr="00000000">
        <w:rPr>
          <w:rFonts w:ascii="Times New Roman" w:cs="Times New Roman" w:eastAsia="Times New Roman" w:hAnsi="Times New Roman"/>
          <w:sz w:val="24"/>
          <w:szCs w:val="24"/>
          <w:rtl w:val="0"/>
        </w:rPr>
        <w:t xml:space="preserve"> (2nd ed.). Elsevier.</w:t>
      </w:r>
    </w:p>
    <w:p w:rsidR="00000000" w:rsidDel="00000000" w:rsidP="00000000" w:rsidRDefault="00000000" w:rsidRPr="00000000" w14:paraId="00000310">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Snider, A. M., &amp; McPhedran, S. (2014). Religiosity, spirituality, mental health, and mental health treatment outcomes in Australia: A systematic literature review. </w:t>
      </w:r>
      <w:r w:rsidDel="00000000" w:rsidR="00000000" w:rsidRPr="00000000">
        <w:rPr>
          <w:rFonts w:ascii="Times New Roman" w:cs="Times New Roman" w:eastAsia="Times New Roman" w:hAnsi="Times New Roman"/>
          <w:i w:val="1"/>
          <w:iCs w:val="1"/>
          <w:sz w:val="24"/>
          <w:szCs w:val="24"/>
          <w:rtl w:val="0"/>
        </w:rPr>
        <w:t xml:space="preserve">Mental Health, Religion &amp; Culture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(6), 568–581.</w:t>
      </w:r>
      <w:hyperlink r:id="rId31">
        <w:r w:rsidDel="00000000" w:rsidR="00000000" w:rsidRPr="00000000">
          <w:rPr>
            <w:rFonts w:ascii="Times New Roman" w:cs="Times New Roman" w:eastAsia="Times New Roman" w:hAnsi="Times New Roman"/>
            <w:sz w:val="24"/>
            <w:szCs w:val="24"/>
            <w:rtl w:val="0"/>
          </w:rPr>
          <w:t xml:space="preserve"> </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https://doi.org/10.1080/13674676.2013.864387</w:t>
          <w:br w:type="textWrapping"/>
        </w:r>
      </w:hyperlink>
      <w:r w:rsidDel="00000000" w:rsidR="00000000" w:rsidRPr="00000000">
        <w:rPr>
          <w:rtl w:val="0"/>
        </w:rPr>
      </w:r>
    </w:p>
    <w:p w:rsidR="00000000" w:rsidDel="00000000" w:rsidP="00000000" w:rsidRDefault="00000000" w:rsidRPr="00000000" w14:paraId="0000031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Tacey, D. (2013). </w:t>
      </w:r>
      <w:r w:rsidDel="00000000" w:rsidR="00000000" w:rsidRPr="00000000">
        <w:rPr>
          <w:rFonts w:ascii="Times New Roman" w:cs="Times New Roman" w:eastAsia="Times New Roman" w:hAnsi="Times New Roman"/>
          <w:i w:val="1"/>
          <w:iCs w:val="1"/>
          <w:sz w:val="24"/>
          <w:szCs w:val="24"/>
          <w:rtl w:val="0"/>
        </w:rPr>
        <w:t xml:space="preserve">The spiritual dimension of the mental health crisis</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312">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Taheri, P., Shahriari, M., Kazemi, M., &amp; Khoshnood, Z. (2021). Treatment adherence in patients with mental illnesses: The effect of stigma and spirituality. </w:t>
      </w:r>
      <w:r w:rsidDel="00000000" w:rsidR="00000000" w:rsidRPr="00000000">
        <w:rPr>
          <w:rFonts w:ascii="Times New Roman" w:cs="Times New Roman" w:eastAsia="Times New Roman" w:hAnsi="Times New Roman"/>
          <w:i w:val="1"/>
          <w:iCs w:val="1"/>
          <w:sz w:val="24"/>
          <w:szCs w:val="24"/>
          <w:rtl w:val="0"/>
        </w:rPr>
        <w:t xml:space="preserve">Journal of Education and Health Promotion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366.</w:t>
      </w:r>
      <w:hyperlink r:id="rId33">
        <w:r w:rsidDel="00000000" w:rsidR="00000000" w:rsidRPr="00000000">
          <w:rPr>
            <w:rFonts w:ascii="Times New Roman" w:cs="Times New Roman" w:eastAsia="Times New Roman" w:hAnsi="Times New Roman"/>
            <w:sz w:val="24"/>
            <w:szCs w:val="24"/>
            <w:rtl w:val="0"/>
          </w:rPr>
          <w:t xml:space="preserve"> </w:t>
        </w:r>
      </w:hyperlink>
      <w:hyperlink r:id="rId34">
        <w:r w:rsidDel="00000000" w:rsidR="00000000" w:rsidRPr="00000000">
          <w:rPr>
            <w:rFonts w:ascii="Times New Roman" w:cs="Times New Roman" w:eastAsia="Times New Roman" w:hAnsi="Times New Roman"/>
            <w:color w:val="1155cc"/>
            <w:sz w:val="24"/>
            <w:szCs w:val="24"/>
            <w:u w:val="single"/>
            <w:rtl w:val="0"/>
          </w:rPr>
          <w:t xml:space="preserve">https://doi.org/10.4103/jehp.jehp_120_21</w:t>
          <w:br w:type="textWrapping"/>
        </w:r>
      </w:hyperlink>
      <w:r w:rsidDel="00000000" w:rsidR="00000000" w:rsidRPr="00000000">
        <w:rPr>
          <w:rtl w:val="0"/>
        </w:rPr>
      </w:r>
    </w:p>
    <w:p w:rsidR="00000000" w:rsidDel="00000000" w:rsidP="00000000" w:rsidRDefault="00000000" w:rsidRPr="00000000" w14:paraId="00000313">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Van Nieuw Amerongen, M., Bouwhuis-Van Keulen, A., &amp; van Rijsbergen, C. M. (2024). Spirituality as a therapeutic approach for severe mental illness: Insights from neural networks. </w:t>
      </w:r>
      <w:r w:rsidDel="00000000" w:rsidR="00000000" w:rsidRPr="00000000">
        <w:rPr>
          <w:rFonts w:ascii="Times New Roman" w:cs="Times New Roman" w:eastAsia="Times New Roman" w:hAnsi="Times New Roman"/>
          <w:i w:val="1"/>
          <w:iCs w:val="1"/>
          <w:sz w:val="24"/>
          <w:szCs w:val="24"/>
          <w:rtl w:val="0"/>
        </w:rPr>
        <w:t xml:space="preserve">Religions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(4), 489.</w:t>
      </w:r>
      <w:hyperlink r:id="rId35">
        <w:r w:rsidDel="00000000" w:rsidR="00000000" w:rsidRPr="00000000">
          <w:rPr>
            <w:rFonts w:ascii="Times New Roman" w:cs="Times New Roman" w:eastAsia="Times New Roman" w:hAnsi="Times New Roman"/>
            <w:sz w:val="24"/>
            <w:szCs w:val="24"/>
            <w:rtl w:val="0"/>
          </w:rPr>
          <w:t xml:space="preserve"> </w:t>
        </w:r>
      </w:hyperlink>
      <w:hyperlink r:id="rId36">
        <w:r w:rsidDel="00000000" w:rsidR="00000000" w:rsidRPr="00000000">
          <w:rPr>
            <w:rFonts w:ascii="Times New Roman" w:cs="Times New Roman" w:eastAsia="Times New Roman" w:hAnsi="Times New Roman"/>
            <w:color w:val="1155cc"/>
            <w:sz w:val="24"/>
            <w:szCs w:val="24"/>
            <w:u w:val="single"/>
            <w:rtl w:val="0"/>
          </w:rPr>
          <w:t xml:space="preserve">https://doi.org/10.3390/rel15040489</w:t>
          <w:br w:type="textWrapping"/>
        </w:r>
      </w:hyperlink>
      <w:r w:rsidDel="00000000" w:rsidR="00000000" w:rsidRPr="00000000">
        <w:rPr>
          <w:rtl w:val="0"/>
        </w:rPr>
      </w:r>
    </w:p>
    <w:p w:rsidR="00000000" w:rsidDel="00000000" w:rsidP="00000000" w:rsidRDefault="00000000" w:rsidRPr="00000000" w14:paraId="00000314">
      <w:pPr>
        <w:spacing w:line="36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Yamada, A.-M., &amp; Cole-Ann, M. (2020). Integrating spirituality and mental health: Perspectives of adults receiving public mental health services in California. </w:t>
      </w:r>
      <w:r w:rsidDel="00000000" w:rsidR="00000000" w:rsidRPr="00000000">
        <w:rPr>
          <w:rFonts w:ascii="Times New Roman" w:cs="Times New Roman" w:eastAsia="Times New Roman" w:hAnsi="Times New Roman"/>
          <w:i w:val="1"/>
          <w:iCs w:val="1"/>
          <w:sz w:val="24"/>
          <w:szCs w:val="24"/>
          <w:rtl w:val="0"/>
        </w:rPr>
        <w:t xml:space="preserve">Journal of Social Work Practice in the Addictions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(4), 276–287.</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https://doi.org/10.1080/1533256X.2020.1793740</w:t>
        </w:r>
      </w:hyperlink>
      <w:r w:rsidDel="00000000" w:rsidR="00000000" w:rsidRPr="00000000">
        <w:rPr>
          <w:rtl w:val="0"/>
        </w:rPr>
      </w:r>
    </w:p>
    <w:sectPr>
      <w:headerReference r:id="rId39" w:type="default"/>
      <w:type w:val="nextPage"/>
      <w:pgSz w:h="16838" w:w="11906" w:orient="portrait"/>
      <w:pgMar w:bottom="1440" w:top="1440" w:left="1080" w:right="108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color w:val="ffffff"/>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decimal"/>
      <w:lvlText w:val="%1"/>
      <w:lvlJc w:val="left"/>
      <w:pPr>
        <w:ind w:left="480" w:hanging="480"/>
      </w:pPr>
      <w:rPr/>
    </w:lvl>
    <w:lvl w:ilvl="1">
      <w:start w:val="4"/>
      <w:numFmt w:val="decimal"/>
      <w:lvlText w:val="%1.%2"/>
      <w:lvlJc w:val="left"/>
      <w:pPr>
        <w:ind w:left="480" w:hanging="48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6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0"/>
      <w:keepLines w:val="0"/>
      <w:spacing w:after="40" w:before="280" w:line="360" w:lineRule="auto"/>
      <w:jc w:val="both"/>
    </w:pPr>
    <w:rPr>
      <w:rFonts w:ascii="Times New Roman" w:cs="Times New Roman" w:eastAsia="Times New Roman" w:hAnsi="Times New Roman"/>
      <w:b w:val="1"/>
      <w:bCs w:val="1"/>
      <w:color w:val="000000"/>
      <w:sz w:val="24"/>
      <w:szCs w:val="24"/>
    </w:rPr>
  </w:style>
  <w:style w:type="paragraph" w:styleId="Heading3">
    <w:name w:val="heading 3"/>
    <w:basedOn w:val="Normal"/>
    <w:next w:val="Normal"/>
    <w:pPr>
      <w:keepNext w:val="0"/>
      <w:keepLines w:val="0"/>
      <w:spacing w:after="40" w:before="240" w:line="360" w:lineRule="auto"/>
      <w:jc w:val="both"/>
    </w:pPr>
    <w:rPr>
      <w:rFonts w:ascii="Times New Roman" w:cs="Times New Roman" w:eastAsia="Times New Roman" w:hAnsi="Times New Roman"/>
      <w:b w:val="1"/>
      <w:bCs w:val="1"/>
      <w:color w:val="000000"/>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5402/2012/278730" TargetMode="External"/><Relationship Id="rId22" Type="http://schemas.openxmlformats.org/officeDocument/2006/relationships/hyperlink" Target="https://www.google.com/search?q=https://doi.org/10.1371/journal.pone.0249702" TargetMode="External"/><Relationship Id="rId21" Type="http://schemas.openxmlformats.org/officeDocument/2006/relationships/hyperlink" Target="https://www.google.com/search?q=https://doi.org/10.1371/journal.pone.0249702" TargetMode="External"/><Relationship Id="rId24" Type="http://schemas.openxmlformats.org/officeDocument/2006/relationships/hyperlink" Target="https://www.google.com/search?q=https://%3C148%3Edoi.org/10.1590/1516-4446-2013-1255" TargetMode="External"/><Relationship Id="rId23" Type="http://schemas.openxmlformats.org/officeDocument/2006/relationships/hyperlink" Target="https://www.google.com/search?q=https://%3C148%3Edoi.org/10.1590/1516-4446-2013-12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s://www.google.com/search?q=https://doi.org/10.1176/appi.ajp.2011.10121823" TargetMode="External"/><Relationship Id="rId25" Type="http://schemas.openxmlformats.org/officeDocument/2006/relationships/hyperlink" Target="https://www.google.com/search?q=https://doi.org/10.1176/appi.ajp.2011.10121823" TargetMode="External"/><Relationship Id="rId28" Type="http://schemas.openxmlformats.org/officeDocument/2006/relationships/hyperlink" Target="https://doi.org/10.1037/a0023023" TargetMode="External"/><Relationship Id="rId27" Type="http://schemas.openxmlformats.org/officeDocument/2006/relationships/hyperlink" Target="https://www.google.com/search?q=https://doi.org/10.1037/a0023023"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google.com/search?q=https://doi.org/10.1037/0003-066X.58.1.36"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www.google.com/search?q=https://doi.org/10.1080/13674676.2013.864387" TargetMode="External"/><Relationship Id="rId30" Type="http://schemas.openxmlformats.org/officeDocument/2006/relationships/hyperlink" Target="https://www.google.com/search?q=https://doi.org/10.1037/0003-066X.58.1.36" TargetMode="External"/><Relationship Id="rId11" Type="http://schemas.openxmlformats.org/officeDocument/2006/relationships/footer" Target="footer4.xml"/><Relationship Id="rId33" Type="http://schemas.openxmlformats.org/officeDocument/2006/relationships/hyperlink" Target="https://www.google.com/search?q=https://doi.org/10.4103/jehp.jehp_120_21" TargetMode="External"/><Relationship Id="rId10" Type="http://schemas.openxmlformats.org/officeDocument/2006/relationships/footer" Target="footer3.xml"/><Relationship Id="rId32" Type="http://schemas.openxmlformats.org/officeDocument/2006/relationships/hyperlink" Target="https://www.google.com/search?q=https://doi.org/10.1080/13674676.2013.864387" TargetMode="External"/><Relationship Id="rId13" Type="http://schemas.openxmlformats.org/officeDocument/2006/relationships/image" Target="media/image2.png"/><Relationship Id="rId35" Type="http://schemas.openxmlformats.org/officeDocument/2006/relationships/hyperlink" Target="https://doi.org/10.3390/rel15040489" TargetMode="External"/><Relationship Id="rId12" Type="http://schemas.openxmlformats.org/officeDocument/2006/relationships/image" Target="media/image3.png"/><Relationship Id="rId34" Type="http://schemas.openxmlformats.org/officeDocument/2006/relationships/hyperlink" Target="https://www.google.com/search?q=https://doi.org/10.4103/jehp.jehp_120_21" TargetMode="External"/><Relationship Id="rId15" Type="http://schemas.openxmlformats.org/officeDocument/2006/relationships/hyperlink" Target="https://doi.org/10.1016/j.jad.2019.06.063" TargetMode="External"/><Relationship Id="rId37" Type="http://schemas.openxmlformats.org/officeDocument/2006/relationships/hyperlink" Target="https://www.google.com/search?q=https://doi.org/10.1080/1533256X.2020.1793740" TargetMode="External"/><Relationship Id="rId14" Type="http://schemas.openxmlformats.org/officeDocument/2006/relationships/image" Target="media/image4.png"/><Relationship Id="rId36" Type="http://schemas.openxmlformats.org/officeDocument/2006/relationships/hyperlink" Target="https://doi.org/10.3390/rel15040489" TargetMode="External"/><Relationship Id="rId17" Type="http://schemas.openxmlformats.org/officeDocument/2006/relationships/hyperlink" Target="https://www.google.com/search?q=https://doi.org/10.1080/20440243.2020.1774525" TargetMode="External"/><Relationship Id="rId39" Type="http://schemas.openxmlformats.org/officeDocument/2006/relationships/header" Target="header2.xml"/><Relationship Id="rId16" Type="http://schemas.openxmlformats.org/officeDocument/2006/relationships/hyperlink" Target="https://doi.org/10.1016/j.jad.2019.06.063" TargetMode="External"/><Relationship Id="rId38" Type="http://schemas.openxmlformats.org/officeDocument/2006/relationships/hyperlink" Target="https://doi.org/10.1080/1533256X.2020.1793740" TargetMode="External"/><Relationship Id="rId19" Type="http://schemas.openxmlformats.org/officeDocument/2006/relationships/hyperlink" Target="https://doi.org/10.5402/2012/278730" TargetMode="External"/><Relationship Id="rId18" Type="http://schemas.openxmlformats.org/officeDocument/2006/relationships/hyperlink" Target="https://www.google.com/search?q=https://doi.org/10.1080/20440243.2020.1774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