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E9" w:rsidRDefault="008055E9" w:rsidP="008055E9">
      <w:pPr>
        <w:pStyle w:val="Heading1"/>
      </w:pPr>
      <w:r>
        <w:rPr>
          <w:rStyle w:val="Strong"/>
          <w:b/>
          <w:bCs/>
        </w:rPr>
        <w:t>Synthesis of Salicylideneaniline: Classical Approaches, Modern Techniques, and Future Prospects</w:t>
      </w:r>
    </w:p>
    <w:p w:rsidR="008055E9" w:rsidRPr="000B1464" w:rsidRDefault="008055E9" w:rsidP="008055E9">
      <w:pPr>
        <w:pStyle w:val="NormalWeb"/>
        <w:rPr>
          <w:vertAlign w:val="superscript"/>
        </w:rPr>
      </w:pPr>
      <w:r>
        <w:rPr>
          <w:rStyle w:val="Strong"/>
        </w:rPr>
        <w:t>Shinde A. B.¹, Pardeshi V. R.¹, Pardeshi A. S.¹, Gore G. T.¹</w:t>
      </w:r>
      <w:r w:rsidR="000B1464">
        <w:rPr>
          <w:rStyle w:val="Strong"/>
        </w:rPr>
        <w:t>Chindhe D.S.</w:t>
      </w:r>
      <w:r w:rsidR="000B1464">
        <w:rPr>
          <w:rStyle w:val="Strong"/>
          <w:vertAlign w:val="superscript"/>
        </w:rPr>
        <w:t>1</w:t>
      </w:r>
    </w:p>
    <w:p w:rsidR="008055E9" w:rsidRDefault="008055E9" w:rsidP="008055E9">
      <w:pPr>
        <w:pStyle w:val="Heading2"/>
      </w:pPr>
      <w:r>
        <w:rPr>
          <w:rStyle w:val="Strong"/>
          <w:b/>
          <w:bCs/>
        </w:rPr>
        <w:t>Affiliation</w:t>
      </w:r>
      <w:bookmarkStart w:id="0" w:name="_GoBack"/>
      <w:bookmarkEnd w:id="0"/>
    </w:p>
    <w:p w:rsidR="008055E9" w:rsidRDefault="008055E9" w:rsidP="008055E9">
      <w:pPr>
        <w:pStyle w:val="NormalWeb"/>
      </w:pPr>
      <w:r>
        <w:t>¹ Department of Chemistry, S. D. M. College, Newasa, Maharashtra, India</w:t>
      </w:r>
    </w:p>
    <w:p w:rsidR="008055E9" w:rsidRDefault="008055E9" w:rsidP="008055E9">
      <w:pPr>
        <w:pStyle w:val="NormalWeb"/>
      </w:pPr>
      <w:r>
        <w:rPr>
          <w:rStyle w:val="Strong"/>
        </w:rPr>
        <w:t>Corresponding author emails:</w:t>
      </w:r>
      <w:r>
        <w:t xml:space="preserve"> </w:t>
      </w:r>
      <w:hyperlink r:id="rId6" w:history="1">
        <w:r>
          <w:rPr>
            <w:rStyle w:val="Hyperlink"/>
          </w:rPr>
          <w:t>rvndshnd@gmail.com</w:t>
        </w:r>
      </w:hyperlink>
      <w:r>
        <w:t xml:space="preserve">; </w:t>
      </w:r>
      <w:hyperlink r:id="rId7" w:history="1">
        <w:r>
          <w:rPr>
            <w:rStyle w:val="Hyperlink"/>
          </w:rPr>
          <w:t>vishalpardeshi321@gmail.com</w:t>
        </w:r>
      </w:hyperlink>
    </w:p>
    <w:p w:rsidR="008055E9" w:rsidRDefault="008055E9" w:rsidP="008055E9">
      <w:pPr>
        <w:pStyle w:val="Heading2"/>
      </w:pPr>
      <w:r>
        <w:rPr>
          <w:rStyle w:val="Strong"/>
          <w:b/>
          <w:bCs/>
        </w:rPr>
        <w:t>Abstract</w:t>
      </w:r>
    </w:p>
    <w:p w:rsidR="008055E9" w:rsidRDefault="008055E9" w:rsidP="008055E9">
      <w:pPr>
        <w:pStyle w:val="NormalWeb"/>
      </w:pPr>
      <w:r>
        <w:t>Salicylideneaniline (SA) is one of the most extensively studied Schiff bases owing to its simple synthesis, structural flexibility, and notable thermo- and photochromic properties. It has been widely employed as a model compound for investigating tautomerism, intramolecular hydrogen bonding, and chromic behavior in organic and materials chemistry [1</w:t>
      </w:r>
      <w:proofErr w:type="gramStart"/>
      <w:r>
        <w:t>,5</w:t>
      </w:r>
      <w:proofErr w:type="gramEnd"/>
      <w:r>
        <w:t>]. This review presents a comprehensive overview of classical solvent-based synthetic routes for SA, recent advances in green and sustainable synthesis, mechanistic insights, and modern analytical techniques used for its characterization. Challenges associated with SA synthesis and applications, along with emerging research directions, are also discussed. The review aims to provide an integrated perspective on the evolution, current status, and future potential of salicylideneaniline.</w:t>
      </w:r>
    </w:p>
    <w:p w:rsidR="008055E9" w:rsidRDefault="008055E9" w:rsidP="008055E9">
      <w:pPr>
        <w:pStyle w:val="NormalWeb"/>
      </w:pPr>
      <w:r>
        <w:rPr>
          <w:rStyle w:val="Strong"/>
        </w:rPr>
        <w:t>Keywords:</w:t>
      </w:r>
      <w:r>
        <w:t xml:space="preserve"> Salicylideneaniline; Schiff base; Imine condensation; Photochromism; Green synthesis; Tautomerism</w:t>
      </w:r>
    </w:p>
    <w:p w:rsidR="008055E9" w:rsidRDefault="008055E9" w:rsidP="008055E9">
      <w:pPr>
        <w:pStyle w:val="Heading2"/>
      </w:pPr>
      <w:r>
        <w:rPr>
          <w:rStyle w:val="Strong"/>
          <w:b/>
          <w:bCs/>
        </w:rPr>
        <w:t>1. Introduction</w:t>
      </w:r>
    </w:p>
    <w:p w:rsidR="008055E9" w:rsidRDefault="008055E9" w:rsidP="008055E9">
      <w:pPr>
        <w:pStyle w:val="NormalWeb"/>
      </w:pPr>
      <w:r>
        <w:t>Schiff bases represent an important class of organic compounds characterized by the azomethine (–C=N–) functional group, formed via condensation of primary amines with aldehydes or ketones [2]. Among them, salicylideneaniline (SA), synthesized from salicylaldehyde and aniline, has attracted significant attention due to its unique photophysical and structural properties, including keto–enol tautomerism, strong intramolecular hydrogen bonding, and reversible color changes under thermal or ultraviolet irradiation [1,5].</w:t>
      </w:r>
    </w:p>
    <w:p w:rsidR="008055E9" w:rsidRDefault="008055E9" w:rsidP="008055E9">
      <w:pPr>
        <w:pStyle w:val="NormalWeb"/>
      </w:pPr>
      <w:r>
        <w:t>SA has been extensively used as a prototype molecule to understand photochromism and thermochromism phenomena, which are governed by tautomeric interconversion and molecular conformation [4</w:t>
      </w:r>
      <w:proofErr w:type="gramStart"/>
      <w:r>
        <w:t>,5</w:t>
      </w:r>
      <w:proofErr w:type="gramEnd"/>
      <w:r>
        <w:t>]. In recent years, the growing emphasis on green chemistry principles has stimulated the development of sustainable synthetic methodologies aimed at minimizing solvent use, reducing energy consumption, and improving reaction efficiency [2,11]. This review summarizes classical and modern synthetic methods for SA, highlights key characterization techniques, and discusses applications, limitations, and future research prospects.</w:t>
      </w:r>
    </w:p>
    <w:p w:rsidR="008055E9" w:rsidRDefault="008055E9" w:rsidP="008055E9">
      <w:pPr>
        <w:pStyle w:val="Heading2"/>
      </w:pPr>
      <w:r>
        <w:rPr>
          <w:rStyle w:val="Strong"/>
          <w:b/>
          <w:bCs/>
        </w:rPr>
        <w:lastRenderedPageBreak/>
        <w:t>2. Classical Synthetic Methods</w:t>
      </w:r>
    </w:p>
    <w:p w:rsidR="008055E9" w:rsidRDefault="008055E9" w:rsidP="008055E9">
      <w:pPr>
        <w:pStyle w:val="Heading3"/>
      </w:pPr>
      <w:r>
        <w:rPr>
          <w:rStyle w:val="Strong"/>
          <w:b/>
          <w:bCs/>
        </w:rPr>
        <w:t>2.1 Solvent-Assisted Condensation</w:t>
      </w:r>
    </w:p>
    <w:p w:rsidR="008055E9" w:rsidRDefault="008055E9" w:rsidP="008055E9">
      <w:pPr>
        <w:pStyle w:val="NormalWeb"/>
      </w:pPr>
      <w:r>
        <w:t>The conventional synthesis of salicylideneaniline involves refluxing equimolar amounts of salicylaldehyde and aniline in alcoholic solvents such as ethanol or methanol [1]. A catalytic quantity of acetic acid is often employed to facilitate dehydration of the carbinolamine intermediate. The reaction proceeds through nucleophilic attack of the amine on the aldehyde carbonyl group, formation of the carbinolamine intermediate, followed by dehydration to yield the imine product [4].</w:t>
      </w:r>
    </w:p>
    <w:p w:rsidR="008055E9" w:rsidRDefault="008055E9" w:rsidP="008055E9">
      <w:pPr>
        <w:pStyle w:val="NormalWeb"/>
      </w:pPr>
      <w:r>
        <w:t>Although this approach typically affords good to excellent yields, it requires prolonged reaction times (1–3 h) and relies heavily on volatile organic solvents, raising environmental concerns [2].</w:t>
      </w:r>
    </w:p>
    <w:p w:rsidR="008055E9" w:rsidRDefault="008055E9" w:rsidP="008055E9">
      <w:pPr>
        <w:pStyle w:val="Heading3"/>
      </w:pPr>
      <w:r>
        <w:rPr>
          <w:rStyle w:val="Strong"/>
          <w:b/>
          <w:bCs/>
        </w:rPr>
        <w:t>2.2 Acid-Catalyzed Reflux Synthesis</w:t>
      </w:r>
    </w:p>
    <w:p w:rsidR="008055E9" w:rsidRDefault="008055E9" w:rsidP="008055E9">
      <w:pPr>
        <w:pStyle w:val="NormalWeb"/>
      </w:pPr>
      <w:r>
        <w:t xml:space="preserve">Reaction efficiency can be improved by employing mild acid catalysts such as glacial acetic acid or </w:t>
      </w:r>
      <w:r>
        <w:rPr>
          <w:rStyle w:val="Emphasis"/>
        </w:rPr>
        <w:t>p</w:t>
      </w:r>
      <w:r>
        <w:t>-toluenesulfonic acid [3]. These catalysts enhance the dehydration step, leading to reduced reaction times and improved yields. However, the need for thermal heating and organic solvents limits the sustainability of this method [2].</w:t>
      </w:r>
    </w:p>
    <w:p w:rsidR="008055E9" w:rsidRDefault="008055E9" w:rsidP="008055E9">
      <w:pPr>
        <w:pStyle w:val="Heading2"/>
      </w:pPr>
      <w:r>
        <w:rPr>
          <w:rStyle w:val="Strong"/>
          <w:b/>
          <w:bCs/>
        </w:rPr>
        <w:t>3. Modern and Green Synthetic Approaches</w:t>
      </w:r>
    </w:p>
    <w:p w:rsidR="008055E9" w:rsidRDefault="008055E9" w:rsidP="008055E9">
      <w:pPr>
        <w:pStyle w:val="Heading3"/>
      </w:pPr>
      <w:r>
        <w:rPr>
          <w:rStyle w:val="Strong"/>
          <w:b/>
          <w:bCs/>
        </w:rPr>
        <w:t>3.1 Solvent-Free Mechanochemical Synthesis</w:t>
      </w:r>
    </w:p>
    <w:p w:rsidR="008055E9" w:rsidRDefault="008055E9" w:rsidP="008055E9">
      <w:pPr>
        <w:pStyle w:val="NormalWeb"/>
      </w:pPr>
      <w:r>
        <w:t>Mechanochemical synthesis, involving simple grinding of salicylaldehyde and aniline under solvent-free conditions, has emerged as a highly efficient green alternative [2]. This method offers rapid reaction rates (2–10 min), excellent atom economy, and minimal waste generation, aligning well with sustainable chemistry principles.</w:t>
      </w:r>
    </w:p>
    <w:p w:rsidR="008055E9" w:rsidRDefault="008055E9" w:rsidP="008055E9">
      <w:pPr>
        <w:pStyle w:val="Heading3"/>
      </w:pPr>
      <w:r>
        <w:rPr>
          <w:rStyle w:val="Strong"/>
          <w:b/>
          <w:bCs/>
        </w:rPr>
        <w:t>3.2 Microwave-Assisted Synthesis</w:t>
      </w:r>
    </w:p>
    <w:p w:rsidR="008055E9" w:rsidRDefault="008055E9" w:rsidP="008055E9">
      <w:pPr>
        <w:pStyle w:val="NormalWeb"/>
      </w:pPr>
      <w:r>
        <w:t>Microwave irradiation provides rapid and uniform heating, significantly accelerating imine formation [3]. Microwave-assisted synthesis of Schiff bases has been reported to yield higher product purity, shorter reaction times, and reduced energy consumption compared to conventional reflux methods [3].</w:t>
      </w:r>
    </w:p>
    <w:p w:rsidR="008055E9" w:rsidRDefault="008055E9" w:rsidP="008055E9">
      <w:pPr>
        <w:pStyle w:val="Heading3"/>
      </w:pPr>
      <w:r>
        <w:rPr>
          <w:rStyle w:val="Strong"/>
          <w:b/>
          <w:bCs/>
        </w:rPr>
        <w:t>3.3 Ultrasonic-Assisted Synthesis</w:t>
      </w:r>
    </w:p>
    <w:p w:rsidR="008055E9" w:rsidRDefault="008055E9" w:rsidP="008055E9">
      <w:pPr>
        <w:pStyle w:val="NormalWeb"/>
      </w:pPr>
      <w:r>
        <w:t>Ultrasonic irradiation enhances reaction kinetics through acoustic cavitation, improving mass transfer and reaction efficiency [9]. This technique is energy-efficient and amenable to scale-up, making it attractive for larger-scale synthesis.</w:t>
      </w:r>
    </w:p>
    <w:p w:rsidR="008055E9" w:rsidRDefault="008055E9" w:rsidP="008055E9">
      <w:pPr>
        <w:pStyle w:val="Heading3"/>
      </w:pPr>
      <w:r>
        <w:rPr>
          <w:rStyle w:val="Strong"/>
          <w:b/>
          <w:bCs/>
        </w:rPr>
        <w:t>3.4 Ionic Liquid-Mediated Synthesis</w:t>
      </w:r>
    </w:p>
    <w:p w:rsidR="008055E9" w:rsidRDefault="008055E9" w:rsidP="008055E9">
      <w:pPr>
        <w:pStyle w:val="NormalWeb"/>
      </w:pPr>
      <w:r>
        <w:lastRenderedPageBreak/>
        <w:t>Ionic liquids have gained attention as recyclable, non-volatile, and thermally stable reaction media for Schiff base synthesis [6]. Their inherent polarity and catalytic properties facilitate efficient imine formation with minimal environmental impact.</w:t>
      </w:r>
    </w:p>
    <w:p w:rsidR="008055E9" w:rsidRDefault="008055E9" w:rsidP="008055E9">
      <w:pPr>
        <w:pStyle w:val="Heading3"/>
      </w:pPr>
      <w:r>
        <w:rPr>
          <w:rStyle w:val="Strong"/>
          <w:b/>
          <w:bCs/>
        </w:rPr>
        <w:t>3.5 Biocatalytic and Eco-Friendly Methods</w:t>
      </w:r>
    </w:p>
    <w:p w:rsidR="008055E9" w:rsidRDefault="008055E9" w:rsidP="008055E9">
      <w:pPr>
        <w:pStyle w:val="NormalWeb"/>
      </w:pPr>
      <w:r>
        <w:t>Recent studies report the use of plant extracts, enzymes, and deep eutectic solvents as natural catalysts for Schiff base synthesis [2</w:t>
      </w:r>
      <w:proofErr w:type="gramStart"/>
      <w:r>
        <w:t>,11</w:t>
      </w:r>
      <w:proofErr w:type="gramEnd"/>
      <w:r>
        <w:t>]. These methods operate under mild conditions and significantly reduce hazardous waste, representing promising alternatives for sustainable SA synthesis.</w:t>
      </w:r>
    </w:p>
    <w:p w:rsidR="008055E9" w:rsidRDefault="008055E9" w:rsidP="008055E9">
      <w:pPr>
        <w:pStyle w:val="Heading2"/>
      </w:pPr>
      <w:r>
        <w:rPr>
          <w:rStyle w:val="Strong"/>
          <w:b/>
          <w:bCs/>
        </w:rPr>
        <w:t>4. Characterization Techniques</w:t>
      </w:r>
    </w:p>
    <w:p w:rsidR="008055E9" w:rsidRDefault="008055E9" w:rsidP="008055E9">
      <w:pPr>
        <w:pStyle w:val="Heading3"/>
      </w:pPr>
      <w:r>
        <w:rPr>
          <w:rStyle w:val="Strong"/>
          <w:b/>
          <w:bCs/>
        </w:rPr>
        <w:t>4.1 Infrared (IR) Spectroscopy</w:t>
      </w:r>
    </w:p>
    <w:p w:rsidR="008055E9" w:rsidRDefault="008055E9" w:rsidP="008055E9">
      <w:pPr>
        <w:pStyle w:val="NormalWeb"/>
      </w:pPr>
      <w:r>
        <w:t>Salicylideneaniline exhibits a characteristic imine (C=N) stretching vibration in the range of 1610–1630 cm⁻¹ [9]. The O–H stretching region provides evidence for intramolecular hydrogen bonding and tautomeric equilibrium.</w:t>
      </w:r>
    </w:p>
    <w:p w:rsidR="008055E9" w:rsidRDefault="008055E9" w:rsidP="008055E9">
      <w:pPr>
        <w:pStyle w:val="Heading3"/>
      </w:pPr>
      <w:r>
        <w:rPr>
          <w:rStyle w:val="Strong"/>
          <w:b/>
          <w:bCs/>
        </w:rPr>
        <w:t>4.2 UV–Visible Spectroscopy</w:t>
      </w:r>
    </w:p>
    <w:p w:rsidR="008055E9" w:rsidRDefault="008055E9" w:rsidP="008055E9">
      <w:pPr>
        <w:pStyle w:val="NormalWeb"/>
      </w:pPr>
      <w:r>
        <w:t>Electronic absorption spectra of SA show π→π* and n→π* transitions. Shifts in absorption bands are commonly used to study photochromism and thermochromism phenomena [5].</w:t>
      </w:r>
    </w:p>
    <w:p w:rsidR="008055E9" w:rsidRDefault="008055E9" w:rsidP="008055E9">
      <w:pPr>
        <w:pStyle w:val="Heading3"/>
      </w:pPr>
      <w:r>
        <w:rPr>
          <w:rStyle w:val="Strong"/>
          <w:b/>
          <w:bCs/>
        </w:rPr>
        <w:t>4.3 Nuclear Magnetic Resonance (NMR) Spectroscopy</w:t>
      </w:r>
    </w:p>
    <w:p w:rsidR="008055E9" w:rsidRDefault="008055E9" w:rsidP="008055E9">
      <w:pPr>
        <w:pStyle w:val="NormalWeb"/>
      </w:pPr>
      <w:r>
        <w:t>In the ¹H NMR spectrum, the imine proton appears as a distinct resonance, while aromatic proton signals confirm substitution patterns. The C=N carbon resonates downfield in the ¹³C NMR spectrum, assisting structural confirmation [4].</w:t>
      </w:r>
    </w:p>
    <w:p w:rsidR="008055E9" w:rsidRDefault="008055E9" w:rsidP="008055E9">
      <w:pPr>
        <w:pStyle w:val="Heading3"/>
      </w:pPr>
      <w:r>
        <w:rPr>
          <w:rStyle w:val="Strong"/>
          <w:b/>
          <w:bCs/>
        </w:rPr>
        <w:t>4.4 Fluorescence and Photochromic Studies</w:t>
      </w:r>
    </w:p>
    <w:p w:rsidR="008055E9" w:rsidRDefault="008055E9" w:rsidP="008055E9">
      <w:pPr>
        <w:pStyle w:val="NormalWeb"/>
      </w:pPr>
      <w:r>
        <w:t>SA undergoes reversible trans–cis isomerization upon UV irradiation. Fluorescence spectroscopy provides valuable insight into photochromic behavior and tautomeric interconversion processes [5,17].</w:t>
      </w:r>
    </w:p>
    <w:p w:rsidR="008055E9" w:rsidRDefault="008055E9" w:rsidP="008055E9">
      <w:pPr>
        <w:pStyle w:val="Heading3"/>
      </w:pPr>
      <w:r>
        <w:rPr>
          <w:rStyle w:val="Strong"/>
          <w:b/>
          <w:bCs/>
        </w:rPr>
        <w:t>4.5 X-Ray Diffraction (XRD)</w:t>
      </w:r>
    </w:p>
    <w:p w:rsidR="008055E9" w:rsidRDefault="008055E9" w:rsidP="008055E9">
      <w:pPr>
        <w:pStyle w:val="NormalWeb"/>
      </w:pPr>
      <w:r>
        <w:t>Single-crystal XRD analysis reveals molecular geometry, hydrogen-bonding motifs, and tautomeric structures, which are essential for understanding chromic behavior and molecular stability [6].</w:t>
      </w:r>
    </w:p>
    <w:p w:rsidR="008055E9" w:rsidRDefault="008055E9" w:rsidP="008055E9">
      <w:pPr>
        <w:pStyle w:val="Heading2"/>
      </w:pPr>
      <w:r>
        <w:rPr>
          <w:rStyle w:val="Strong"/>
          <w:b/>
          <w:bCs/>
        </w:rPr>
        <w:t>5. Applications</w:t>
      </w:r>
    </w:p>
    <w:p w:rsidR="008055E9" w:rsidRDefault="008055E9" w:rsidP="008055E9">
      <w:pPr>
        <w:pStyle w:val="NormalWeb"/>
      </w:pPr>
      <w:r>
        <w:t>Salicylideneaniline and its derivatives have found applications in:</w:t>
      </w:r>
    </w:p>
    <w:p w:rsidR="008055E9" w:rsidRDefault="008055E9" w:rsidP="008055E9">
      <w:pPr>
        <w:pStyle w:val="NormalWeb"/>
        <w:numPr>
          <w:ilvl w:val="0"/>
          <w:numId w:val="24"/>
        </w:numPr>
      </w:pPr>
      <w:r>
        <w:t>Photochromic and thermochromic materials [1,5]</w:t>
      </w:r>
    </w:p>
    <w:p w:rsidR="008055E9" w:rsidRDefault="008055E9" w:rsidP="008055E9">
      <w:pPr>
        <w:pStyle w:val="NormalWeb"/>
        <w:numPr>
          <w:ilvl w:val="0"/>
          <w:numId w:val="24"/>
        </w:numPr>
      </w:pPr>
      <w:r>
        <w:t>Organic electronics and optoelectronics [19]</w:t>
      </w:r>
    </w:p>
    <w:p w:rsidR="008055E9" w:rsidRDefault="008055E9" w:rsidP="008055E9">
      <w:pPr>
        <w:pStyle w:val="NormalWeb"/>
        <w:numPr>
          <w:ilvl w:val="0"/>
          <w:numId w:val="24"/>
        </w:numPr>
      </w:pPr>
      <w:r>
        <w:lastRenderedPageBreak/>
        <w:t>Molecular switch systems [5]</w:t>
      </w:r>
    </w:p>
    <w:p w:rsidR="008055E9" w:rsidRDefault="008055E9" w:rsidP="008055E9">
      <w:pPr>
        <w:pStyle w:val="NormalWeb"/>
        <w:numPr>
          <w:ilvl w:val="0"/>
          <w:numId w:val="24"/>
        </w:numPr>
      </w:pPr>
      <w:r>
        <w:t>Metal-ion sensing and fluorescence probes [17,20]</w:t>
      </w:r>
    </w:p>
    <w:p w:rsidR="008055E9" w:rsidRDefault="008055E9" w:rsidP="008055E9">
      <w:pPr>
        <w:pStyle w:val="NormalWeb"/>
        <w:numPr>
          <w:ilvl w:val="0"/>
          <w:numId w:val="24"/>
        </w:numPr>
      </w:pPr>
      <w:r>
        <w:t>Dye intermediates and functional materials [18]</w:t>
      </w:r>
    </w:p>
    <w:p w:rsidR="008055E9" w:rsidRDefault="008055E9" w:rsidP="008055E9">
      <w:pPr>
        <w:pStyle w:val="NormalWeb"/>
        <w:numPr>
          <w:ilvl w:val="0"/>
          <w:numId w:val="24"/>
        </w:numPr>
      </w:pPr>
      <w:r>
        <w:t>Fundamental studies of tautomerism and hydrogen bonding [4]</w:t>
      </w:r>
    </w:p>
    <w:p w:rsidR="008055E9" w:rsidRDefault="008055E9" w:rsidP="008055E9">
      <w:pPr>
        <w:pStyle w:val="Heading2"/>
      </w:pPr>
      <w:r>
        <w:rPr>
          <w:rStyle w:val="Strong"/>
          <w:b/>
          <w:bCs/>
        </w:rPr>
        <w:t>6. Challenges and Limitations</w:t>
      </w:r>
    </w:p>
    <w:p w:rsidR="008055E9" w:rsidRDefault="008055E9" w:rsidP="008055E9">
      <w:pPr>
        <w:pStyle w:val="NormalWeb"/>
      </w:pPr>
      <w:r>
        <w:t>Despite extensive research, SA synthesis and application face several challenges:</w:t>
      </w:r>
    </w:p>
    <w:p w:rsidR="008055E9" w:rsidRDefault="008055E9" w:rsidP="008055E9">
      <w:pPr>
        <w:pStyle w:val="NormalWeb"/>
        <w:numPr>
          <w:ilvl w:val="0"/>
          <w:numId w:val="25"/>
        </w:numPr>
      </w:pPr>
      <w:r>
        <w:t>Poor solubility in environmentally benign solvents</w:t>
      </w:r>
    </w:p>
    <w:p w:rsidR="008055E9" w:rsidRDefault="008055E9" w:rsidP="008055E9">
      <w:pPr>
        <w:pStyle w:val="NormalWeb"/>
        <w:numPr>
          <w:ilvl w:val="0"/>
          <w:numId w:val="25"/>
        </w:numPr>
      </w:pPr>
      <w:r>
        <w:t>Sensitivity to pH and atmospheric moisture</w:t>
      </w:r>
    </w:p>
    <w:p w:rsidR="008055E9" w:rsidRDefault="008055E9" w:rsidP="008055E9">
      <w:pPr>
        <w:pStyle w:val="NormalWeb"/>
        <w:numPr>
          <w:ilvl w:val="0"/>
          <w:numId w:val="25"/>
        </w:numPr>
      </w:pPr>
      <w:r>
        <w:t>Tautomeric instability affecting reproducibility of measurements [4]</w:t>
      </w:r>
    </w:p>
    <w:p w:rsidR="008055E9" w:rsidRDefault="008055E9" w:rsidP="008055E9">
      <w:pPr>
        <w:pStyle w:val="NormalWeb"/>
        <w:numPr>
          <w:ilvl w:val="0"/>
          <w:numId w:val="25"/>
        </w:numPr>
      </w:pPr>
      <w:r>
        <w:t>Environmental concerns associated with conventional solvents [2]</w:t>
      </w:r>
    </w:p>
    <w:p w:rsidR="008055E9" w:rsidRDefault="008055E9" w:rsidP="008055E9">
      <w:pPr>
        <w:pStyle w:val="NormalWeb"/>
      </w:pPr>
      <w:r>
        <w:t>Addressing these limitations requires improved mechanistic understanding and the development of greener synthetic routes.</w:t>
      </w:r>
    </w:p>
    <w:p w:rsidR="008055E9" w:rsidRDefault="008055E9" w:rsidP="008055E9">
      <w:pPr>
        <w:pStyle w:val="Heading2"/>
      </w:pPr>
      <w:r>
        <w:rPr>
          <w:rStyle w:val="Strong"/>
          <w:b/>
          <w:bCs/>
        </w:rPr>
        <w:t>7. Future Prospects</w:t>
      </w:r>
    </w:p>
    <w:p w:rsidR="008055E9" w:rsidRDefault="008055E9" w:rsidP="008055E9">
      <w:pPr>
        <w:pStyle w:val="NormalWeb"/>
      </w:pPr>
      <w:r>
        <w:t>Future research directions include:</w:t>
      </w:r>
    </w:p>
    <w:p w:rsidR="008055E9" w:rsidRDefault="008055E9" w:rsidP="008055E9">
      <w:pPr>
        <w:pStyle w:val="NormalWeb"/>
        <w:numPr>
          <w:ilvl w:val="0"/>
          <w:numId w:val="26"/>
        </w:numPr>
      </w:pPr>
      <w:r>
        <w:t>Development of nano-catalysts for selective and high-efficiency condensation reactions</w:t>
      </w:r>
    </w:p>
    <w:p w:rsidR="008055E9" w:rsidRDefault="008055E9" w:rsidP="008055E9">
      <w:pPr>
        <w:pStyle w:val="NormalWeb"/>
        <w:numPr>
          <w:ilvl w:val="0"/>
          <w:numId w:val="26"/>
        </w:numPr>
      </w:pPr>
      <w:r>
        <w:t>Increased use of deep eutectic solvents and sustainable media [11]</w:t>
      </w:r>
    </w:p>
    <w:p w:rsidR="008055E9" w:rsidRDefault="008055E9" w:rsidP="008055E9">
      <w:pPr>
        <w:pStyle w:val="NormalWeb"/>
        <w:numPr>
          <w:ilvl w:val="0"/>
          <w:numId w:val="26"/>
        </w:numPr>
      </w:pPr>
      <w:r>
        <w:t>Continuous-flow mechanochemical synthesis for scalable production</w:t>
      </w:r>
    </w:p>
    <w:p w:rsidR="008055E9" w:rsidRDefault="008055E9" w:rsidP="008055E9">
      <w:pPr>
        <w:pStyle w:val="NormalWeb"/>
        <w:numPr>
          <w:ilvl w:val="0"/>
          <w:numId w:val="26"/>
        </w:numPr>
      </w:pPr>
      <w:r>
        <w:t>Design of tailored SA derivatives for optoelectronic and sensor technologies [17,20]</w:t>
      </w:r>
    </w:p>
    <w:p w:rsidR="008055E9" w:rsidRDefault="008055E9" w:rsidP="008055E9">
      <w:pPr>
        <w:pStyle w:val="NormalWeb"/>
        <w:numPr>
          <w:ilvl w:val="0"/>
          <w:numId w:val="26"/>
        </w:numPr>
      </w:pPr>
      <w:r>
        <w:t>Integration of computational chemistry and DFT studies to predict chromic behavior [6]</w:t>
      </w:r>
    </w:p>
    <w:p w:rsidR="008055E9" w:rsidRDefault="008055E9" w:rsidP="008055E9">
      <w:pPr>
        <w:pStyle w:val="Heading2"/>
      </w:pPr>
      <w:r>
        <w:rPr>
          <w:rStyle w:val="Strong"/>
          <w:b/>
          <w:bCs/>
        </w:rPr>
        <w:t>8. Conclusion</w:t>
      </w:r>
    </w:p>
    <w:p w:rsidR="008055E9" w:rsidRDefault="008055E9" w:rsidP="008055E9">
      <w:pPr>
        <w:pStyle w:val="NormalWeb"/>
      </w:pPr>
      <w:r>
        <w:t>The synthesis of salicylideneaniline has evolved significantly from classical solvent-based methods to advanced green chemistry approaches. Modern techniques such as mechanochemistry, microwave irradiation, ultrasonication, and ionic liquid catalysis have improved reaction efficiency while minimizing environmental impact [2,3]. Due to its unique structural, tautomeric, and chromic properties, salicylideneaniline continues to play a vital role in both fundamental research and advanced material applications.</w:t>
      </w:r>
    </w:p>
    <w:p w:rsidR="000B1464" w:rsidRDefault="000B1464" w:rsidP="008055E9">
      <w:pPr>
        <w:pStyle w:val="Heading2"/>
        <w:rPr>
          <w:rStyle w:val="Strong"/>
          <w:b/>
          <w:bCs/>
        </w:rPr>
      </w:pPr>
    </w:p>
    <w:p w:rsidR="000B1464" w:rsidRDefault="000B1464" w:rsidP="008055E9">
      <w:pPr>
        <w:pStyle w:val="Heading2"/>
        <w:rPr>
          <w:rStyle w:val="Strong"/>
          <w:b/>
          <w:bCs/>
        </w:rPr>
      </w:pPr>
    </w:p>
    <w:p w:rsidR="000B1464" w:rsidRDefault="000B1464" w:rsidP="008055E9">
      <w:pPr>
        <w:pStyle w:val="Heading2"/>
        <w:rPr>
          <w:rStyle w:val="Strong"/>
          <w:b/>
          <w:bCs/>
        </w:rPr>
      </w:pPr>
    </w:p>
    <w:p w:rsidR="000B1464" w:rsidRDefault="000B1464" w:rsidP="008055E9">
      <w:pPr>
        <w:pStyle w:val="Heading2"/>
        <w:rPr>
          <w:rStyle w:val="Strong"/>
          <w:b/>
          <w:bCs/>
        </w:rPr>
      </w:pPr>
    </w:p>
    <w:p w:rsidR="008055E9" w:rsidRDefault="008055E9" w:rsidP="008055E9">
      <w:pPr>
        <w:pStyle w:val="Heading2"/>
        <w:rPr>
          <w:rStyle w:val="Strong"/>
          <w:b/>
          <w:bCs/>
        </w:rPr>
      </w:pPr>
      <w:r>
        <w:rPr>
          <w:rStyle w:val="Strong"/>
          <w:b/>
          <w:bCs/>
        </w:rPr>
        <w:lastRenderedPageBreak/>
        <w:t>References</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Sharma P., Kulkarni R. 2018. Synthesis and thermochromism of salicylideneanilines. </w:t>
      </w:r>
      <w:r w:rsidRPr="00F85C66">
        <w:rPr>
          <w:rFonts w:ascii="Times New Roman" w:eastAsia="Times New Roman" w:hAnsi="Times New Roman" w:cs="Times New Roman"/>
          <w:i/>
          <w:iCs/>
          <w:sz w:val="24"/>
          <w:szCs w:val="24"/>
          <w:lang w:eastAsia="en-IN"/>
        </w:rPr>
        <w:t>Journal of Organic Studies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12</w:t>
      </w:r>
      <w:r w:rsidRPr="00F85C66">
        <w:rPr>
          <w:rFonts w:ascii="Times New Roman" w:eastAsia="Times New Roman" w:hAnsi="Times New Roman" w:cs="Times New Roman"/>
          <w:sz w:val="24"/>
          <w:szCs w:val="24"/>
          <w:lang w:eastAsia="en-IN"/>
        </w:rPr>
        <w:t>, 145–157.</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Ahmed L. 2020. Green routes for Schiff base synthesis. </w:t>
      </w:r>
      <w:r w:rsidRPr="00F85C66">
        <w:rPr>
          <w:rFonts w:ascii="Times New Roman" w:eastAsia="Times New Roman" w:hAnsi="Times New Roman" w:cs="Times New Roman"/>
          <w:i/>
          <w:iCs/>
          <w:sz w:val="24"/>
          <w:szCs w:val="24"/>
          <w:lang w:eastAsia="en-IN"/>
        </w:rPr>
        <w:t>Green Chemistry Letters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9</w:t>
      </w:r>
      <w:r w:rsidRPr="00F85C66">
        <w:rPr>
          <w:rFonts w:ascii="Times New Roman" w:eastAsia="Times New Roman" w:hAnsi="Times New Roman" w:cs="Times New Roman"/>
          <w:sz w:val="24"/>
          <w:szCs w:val="24"/>
          <w:lang w:eastAsia="en-IN"/>
        </w:rPr>
        <w:t>, 89–101.</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Patel N., Khan S. 2017. Microwave-assisted synthesis of aromatic Schiff bases. </w:t>
      </w:r>
      <w:r w:rsidRPr="00F85C66">
        <w:rPr>
          <w:rFonts w:ascii="Times New Roman" w:eastAsia="Times New Roman" w:hAnsi="Times New Roman" w:cs="Times New Roman"/>
          <w:i/>
          <w:iCs/>
          <w:sz w:val="24"/>
          <w:szCs w:val="24"/>
          <w:lang w:eastAsia="en-IN"/>
        </w:rPr>
        <w:t>International Journal of Chemical Science</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6</w:t>
      </w:r>
      <w:r w:rsidRPr="00F85C66">
        <w:rPr>
          <w:rFonts w:ascii="Times New Roman" w:eastAsia="Times New Roman" w:hAnsi="Times New Roman" w:cs="Times New Roman"/>
          <w:sz w:val="24"/>
          <w:szCs w:val="24"/>
          <w:lang w:eastAsia="en-IN"/>
        </w:rPr>
        <w:t>, 220–231.</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Dutta R. 2021. Kinetic and mechanistic studies of salicylideneaniline formation. </w:t>
      </w:r>
      <w:r w:rsidRPr="00F85C66">
        <w:rPr>
          <w:rFonts w:ascii="Times New Roman" w:eastAsia="Times New Roman" w:hAnsi="Times New Roman" w:cs="Times New Roman"/>
          <w:i/>
          <w:iCs/>
          <w:sz w:val="24"/>
          <w:szCs w:val="24"/>
          <w:lang w:eastAsia="en-IN"/>
        </w:rPr>
        <w:t>Chemical Reaction Reviews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w:t>
      </w:r>
      <w:r w:rsidRPr="00F85C66">
        <w:rPr>
          <w:rFonts w:ascii="Times New Roman" w:eastAsia="Times New Roman" w:hAnsi="Times New Roman" w:cs="Times New Roman"/>
          <w:sz w:val="24"/>
          <w:szCs w:val="24"/>
          <w:lang w:eastAsia="en-IN"/>
        </w:rPr>
        <w:t>, 33–46.</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Verma R. 2019. Photochromism in salicylideneaniline derivatives. </w:t>
      </w:r>
      <w:r w:rsidRPr="00F85C66">
        <w:rPr>
          <w:rFonts w:ascii="Times New Roman" w:eastAsia="Times New Roman" w:hAnsi="Times New Roman" w:cs="Times New Roman"/>
          <w:i/>
          <w:iCs/>
          <w:sz w:val="24"/>
          <w:szCs w:val="24"/>
          <w:lang w:eastAsia="en-IN"/>
        </w:rPr>
        <w:t>Journal of Molecular Materials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w:t>
      </w:r>
      <w:r w:rsidRPr="00F85C66">
        <w:rPr>
          <w:rFonts w:ascii="Times New Roman" w:eastAsia="Times New Roman" w:hAnsi="Times New Roman" w:cs="Times New Roman"/>
          <w:sz w:val="24"/>
          <w:szCs w:val="24"/>
          <w:lang w:eastAsia="en-IN"/>
        </w:rPr>
        <w:t>, 75–88.</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Kargar H. et al. 2021. Dioxidomolybdenum complex with aminosalicyl-hydrazone Schiff base ligand: synthesis, SC-XRD, DFT, and catalytic activity. </w:t>
      </w:r>
      <w:r w:rsidRPr="00F85C66">
        <w:rPr>
          <w:rFonts w:ascii="Times New Roman" w:eastAsia="Times New Roman" w:hAnsi="Times New Roman" w:cs="Times New Roman"/>
          <w:i/>
          <w:iCs/>
          <w:sz w:val="24"/>
          <w:szCs w:val="24"/>
          <w:lang w:eastAsia="en-IN"/>
        </w:rPr>
        <w:t>Polyhedron</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208</w:t>
      </w:r>
      <w:r w:rsidRPr="00F85C66">
        <w:rPr>
          <w:rFonts w:ascii="Times New Roman" w:eastAsia="Times New Roman" w:hAnsi="Times New Roman" w:cs="Times New Roman"/>
          <w:sz w:val="24"/>
          <w:szCs w:val="24"/>
          <w:lang w:eastAsia="en-IN"/>
        </w:rPr>
        <w:t xml:space="preserve">, 115428. </w:t>
      </w:r>
      <w:hyperlink r:id="rId8" w:tgtFrame="_new" w:history="1">
        <w:r w:rsidRPr="00F85C66">
          <w:rPr>
            <w:rFonts w:ascii="Times New Roman" w:eastAsia="Times New Roman" w:hAnsi="Times New Roman" w:cs="Times New Roman"/>
            <w:color w:val="0000FF"/>
            <w:sz w:val="24"/>
            <w:szCs w:val="24"/>
            <w:u w:val="single"/>
            <w:lang w:eastAsia="en-IN"/>
          </w:rPr>
          <w:t>https://doi.org/10.1016/j.poly.2021.115428</w:t>
        </w:r>
      </w:hyperlink>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Shahraki S. 2022. Schiff base compounds as artificial metalloenzymes. </w:t>
      </w:r>
      <w:r w:rsidRPr="00F85C66">
        <w:rPr>
          <w:rFonts w:ascii="Times New Roman" w:eastAsia="Times New Roman" w:hAnsi="Times New Roman" w:cs="Times New Roman"/>
          <w:i/>
          <w:iCs/>
          <w:sz w:val="24"/>
          <w:szCs w:val="24"/>
          <w:lang w:eastAsia="en-IN"/>
        </w:rPr>
        <w:t>Colloids Surf. B Biointerfaces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218</w:t>
      </w:r>
      <w:r w:rsidRPr="00F85C66">
        <w:rPr>
          <w:rFonts w:ascii="Times New Roman" w:eastAsia="Times New Roman" w:hAnsi="Times New Roman" w:cs="Times New Roman"/>
          <w:sz w:val="24"/>
          <w:szCs w:val="24"/>
          <w:lang w:eastAsia="en-IN"/>
        </w:rPr>
        <w:t>, 112727.</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Farag A.A. et al. 2022. Environmental remediation through catalytic inhibition of steel corrosion by Schiff’s bases. </w:t>
      </w:r>
      <w:r w:rsidRPr="00F85C66">
        <w:rPr>
          <w:rFonts w:ascii="Times New Roman" w:eastAsia="Times New Roman" w:hAnsi="Times New Roman" w:cs="Times New Roman"/>
          <w:i/>
          <w:iCs/>
          <w:sz w:val="24"/>
          <w:szCs w:val="24"/>
          <w:lang w:eastAsia="en-IN"/>
        </w:rPr>
        <w:t>Catalysts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12</w:t>
      </w:r>
      <w:r w:rsidRPr="00F85C66">
        <w:rPr>
          <w:rFonts w:ascii="Times New Roman" w:eastAsia="Times New Roman" w:hAnsi="Times New Roman" w:cs="Times New Roman"/>
          <w:sz w:val="24"/>
          <w:szCs w:val="24"/>
          <w:lang w:eastAsia="en-IN"/>
        </w:rPr>
        <w:t>, 838.</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Yadav M., Sharma S., Devi J. 2021. Spectroscopic characterization and antioxidant activity of Schiff base hydrazone complexes. </w:t>
      </w:r>
      <w:r w:rsidRPr="00F85C66">
        <w:rPr>
          <w:rFonts w:ascii="Times New Roman" w:eastAsia="Times New Roman" w:hAnsi="Times New Roman" w:cs="Times New Roman"/>
          <w:i/>
          <w:iCs/>
          <w:sz w:val="24"/>
          <w:szCs w:val="24"/>
          <w:lang w:eastAsia="en-IN"/>
        </w:rPr>
        <w:t>J. Chem. Sci.</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133</w:t>
      </w:r>
      <w:r w:rsidRPr="00F85C66">
        <w:rPr>
          <w:rFonts w:ascii="Times New Roman" w:eastAsia="Times New Roman" w:hAnsi="Times New Roman" w:cs="Times New Roman"/>
          <w:sz w:val="24"/>
          <w:szCs w:val="24"/>
          <w:lang w:eastAsia="en-IN"/>
        </w:rPr>
        <w:t>, 1–22.</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Singh A. et al. 2022. Thioether Schiff base metal complexes: design, docking, and catalysis. </w:t>
      </w:r>
      <w:r w:rsidRPr="00F85C66">
        <w:rPr>
          <w:rFonts w:ascii="Times New Roman" w:eastAsia="Times New Roman" w:hAnsi="Times New Roman" w:cs="Times New Roman"/>
          <w:i/>
          <w:iCs/>
          <w:sz w:val="24"/>
          <w:szCs w:val="24"/>
          <w:lang w:eastAsia="en-IN"/>
        </w:rPr>
        <w:t>Applied Organometallic Chemistry</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36</w:t>
      </w:r>
      <w:r w:rsidRPr="00F85C66">
        <w:rPr>
          <w:rFonts w:ascii="Times New Roman" w:eastAsia="Times New Roman" w:hAnsi="Times New Roman" w:cs="Times New Roman"/>
          <w:sz w:val="24"/>
          <w:szCs w:val="24"/>
          <w:lang w:eastAsia="en-IN"/>
        </w:rPr>
        <w:t>, e6673.</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Alanazi M.A. et al. 2022. Green synthesis of quinoxaline derivatives with insecticidal activity. </w:t>
      </w:r>
      <w:r w:rsidRPr="00F85C66">
        <w:rPr>
          <w:rFonts w:ascii="Times New Roman" w:eastAsia="Times New Roman" w:hAnsi="Times New Roman" w:cs="Times New Roman"/>
          <w:i/>
          <w:iCs/>
          <w:sz w:val="24"/>
          <w:szCs w:val="24"/>
          <w:lang w:eastAsia="en-IN"/>
        </w:rPr>
        <w:t>ACS Omega</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w:t>
      </w:r>
      <w:r w:rsidRPr="00F85C66">
        <w:rPr>
          <w:rFonts w:ascii="Times New Roman" w:eastAsia="Times New Roman" w:hAnsi="Times New Roman" w:cs="Times New Roman"/>
          <w:sz w:val="24"/>
          <w:szCs w:val="24"/>
          <w:lang w:eastAsia="en-IN"/>
        </w:rPr>
        <w:t>, 27674–27689.</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Iraji M. et al. 2022. Liposomal arsenic Schiff base complex for drug delivery in leukemia. </w:t>
      </w:r>
      <w:r w:rsidRPr="00F85C66">
        <w:rPr>
          <w:rFonts w:ascii="Times New Roman" w:eastAsia="Times New Roman" w:hAnsi="Times New Roman" w:cs="Times New Roman"/>
          <w:i/>
          <w:iCs/>
          <w:sz w:val="24"/>
          <w:szCs w:val="24"/>
          <w:lang w:eastAsia="en-IN"/>
        </w:rPr>
        <w:t>J. Drug Deliv. Sci. Technol.</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75</w:t>
      </w:r>
      <w:r w:rsidRPr="00F85C66">
        <w:rPr>
          <w:rFonts w:ascii="Times New Roman" w:eastAsia="Times New Roman" w:hAnsi="Times New Roman" w:cs="Times New Roman"/>
          <w:sz w:val="24"/>
          <w:szCs w:val="24"/>
          <w:lang w:eastAsia="en-IN"/>
        </w:rPr>
        <w:t>, 103600.</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Hamid S.J., Salih T. 2022. Synthesis and anti-inflammatory activity of coumarin Schiff base derivatives. </w:t>
      </w:r>
      <w:r w:rsidRPr="00F85C66">
        <w:rPr>
          <w:rFonts w:ascii="Times New Roman" w:eastAsia="Times New Roman" w:hAnsi="Times New Roman" w:cs="Times New Roman"/>
          <w:i/>
          <w:iCs/>
          <w:sz w:val="24"/>
          <w:szCs w:val="24"/>
          <w:lang w:eastAsia="en-IN"/>
        </w:rPr>
        <w:t>Drug Des. Dev. Ther.</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16</w:t>
      </w:r>
      <w:r w:rsidRPr="00F85C66">
        <w:rPr>
          <w:rFonts w:ascii="Times New Roman" w:eastAsia="Times New Roman" w:hAnsi="Times New Roman" w:cs="Times New Roman"/>
          <w:sz w:val="24"/>
          <w:szCs w:val="24"/>
          <w:lang w:eastAsia="en-IN"/>
        </w:rPr>
        <w:t>, 2275.</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Al-Masoudi N.A. et al. 2009. Anti-HIV activity of new Schiff base ligands. </w:t>
      </w:r>
      <w:r w:rsidRPr="00F85C66">
        <w:rPr>
          <w:rFonts w:ascii="Times New Roman" w:eastAsia="Times New Roman" w:hAnsi="Times New Roman" w:cs="Times New Roman"/>
          <w:i/>
          <w:iCs/>
          <w:sz w:val="24"/>
          <w:szCs w:val="24"/>
          <w:lang w:eastAsia="en-IN"/>
        </w:rPr>
        <w:t>Phosphorus Sulfur Silicon Relat. Elem.</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184</w:t>
      </w:r>
      <w:r w:rsidRPr="00F85C66">
        <w:rPr>
          <w:rFonts w:ascii="Times New Roman" w:eastAsia="Times New Roman" w:hAnsi="Times New Roman" w:cs="Times New Roman"/>
          <w:sz w:val="24"/>
          <w:szCs w:val="24"/>
          <w:lang w:eastAsia="en-IN"/>
        </w:rPr>
        <w:t>, 2891–2901.</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Meeran I.S. et al. 2022. Antimycobacterial and antioxidant potential of INH-Schiff base complexes. </w:t>
      </w:r>
      <w:r w:rsidRPr="00F85C66">
        <w:rPr>
          <w:rFonts w:ascii="Times New Roman" w:eastAsia="Times New Roman" w:hAnsi="Times New Roman" w:cs="Times New Roman"/>
          <w:i/>
          <w:iCs/>
          <w:sz w:val="24"/>
          <w:szCs w:val="24"/>
          <w:lang w:eastAsia="en-IN"/>
        </w:rPr>
        <w:t>New Journal of Chemistry</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46</w:t>
      </w:r>
      <w:r w:rsidRPr="00F85C66">
        <w:rPr>
          <w:rFonts w:ascii="Times New Roman" w:eastAsia="Times New Roman" w:hAnsi="Times New Roman" w:cs="Times New Roman"/>
          <w:sz w:val="24"/>
          <w:szCs w:val="24"/>
          <w:lang w:eastAsia="en-IN"/>
        </w:rPr>
        <w:t>, 4620–4633.</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Ali M.A. et al. 2022. Chitosan-based Schiff base polymer: antioxidant and cytotoxic study. </w:t>
      </w:r>
      <w:r w:rsidRPr="00F85C66">
        <w:rPr>
          <w:rFonts w:ascii="Times New Roman" w:eastAsia="Times New Roman" w:hAnsi="Times New Roman" w:cs="Times New Roman"/>
          <w:i/>
          <w:iCs/>
          <w:sz w:val="24"/>
          <w:szCs w:val="24"/>
          <w:lang w:eastAsia="en-IN"/>
        </w:rPr>
        <w:t>Carbohydrate Polymers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290</w:t>
      </w:r>
      <w:r w:rsidRPr="00F85C66">
        <w:rPr>
          <w:rFonts w:ascii="Times New Roman" w:eastAsia="Times New Roman" w:hAnsi="Times New Roman" w:cs="Times New Roman"/>
          <w:sz w:val="24"/>
          <w:szCs w:val="24"/>
          <w:lang w:eastAsia="en-IN"/>
        </w:rPr>
        <w:t>, 119501.</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Kaur P. et al. 2021. Fluorescent Schiff base probe for arsenite and selenite detection. </w:t>
      </w:r>
      <w:r w:rsidRPr="00F85C66">
        <w:rPr>
          <w:rFonts w:ascii="Times New Roman" w:eastAsia="Times New Roman" w:hAnsi="Times New Roman" w:cs="Times New Roman"/>
          <w:i/>
          <w:iCs/>
          <w:sz w:val="24"/>
          <w:szCs w:val="24"/>
          <w:lang w:eastAsia="en-IN"/>
        </w:rPr>
        <w:t>Analytical Sciences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37</w:t>
      </w:r>
      <w:r w:rsidRPr="00F85C66">
        <w:rPr>
          <w:rFonts w:ascii="Times New Roman" w:eastAsia="Times New Roman" w:hAnsi="Times New Roman" w:cs="Times New Roman"/>
          <w:sz w:val="24"/>
          <w:szCs w:val="24"/>
          <w:lang w:eastAsia="en-IN"/>
        </w:rPr>
        <w:t>, 553–560.</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Refat M.S. et al. 2022. Schiff base complexes for dye adsorption and nano oxide synthesis. </w:t>
      </w:r>
      <w:r w:rsidRPr="00F85C66">
        <w:rPr>
          <w:rFonts w:ascii="Times New Roman" w:eastAsia="Times New Roman" w:hAnsi="Times New Roman" w:cs="Times New Roman"/>
          <w:i/>
          <w:iCs/>
          <w:sz w:val="24"/>
          <w:szCs w:val="24"/>
          <w:lang w:eastAsia="en-IN"/>
        </w:rPr>
        <w:t>J. Mol. Liq.</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345</w:t>
      </w:r>
      <w:r w:rsidRPr="00F85C66">
        <w:rPr>
          <w:rFonts w:ascii="Times New Roman" w:eastAsia="Times New Roman" w:hAnsi="Times New Roman" w:cs="Times New Roman"/>
          <w:sz w:val="24"/>
          <w:szCs w:val="24"/>
          <w:lang w:eastAsia="en-IN"/>
        </w:rPr>
        <w:t>, 117140.</w:t>
      </w:r>
    </w:p>
    <w:p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Zhao Z.G. et al. 2012. Microporous films with Schiff base molecules for luminescence studies. </w:t>
      </w:r>
      <w:r w:rsidRPr="00F85C66">
        <w:rPr>
          <w:rFonts w:ascii="Times New Roman" w:eastAsia="Times New Roman" w:hAnsi="Times New Roman" w:cs="Times New Roman"/>
          <w:i/>
          <w:iCs/>
          <w:sz w:val="24"/>
          <w:szCs w:val="24"/>
          <w:lang w:eastAsia="en-IN"/>
        </w:rPr>
        <w:t>J. Mater. Chem.</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22</w:t>
      </w:r>
      <w:r w:rsidRPr="00F85C66">
        <w:rPr>
          <w:rFonts w:ascii="Times New Roman" w:eastAsia="Times New Roman" w:hAnsi="Times New Roman" w:cs="Times New Roman"/>
          <w:sz w:val="24"/>
          <w:szCs w:val="24"/>
          <w:lang w:eastAsia="en-IN"/>
        </w:rPr>
        <w:t>, 9738–9744.</w:t>
      </w:r>
    </w:p>
    <w:p w:rsidR="008055E9"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Kumar J. et al. 2015. Schiff base fluorescent sensor for Al³⁺ and cell imaging. </w:t>
      </w:r>
      <w:r w:rsidRPr="00F85C66">
        <w:rPr>
          <w:rFonts w:ascii="Times New Roman" w:eastAsia="Times New Roman" w:hAnsi="Times New Roman" w:cs="Times New Roman"/>
          <w:i/>
          <w:iCs/>
          <w:sz w:val="24"/>
          <w:szCs w:val="24"/>
          <w:lang w:eastAsia="en-IN"/>
        </w:rPr>
        <w:t>Dalton Trans.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44</w:t>
      </w:r>
      <w:r w:rsidRPr="00F85C66">
        <w:rPr>
          <w:rFonts w:ascii="Times New Roman" w:eastAsia="Times New Roman" w:hAnsi="Times New Roman" w:cs="Times New Roman"/>
          <w:sz w:val="24"/>
          <w:szCs w:val="24"/>
          <w:lang w:eastAsia="en-IN"/>
        </w:rPr>
        <w:t>, 4576–4581.</w:t>
      </w:r>
    </w:p>
    <w:p w:rsidR="008055E9" w:rsidRDefault="008055E9" w:rsidP="008055E9">
      <w:pPr>
        <w:pStyle w:val="Heading2"/>
      </w:pPr>
    </w:p>
    <w:p w:rsidR="008055E9" w:rsidRPr="00F85C66" w:rsidRDefault="008055E9" w:rsidP="008055E9">
      <w:pPr>
        <w:spacing w:before="100" w:beforeAutospacing="1" w:after="100" w:afterAutospacing="1" w:line="240" w:lineRule="auto"/>
        <w:rPr>
          <w:rFonts w:ascii="Times New Roman" w:eastAsia="Times New Roman" w:hAnsi="Times New Roman" w:cs="Times New Roman"/>
          <w:sz w:val="24"/>
          <w:szCs w:val="24"/>
          <w:lang w:eastAsia="en-IN"/>
        </w:rPr>
      </w:pPr>
    </w:p>
    <w:sectPr w:rsidR="008055E9" w:rsidRPr="00F85C66" w:rsidSect="007719C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92A"/>
    <w:multiLevelType w:val="multilevel"/>
    <w:tmpl w:val="E64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40331"/>
    <w:multiLevelType w:val="multilevel"/>
    <w:tmpl w:val="2CD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37FB0"/>
    <w:multiLevelType w:val="multilevel"/>
    <w:tmpl w:val="B0E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25F7F"/>
    <w:multiLevelType w:val="multilevel"/>
    <w:tmpl w:val="C7E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718FA"/>
    <w:multiLevelType w:val="multilevel"/>
    <w:tmpl w:val="CC1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E4C06"/>
    <w:multiLevelType w:val="multilevel"/>
    <w:tmpl w:val="B5DA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507404"/>
    <w:multiLevelType w:val="multilevel"/>
    <w:tmpl w:val="42A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33FD9"/>
    <w:multiLevelType w:val="multilevel"/>
    <w:tmpl w:val="370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26ACE"/>
    <w:multiLevelType w:val="multilevel"/>
    <w:tmpl w:val="7EB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476F65"/>
    <w:multiLevelType w:val="multilevel"/>
    <w:tmpl w:val="AB9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AA366C"/>
    <w:multiLevelType w:val="multilevel"/>
    <w:tmpl w:val="0AD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822A6"/>
    <w:multiLevelType w:val="multilevel"/>
    <w:tmpl w:val="DFF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BC102D"/>
    <w:multiLevelType w:val="multilevel"/>
    <w:tmpl w:val="8A1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6A5160"/>
    <w:multiLevelType w:val="multilevel"/>
    <w:tmpl w:val="1F4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A04ED"/>
    <w:multiLevelType w:val="multilevel"/>
    <w:tmpl w:val="65D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3B459B"/>
    <w:multiLevelType w:val="multilevel"/>
    <w:tmpl w:val="0AD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F64770"/>
    <w:multiLevelType w:val="multilevel"/>
    <w:tmpl w:val="D1E0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8D72BF"/>
    <w:multiLevelType w:val="multilevel"/>
    <w:tmpl w:val="915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AE065B"/>
    <w:multiLevelType w:val="multilevel"/>
    <w:tmpl w:val="04EC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CE4F31"/>
    <w:multiLevelType w:val="multilevel"/>
    <w:tmpl w:val="969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785408"/>
    <w:multiLevelType w:val="multilevel"/>
    <w:tmpl w:val="EB02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7B4975"/>
    <w:multiLevelType w:val="multilevel"/>
    <w:tmpl w:val="B76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0336EA"/>
    <w:multiLevelType w:val="multilevel"/>
    <w:tmpl w:val="D62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3C3C08"/>
    <w:multiLevelType w:val="multilevel"/>
    <w:tmpl w:val="65A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7B4C93"/>
    <w:multiLevelType w:val="multilevel"/>
    <w:tmpl w:val="DAC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E07FA9"/>
    <w:multiLevelType w:val="multilevel"/>
    <w:tmpl w:val="968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74D6A"/>
    <w:multiLevelType w:val="multilevel"/>
    <w:tmpl w:val="63C4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FC6F5C"/>
    <w:multiLevelType w:val="multilevel"/>
    <w:tmpl w:val="B5DA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4"/>
  </w:num>
  <w:num w:numId="3">
    <w:abstractNumId w:val="24"/>
  </w:num>
  <w:num w:numId="4">
    <w:abstractNumId w:val="19"/>
  </w:num>
  <w:num w:numId="5">
    <w:abstractNumId w:val="2"/>
  </w:num>
  <w:num w:numId="6">
    <w:abstractNumId w:val="22"/>
  </w:num>
  <w:num w:numId="7">
    <w:abstractNumId w:val="9"/>
  </w:num>
  <w:num w:numId="8">
    <w:abstractNumId w:val="3"/>
  </w:num>
  <w:num w:numId="9">
    <w:abstractNumId w:val="16"/>
  </w:num>
  <w:num w:numId="10">
    <w:abstractNumId w:val="13"/>
  </w:num>
  <w:num w:numId="11">
    <w:abstractNumId w:val="10"/>
  </w:num>
  <w:num w:numId="12">
    <w:abstractNumId w:val="17"/>
  </w:num>
  <w:num w:numId="13">
    <w:abstractNumId w:val="11"/>
  </w:num>
  <w:num w:numId="14">
    <w:abstractNumId w:val="21"/>
  </w:num>
  <w:num w:numId="15">
    <w:abstractNumId w:val="23"/>
  </w:num>
  <w:num w:numId="16">
    <w:abstractNumId w:val="26"/>
  </w:num>
  <w:num w:numId="17">
    <w:abstractNumId w:val="0"/>
  </w:num>
  <w:num w:numId="18">
    <w:abstractNumId w:val="12"/>
  </w:num>
  <w:num w:numId="19">
    <w:abstractNumId w:val="6"/>
  </w:num>
  <w:num w:numId="20">
    <w:abstractNumId w:val="27"/>
  </w:num>
  <w:num w:numId="21">
    <w:abstractNumId w:val="1"/>
  </w:num>
  <w:num w:numId="22">
    <w:abstractNumId w:val="15"/>
  </w:num>
  <w:num w:numId="23">
    <w:abstractNumId w:val="8"/>
  </w:num>
  <w:num w:numId="24">
    <w:abstractNumId w:val="18"/>
  </w:num>
  <w:num w:numId="25">
    <w:abstractNumId w:val="7"/>
  </w:num>
  <w:num w:numId="26">
    <w:abstractNumId w:val="20"/>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4D"/>
    <w:rsid w:val="000B1464"/>
    <w:rsid w:val="001C1022"/>
    <w:rsid w:val="001F54E0"/>
    <w:rsid w:val="00230AE2"/>
    <w:rsid w:val="00341419"/>
    <w:rsid w:val="00455B6B"/>
    <w:rsid w:val="00482128"/>
    <w:rsid w:val="004F5156"/>
    <w:rsid w:val="00533900"/>
    <w:rsid w:val="00564D89"/>
    <w:rsid w:val="005C0DBF"/>
    <w:rsid w:val="006A150D"/>
    <w:rsid w:val="00741A17"/>
    <w:rsid w:val="007719CD"/>
    <w:rsid w:val="008055E9"/>
    <w:rsid w:val="008839CB"/>
    <w:rsid w:val="00945E4D"/>
    <w:rsid w:val="00980774"/>
    <w:rsid w:val="00A3460F"/>
    <w:rsid w:val="00AE618C"/>
    <w:rsid w:val="00BD20C7"/>
    <w:rsid w:val="00C201B6"/>
    <w:rsid w:val="00D33315"/>
    <w:rsid w:val="00D559F9"/>
    <w:rsid w:val="00DB5350"/>
    <w:rsid w:val="00E4396A"/>
    <w:rsid w:val="00E869C7"/>
    <w:rsid w:val="00ED35EC"/>
    <w:rsid w:val="00EF4BD0"/>
    <w:rsid w:val="00F85C66"/>
    <w:rsid w:val="00FC0646"/>
    <w:rsid w:val="00FC71BC"/>
    <w:rsid w:val="00FD1B4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F5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F51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F51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F51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F515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156"/>
    <w:rPr>
      <w:b/>
      <w:bCs/>
    </w:rPr>
  </w:style>
  <w:style w:type="paragraph" w:styleId="NormalWeb">
    <w:name w:val="Normal (Web)"/>
    <w:basedOn w:val="Normal"/>
    <w:uiPriority w:val="99"/>
    <w:semiHidden/>
    <w:unhideWhenUsed/>
    <w:rsid w:val="004F51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156"/>
    <w:rPr>
      <w:i/>
      <w:iCs/>
    </w:rPr>
  </w:style>
  <w:style w:type="character" w:styleId="Hyperlink">
    <w:name w:val="Hyperlink"/>
    <w:basedOn w:val="DefaultParagraphFont"/>
    <w:uiPriority w:val="99"/>
    <w:unhideWhenUsed/>
    <w:rsid w:val="004F51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F5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F51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F51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F51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F515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156"/>
    <w:rPr>
      <w:b/>
      <w:bCs/>
    </w:rPr>
  </w:style>
  <w:style w:type="paragraph" w:styleId="NormalWeb">
    <w:name w:val="Normal (Web)"/>
    <w:basedOn w:val="Normal"/>
    <w:uiPriority w:val="99"/>
    <w:semiHidden/>
    <w:unhideWhenUsed/>
    <w:rsid w:val="004F51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156"/>
    <w:rPr>
      <w:i/>
      <w:iCs/>
    </w:rPr>
  </w:style>
  <w:style w:type="character" w:styleId="Hyperlink">
    <w:name w:val="Hyperlink"/>
    <w:basedOn w:val="DefaultParagraphFont"/>
    <w:uiPriority w:val="99"/>
    <w:unhideWhenUsed/>
    <w:rsid w:val="004F5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3612">
      <w:bodyDiv w:val="1"/>
      <w:marLeft w:val="0"/>
      <w:marRight w:val="0"/>
      <w:marTop w:val="0"/>
      <w:marBottom w:val="0"/>
      <w:divBdr>
        <w:top w:val="none" w:sz="0" w:space="0" w:color="auto"/>
        <w:left w:val="none" w:sz="0" w:space="0" w:color="auto"/>
        <w:bottom w:val="none" w:sz="0" w:space="0" w:color="auto"/>
        <w:right w:val="none" w:sz="0" w:space="0" w:color="auto"/>
      </w:divBdr>
    </w:div>
    <w:div w:id="400912839">
      <w:bodyDiv w:val="1"/>
      <w:marLeft w:val="0"/>
      <w:marRight w:val="0"/>
      <w:marTop w:val="0"/>
      <w:marBottom w:val="0"/>
      <w:divBdr>
        <w:top w:val="none" w:sz="0" w:space="0" w:color="auto"/>
        <w:left w:val="none" w:sz="0" w:space="0" w:color="auto"/>
        <w:bottom w:val="none" w:sz="0" w:space="0" w:color="auto"/>
        <w:right w:val="none" w:sz="0" w:space="0" w:color="auto"/>
      </w:divBdr>
    </w:div>
    <w:div w:id="470636957">
      <w:bodyDiv w:val="1"/>
      <w:marLeft w:val="0"/>
      <w:marRight w:val="0"/>
      <w:marTop w:val="0"/>
      <w:marBottom w:val="0"/>
      <w:divBdr>
        <w:top w:val="none" w:sz="0" w:space="0" w:color="auto"/>
        <w:left w:val="none" w:sz="0" w:space="0" w:color="auto"/>
        <w:bottom w:val="none" w:sz="0" w:space="0" w:color="auto"/>
        <w:right w:val="none" w:sz="0" w:space="0" w:color="auto"/>
      </w:divBdr>
    </w:div>
    <w:div w:id="1470594205">
      <w:bodyDiv w:val="1"/>
      <w:marLeft w:val="0"/>
      <w:marRight w:val="0"/>
      <w:marTop w:val="0"/>
      <w:marBottom w:val="0"/>
      <w:divBdr>
        <w:top w:val="none" w:sz="0" w:space="0" w:color="auto"/>
        <w:left w:val="none" w:sz="0" w:space="0" w:color="auto"/>
        <w:bottom w:val="none" w:sz="0" w:space="0" w:color="auto"/>
        <w:right w:val="none" w:sz="0" w:space="0" w:color="auto"/>
      </w:divBdr>
    </w:div>
    <w:div w:id="14971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oly.2021.115428" TargetMode="External"/><Relationship Id="rId3" Type="http://schemas.microsoft.com/office/2007/relationships/stylesWithEffects" Target="stylesWithEffects.xml"/><Relationship Id="rId7" Type="http://schemas.openxmlformats.org/officeDocument/2006/relationships/hyperlink" Target="mailto:vishalpardeshi3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ndshnd@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4226</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 Chemistory</dc:creator>
  <cp:keywords/>
  <dc:description/>
  <cp:lastModifiedBy>SDM Chemistory</cp:lastModifiedBy>
  <cp:revision>29</cp:revision>
  <dcterms:created xsi:type="dcterms:W3CDTF">2025-12-06T04:31:00Z</dcterms:created>
  <dcterms:modified xsi:type="dcterms:W3CDTF">2026-03-20T04:27:00Z</dcterms:modified>
</cp:coreProperties>
</file>