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BFE1" w14:textId="77777777" w:rsidR="0017047C" w:rsidRPr="00A820C0" w:rsidRDefault="0017047C" w:rsidP="00C66CC7">
      <w:pPr>
        <w:spacing w:before="310" w:after="200"/>
        <w:jc w:val="center"/>
        <w:rPr>
          <w:rFonts w:ascii="Times New Roman" w:hAnsi="Times New Roman" w:cs="Times New Roman"/>
          <w:b/>
          <w:bCs/>
          <w:sz w:val="36"/>
          <w:szCs w:val="36"/>
        </w:rPr>
      </w:pPr>
      <w:r w:rsidRPr="00A820C0">
        <w:rPr>
          <w:rFonts w:ascii="Times New Roman" w:hAnsi="Times New Roman" w:cs="Times New Roman"/>
          <w:b/>
          <w:bCs/>
          <w:sz w:val="36"/>
          <w:szCs w:val="36"/>
        </w:rPr>
        <w:t>Tablet Translation in English Learning: A Single Case Study</w:t>
      </w:r>
    </w:p>
    <w:p w14:paraId="4659BAE2" w14:textId="771DE039" w:rsidR="00A820C0" w:rsidRDefault="003D350A" w:rsidP="00C66CC7">
      <w:pPr>
        <w:spacing w:before="310" w:after="200"/>
        <w:jc w:val="center"/>
        <w:rPr>
          <w:rFonts w:ascii="Times New Roman" w:hAnsi="Times New Roman" w:cs="Times New Roman"/>
          <w:b/>
          <w:bCs/>
        </w:rPr>
      </w:pPr>
      <w:proofErr w:type="spellStart"/>
      <w:r w:rsidRPr="003D350A">
        <w:rPr>
          <w:rFonts w:ascii="Times New Roman" w:hAnsi="Times New Roman" w:cs="Times New Roman"/>
          <w:b/>
          <w:bCs/>
        </w:rPr>
        <w:t>Oluwatimilehin</w:t>
      </w:r>
      <w:proofErr w:type="spellEnd"/>
      <w:r w:rsidRPr="003D350A">
        <w:rPr>
          <w:rFonts w:ascii="Times New Roman" w:hAnsi="Times New Roman" w:cs="Times New Roman"/>
          <w:b/>
          <w:bCs/>
        </w:rPr>
        <w:t xml:space="preserve"> Amos </w:t>
      </w:r>
      <w:proofErr w:type="spellStart"/>
      <w:r w:rsidRPr="003D350A">
        <w:rPr>
          <w:rFonts w:ascii="Times New Roman" w:hAnsi="Times New Roman" w:cs="Times New Roman"/>
          <w:b/>
          <w:bCs/>
        </w:rPr>
        <w:t>Akinade</w:t>
      </w:r>
      <w:proofErr w:type="spellEnd"/>
    </w:p>
    <w:p w14:paraId="2901CC47" w14:textId="2DFBBFC8" w:rsidR="00A820C0" w:rsidRDefault="003D350A" w:rsidP="00C66CC7">
      <w:pPr>
        <w:spacing w:before="310" w:after="200"/>
        <w:jc w:val="center"/>
        <w:rPr>
          <w:rFonts w:ascii="Times New Roman" w:hAnsi="Times New Roman" w:cs="Times New Roman"/>
          <w:b/>
          <w:bCs/>
        </w:rPr>
      </w:pPr>
      <w:r w:rsidRPr="003D350A">
        <w:rPr>
          <w:rFonts w:ascii="Times New Roman" w:hAnsi="Times New Roman" w:cs="Times New Roman"/>
          <w:b/>
          <w:bCs/>
        </w:rPr>
        <w:t>University of Greater Manchester, Bolton, Greater Manchester, United Kingdom</w:t>
      </w:r>
    </w:p>
    <w:p w14:paraId="7E29A6BE" w14:textId="34434F55" w:rsidR="00A820C0" w:rsidRPr="003F0DC2" w:rsidRDefault="00A820C0" w:rsidP="00C66CC7">
      <w:pPr>
        <w:spacing w:before="310" w:after="200"/>
        <w:jc w:val="center"/>
        <w:rPr>
          <w:rFonts w:ascii="Times New Roman" w:eastAsia="Times New Roman" w:hAnsi="Times New Roman" w:cs="Times New Roman"/>
          <w:b/>
          <w:bCs/>
          <w:color w:val="007BB8"/>
          <w:u w:val="single"/>
          <w:lang w:val="fr-FR"/>
        </w:rPr>
      </w:pPr>
      <w:r w:rsidRPr="003F0DC2">
        <w:rPr>
          <w:rFonts w:ascii="Times New Roman" w:eastAsia="Times New Roman" w:hAnsi="Times New Roman" w:cs="Times New Roman"/>
          <w:b/>
          <w:bCs/>
          <w:lang w:val="en-CA"/>
        </w:rPr>
        <w:t>DOI:</w:t>
      </w:r>
      <w:r w:rsidR="003D350A">
        <w:rPr>
          <w:rFonts w:ascii="Times New Roman" w:eastAsia="Times New Roman" w:hAnsi="Times New Roman" w:cs="Times New Roman"/>
          <w:b/>
          <w:bCs/>
          <w:lang w:val="en-CA"/>
        </w:rPr>
        <w:t xml:space="preserve"> </w:t>
      </w:r>
      <w:hyperlink r:id="rId7" w:history="1">
        <w:r w:rsidR="003D350A" w:rsidRPr="003D350A">
          <w:rPr>
            <w:rStyle w:val="Hyperlink"/>
            <w:rFonts w:ascii="Times New Roman" w:eastAsia="Times New Roman" w:hAnsi="Times New Roman" w:cs="Times New Roman"/>
            <w:b/>
            <w:bCs/>
            <w:lang w:val="en-CA"/>
          </w:rPr>
          <w:t>https://</w:t>
        </w:r>
        <w:proofErr w:type="spellStart"/>
        <w:r w:rsidR="003D350A" w:rsidRPr="003D350A">
          <w:rPr>
            <w:rStyle w:val="Hyperlink"/>
            <w:rFonts w:ascii="Times New Roman" w:eastAsia="Times New Roman" w:hAnsi="Times New Roman" w:cs="Times New Roman"/>
            <w:b/>
            <w:bCs/>
            <w:lang w:val="en-CA"/>
          </w:rPr>
          <w:t>doi.org</w:t>
        </w:r>
        <w:proofErr w:type="spellEnd"/>
        <w:r w:rsidR="003D350A" w:rsidRPr="003D350A">
          <w:rPr>
            <w:rStyle w:val="Hyperlink"/>
            <w:rFonts w:ascii="Times New Roman" w:eastAsia="Times New Roman" w:hAnsi="Times New Roman" w:cs="Times New Roman"/>
            <w:b/>
            <w:bCs/>
            <w:lang w:val="en-CA"/>
          </w:rPr>
          <w:t>/10.47772/IJRISS.2026.1026EDU0019</w:t>
        </w:r>
      </w:hyperlink>
    </w:p>
    <w:p w14:paraId="1EEEB6AB" w14:textId="067F526D" w:rsidR="00A820C0" w:rsidRPr="00F81F7F" w:rsidRDefault="00A820C0" w:rsidP="00C66CC7">
      <w:pPr>
        <w:spacing w:before="310" w:after="200"/>
        <w:jc w:val="center"/>
        <w:rPr>
          <w:rFonts w:ascii="Times New Roman" w:eastAsia="DengXian Light" w:hAnsi="Times New Roman" w:cs="Times New Roman"/>
          <w:b/>
          <w:bCs/>
          <w:color w:val="000000"/>
          <w:lang w:val="tr-TR" w:eastAsia="zh-CN"/>
        </w:rPr>
      </w:pPr>
      <w:r w:rsidRPr="00F81F7F">
        <w:rPr>
          <w:rFonts w:ascii="Times New Roman" w:eastAsia="Times New Roman" w:hAnsi="Times New Roman" w:cs="Times New Roman"/>
          <w:b/>
          <w:bCs/>
          <w:lang w:val="tr-TR"/>
        </w:rPr>
        <w:t xml:space="preserve">Received: </w:t>
      </w:r>
      <w:bookmarkStart w:id="0" w:name="_Hlk218337700"/>
      <w:r w:rsidR="00F81F7F">
        <w:rPr>
          <w:rFonts w:ascii="Times New Roman" w:hAnsi="Times New Roman" w:cs="Times New Roman"/>
          <w:b/>
          <w:bCs/>
          <w:lang w:val="tr-TR" w:eastAsia="zh-CN"/>
        </w:rPr>
        <w:t>20</w:t>
      </w:r>
      <w:r w:rsidR="00F81F7F" w:rsidRPr="00F81F7F">
        <w:rPr>
          <w:rFonts w:ascii="Times New Roman" w:hAnsi="Times New Roman" w:cs="Times New Roman"/>
          <w:b/>
          <w:bCs/>
          <w:lang w:val="en-PH" w:eastAsia="zh-CN"/>
        </w:rPr>
        <w:t xml:space="preserve"> December 2025; Accepted: 2</w:t>
      </w:r>
      <w:r w:rsidR="00F81F7F">
        <w:rPr>
          <w:rFonts w:ascii="Times New Roman" w:hAnsi="Times New Roman" w:cs="Times New Roman"/>
          <w:b/>
          <w:bCs/>
          <w:lang w:val="en-PH" w:eastAsia="zh-CN"/>
        </w:rPr>
        <w:t>7</w:t>
      </w:r>
      <w:r w:rsidR="00F81F7F" w:rsidRPr="00F81F7F">
        <w:rPr>
          <w:rFonts w:ascii="Times New Roman" w:hAnsi="Times New Roman" w:cs="Times New Roman"/>
          <w:b/>
          <w:bCs/>
          <w:lang w:val="en-PH" w:eastAsia="zh-CN"/>
        </w:rPr>
        <w:t xml:space="preserve"> December 2025; Published: </w:t>
      </w:r>
      <w:r w:rsidR="00F81F7F" w:rsidRPr="00F81F7F">
        <w:rPr>
          <w:rFonts w:ascii="Times New Roman" w:eastAsia="Calibri" w:hAnsi="Times New Roman" w:cs="Times New Roman"/>
          <w:b/>
          <w:bCs/>
          <w:lang w:val="en-PH" w:eastAsia="zh-CN"/>
        </w:rPr>
        <w:t>06 January</w:t>
      </w:r>
      <w:r w:rsidR="00F81F7F" w:rsidRPr="00F81F7F">
        <w:rPr>
          <w:rFonts w:ascii="Times New Roman" w:hAnsi="Times New Roman" w:cs="Times New Roman"/>
          <w:b/>
          <w:bCs/>
          <w:lang w:val="en-PH" w:eastAsia="zh-CN"/>
        </w:rPr>
        <w:t xml:space="preserve"> 2026</w:t>
      </w:r>
      <w:bookmarkEnd w:id="0"/>
    </w:p>
    <w:p w14:paraId="3D7AEBE3" w14:textId="2E7DC17B" w:rsidR="0017047C" w:rsidRPr="00A820C0" w:rsidRDefault="00A820C0" w:rsidP="00C66CC7">
      <w:pPr>
        <w:spacing w:before="310" w:after="200"/>
        <w:jc w:val="both"/>
        <w:rPr>
          <w:rFonts w:ascii="Times New Roman" w:hAnsi="Times New Roman" w:cs="Times New Roman"/>
          <w:b/>
          <w:bCs/>
          <w:sz w:val="28"/>
          <w:szCs w:val="28"/>
        </w:rPr>
      </w:pPr>
      <w:r w:rsidRPr="00A820C0">
        <w:rPr>
          <w:rFonts w:ascii="Times New Roman" w:hAnsi="Times New Roman" w:cs="Times New Roman"/>
          <w:b/>
          <w:bCs/>
          <w:sz w:val="28"/>
          <w:szCs w:val="28"/>
        </w:rPr>
        <w:t>ABSTRACT</w:t>
      </w:r>
    </w:p>
    <w:p w14:paraId="2FB83271" w14:textId="77777777" w:rsidR="00BC10AA" w:rsidRPr="00A820C0" w:rsidRDefault="00BC10AA" w:rsidP="00C66CC7">
      <w:pPr>
        <w:spacing w:before="310" w:after="200"/>
        <w:jc w:val="both"/>
        <w:rPr>
          <w:rFonts w:ascii="Times New Roman" w:hAnsi="Times New Roman" w:cs="Times New Roman"/>
        </w:rPr>
      </w:pPr>
      <w:r w:rsidRPr="00A820C0">
        <w:rPr>
          <w:rFonts w:ascii="Times New Roman" w:hAnsi="Times New Roman" w:cs="Times New Roman"/>
        </w:rPr>
        <w:t xml:space="preserve">The </w:t>
      </w:r>
      <w:r w:rsidR="00B6364F" w:rsidRPr="00A820C0">
        <w:rPr>
          <w:rFonts w:ascii="Times New Roman" w:hAnsi="Times New Roman" w:cs="Times New Roman"/>
        </w:rPr>
        <w:t xml:space="preserve">single </w:t>
      </w:r>
      <w:r w:rsidRPr="00A820C0">
        <w:rPr>
          <w:rFonts w:ascii="Times New Roman" w:hAnsi="Times New Roman" w:cs="Times New Roman"/>
        </w:rPr>
        <w:t xml:space="preserve">case study under consideration explores </w:t>
      </w:r>
      <w:r w:rsidR="005073EB" w:rsidRPr="00A820C0">
        <w:rPr>
          <w:rFonts w:ascii="Times New Roman" w:hAnsi="Times New Roman" w:cs="Times New Roman"/>
        </w:rPr>
        <w:t xml:space="preserve">how </w:t>
      </w:r>
      <w:r w:rsidRPr="00A820C0">
        <w:rPr>
          <w:rFonts w:ascii="Times New Roman" w:hAnsi="Times New Roman" w:cs="Times New Roman"/>
        </w:rPr>
        <w:t>tablet-enabled translation</w:t>
      </w:r>
      <w:r w:rsidR="005073EB" w:rsidRPr="00A820C0">
        <w:rPr>
          <w:rFonts w:ascii="Times New Roman" w:hAnsi="Times New Roman" w:cs="Times New Roman"/>
        </w:rPr>
        <w:t xml:space="preserve"> assisted in</w:t>
      </w:r>
      <w:r w:rsidRPr="00A820C0">
        <w:rPr>
          <w:rFonts w:ascii="Times New Roman" w:hAnsi="Times New Roman" w:cs="Times New Roman"/>
        </w:rPr>
        <w:t xml:space="preserve"> facilitating inclusive education in an English classroom of Year 7 at an English high school. Using Sociocultural Theory</w:t>
      </w:r>
      <w:r w:rsidR="008C6590" w:rsidRPr="00A820C0">
        <w:rPr>
          <w:rFonts w:ascii="Times New Roman" w:hAnsi="Times New Roman" w:cs="Times New Roman"/>
        </w:rPr>
        <w:t xml:space="preserve"> </w:t>
      </w:r>
      <w:r w:rsidRPr="00A820C0">
        <w:rPr>
          <w:rFonts w:ascii="Times New Roman" w:hAnsi="Times New Roman" w:cs="Times New Roman"/>
        </w:rPr>
        <w:t xml:space="preserve">that focuses on learning as a process that is socially mediated (Vygotsky, 1978), the paper discusses how an Arabic-speaking new student could gain access to the content of the curriculum, become an engaged and active participant by using a tablet-based translation tool. </w:t>
      </w:r>
      <w:r w:rsidR="005073EB" w:rsidRPr="00A820C0">
        <w:rPr>
          <w:rFonts w:ascii="Times New Roman" w:hAnsi="Times New Roman" w:cs="Times New Roman"/>
        </w:rPr>
        <w:t>Real-time translation of learning materials and assessments prompted the student to work alongside peers equitably</w:t>
      </w:r>
      <w:r w:rsidRPr="00A820C0">
        <w:rPr>
          <w:rFonts w:ascii="Times New Roman" w:hAnsi="Times New Roman" w:cs="Times New Roman"/>
        </w:rPr>
        <w:t xml:space="preserve">. The data sources comprised worksheets, handwritten notes, translated outputs, classroom observations and teacher reflections which were analysed thematically to determine the patterns of access, engagement, and social inclusion. Ethical measures covered </w:t>
      </w:r>
      <w:proofErr w:type="spellStart"/>
      <w:r w:rsidRPr="00A820C0">
        <w:rPr>
          <w:rFonts w:ascii="Times New Roman" w:hAnsi="Times New Roman" w:cs="Times New Roman"/>
        </w:rPr>
        <w:t>anonymisation</w:t>
      </w:r>
      <w:proofErr w:type="spellEnd"/>
      <w:r w:rsidRPr="00A820C0">
        <w:rPr>
          <w:rFonts w:ascii="Times New Roman" w:hAnsi="Times New Roman" w:cs="Times New Roman"/>
        </w:rPr>
        <w:t xml:space="preserve"> and confidentiality. The findings of this one case study indicate how widespread digital tools may reduce the language barrier, level the playing field, and teach the inclusive pedagogy in a classroom environment. </w:t>
      </w:r>
    </w:p>
    <w:p w14:paraId="4873DDC3" w14:textId="77777777" w:rsidR="0017047C" w:rsidRPr="00A820C0" w:rsidRDefault="0017047C" w:rsidP="00C66CC7">
      <w:pPr>
        <w:spacing w:before="310" w:after="200"/>
        <w:jc w:val="both"/>
        <w:rPr>
          <w:rFonts w:ascii="Times New Roman" w:hAnsi="Times New Roman" w:cs="Times New Roman"/>
        </w:rPr>
      </w:pPr>
      <w:r w:rsidRPr="00A820C0">
        <w:rPr>
          <w:rFonts w:ascii="Times New Roman" w:hAnsi="Times New Roman" w:cs="Times New Roman"/>
          <w:b/>
          <w:bCs/>
        </w:rPr>
        <w:t>Keywords:</w:t>
      </w:r>
      <w:r w:rsidRPr="00A820C0">
        <w:rPr>
          <w:rFonts w:ascii="Times New Roman" w:hAnsi="Times New Roman" w:cs="Times New Roman"/>
        </w:rPr>
        <w:t xml:space="preserve"> Tablet-assisted translation; Inclusive education; English as a Second Language (ESL); Educational technology; Linguistic diversity; Sociocultural Theory</w:t>
      </w:r>
    </w:p>
    <w:p w14:paraId="200F4AF9" w14:textId="4F677F69" w:rsidR="0017047C" w:rsidRPr="00A820C0" w:rsidRDefault="00A820C0" w:rsidP="00C66CC7">
      <w:pPr>
        <w:spacing w:before="310" w:after="200"/>
        <w:jc w:val="both"/>
        <w:rPr>
          <w:rFonts w:ascii="Times New Roman" w:hAnsi="Times New Roman" w:cs="Times New Roman"/>
          <w:b/>
          <w:bCs/>
          <w:sz w:val="28"/>
          <w:szCs w:val="28"/>
        </w:rPr>
      </w:pPr>
      <w:r w:rsidRPr="00A820C0">
        <w:rPr>
          <w:rFonts w:ascii="Times New Roman" w:hAnsi="Times New Roman" w:cs="Times New Roman"/>
          <w:b/>
          <w:bCs/>
          <w:sz w:val="28"/>
          <w:szCs w:val="28"/>
        </w:rPr>
        <w:t>INTRODUCTION</w:t>
      </w:r>
    </w:p>
    <w:p w14:paraId="05BBF0BA" w14:textId="77777777" w:rsidR="00BC10AA" w:rsidRPr="00A820C0" w:rsidRDefault="00BC10AA" w:rsidP="00C66CC7">
      <w:pPr>
        <w:spacing w:before="310" w:after="200"/>
        <w:jc w:val="both"/>
        <w:rPr>
          <w:rFonts w:ascii="Times New Roman" w:hAnsi="Times New Roman" w:cs="Times New Roman"/>
        </w:rPr>
      </w:pPr>
      <w:r w:rsidRPr="00A820C0">
        <w:rPr>
          <w:rFonts w:ascii="Times New Roman" w:hAnsi="Times New Roman" w:cs="Times New Roman"/>
        </w:rPr>
        <w:t>Inclusive education teaches that every learner</w:t>
      </w:r>
      <w:r w:rsidR="008C6590" w:rsidRPr="00A820C0">
        <w:rPr>
          <w:rFonts w:ascii="Times New Roman" w:hAnsi="Times New Roman" w:cs="Times New Roman"/>
        </w:rPr>
        <w:t>,</w:t>
      </w:r>
      <w:r w:rsidRPr="00A820C0">
        <w:rPr>
          <w:rFonts w:ascii="Times New Roman" w:hAnsi="Times New Roman" w:cs="Times New Roman"/>
        </w:rPr>
        <w:t xml:space="preserve"> no matter their background or ability should be able to access high quality learning opportunities (UNESCO, 2020).</w:t>
      </w:r>
      <w:r w:rsidRPr="00A820C0">
        <w:rPr>
          <w:rFonts w:ascii="Times New Roman" w:hAnsi="Times New Roman" w:cs="Times New Roman"/>
          <w:b/>
          <w:bCs/>
        </w:rPr>
        <w:t xml:space="preserve"> </w:t>
      </w:r>
      <w:r w:rsidR="00243EC1" w:rsidRPr="00A820C0">
        <w:rPr>
          <w:rFonts w:ascii="Times New Roman" w:hAnsi="Times New Roman" w:cs="Times New Roman"/>
        </w:rPr>
        <w:t xml:space="preserve">Linguistic diversity is </w:t>
      </w:r>
      <w:r w:rsidR="008C6590" w:rsidRPr="00A820C0">
        <w:rPr>
          <w:rFonts w:ascii="Times New Roman" w:hAnsi="Times New Roman" w:cs="Times New Roman"/>
        </w:rPr>
        <w:t>seen as</w:t>
      </w:r>
      <w:r w:rsidR="00243EC1" w:rsidRPr="00A820C0">
        <w:rPr>
          <w:rFonts w:ascii="Times New Roman" w:hAnsi="Times New Roman" w:cs="Times New Roman"/>
        </w:rPr>
        <w:t xml:space="preserve"> a significant obstacle particularly to new students that might not participate in the curriculum as they might be less proficient in the language of instruction (OECD, 2021). </w:t>
      </w:r>
      <w:r w:rsidRPr="00A820C0">
        <w:rPr>
          <w:rFonts w:ascii="Times New Roman" w:hAnsi="Times New Roman" w:cs="Times New Roman"/>
        </w:rPr>
        <w:t>These obstacles may lead to social isolation, poor performance, and a disabilit</w:t>
      </w:r>
      <w:r w:rsidR="00243EC1" w:rsidRPr="00A820C0">
        <w:rPr>
          <w:rFonts w:ascii="Times New Roman" w:hAnsi="Times New Roman" w:cs="Times New Roman"/>
        </w:rPr>
        <w:t>y in the long run.</w:t>
      </w:r>
    </w:p>
    <w:p w14:paraId="160EC0E0" w14:textId="77777777" w:rsidR="00BC10AA" w:rsidRPr="00A820C0" w:rsidRDefault="00BC10AA" w:rsidP="00C66CC7">
      <w:pPr>
        <w:spacing w:before="310" w:after="200"/>
        <w:jc w:val="both"/>
        <w:rPr>
          <w:rFonts w:ascii="Times New Roman" w:hAnsi="Times New Roman" w:cs="Times New Roman"/>
        </w:rPr>
      </w:pPr>
      <w:r w:rsidRPr="00A820C0">
        <w:rPr>
          <w:rFonts w:ascii="Times New Roman" w:hAnsi="Times New Roman" w:cs="Times New Roman"/>
        </w:rPr>
        <w:t xml:space="preserve">Technology has been extensively advocated as a mechanism of countering educational discrepancies. Although a lot of research is conducted on on-line or distance learning, the concepts of Open and Distance Learning (ODL), specifically through the use of technology to eliminate obstacles to access and participation, are also applicable in the </w:t>
      </w:r>
      <w:r w:rsidR="00243EC1" w:rsidRPr="00A820C0">
        <w:rPr>
          <w:rFonts w:ascii="Times New Roman" w:hAnsi="Times New Roman" w:cs="Times New Roman"/>
        </w:rPr>
        <w:t>face-to-face</w:t>
      </w:r>
      <w:r w:rsidRPr="00A820C0">
        <w:rPr>
          <w:rFonts w:ascii="Times New Roman" w:hAnsi="Times New Roman" w:cs="Times New Roman"/>
        </w:rPr>
        <w:t xml:space="preserve"> classroom (Tait, 2018; Commonwealth of Learning [COL], 2017). The use of affordable and daily digital tools can open opportunities that otherwise would be unavailable to learners, and this is in line with the inclusive nature of ODL.</w:t>
      </w:r>
    </w:p>
    <w:p w14:paraId="4F0A18C8" w14:textId="77777777" w:rsidR="00243EC1" w:rsidRPr="00A820C0" w:rsidRDefault="00243EC1" w:rsidP="00C66CC7">
      <w:pPr>
        <w:spacing w:before="310" w:after="200"/>
        <w:jc w:val="both"/>
        <w:rPr>
          <w:rFonts w:ascii="Times New Roman" w:hAnsi="Times New Roman" w:cs="Times New Roman"/>
        </w:rPr>
      </w:pPr>
      <w:r w:rsidRPr="00A820C0">
        <w:rPr>
          <w:rFonts w:ascii="Times New Roman" w:hAnsi="Times New Roman" w:cs="Times New Roman"/>
        </w:rPr>
        <w:t>The translation technologies using tablets are of special interest in the linguistically diverse classroom. Such tools scaffold the learning process and assist in acquiring knowledge in the target language as they provide access to curriculum resources in the first languages of students in real-time</w:t>
      </w:r>
      <w:r w:rsidR="006D5526" w:rsidRPr="00A820C0">
        <w:rPr>
          <w:rFonts w:ascii="Times New Roman" w:hAnsi="Times New Roman" w:cs="Times New Roman"/>
        </w:rPr>
        <w:t>, as the native languages of students contribute to learning and equity.</w:t>
      </w:r>
      <w:r w:rsidRPr="00A820C0">
        <w:rPr>
          <w:rFonts w:ascii="Times New Roman" w:hAnsi="Times New Roman" w:cs="Times New Roman"/>
        </w:rPr>
        <w:t xml:space="preserve"> (Bower, 2019; </w:t>
      </w:r>
      <w:proofErr w:type="spellStart"/>
      <w:r w:rsidRPr="00A820C0">
        <w:rPr>
          <w:rFonts w:ascii="Times New Roman" w:hAnsi="Times New Roman" w:cs="Times New Roman"/>
        </w:rPr>
        <w:t>Pimmer</w:t>
      </w:r>
      <w:proofErr w:type="spellEnd"/>
      <w:r w:rsidRPr="00A820C0">
        <w:rPr>
          <w:rFonts w:ascii="Times New Roman" w:hAnsi="Times New Roman" w:cs="Times New Roman"/>
        </w:rPr>
        <w:t xml:space="preserve"> et al., 2020</w:t>
      </w:r>
      <w:r w:rsidR="008C6590" w:rsidRPr="00A820C0">
        <w:rPr>
          <w:rFonts w:ascii="Times New Roman" w:hAnsi="Times New Roman" w:cs="Times New Roman"/>
        </w:rPr>
        <w:t>).</w:t>
      </w:r>
    </w:p>
    <w:p w14:paraId="51658E77" w14:textId="77777777" w:rsidR="0051785C" w:rsidRPr="00A820C0" w:rsidRDefault="00243EC1" w:rsidP="00C66CC7">
      <w:pPr>
        <w:spacing w:before="310" w:after="200"/>
        <w:jc w:val="both"/>
        <w:rPr>
          <w:rFonts w:ascii="Times New Roman" w:hAnsi="Times New Roman" w:cs="Times New Roman"/>
        </w:rPr>
      </w:pPr>
      <w:r w:rsidRPr="00A820C0">
        <w:rPr>
          <w:rFonts w:ascii="Times New Roman" w:hAnsi="Times New Roman" w:cs="Times New Roman"/>
        </w:rPr>
        <w:t xml:space="preserve">The case study investigates the way a school issued tablet </w:t>
      </w:r>
      <w:r w:rsidR="00FD69E5" w:rsidRPr="00A820C0">
        <w:rPr>
          <w:rFonts w:ascii="Times New Roman" w:hAnsi="Times New Roman" w:cs="Times New Roman"/>
        </w:rPr>
        <w:t>functioned as a translation aid during a Year 7 English lesson on the Jim Crow laws, so</w:t>
      </w:r>
      <w:r w:rsidRPr="00A820C0">
        <w:rPr>
          <w:rFonts w:ascii="Times New Roman" w:hAnsi="Times New Roman" w:cs="Times New Roman"/>
        </w:rPr>
        <w:t xml:space="preserve"> that a newly arrived Arabic-speaking student can receive lesson information, be able to interact with classmates and be mediated by technology. The paper is contextualized through Sociocultural Theory, where tools are used to mediate socially interactive learning. </w:t>
      </w:r>
      <w:r w:rsidR="0051785C" w:rsidRPr="00A820C0">
        <w:rPr>
          <w:rFonts w:ascii="Times New Roman" w:hAnsi="Times New Roman" w:cs="Times New Roman"/>
        </w:rPr>
        <w:t xml:space="preserve">While Sociocultural Theory offers an approach to comprehending learning through the prism of mediated social activity, Open and Distance Learning principles are utilized in this case as an access and equity framework. This difference explains why </w:t>
      </w:r>
      <w:r w:rsidR="0051785C" w:rsidRPr="00A820C0">
        <w:rPr>
          <w:rFonts w:ascii="Times New Roman" w:hAnsi="Times New Roman" w:cs="Times New Roman"/>
        </w:rPr>
        <w:lastRenderedPageBreak/>
        <w:t>ODL is not considered as a universal theory of learning but as a conceptual instrument used to explain the role of technology in ensuring equity in participation</w:t>
      </w:r>
      <w:r w:rsidR="006D5526" w:rsidRPr="00A820C0">
        <w:rPr>
          <w:rFonts w:ascii="Times New Roman" w:hAnsi="Times New Roman" w:cs="Times New Roman"/>
        </w:rPr>
        <w:t xml:space="preserve"> (Farley &amp; </w:t>
      </w:r>
      <w:proofErr w:type="spellStart"/>
      <w:r w:rsidR="006D5526" w:rsidRPr="00A820C0">
        <w:rPr>
          <w:rFonts w:ascii="Times New Roman" w:hAnsi="Times New Roman" w:cs="Times New Roman"/>
        </w:rPr>
        <w:t>Burbules</w:t>
      </w:r>
      <w:proofErr w:type="spellEnd"/>
      <w:r w:rsidR="006D5526" w:rsidRPr="00A820C0">
        <w:rPr>
          <w:rFonts w:ascii="Times New Roman" w:hAnsi="Times New Roman" w:cs="Times New Roman"/>
        </w:rPr>
        <w:t>, 2022).</w:t>
      </w:r>
    </w:p>
    <w:p w14:paraId="401754F4" w14:textId="260A4E11" w:rsidR="0017047C" w:rsidRPr="00A820C0" w:rsidRDefault="00A820C0" w:rsidP="00C66CC7">
      <w:pPr>
        <w:spacing w:before="260" w:after="200"/>
        <w:jc w:val="both"/>
        <w:rPr>
          <w:rFonts w:ascii="Times New Roman" w:hAnsi="Times New Roman" w:cs="Times New Roman"/>
          <w:b/>
          <w:bCs/>
          <w:sz w:val="28"/>
          <w:szCs w:val="28"/>
        </w:rPr>
      </w:pPr>
      <w:r w:rsidRPr="00A820C0">
        <w:rPr>
          <w:rFonts w:ascii="Times New Roman" w:hAnsi="Times New Roman" w:cs="Times New Roman"/>
          <w:b/>
          <w:bCs/>
          <w:sz w:val="28"/>
          <w:szCs w:val="28"/>
        </w:rPr>
        <w:t>METHODOLOGY</w:t>
      </w:r>
    </w:p>
    <w:p w14:paraId="49D4596B" w14:textId="77777777" w:rsidR="00A820C0" w:rsidRDefault="0017047C" w:rsidP="00C66CC7">
      <w:pPr>
        <w:spacing w:before="260" w:after="240"/>
        <w:jc w:val="both"/>
        <w:rPr>
          <w:rFonts w:ascii="Times New Roman" w:hAnsi="Times New Roman" w:cs="Times New Roman"/>
          <w:b/>
          <w:bCs/>
        </w:rPr>
      </w:pPr>
      <w:r w:rsidRPr="00A820C0">
        <w:rPr>
          <w:rFonts w:ascii="Times New Roman" w:hAnsi="Times New Roman" w:cs="Times New Roman"/>
          <w:b/>
          <w:bCs/>
        </w:rPr>
        <w:t>Research Design</w:t>
      </w:r>
    </w:p>
    <w:p w14:paraId="0AD5C2D5" w14:textId="4AF9D323" w:rsidR="00243EC1" w:rsidRPr="00A820C0" w:rsidRDefault="00243EC1" w:rsidP="00C66CC7">
      <w:pPr>
        <w:spacing w:before="260" w:after="240"/>
        <w:jc w:val="both"/>
        <w:rPr>
          <w:rFonts w:ascii="Times New Roman" w:hAnsi="Times New Roman" w:cs="Times New Roman"/>
        </w:rPr>
      </w:pPr>
      <w:r w:rsidRPr="00A820C0">
        <w:rPr>
          <w:rFonts w:ascii="Times New Roman" w:hAnsi="Times New Roman" w:cs="Times New Roman"/>
        </w:rPr>
        <w:t xml:space="preserve">The study used a qualitative case study design that involved studying one intervention in a natural classroom (Yin, 2018). This method can be used to delve into the student experience as he/she undertakes </w:t>
      </w:r>
      <w:r w:rsidR="00A820C0" w:rsidRPr="00A820C0">
        <w:rPr>
          <w:rFonts w:ascii="Times New Roman" w:hAnsi="Times New Roman" w:cs="Times New Roman"/>
        </w:rPr>
        <w:t>a lesson with</w:t>
      </w:r>
      <w:r w:rsidR="00C66CC7">
        <w:rPr>
          <w:rFonts w:ascii="Times New Roman" w:hAnsi="Times New Roman" w:cs="Times New Roman"/>
        </w:rPr>
        <w:t xml:space="preserve"> </w:t>
      </w:r>
      <w:r w:rsidRPr="00A820C0">
        <w:rPr>
          <w:rFonts w:ascii="Times New Roman" w:hAnsi="Times New Roman" w:cs="Times New Roman"/>
        </w:rPr>
        <w:t>the help of tablet-based translation.</w:t>
      </w:r>
    </w:p>
    <w:p w14:paraId="45A00FF0" w14:textId="5AFC8E8F" w:rsidR="0017047C" w:rsidRPr="00A820C0" w:rsidRDefault="0017047C" w:rsidP="00C66CC7">
      <w:pPr>
        <w:spacing w:before="260" w:after="240"/>
        <w:jc w:val="both"/>
        <w:rPr>
          <w:rFonts w:ascii="Times New Roman" w:hAnsi="Times New Roman" w:cs="Times New Roman"/>
          <w:b/>
          <w:bCs/>
        </w:rPr>
      </w:pPr>
      <w:r w:rsidRPr="00A820C0">
        <w:rPr>
          <w:rFonts w:ascii="Times New Roman" w:hAnsi="Times New Roman" w:cs="Times New Roman"/>
          <w:b/>
          <w:bCs/>
        </w:rPr>
        <w:t>Context and participants</w:t>
      </w:r>
    </w:p>
    <w:p w14:paraId="28904A9F" w14:textId="77777777" w:rsidR="006A0A4D" w:rsidRPr="00A820C0" w:rsidRDefault="00243EC1" w:rsidP="00C66CC7">
      <w:pPr>
        <w:spacing w:before="260" w:after="240"/>
        <w:jc w:val="both"/>
        <w:rPr>
          <w:rFonts w:ascii="Times New Roman" w:hAnsi="Times New Roman" w:cs="Times New Roman"/>
        </w:rPr>
      </w:pPr>
      <w:r w:rsidRPr="00A820C0">
        <w:rPr>
          <w:rFonts w:ascii="Times New Roman" w:hAnsi="Times New Roman" w:cs="Times New Roman"/>
        </w:rPr>
        <w:t xml:space="preserve">The study was conducted in a heterogeneous Year 7 English classroom in an English high school. The class included 20 students between the ages of 11 and 12, including a new Arabic-speaking student whose functional English was poor. The teaching was about Jim Crow laws, </w:t>
      </w:r>
      <w:r w:rsidR="006A0A4D" w:rsidRPr="00A820C0">
        <w:rPr>
          <w:rFonts w:ascii="Times New Roman" w:hAnsi="Times New Roman" w:cs="Times New Roman"/>
        </w:rPr>
        <w:t>designed for mainstream English learners.</w:t>
      </w:r>
    </w:p>
    <w:p w14:paraId="428B86D6" w14:textId="1B7C4168" w:rsidR="0017047C" w:rsidRPr="00A820C0" w:rsidRDefault="0017047C" w:rsidP="00C66CC7">
      <w:pPr>
        <w:spacing w:before="260" w:after="240"/>
        <w:jc w:val="both"/>
        <w:rPr>
          <w:rFonts w:ascii="Times New Roman" w:hAnsi="Times New Roman" w:cs="Times New Roman"/>
          <w:b/>
          <w:bCs/>
        </w:rPr>
      </w:pPr>
      <w:r w:rsidRPr="00A820C0">
        <w:rPr>
          <w:rFonts w:ascii="Times New Roman" w:hAnsi="Times New Roman" w:cs="Times New Roman"/>
          <w:b/>
          <w:bCs/>
        </w:rPr>
        <w:t>Data Sources</w:t>
      </w:r>
    </w:p>
    <w:p w14:paraId="7DC087BF" w14:textId="77777777" w:rsidR="0017047C" w:rsidRPr="00A820C0" w:rsidRDefault="0017047C" w:rsidP="00C66CC7">
      <w:pPr>
        <w:numPr>
          <w:ilvl w:val="0"/>
          <w:numId w:val="1"/>
        </w:numPr>
        <w:spacing w:before="260"/>
        <w:jc w:val="both"/>
        <w:rPr>
          <w:rFonts w:ascii="Times New Roman" w:hAnsi="Times New Roman" w:cs="Times New Roman"/>
        </w:rPr>
      </w:pPr>
      <w:r w:rsidRPr="00A820C0">
        <w:rPr>
          <w:rFonts w:ascii="Times New Roman" w:hAnsi="Times New Roman" w:cs="Times New Roman"/>
          <w:b/>
          <w:bCs/>
        </w:rPr>
        <w:t>Primary evidence:</w:t>
      </w:r>
      <w:r w:rsidRPr="00A820C0">
        <w:rPr>
          <w:rFonts w:ascii="Times New Roman" w:hAnsi="Times New Roman" w:cs="Times New Roman"/>
        </w:rPr>
        <w:t xml:space="preserve"> Photographs of instructional sheets, handwritten notes in Arabic, and translated outputs using the tablet.</w:t>
      </w:r>
    </w:p>
    <w:p w14:paraId="5E249994" w14:textId="77777777" w:rsidR="0017047C" w:rsidRPr="00A820C0" w:rsidRDefault="0017047C" w:rsidP="00C66CC7">
      <w:pPr>
        <w:numPr>
          <w:ilvl w:val="0"/>
          <w:numId w:val="1"/>
        </w:numPr>
        <w:spacing w:before="260"/>
        <w:jc w:val="both"/>
        <w:rPr>
          <w:rFonts w:ascii="Times New Roman" w:hAnsi="Times New Roman" w:cs="Times New Roman"/>
        </w:rPr>
      </w:pPr>
      <w:r w:rsidRPr="00A820C0">
        <w:rPr>
          <w:rFonts w:ascii="Times New Roman" w:hAnsi="Times New Roman" w:cs="Times New Roman"/>
          <w:b/>
          <w:bCs/>
        </w:rPr>
        <w:t>Observation:</w:t>
      </w:r>
      <w:r w:rsidRPr="00A820C0">
        <w:rPr>
          <w:rFonts w:ascii="Times New Roman" w:hAnsi="Times New Roman" w:cs="Times New Roman"/>
        </w:rPr>
        <w:t xml:space="preserve"> Teacher reflections on student engagement, including smiles, confidence, and active participation.</w:t>
      </w:r>
    </w:p>
    <w:p w14:paraId="3D24B1E3" w14:textId="77777777" w:rsidR="0017047C" w:rsidRPr="00A820C0" w:rsidRDefault="0017047C" w:rsidP="00C66CC7">
      <w:pPr>
        <w:numPr>
          <w:ilvl w:val="0"/>
          <w:numId w:val="1"/>
        </w:numPr>
        <w:spacing w:before="260" w:after="240"/>
        <w:jc w:val="both"/>
        <w:rPr>
          <w:rFonts w:ascii="Times New Roman" w:hAnsi="Times New Roman" w:cs="Times New Roman"/>
        </w:rPr>
      </w:pPr>
      <w:r w:rsidRPr="00A820C0">
        <w:rPr>
          <w:rFonts w:ascii="Times New Roman" w:hAnsi="Times New Roman" w:cs="Times New Roman"/>
          <w:b/>
          <w:bCs/>
        </w:rPr>
        <w:t>Student outputs:</w:t>
      </w:r>
      <w:r w:rsidRPr="00A820C0">
        <w:rPr>
          <w:rFonts w:ascii="Times New Roman" w:hAnsi="Times New Roman" w:cs="Times New Roman"/>
        </w:rPr>
        <w:t xml:space="preserve"> Arabic-written responses translated back into English for grading.</w:t>
      </w:r>
    </w:p>
    <w:p w14:paraId="43C91341" w14:textId="2254EA4C" w:rsidR="0017047C" w:rsidRPr="00A820C0" w:rsidRDefault="0017047C" w:rsidP="00C66CC7">
      <w:pPr>
        <w:spacing w:before="260" w:after="240"/>
        <w:jc w:val="both"/>
        <w:rPr>
          <w:rFonts w:ascii="Times New Roman" w:hAnsi="Times New Roman" w:cs="Times New Roman"/>
          <w:b/>
          <w:bCs/>
        </w:rPr>
      </w:pPr>
      <w:r w:rsidRPr="00A820C0">
        <w:rPr>
          <w:rFonts w:ascii="Times New Roman" w:hAnsi="Times New Roman" w:cs="Times New Roman"/>
          <w:b/>
          <w:bCs/>
        </w:rPr>
        <w:t>Ethical Considerations</w:t>
      </w:r>
    </w:p>
    <w:p w14:paraId="13F46A86" w14:textId="77777777" w:rsidR="00815AB6" w:rsidRPr="00A820C0" w:rsidRDefault="00815AB6" w:rsidP="00C66CC7">
      <w:pPr>
        <w:spacing w:before="260" w:after="240"/>
        <w:jc w:val="both"/>
        <w:rPr>
          <w:rFonts w:ascii="Times New Roman" w:hAnsi="Times New Roman" w:cs="Times New Roman"/>
        </w:rPr>
      </w:pPr>
      <w:r w:rsidRPr="00A820C0">
        <w:rPr>
          <w:rFonts w:ascii="Times New Roman" w:hAnsi="Times New Roman" w:cs="Times New Roman"/>
        </w:rPr>
        <w:t xml:space="preserve">This research adhered to the ethical standards of the educational research involving minors (BERA, 2018). It did not focus on special practice in the classroom and entailed no extra risk outside of regular instruction. No personal information was provided, all data were </w:t>
      </w:r>
      <w:proofErr w:type="spellStart"/>
      <w:r w:rsidRPr="00A820C0">
        <w:rPr>
          <w:rFonts w:ascii="Times New Roman" w:hAnsi="Times New Roman" w:cs="Times New Roman"/>
        </w:rPr>
        <w:t>anonymised</w:t>
      </w:r>
      <w:proofErr w:type="spellEnd"/>
      <w:r w:rsidRPr="00A820C0">
        <w:rPr>
          <w:rFonts w:ascii="Times New Roman" w:hAnsi="Times New Roman" w:cs="Times New Roman"/>
        </w:rPr>
        <w:t xml:space="preserve">. Pictorial texts were not identifiable and were only used to illustrate things. The dual role of the teacher was recognised and reflective awareness </w:t>
      </w:r>
      <w:proofErr w:type="spellStart"/>
      <w:r w:rsidRPr="00A820C0">
        <w:rPr>
          <w:rFonts w:ascii="Times New Roman" w:hAnsi="Times New Roman" w:cs="Times New Roman"/>
        </w:rPr>
        <w:t>utilised</w:t>
      </w:r>
      <w:proofErr w:type="spellEnd"/>
      <w:r w:rsidRPr="00A820C0">
        <w:rPr>
          <w:rFonts w:ascii="Times New Roman" w:hAnsi="Times New Roman" w:cs="Times New Roman"/>
        </w:rPr>
        <w:t xml:space="preserve"> to reduce biasness. The information was managed safely and utilized as research.</w:t>
      </w:r>
    </w:p>
    <w:p w14:paraId="22A75C37" w14:textId="737A2644" w:rsidR="0017047C" w:rsidRPr="00A820C0" w:rsidRDefault="0017047C" w:rsidP="00C66CC7">
      <w:pPr>
        <w:spacing w:before="260" w:after="240"/>
        <w:jc w:val="both"/>
        <w:rPr>
          <w:rFonts w:ascii="Times New Roman" w:hAnsi="Times New Roman" w:cs="Times New Roman"/>
          <w:b/>
          <w:bCs/>
        </w:rPr>
      </w:pPr>
      <w:r w:rsidRPr="00A820C0">
        <w:rPr>
          <w:rFonts w:ascii="Times New Roman" w:hAnsi="Times New Roman" w:cs="Times New Roman"/>
          <w:b/>
          <w:bCs/>
        </w:rPr>
        <w:t>Data Analysis</w:t>
      </w:r>
    </w:p>
    <w:p w14:paraId="0989730A" w14:textId="77777777" w:rsidR="00C61F4A" w:rsidRPr="00A820C0" w:rsidRDefault="00C61F4A" w:rsidP="00C66CC7">
      <w:pPr>
        <w:spacing w:before="260" w:after="240"/>
        <w:jc w:val="both"/>
        <w:rPr>
          <w:rFonts w:ascii="Times New Roman" w:hAnsi="Times New Roman" w:cs="Times New Roman"/>
        </w:rPr>
      </w:pPr>
      <w:r w:rsidRPr="00A820C0">
        <w:rPr>
          <w:rFonts w:ascii="Times New Roman" w:hAnsi="Times New Roman" w:cs="Times New Roman"/>
        </w:rPr>
        <w:t>The data instruction included the acquaintance with the worksheets in the classroom, translated outputs and observation notes. The patterns and isolated occurrences were separated with the examination of repetitive interactions and the triangulation of worksheets, teacher reflections, and translated student outputs.</w:t>
      </w:r>
    </w:p>
    <w:p w14:paraId="790EFDED" w14:textId="77777777" w:rsidR="00815AB6" w:rsidRPr="00A820C0" w:rsidRDefault="00815AB6" w:rsidP="00C66CC7">
      <w:pPr>
        <w:spacing w:before="260" w:after="240"/>
        <w:jc w:val="both"/>
        <w:rPr>
          <w:rFonts w:ascii="Times New Roman" w:hAnsi="Times New Roman" w:cs="Times New Roman"/>
        </w:rPr>
      </w:pPr>
      <w:r w:rsidRPr="00A820C0">
        <w:rPr>
          <w:rFonts w:ascii="Times New Roman" w:hAnsi="Times New Roman" w:cs="Times New Roman"/>
        </w:rPr>
        <w:t>Thematic data analysis</w:t>
      </w:r>
      <w:r w:rsidR="00215E36" w:rsidRPr="00A820C0">
        <w:rPr>
          <w:rFonts w:ascii="Times New Roman" w:hAnsi="Times New Roman" w:cs="Times New Roman"/>
        </w:rPr>
        <w:t xml:space="preserve"> </w:t>
      </w:r>
      <w:r w:rsidRPr="00A820C0">
        <w:rPr>
          <w:rFonts w:ascii="Times New Roman" w:hAnsi="Times New Roman" w:cs="Times New Roman"/>
        </w:rPr>
        <w:t>was used to determine trends on access, engagement and inclusion with consideration given to the active and positive engagement of the student. As it is, the indicators that have been identified as smiles, confidence and participation are perceived in the light of the teacher-researcher and may be subjective. The researcher applied reflexivity to ensure the critical discussion and contextualization of the interpretations (</w:t>
      </w:r>
      <w:r w:rsidR="00215E36" w:rsidRPr="00A820C0">
        <w:rPr>
          <w:rFonts w:ascii="Times New Roman" w:hAnsi="Times New Roman" w:cs="Times New Roman"/>
        </w:rPr>
        <w:t>Peel</w:t>
      </w:r>
      <w:r w:rsidRPr="00A820C0">
        <w:rPr>
          <w:rFonts w:ascii="Times New Roman" w:hAnsi="Times New Roman" w:cs="Times New Roman"/>
        </w:rPr>
        <w:t>, 202</w:t>
      </w:r>
      <w:r w:rsidR="00215E36" w:rsidRPr="00A820C0">
        <w:rPr>
          <w:rFonts w:ascii="Times New Roman" w:hAnsi="Times New Roman" w:cs="Times New Roman"/>
        </w:rPr>
        <w:t>1</w:t>
      </w:r>
      <w:r w:rsidRPr="00A820C0">
        <w:rPr>
          <w:rFonts w:ascii="Times New Roman" w:hAnsi="Times New Roman" w:cs="Times New Roman"/>
        </w:rPr>
        <w:t>).</w:t>
      </w:r>
    </w:p>
    <w:p w14:paraId="4F306F3F" w14:textId="1B4D2533" w:rsidR="0017047C" w:rsidRPr="00A820C0" w:rsidRDefault="00A820C0" w:rsidP="00C66CC7">
      <w:pPr>
        <w:spacing w:before="260" w:after="120"/>
        <w:jc w:val="both"/>
        <w:rPr>
          <w:rFonts w:ascii="Times New Roman" w:hAnsi="Times New Roman" w:cs="Times New Roman"/>
          <w:b/>
          <w:bCs/>
          <w:sz w:val="28"/>
          <w:szCs w:val="28"/>
        </w:rPr>
      </w:pPr>
      <w:r w:rsidRPr="00A820C0">
        <w:rPr>
          <w:rFonts w:ascii="Times New Roman" w:hAnsi="Times New Roman" w:cs="Times New Roman"/>
          <w:b/>
          <w:bCs/>
          <w:sz w:val="28"/>
          <w:szCs w:val="28"/>
        </w:rPr>
        <w:t>RESULTS</w:t>
      </w:r>
    </w:p>
    <w:p w14:paraId="1028B15C" w14:textId="77777777" w:rsidR="005E3544" w:rsidRPr="00A820C0" w:rsidRDefault="0017047C" w:rsidP="00C66CC7">
      <w:pPr>
        <w:spacing w:before="260" w:after="240"/>
        <w:jc w:val="both"/>
        <w:rPr>
          <w:rFonts w:ascii="Times New Roman" w:hAnsi="Times New Roman" w:cs="Times New Roman"/>
        </w:rPr>
      </w:pPr>
      <w:r w:rsidRPr="00A820C0">
        <w:rPr>
          <w:rFonts w:ascii="Times New Roman" w:hAnsi="Times New Roman" w:cs="Times New Roman"/>
        </w:rPr>
        <w:t xml:space="preserve">These results are </w:t>
      </w:r>
      <w:proofErr w:type="spellStart"/>
      <w:r w:rsidRPr="00A820C0">
        <w:rPr>
          <w:rFonts w:ascii="Times New Roman" w:hAnsi="Times New Roman" w:cs="Times New Roman"/>
        </w:rPr>
        <w:t>summarised</w:t>
      </w:r>
      <w:proofErr w:type="spellEnd"/>
      <w:r w:rsidRPr="00A820C0">
        <w:rPr>
          <w:rFonts w:ascii="Times New Roman" w:hAnsi="Times New Roman" w:cs="Times New Roman"/>
        </w:rPr>
        <w:t xml:space="preserve"> under three sectors of access to content, involvement in learning, and equal evaluation.</w:t>
      </w:r>
    </w:p>
    <w:p w14:paraId="0428D85D" w14:textId="2EBD3F36" w:rsidR="0017047C" w:rsidRPr="00A820C0" w:rsidRDefault="0017047C" w:rsidP="00C66CC7">
      <w:pPr>
        <w:spacing w:before="260" w:after="120"/>
        <w:jc w:val="both"/>
        <w:rPr>
          <w:rFonts w:ascii="Times New Roman" w:hAnsi="Times New Roman" w:cs="Times New Roman"/>
          <w:b/>
          <w:bCs/>
        </w:rPr>
      </w:pPr>
      <w:r w:rsidRPr="00A820C0">
        <w:rPr>
          <w:rFonts w:ascii="Times New Roman" w:hAnsi="Times New Roman" w:cs="Times New Roman"/>
          <w:b/>
          <w:bCs/>
        </w:rPr>
        <w:t>Access to Content</w:t>
      </w:r>
    </w:p>
    <w:p w14:paraId="2E011545" w14:textId="77777777" w:rsidR="00186961" w:rsidRPr="00A820C0" w:rsidRDefault="0017047C" w:rsidP="00C66CC7">
      <w:pPr>
        <w:spacing w:before="280" w:after="240"/>
        <w:jc w:val="both"/>
        <w:rPr>
          <w:rFonts w:ascii="Times New Roman" w:hAnsi="Times New Roman" w:cs="Times New Roman"/>
        </w:rPr>
      </w:pPr>
      <w:r w:rsidRPr="00A820C0">
        <w:rPr>
          <w:rFonts w:ascii="Times New Roman" w:hAnsi="Times New Roman" w:cs="Times New Roman"/>
        </w:rPr>
        <w:t xml:space="preserve">The tablet-based translation </w:t>
      </w:r>
      <w:r w:rsidR="00186961" w:rsidRPr="00A820C0">
        <w:rPr>
          <w:rFonts w:ascii="Times New Roman" w:hAnsi="Times New Roman" w:cs="Times New Roman"/>
        </w:rPr>
        <w:t>system</w:t>
      </w:r>
      <w:r w:rsidRPr="00A820C0">
        <w:rPr>
          <w:rFonts w:ascii="Times New Roman" w:hAnsi="Times New Roman" w:cs="Times New Roman"/>
        </w:rPr>
        <w:t xml:space="preserve"> </w:t>
      </w:r>
      <w:r w:rsidR="00186961" w:rsidRPr="00A820C0">
        <w:rPr>
          <w:rFonts w:ascii="Times New Roman" w:hAnsi="Times New Roman" w:cs="Times New Roman"/>
        </w:rPr>
        <w:t>offer</w:t>
      </w:r>
      <w:r w:rsidRPr="00A820C0">
        <w:rPr>
          <w:rFonts w:ascii="Times New Roman" w:hAnsi="Times New Roman" w:cs="Times New Roman"/>
        </w:rPr>
        <w:t xml:space="preserve">ed real-time Arabic versions of </w:t>
      </w:r>
      <w:r w:rsidR="00186961" w:rsidRPr="00A820C0">
        <w:rPr>
          <w:rFonts w:ascii="Times New Roman" w:hAnsi="Times New Roman" w:cs="Times New Roman"/>
        </w:rPr>
        <w:t>the of lesson resources</w:t>
      </w:r>
      <w:r w:rsidRPr="00A820C0">
        <w:rPr>
          <w:rFonts w:ascii="Times New Roman" w:hAnsi="Times New Roman" w:cs="Times New Roman"/>
        </w:rPr>
        <w:t xml:space="preserve">, </w:t>
      </w:r>
      <w:r w:rsidR="00186961" w:rsidRPr="00A820C0">
        <w:rPr>
          <w:rFonts w:ascii="Times New Roman" w:hAnsi="Times New Roman" w:cs="Times New Roman"/>
        </w:rPr>
        <w:t xml:space="preserve">which </w:t>
      </w:r>
      <w:r w:rsidRPr="00A820C0">
        <w:rPr>
          <w:rFonts w:ascii="Times New Roman" w:hAnsi="Times New Roman" w:cs="Times New Roman"/>
        </w:rPr>
        <w:t>enabl</w:t>
      </w:r>
      <w:r w:rsidR="00186961" w:rsidRPr="00A820C0">
        <w:rPr>
          <w:rFonts w:ascii="Times New Roman" w:hAnsi="Times New Roman" w:cs="Times New Roman"/>
        </w:rPr>
        <w:t>ed</w:t>
      </w:r>
      <w:r w:rsidRPr="00A820C0">
        <w:rPr>
          <w:rFonts w:ascii="Times New Roman" w:hAnsi="Times New Roman" w:cs="Times New Roman"/>
        </w:rPr>
        <w:t xml:space="preserve"> the student to follow instructions and access curriculum </w:t>
      </w:r>
      <w:r w:rsidR="00186961" w:rsidRPr="00A820C0">
        <w:rPr>
          <w:rFonts w:ascii="Times New Roman" w:hAnsi="Times New Roman" w:cs="Times New Roman"/>
        </w:rPr>
        <w:t>materials and books with peers.</w:t>
      </w:r>
    </w:p>
    <w:p w14:paraId="7A99B55B"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noProof/>
        </w:rPr>
        <w:lastRenderedPageBreak/>
        <w:drawing>
          <wp:inline distT="0" distB="0" distL="0" distR="0" wp14:anchorId="7AA38774" wp14:editId="4FDE5A09">
            <wp:extent cx="6772275" cy="356616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70497" cy="3617882"/>
                    </a:xfrm>
                    <a:prstGeom prst="rect">
                      <a:avLst/>
                    </a:prstGeom>
                  </pic:spPr>
                </pic:pic>
              </a:graphicData>
            </a:graphic>
          </wp:inline>
        </w:drawing>
      </w:r>
    </w:p>
    <w:p w14:paraId="75CF5439" w14:textId="4BE87349"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Figure 1:English worksheet prepared by the teacher for lesson</w:t>
      </w:r>
    </w:p>
    <w:p w14:paraId="2DDF0BC4"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noProof/>
        </w:rPr>
        <w:drawing>
          <wp:inline distT="0" distB="0" distL="0" distR="0" wp14:anchorId="32390353" wp14:editId="659BBA46">
            <wp:extent cx="6772275" cy="383286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extLst>
                        <a:ext uri="{28A0092B-C50C-407E-A947-70E740481C1C}">
                          <a14:useLocalDpi xmlns:a14="http://schemas.microsoft.com/office/drawing/2010/main" val="0"/>
                        </a:ext>
                      </a:extLst>
                    </a:blip>
                    <a:stretch>
                      <a:fillRect/>
                    </a:stretch>
                  </pic:blipFill>
                  <pic:spPr>
                    <a:xfrm>
                      <a:off x="0" y="0"/>
                      <a:ext cx="7069434" cy="4001041"/>
                    </a:xfrm>
                    <a:prstGeom prst="rect">
                      <a:avLst/>
                    </a:prstGeom>
                  </pic:spPr>
                </pic:pic>
              </a:graphicData>
            </a:graphic>
          </wp:inline>
        </w:drawing>
      </w:r>
    </w:p>
    <w:p w14:paraId="60D317D2" w14:textId="067BABC0" w:rsidR="0017047C" w:rsidRPr="00A820C0" w:rsidRDefault="0017047C" w:rsidP="00A820C0">
      <w:pPr>
        <w:spacing w:after="240"/>
        <w:jc w:val="both"/>
        <w:rPr>
          <w:rFonts w:ascii="Times New Roman" w:hAnsi="Times New Roman" w:cs="Times New Roman"/>
          <w:b/>
          <w:bCs/>
        </w:rPr>
      </w:pPr>
      <w:r w:rsidRPr="00A820C0">
        <w:rPr>
          <w:rFonts w:ascii="Times New Roman" w:hAnsi="Times New Roman" w:cs="Times New Roman"/>
        </w:rPr>
        <w:t>Figure 2:</w:t>
      </w:r>
      <w:r w:rsidRPr="00A820C0">
        <w:rPr>
          <w:rFonts w:ascii="Times New Roman" w:eastAsia="Times New Roman" w:hAnsi="Times New Roman" w:cs="Times New Roman"/>
        </w:rPr>
        <w:t>Tablet translating instructional sheet into Arabic</w:t>
      </w:r>
      <w:r w:rsidRPr="00A820C0">
        <w:rPr>
          <w:rFonts w:ascii="Times New Roman" w:hAnsi="Times New Roman" w:cs="Times New Roman"/>
          <w:b/>
          <w:bCs/>
        </w:rPr>
        <w:t xml:space="preserve"> </w:t>
      </w:r>
    </w:p>
    <w:p w14:paraId="1D45C748" w14:textId="749B5794" w:rsidR="0017047C" w:rsidRPr="00A820C0" w:rsidRDefault="0017047C" w:rsidP="00A820C0">
      <w:pPr>
        <w:spacing w:after="240"/>
        <w:jc w:val="both"/>
        <w:rPr>
          <w:rFonts w:ascii="Times New Roman" w:hAnsi="Times New Roman" w:cs="Times New Roman"/>
          <w:b/>
          <w:bCs/>
        </w:rPr>
      </w:pPr>
      <w:r w:rsidRPr="00A820C0">
        <w:rPr>
          <w:rFonts w:ascii="Times New Roman" w:hAnsi="Times New Roman" w:cs="Times New Roman"/>
          <w:b/>
          <w:bCs/>
        </w:rPr>
        <w:t>Learning participation</w:t>
      </w:r>
    </w:p>
    <w:p w14:paraId="18FACF87" w14:textId="77777777" w:rsidR="0017047C" w:rsidRPr="00A820C0" w:rsidRDefault="00186961" w:rsidP="00A820C0">
      <w:pPr>
        <w:spacing w:after="240"/>
        <w:jc w:val="both"/>
        <w:rPr>
          <w:rFonts w:ascii="Times New Roman" w:hAnsi="Times New Roman" w:cs="Times New Roman"/>
        </w:rPr>
      </w:pPr>
      <w:r w:rsidRPr="00A820C0">
        <w:rPr>
          <w:rFonts w:ascii="Times New Roman" w:hAnsi="Times New Roman" w:cs="Times New Roman"/>
        </w:rPr>
        <w:t xml:space="preserve">Through the translation at the prompt level, the student was active in group work, and he/she shared ideas as well as responding in English where necessary. The student was observed to be smiling, confident and actively involved in the classroom discussions, which indicated that the student was engaged not only mentally, but also socially. </w:t>
      </w:r>
      <w:r w:rsidR="0002328D" w:rsidRPr="00A820C0">
        <w:rPr>
          <w:rFonts w:ascii="Times New Roman" w:hAnsi="Times New Roman" w:cs="Times New Roman"/>
        </w:rPr>
        <w:t>Although these observations are positive, they are considered as indicative patterns and not the actual measure of engagement. They are perceived in the framework of teacher reflection, and possible bias is realized</w:t>
      </w:r>
      <w:r w:rsidR="00C61F4A" w:rsidRPr="00A820C0">
        <w:rPr>
          <w:rFonts w:ascii="Times New Roman" w:hAnsi="Times New Roman" w:cs="Times New Roman"/>
        </w:rPr>
        <w:t xml:space="preserve"> (</w:t>
      </w:r>
      <w:r w:rsidR="00C61F4A" w:rsidRPr="00A820C0">
        <w:rPr>
          <w:rFonts w:ascii="Times New Roman" w:eastAsia="Times New Roman" w:hAnsi="Times New Roman" w:cs="Times New Roman"/>
        </w:rPr>
        <w:t>Cents-Boonstra et al, 2021</w:t>
      </w:r>
      <w:r w:rsidR="00C61F4A" w:rsidRPr="00A820C0">
        <w:rPr>
          <w:rFonts w:ascii="Times New Roman" w:hAnsi="Times New Roman" w:cs="Times New Roman"/>
        </w:rPr>
        <w:t>)</w:t>
      </w:r>
      <w:r w:rsidR="0002328D" w:rsidRPr="00A820C0">
        <w:rPr>
          <w:rFonts w:ascii="Times New Roman" w:hAnsi="Times New Roman" w:cs="Times New Roman"/>
        </w:rPr>
        <w:t>.</w:t>
      </w:r>
    </w:p>
    <w:p w14:paraId="68F834A0"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noProof/>
        </w:rPr>
        <w:lastRenderedPageBreak/>
        <w:drawing>
          <wp:inline distT="0" distB="0" distL="0" distR="0" wp14:anchorId="76A30869" wp14:editId="490B8231">
            <wp:extent cx="4996180" cy="40081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19484" cy="4107039"/>
                    </a:xfrm>
                    <a:prstGeom prst="rect">
                      <a:avLst/>
                    </a:prstGeom>
                  </pic:spPr>
                </pic:pic>
              </a:graphicData>
            </a:graphic>
          </wp:inline>
        </w:drawing>
      </w:r>
    </w:p>
    <w:p w14:paraId="1507BC03"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Figure 3A: Task performed with translation assistance.</w:t>
      </w:r>
    </w:p>
    <w:p w14:paraId="64C4896B"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noProof/>
        </w:rPr>
        <w:drawing>
          <wp:inline distT="0" distB="0" distL="0" distR="0" wp14:anchorId="2FACE680" wp14:editId="07499F19">
            <wp:extent cx="4819303" cy="4861560"/>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37315" cy="4879730"/>
                    </a:xfrm>
                    <a:prstGeom prst="rect">
                      <a:avLst/>
                    </a:prstGeom>
                  </pic:spPr>
                </pic:pic>
              </a:graphicData>
            </a:graphic>
          </wp:inline>
        </w:drawing>
      </w:r>
    </w:p>
    <w:p w14:paraId="62D8AEE7"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Figure 3B: Student’s handwritten note in Arabic.</w:t>
      </w:r>
    </w:p>
    <w:p w14:paraId="2DBAB660" w14:textId="0CCA8561"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b/>
          <w:bCs/>
        </w:rPr>
        <w:lastRenderedPageBreak/>
        <w:t>Equitable Assessment</w:t>
      </w:r>
    </w:p>
    <w:p w14:paraId="6EF34E46"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The student completed tasks in Arabic, which were later translated into English for grading. This approach decoupled language proficiency from content knowledge, enabling fair assessment.</w:t>
      </w:r>
    </w:p>
    <w:p w14:paraId="070EC5A0"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 xml:space="preserve">  </w:t>
      </w:r>
      <w:r w:rsidRPr="00A820C0">
        <w:rPr>
          <w:rFonts w:ascii="Times New Roman" w:hAnsi="Times New Roman" w:cs="Times New Roman"/>
          <w:noProof/>
        </w:rPr>
        <w:drawing>
          <wp:inline distT="0" distB="0" distL="0" distR="0" wp14:anchorId="620EA0B8" wp14:editId="0FAC0D78">
            <wp:extent cx="2975090" cy="3870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4122" cy="3934757"/>
                    </a:xfrm>
                    <a:prstGeom prst="rect">
                      <a:avLst/>
                    </a:prstGeom>
                  </pic:spPr>
                </pic:pic>
              </a:graphicData>
            </a:graphic>
          </wp:inline>
        </w:drawing>
      </w:r>
    </w:p>
    <w:p w14:paraId="5CC037B5"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 xml:space="preserve">Figure 4A: </w:t>
      </w:r>
      <w:r w:rsidRPr="00A820C0">
        <w:rPr>
          <w:rFonts w:ascii="Times New Roman" w:eastAsia="Times New Roman" w:hAnsi="Times New Roman" w:cs="Times New Roman"/>
        </w:rPr>
        <w:t>Task translated for grading.</w:t>
      </w:r>
    </w:p>
    <w:p w14:paraId="5525F784"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noProof/>
        </w:rPr>
        <w:drawing>
          <wp:inline distT="0" distB="0" distL="0" distR="0" wp14:anchorId="26CC9575" wp14:editId="4BC37F72">
            <wp:extent cx="3009900" cy="420620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64053" cy="4421624"/>
                    </a:xfrm>
                    <a:prstGeom prst="rect">
                      <a:avLst/>
                    </a:prstGeom>
                  </pic:spPr>
                </pic:pic>
              </a:graphicData>
            </a:graphic>
          </wp:inline>
        </w:drawing>
      </w:r>
    </w:p>
    <w:p w14:paraId="2C9557D9"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Figure 4B: The handwritten Arabic notes translated to English.</w:t>
      </w:r>
    </w:p>
    <w:p w14:paraId="0B3AF643" w14:textId="510DE573" w:rsidR="0017047C" w:rsidRPr="00A820C0" w:rsidRDefault="0017047C" w:rsidP="00A820C0">
      <w:pPr>
        <w:spacing w:after="240"/>
        <w:jc w:val="both"/>
        <w:rPr>
          <w:rFonts w:ascii="Times New Roman" w:hAnsi="Times New Roman" w:cs="Times New Roman"/>
          <w:b/>
          <w:bCs/>
        </w:rPr>
      </w:pPr>
      <w:r w:rsidRPr="00A820C0">
        <w:rPr>
          <w:rFonts w:ascii="Times New Roman" w:hAnsi="Times New Roman" w:cs="Times New Roman"/>
          <w:b/>
          <w:bCs/>
        </w:rPr>
        <w:lastRenderedPageBreak/>
        <w:t>Results summary</w:t>
      </w:r>
    </w:p>
    <w:p w14:paraId="700616F1" w14:textId="77777777" w:rsidR="0017047C" w:rsidRPr="00A820C0" w:rsidRDefault="0017047C" w:rsidP="00A820C0">
      <w:pPr>
        <w:spacing w:after="240"/>
        <w:jc w:val="both"/>
        <w:rPr>
          <w:rFonts w:ascii="Times New Roman" w:hAnsi="Times New Roman" w:cs="Times New Roman"/>
          <w:b/>
          <w:bCs/>
        </w:rPr>
      </w:pPr>
      <w:r w:rsidRPr="00A820C0">
        <w:rPr>
          <w:rFonts w:ascii="Times New Roman" w:hAnsi="Times New Roman" w:cs="Times New Roman"/>
          <w:b/>
          <w:bCs/>
        </w:rPr>
        <w:t>The intervention facilitated:</w:t>
      </w:r>
    </w:p>
    <w:p w14:paraId="34AB1B01" w14:textId="77777777" w:rsidR="0017047C" w:rsidRPr="00A820C0" w:rsidRDefault="0017047C" w:rsidP="00C66CC7">
      <w:pPr>
        <w:numPr>
          <w:ilvl w:val="0"/>
          <w:numId w:val="2"/>
        </w:numPr>
        <w:spacing w:after="100" w:afterAutospacing="1"/>
        <w:jc w:val="both"/>
        <w:rPr>
          <w:rFonts w:ascii="Times New Roman" w:hAnsi="Times New Roman" w:cs="Times New Roman"/>
        </w:rPr>
      </w:pPr>
      <w:r w:rsidRPr="00A820C0">
        <w:rPr>
          <w:rFonts w:ascii="Times New Roman" w:hAnsi="Times New Roman" w:cs="Times New Roman"/>
        </w:rPr>
        <w:t>Equitable access to curriculum content.</w:t>
      </w:r>
    </w:p>
    <w:p w14:paraId="2337CE28" w14:textId="77777777" w:rsidR="0017047C" w:rsidRPr="00A820C0" w:rsidRDefault="0017047C" w:rsidP="00C66CC7">
      <w:pPr>
        <w:numPr>
          <w:ilvl w:val="0"/>
          <w:numId w:val="2"/>
        </w:numPr>
        <w:spacing w:after="100" w:afterAutospacing="1"/>
        <w:jc w:val="both"/>
        <w:rPr>
          <w:rFonts w:ascii="Times New Roman" w:hAnsi="Times New Roman" w:cs="Times New Roman"/>
        </w:rPr>
      </w:pPr>
      <w:r w:rsidRPr="00A820C0">
        <w:rPr>
          <w:rFonts w:ascii="Times New Roman" w:hAnsi="Times New Roman" w:cs="Times New Roman"/>
        </w:rPr>
        <w:t>Active, confident participation in learning.</w:t>
      </w:r>
    </w:p>
    <w:p w14:paraId="2EEC9160" w14:textId="77777777" w:rsidR="0017047C" w:rsidRPr="00A820C0" w:rsidRDefault="0017047C" w:rsidP="00A820C0">
      <w:pPr>
        <w:numPr>
          <w:ilvl w:val="0"/>
          <w:numId w:val="2"/>
        </w:numPr>
        <w:spacing w:after="120"/>
        <w:jc w:val="both"/>
        <w:rPr>
          <w:rFonts w:ascii="Times New Roman" w:hAnsi="Times New Roman" w:cs="Times New Roman"/>
        </w:rPr>
      </w:pPr>
      <w:r w:rsidRPr="00A820C0">
        <w:rPr>
          <w:rFonts w:ascii="Times New Roman" w:hAnsi="Times New Roman" w:cs="Times New Roman"/>
        </w:rPr>
        <w:t>Fair assessment decoupled from language proficiency.</w:t>
      </w:r>
    </w:p>
    <w:p w14:paraId="4491D63C" w14:textId="61748192" w:rsidR="0017047C" w:rsidRPr="00A820C0" w:rsidRDefault="00A820C0" w:rsidP="00C66CC7">
      <w:pPr>
        <w:spacing w:before="240" w:after="240"/>
        <w:jc w:val="both"/>
        <w:rPr>
          <w:rFonts w:ascii="Times New Roman" w:hAnsi="Times New Roman" w:cs="Times New Roman"/>
          <w:b/>
          <w:bCs/>
          <w:sz w:val="28"/>
          <w:szCs w:val="28"/>
        </w:rPr>
      </w:pPr>
      <w:r w:rsidRPr="00A820C0">
        <w:rPr>
          <w:rFonts w:ascii="Times New Roman" w:hAnsi="Times New Roman" w:cs="Times New Roman"/>
          <w:b/>
          <w:bCs/>
          <w:sz w:val="28"/>
          <w:szCs w:val="28"/>
        </w:rPr>
        <w:t>DISCUSSION OF FINDINGS</w:t>
      </w:r>
    </w:p>
    <w:p w14:paraId="29D484C7" w14:textId="77777777" w:rsidR="0002328D" w:rsidRPr="00A820C0" w:rsidRDefault="0002328D" w:rsidP="00A820C0">
      <w:pPr>
        <w:spacing w:after="240"/>
        <w:jc w:val="both"/>
        <w:rPr>
          <w:rFonts w:ascii="Times New Roman" w:hAnsi="Times New Roman" w:cs="Times New Roman"/>
        </w:rPr>
      </w:pPr>
      <w:r w:rsidRPr="00A820C0">
        <w:rPr>
          <w:rFonts w:ascii="Times New Roman" w:hAnsi="Times New Roman" w:cs="Times New Roman"/>
        </w:rPr>
        <w:t>Since the present study covers only one lesson in one classroom, the results are descriptive, not general. They show possible ways to include them through translating tablets, but they also emphasize that additional studies are required to comprehend the consequences over time and its increased scales.</w:t>
      </w:r>
    </w:p>
    <w:p w14:paraId="58F69CFC"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The results of this case study demonstrate that tablet-based translation can serve as an intermediary between the languages of origin and the language of instruction of students and, as such, promote equity and inclusion in a mainstream English classroom. Three broad domains, access to content, engaging in learning, and fair assessments, came into focus each of which is consistent with the wider principles of Open and Distance Learning (ODL) and the expanding literature on technology-enabled inclusion.</w:t>
      </w:r>
    </w:p>
    <w:p w14:paraId="07F14F75" w14:textId="1FCB9CCB"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b/>
          <w:bCs/>
        </w:rPr>
        <w:t>Technology as a Mediator of Access</w:t>
      </w:r>
    </w:p>
    <w:p w14:paraId="4F820229"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One of the core ideas of ODL is the elimination of the obstacles that limit the ability of learners to engage despite the geographic, economic, or linguistic barriers (Tait, 2018). The characteristic of the tablet as an access mediator, in this case, was to turn the exclusionary English-only curriculum into something that can be read in Arabic. The tool facilitated the rights of the learner to enjoy equal access to curriculum content on equal terms with their classmates by facilitating translation in real-time. Such a conclusion aligns with more detailed considerations of UNESCO (2020) on inclusive technologies as an enabler of Sustainable Development Goal on quality education (SDG 4).</w:t>
      </w:r>
    </w:p>
    <w:p w14:paraId="4999C3BF" w14:textId="1329DDF4"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b/>
          <w:bCs/>
        </w:rPr>
        <w:t>Participation and Social Inclusion</w:t>
      </w:r>
    </w:p>
    <w:p w14:paraId="2AF762F6"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 xml:space="preserve">Other than access, the translation tool also helped the student to contribute towards group activities and classroom discussion. Inclusion depends on participation; once learners have the ability to contribute, they can become actively involved in the learning community other than being mere recipients of an instruction. According to the study of </w:t>
      </w:r>
      <w:proofErr w:type="spellStart"/>
      <w:r w:rsidRPr="00A820C0">
        <w:rPr>
          <w:rFonts w:ascii="Times New Roman" w:hAnsi="Times New Roman" w:cs="Times New Roman"/>
        </w:rPr>
        <w:t>Pimmer</w:t>
      </w:r>
      <w:proofErr w:type="spellEnd"/>
      <w:r w:rsidRPr="00A820C0">
        <w:rPr>
          <w:rFonts w:ascii="Times New Roman" w:hAnsi="Times New Roman" w:cs="Times New Roman"/>
        </w:rPr>
        <w:t xml:space="preserve"> et al. (2020), mobile and digital solutions can support such active engagement and, specifically, in multilingual and resource-poor conditions. This is demonstrated in the current case: although the efforts made by the student were scaffolded by means of translation, they still constituted authentic activity that alleviated the social isolation and led to the increased feeling of belonging.</w:t>
      </w:r>
    </w:p>
    <w:p w14:paraId="6F9C3268" w14:textId="6497A664"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b/>
          <w:bCs/>
        </w:rPr>
        <w:t>Equitable Assessment Practices</w:t>
      </w:r>
    </w:p>
    <w:p w14:paraId="5646C514"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Equity in assessment is an issue that is raised consistently within a linguistically diverse classroom. The risks of traditional assessment are connected with the possibility to mix the knowledge and the level of language (OECD, 2021). The fact that the teacher in this situation allowed answering the question in Arabic and translated it making it possible to grade made her implement an equity-based assessment strategy. This is based on the position of Bower (2019) who asserts that technology allows restructuring the field of assessment as the ability to decouple linguistic knowledge and content knowledge will offer a more valid understanding of learning outcomes.</w:t>
      </w:r>
    </w:p>
    <w:p w14:paraId="74036F7F" w14:textId="6631AA24"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b/>
          <w:bCs/>
        </w:rPr>
        <w:t>Implications for ODL and Inclusive Pedagogy</w:t>
      </w:r>
    </w:p>
    <w:p w14:paraId="42D9562B"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 xml:space="preserve">The pedagogical implications of the study still follow the ODL philosophy even though the study took place in a face-to-face classroom. Both situations are characterized by the sincerity in providing learning opportunities to people that otherwise would not receive them. Use of common digital tools, including tablets, facilitates the flexibility of ODL principles to mainstream schooling: those principles are not only associated with distance education and can be integrated in-situ to contribute to inclusion and equity. In addition, the intervention reveals </w:t>
      </w:r>
      <w:r w:rsidRPr="00A820C0">
        <w:rPr>
          <w:rFonts w:ascii="Times New Roman" w:hAnsi="Times New Roman" w:cs="Times New Roman"/>
        </w:rPr>
        <w:lastRenderedPageBreak/>
        <w:t>that the issue of access and success ODL is concerned with is not only limited to the physical distance; it also</w:t>
      </w:r>
      <w:r w:rsidR="007D4134" w:rsidRPr="00A820C0">
        <w:rPr>
          <w:rFonts w:ascii="Times New Roman" w:hAnsi="Times New Roman" w:cs="Times New Roman"/>
        </w:rPr>
        <w:t xml:space="preserve"> </w:t>
      </w:r>
      <w:r w:rsidRPr="00A820C0">
        <w:rPr>
          <w:rFonts w:ascii="Times New Roman" w:hAnsi="Times New Roman" w:cs="Times New Roman"/>
        </w:rPr>
        <w:t>applies to linguistic and cultural boundaries</w:t>
      </w:r>
      <w:r w:rsidR="0078307B" w:rsidRPr="00A820C0">
        <w:rPr>
          <w:rFonts w:ascii="Times New Roman" w:hAnsi="Times New Roman" w:cs="Times New Roman"/>
        </w:rPr>
        <w:t xml:space="preserve"> (Byram, 2020)</w:t>
      </w:r>
      <w:r w:rsidRPr="00A820C0">
        <w:rPr>
          <w:rFonts w:ascii="Times New Roman" w:hAnsi="Times New Roman" w:cs="Times New Roman"/>
        </w:rPr>
        <w:t>.</w:t>
      </w:r>
    </w:p>
    <w:p w14:paraId="26CB935A" w14:textId="28C584DB" w:rsidR="0017047C" w:rsidRPr="00A820C0" w:rsidRDefault="0017047C" w:rsidP="00A820C0">
      <w:pPr>
        <w:spacing w:after="240"/>
        <w:jc w:val="both"/>
        <w:rPr>
          <w:rFonts w:ascii="Times New Roman" w:hAnsi="Times New Roman" w:cs="Times New Roman"/>
          <w:b/>
          <w:bCs/>
        </w:rPr>
      </w:pPr>
      <w:r w:rsidRPr="00A820C0">
        <w:rPr>
          <w:rFonts w:ascii="Times New Roman" w:hAnsi="Times New Roman" w:cs="Times New Roman"/>
          <w:b/>
          <w:bCs/>
        </w:rPr>
        <w:t>Challenges and Considerations</w:t>
      </w:r>
    </w:p>
    <w:p w14:paraId="6AE0B477" w14:textId="77777777" w:rsidR="0017047C" w:rsidRPr="00A820C0" w:rsidRDefault="006B0DEC" w:rsidP="00A820C0">
      <w:pPr>
        <w:spacing w:after="240"/>
        <w:jc w:val="both"/>
        <w:rPr>
          <w:rFonts w:ascii="Times New Roman" w:hAnsi="Times New Roman" w:cs="Times New Roman"/>
        </w:rPr>
      </w:pPr>
      <w:r w:rsidRPr="00A820C0">
        <w:rPr>
          <w:rFonts w:ascii="Times New Roman" w:hAnsi="Times New Roman" w:cs="Times New Roman"/>
        </w:rPr>
        <w:t>Despite</w:t>
      </w:r>
      <w:r w:rsidR="0017047C" w:rsidRPr="00A820C0">
        <w:rPr>
          <w:rFonts w:ascii="Times New Roman" w:hAnsi="Times New Roman" w:cs="Times New Roman"/>
        </w:rPr>
        <w:t xml:space="preserve"> the opportunities </w:t>
      </w:r>
      <w:r w:rsidRPr="00A820C0">
        <w:rPr>
          <w:rFonts w:ascii="Times New Roman" w:hAnsi="Times New Roman" w:cs="Times New Roman"/>
        </w:rPr>
        <w:t>embedded in</w:t>
      </w:r>
      <w:r w:rsidR="0017047C" w:rsidRPr="00A820C0">
        <w:rPr>
          <w:rFonts w:ascii="Times New Roman" w:hAnsi="Times New Roman" w:cs="Times New Roman"/>
        </w:rPr>
        <w:t xml:space="preserve"> technology-mediated inclusion</w:t>
      </w:r>
      <w:r w:rsidRPr="00A820C0">
        <w:rPr>
          <w:rFonts w:ascii="Times New Roman" w:hAnsi="Times New Roman" w:cs="Times New Roman"/>
        </w:rPr>
        <w:t xml:space="preserve"> has its own barriers</w:t>
      </w:r>
      <w:r w:rsidR="0017047C" w:rsidRPr="00A820C0">
        <w:rPr>
          <w:rFonts w:ascii="Times New Roman" w:hAnsi="Times New Roman" w:cs="Times New Roman"/>
        </w:rPr>
        <w:t>. The use of translation tools can be used un-</w:t>
      </w:r>
      <w:proofErr w:type="spellStart"/>
      <w:r w:rsidR="0017047C" w:rsidRPr="00A820C0">
        <w:rPr>
          <w:rFonts w:ascii="Times New Roman" w:hAnsi="Times New Roman" w:cs="Times New Roman"/>
        </w:rPr>
        <w:t>balancedly</w:t>
      </w:r>
      <w:proofErr w:type="spellEnd"/>
      <w:r w:rsidR="0017047C" w:rsidRPr="00A820C0">
        <w:rPr>
          <w:rFonts w:ascii="Times New Roman" w:hAnsi="Times New Roman" w:cs="Times New Roman"/>
        </w:rPr>
        <w:t>; hence, limiting students a chance to grow competent in the language of instruction. The teachers who are to be trained should know how to incorporate translation into their materials so that they do not displace it with language acquisition. Ethics also plays a very significant role, although in this study anonymity was achieved, institutional regulations on data protection and the consent should be tackled with care in the wide use.</w:t>
      </w:r>
      <w:r w:rsidR="004C3F8A" w:rsidRPr="00A820C0">
        <w:rPr>
          <w:rFonts w:ascii="Times New Roman" w:hAnsi="Times New Roman" w:cs="Times New Roman"/>
        </w:rPr>
        <w:t xml:space="preserve"> </w:t>
      </w:r>
      <w:r w:rsidR="0023569B" w:rsidRPr="00A820C0">
        <w:rPr>
          <w:rFonts w:ascii="Times New Roman" w:hAnsi="Times New Roman" w:cs="Times New Roman"/>
        </w:rPr>
        <w:t>Despite the fact that the tablet translation was effective as a mediator, pedagogical planning is required to prevent the fact that it will limit the English language development. The intervention is a scaffolding plan, and the long-term dependence without supported instructions might be the limitation of linguistic learning</w:t>
      </w:r>
      <w:r w:rsidR="008B1D28" w:rsidRPr="00A820C0">
        <w:rPr>
          <w:rFonts w:ascii="Times New Roman" w:hAnsi="Times New Roman" w:cs="Times New Roman"/>
        </w:rPr>
        <w:t xml:space="preserve"> (Groves &amp; Mundt, 2015)</w:t>
      </w:r>
      <w:r w:rsidR="0023569B" w:rsidRPr="00A820C0">
        <w:rPr>
          <w:rFonts w:ascii="Times New Roman" w:hAnsi="Times New Roman" w:cs="Times New Roman"/>
        </w:rPr>
        <w:t>.</w:t>
      </w:r>
    </w:p>
    <w:p w14:paraId="49783217" w14:textId="08CDF760" w:rsidR="0017047C" w:rsidRPr="00A820C0" w:rsidRDefault="0017047C" w:rsidP="00F81F7F">
      <w:pPr>
        <w:spacing w:after="240"/>
        <w:jc w:val="both"/>
        <w:rPr>
          <w:rFonts w:ascii="Times New Roman" w:hAnsi="Times New Roman" w:cs="Times New Roman"/>
        </w:rPr>
      </w:pPr>
      <w:r w:rsidRPr="00A820C0">
        <w:rPr>
          <w:rFonts w:ascii="Times New Roman" w:hAnsi="Times New Roman" w:cs="Times New Roman"/>
          <w:b/>
          <w:bCs/>
        </w:rPr>
        <w:t>Contribution to the Field</w:t>
      </w:r>
      <w:r w:rsidRPr="00A820C0">
        <w:rPr>
          <w:rFonts w:ascii="Times New Roman" w:hAnsi="Times New Roman" w:cs="Times New Roman"/>
        </w:rPr>
        <w:t xml:space="preserve"> </w:t>
      </w:r>
    </w:p>
    <w:p w14:paraId="232675BF"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 xml:space="preserve">This case includes a practical in-the-field experience of how technology-mediated translation can facilitate the promotion of inclusive practices in high-income classroom environments, addressing a lack of studies of this kind that tend to consider low-resource or distance scenarios. It reflects the flexibility of the concept of ODL to new issues especially the diversity of languages in a more </w:t>
      </w:r>
      <w:proofErr w:type="spellStart"/>
      <w:r w:rsidRPr="00A820C0">
        <w:rPr>
          <w:rFonts w:ascii="Times New Roman" w:hAnsi="Times New Roman" w:cs="Times New Roman"/>
        </w:rPr>
        <w:t>globalised</w:t>
      </w:r>
      <w:proofErr w:type="spellEnd"/>
      <w:r w:rsidRPr="00A820C0">
        <w:rPr>
          <w:rFonts w:ascii="Times New Roman" w:hAnsi="Times New Roman" w:cs="Times New Roman"/>
        </w:rPr>
        <w:t xml:space="preserve"> classroom.</w:t>
      </w:r>
    </w:p>
    <w:p w14:paraId="157FEE9D" w14:textId="1A3B476E" w:rsidR="0017047C" w:rsidRPr="00A820C0" w:rsidRDefault="00A820C0" w:rsidP="00F81F7F">
      <w:pPr>
        <w:spacing w:after="240"/>
        <w:jc w:val="both"/>
        <w:rPr>
          <w:rFonts w:ascii="Times New Roman" w:hAnsi="Times New Roman" w:cs="Times New Roman"/>
          <w:b/>
          <w:bCs/>
          <w:sz w:val="28"/>
          <w:szCs w:val="28"/>
        </w:rPr>
      </w:pPr>
      <w:r w:rsidRPr="00A820C0">
        <w:rPr>
          <w:rFonts w:ascii="Times New Roman" w:hAnsi="Times New Roman" w:cs="Times New Roman"/>
          <w:b/>
          <w:bCs/>
          <w:sz w:val="28"/>
          <w:szCs w:val="28"/>
        </w:rPr>
        <w:t>CONCLUSION AND RECOMMENDATIONS</w:t>
      </w:r>
    </w:p>
    <w:p w14:paraId="67F1C8C9"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The experience presented in this case study has demonstrated that tablet-based translation can be used to promote inclusive education as a means of facilitating equitable access, participation and assessment of linguistically diverse students in an inclusive classroom. The intervention accommodated non-native speakers by overcoming the challenges that might draw a line in their participation by translating instructional material into Arabic, making it possible to involve students in group learning, and facilitating fair assessment approaches. The conclusions confirm that the principles of Open and Distance Learning (ODL), especially the introduction of technology as the means of expanding access and enhancing equity are relevant even in the face-to-face situation.</w:t>
      </w:r>
      <w:r w:rsidR="00FA15FF" w:rsidRPr="00A820C0">
        <w:rPr>
          <w:rFonts w:ascii="Times New Roman" w:hAnsi="Times New Roman" w:cs="Times New Roman"/>
        </w:rPr>
        <w:t xml:space="preserve"> When applied as a scaffold during the first stages of language development, and when taking place with a planned pedagogical guidance, tablet-based translation seems the most useful. Although this case demonstrates the possibility of inclusion that is mediated by technology, more general assertions need to be approached cautiously, and the effects of such changes over the long term and their generalizability need to be examined in the future (</w:t>
      </w:r>
      <w:r w:rsidR="00ED5D96" w:rsidRPr="00A820C0">
        <w:rPr>
          <w:rFonts w:ascii="Times New Roman" w:hAnsi="Times New Roman" w:cs="Times New Roman"/>
        </w:rPr>
        <w:t>Bower</w:t>
      </w:r>
      <w:r w:rsidR="00FA15FF" w:rsidRPr="00A820C0">
        <w:rPr>
          <w:rFonts w:ascii="Times New Roman" w:hAnsi="Times New Roman" w:cs="Times New Roman"/>
        </w:rPr>
        <w:t>, 20</w:t>
      </w:r>
      <w:r w:rsidR="00ED5D96" w:rsidRPr="00A820C0">
        <w:rPr>
          <w:rFonts w:ascii="Times New Roman" w:hAnsi="Times New Roman" w:cs="Times New Roman"/>
        </w:rPr>
        <w:t>19</w:t>
      </w:r>
      <w:r w:rsidR="00FA15FF" w:rsidRPr="00A820C0">
        <w:rPr>
          <w:rFonts w:ascii="Times New Roman" w:hAnsi="Times New Roman" w:cs="Times New Roman"/>
        </w:rPr>
        <w:t>).</w:t>
      </w:r>
    </w:p>
    <w:p w14:paraId="41B0B95C"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There are three important facts that the study supports. Technology has the potential to act as an access moderator, firstly, not leaving linguistic obstacles to set disadvantages to students. Second, it is beneficial in terms of enhancing social inclusion as it allows people to engage in group learning. Third, it has the potential to transform the assessment practices by removing the connection between the demonstration of knowledge and language proficiency. All together, these learning underscore the power of tech-based learning that can bring about inclusive pedagogy.</w:t>
      </w:r>
    </w:p>
    <w:p w14:paraId="33C3DF4E" w14:textId="77777777" w:rsidR="0017047C" w:rsidRPr="00A820C0" w:rsidRDefault="0017047C" w:rsidP="00A820C0">
      <w:pPr>
        <w:spacing w:after="240"/>
        <w:jc w:val="both"/>
        <w:rPr>
          <w:rFonts w:ascii="Times New Roman" w:hAnsi="Times New Roman" w:cs="Times New Roman"/>
          <w:b/>
          <w:bCs/>
        </w:rPr>
      </w:pPr>
      <w:r w:rsidRPr="00A820C0">
        <w:rPr>
          <w:rFonts w:ascii="Times New Roman" w:hAnsi="Times New Roman" w:cs="Times New Roman"/>
          <w:b/>
          <w:bCs/>
        </w:rPr>
        <w:t>On the basis of these results some recommendations are offered:</w:t>
      </w:r>
    </w:p>
    <w:p w14:paraId="7C5A87DA" w14:textId="77777777" w:rsidR="0017047C" w:rsidRPr="00A820C0" w:rsidRDefault="0017047C" w:rsidP="00F81F7F">
      <w:pPr>
        <w:spacing w:after="80"/>
        <w:ind w:left="360" w:hanging="360"/>
        <w:jc w:val="both"/>
        <w:rPr>
          <w:rFonts w:ascii="Times New Roman" w:hAnsi="Times New Roman" w:cs="Times New Roman"/>
        </w:rPr>
      </w:pPr>
      <w:r w:rsidRPr="00A820C0">
        <w:rPr>
          <w:rFonts w:ascii="Times New Roman" w:hAnsi="Times New Roman" w:cs="Times New Roman"/>
        </w:rPr>
        <w:t>1.</w:t>
      </w:r>
      <w:r w:rsidRPr="00A820C0">
        <w:rPr>
          <w:rFonts w:ascii="Times New Roman" w:hAnsi="Times New Roman" w:cs="Times New Roman"/>
        </w:rPr>
        <w:tab/>
        <w:t>To teachers: Allowing translation technologies should be a strategic approach to guiding learning and should simultaneously promote the gradual acquisition of language of instruction.</w:t>
      </w:r>
    </w:p>
    <w:p w14:paraId="381AB234" w14:textId="77777777" w:rsidR="0017047C" w:rsidRPr="00A820C0" w:rsidRDefault="0017047C" w:rsidP="00F81F7F">
      <w:pPr>
        <w:spacing w:after="80"/>
        <w:ind w:left="360" w:hanging="360"/>
        <w:jc w:val="both"/>
        <w:rPr>
          <w:rFonts w:ascii="Times New Roman" w:hAnsi="Times New Roman" w:cs="Times New Roman"/>
        </w:rPr>
      </w:pPr>
      <w:r w:rsidRPr="00A820C0">
        <w:rPr>
          <w:rFonts w:ascii="Times New Roman" w:hAnsi="Times New Roman" w:cs="Times New Roman"/>
        </w:rPr>
        <w:t>2.</w:t>
      </w:r>
      <w:r w:rsidRPr="00A820C0">
        <w:rPr>
          <w:rFonts w:ascii="Times New Roman" w:hAnsi="Times New Roman" w:cs="Times New Roman"/>
        </w:rPr>
        <w:tab/>
        <w:t xml:space="preserve">Schools: Schools ought to embrace inclusive policies that acknowledge the importance of the use of everyday digital tools in </w:t>
      </w:r>
      <w:proofErr w:type="spellStart"/>
      <w:r w:rsidRPr="00A820C0">
        <w:rPr>
          <w:rFonts w:ascii="Times New Roman" w:hAnsi="Times New Roman" w:cs="Times New Roman"/>
        </w:rPr>
        <w:t>minimising</w:t>
      </w:r>
      <w:proofErr w:type="spellEnd"/>
      <w:r w:rsidRPr="00A820C0">
        <w:rPr>
          <w:rFonts w:ascii="Times New Roman" w:hAnsi="Times New Roman" w:cs="Times New Roman"/>
        </w:rPr>
        <w:t xml:space="preserve"> inequities including training the teachers to use the tools in an effective manner.</w:t>
      </w:r>
    </w:p>
    <w:p w14:paraId="7333400A" w14:textId="77777777" w:rsidR="0017047C" w:rsidRPr="00A820C0" w:rsidRDefault="0017047C" w:rsidP="00A820C0">
      <w:pPr>
        <w:spacing w:after="240"/>
        <w:ind w:left="360" w:hanging="360"/>
        <w:jc w:val="both"/>
        <w:rPr>
          <w:rFonts w:ascii="Times New Roman" w:hAnsi="Times New Roman" w:cs="Times New Roman"/>
        </w:rPr>
      </w:pPr>
      <w:r w:rsidRPr="00A820C0">
        <w:rPr>
          <w:rFonts w:ascii="Times New Roman" w:hAnsi="Times New Roman" w:cs="Times New Roman"/>
        </w:rPr>
        <w:t>3.</w:t>
      </w:r>
      <w:r w:rsidRPr="00A820C0">
        <w:rPr>
          <w:rFonts w:ascii="Times New Roman" w:hAnsi="Times New Roman" w:cs="Times New Roman"/>
        </w:rPr>
        <w:tab/>
        <w:t>To policymakers: Linguistic diversity needs to be treated as a particularly within education systems as an equity concern and language-diverse contexts need to be promoted as innovative applications of technology within such contexts to respond to this equity concern within inclusive education systems.</w:t>
      </w:r>
    </w:p>
    <w:p w14:paraId="102CC6F5" w14:textId="77777777" w:rsidR="0017047C" w:rsidRPr="00A820C0" w:rsidRDefault="0017047C" w:rsidP="00A820C0">
      <w:pPr>
        <w:spacing w:after="240"/>
        <w:jc w:val="both"/>
        <w:rPr>
          <w:rFonts w:ascii="Times New Roman" w:hAnsi="Times New Roman" w:cs="Times New Roman"/>
        </w:rPr>
      </w:pPr>
      <w:r w:rsidRPr="00A820C0">
        <w:rPr>
          <w:rFonts w:ascii="Times New Roman" w:hAnsi="Times New Roman" w:cs="Times New Roman"/>
        </w:rPr>
        <w:t xml:space="preserve">Finally, the case shows that the inclusive education is, first of all, not a theory or a policy but an educational practice (everyday classroom) that can be implemented quite easily with the help of technologies. Interventions </w:t>
      </w:r>
      <w:r w:rsidRPr="00A820C0">
        <w:rPr>
          <w:rFonts w:ascii="Times New Roman" w:hAnsi="Times New Roman" w:cs="Times New Roman"/>
        </w:rPr>
        <w:lastRenderedPageBreak/>
        <w:t>such as these are the essence of ODL: they break down the barriers, make participation possible, and open out the learning to everyone.</w:t>
      </w:r>
    </w:p>
    <w:p w14:paraId="481492DE" w14:textId="4960B3EC" w:rsidR="0017047C" w:rsidRPr="00A820C0" w:rsidRDefault="00A820C0" w:rsidP="00A820C0">
      <w:pPr>
        <w:spacing w:after="240"/>
        <w:jc w:val="both"/>
        <w:rPr>
          <w:rFonts w:ascii="Times New Roman" w:hAnsi="Times New Roman" w:cs="Times New Roman"/>
          <w:b/>
          <w:bCs/>
          <w:sz w:val="28"/>
          <w:szCs w:val="28"/>
        </w:rPr>
      </w:pPr>
      <w:r w:rsidRPr="00A820C0">
        <w:rPr>
          <w:rFonts w:ascii="Times New Roman" w:hAnsi="Times New Roman" w:cs="Times New Roman"/>
          <w:b/>
          <w:bCs/>
          <w:sz w:val="28"/>
          <w:szCs w:val="28"/>
        </w:rPr>
        <w:t>REFERENCES</w:t>
      </w:r>
    </w:p>
    <w:p w14:paraId="585338F8" w14:textId="3F042D7B" w:rsidR="0017047C" w:rsidRPr="00F81F7F" w:rsidRDefault="0017047C" w:rsidP="00A820C0">
      <w:pPr>
        <w:pStyle w:val="ListParagraph"/>
        <w:numPr>
          <w:ilvl w:val="0"/>
          <w:numId w:val="3"/>
        </w:numPr>
        <w:jc w:val="both"/>
        <w:rPr>
          <w:rFonts w:ascii="Times New Roman" w:hAnsi="Times New Roman" w:cs="Times New Roman"/>
          <w:b/>
          <w:bCs/>
        </w:rPr>
      </w:pPr>
      <w:r w:rsidRPr="00F81F7F">
        <w:rPr>
          <w:rFonts w:ascii="Times New Roman" w:hAnsi="Times New Roman" w:cs="Times New Roman"/>
          <w:lang w:val="de-DE"/>
        </w:rPr>
        <w:t xml:space="preserve">Al-Azawei, A., Serenelli, F., &amp; Lundqvist, K. (2016). </w:t>
      </w:r>
      <w:r w:rsidRPr="00F81F7F">
        <w:rPr>
          <w:rFonts w:ascii="Times New Roman" w:hAnsi="Times New Roman" w:cs="Times New Roman"/>
        </w:rPr>
        <w:t xml:space="preserve">Universal design for learning (UDL): A content analysis of peer-reviewed journal papers from 2012 to 2015. Journal of the Scholarship of Teaching and Learning, 16(3), 39–56. </w:t>
      </w:r>
      <w:hyperlink r:id="rId14" w:history="1">
        <w:r w:rsidRPr="00F81F7F">
          <w:rPr>
            <w:rStyle w:val="Hyperlink"/>
            <w:rFonts w:ascii="Times New Roman" w:hAnsi="Times New Roman" w:cs="Times New Roman"/>
            <w:color w:val="auto"/>
            <w:u w:val="none"/>
          </w:rPr>
          <w:t>https://</w:t>
        </w:r>
        <w:proofErr w:type="spellStart"/>
        <w:r w:rsidRPr="00F81F7F">
          <w:rPr>
            <w:rStyle w:val="Hyperlink"/>
            <w:rFonts w:ascii="Times New Roman" w:hAnsi="Times New Roman" w:cs="Times New Roman"/>
            <w:color w:val="auto"/>
            <w:u w:val="none"/>
          </w:rPr>
          <w:t>doi.org</w:t>
        </w:r>
        <w:proofErr w:type="spellEnd"/>
        <w:r w:rsidRPr="00F81F7F">
          <w:rPr>
            <w:rStyle w:val="Hyperlink"/>
            <w:rFonts w:ascii="Times New Roman" w:hAnsi="Times New Roman" w:cs="Times New Roman"/>
            <w:color w:val="auto"/>
            <w:u w:val="none"/>
          </w:rPr>
          <w:t>/10.14434/josotl.v16i3.19295</w:t>
        </w:r>
      </w:hyperlink>
      <w:r w:rsidR="00F81F7F" w:rsidRPr="00F81F7F">
        <w:rPr>
          <w:rFonts w:ascii="Times New Roman" w:hAnsi="Times New Roman" w:cs="Times New Roman"/>
        </w:rPr>
        <w:t xml:space="preserve"> </w:t>
      </w:r>
    </w:p>
    <w:p w14:paraId="0BBD78A2" w14:textId="22B4AB6B" w:rsidR="0017047C" w:rsidRPr="00F81F7F" w:rsidRDefault="0017047C"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rPr>
        <w:t>BERA. (2018). Ethical guidelines for educational research (4th ed.). British Educational Research Association.</w:t>
      </w:r>
    </w:p>
    <w:p w14:paraId="7EC99FF6" w14:textId="563154EE" w:rsidR="0017047C" w:rsidRPr="00F81F7F" w:rsidRDefault="0017047C"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rPr>
        <w:t>Bower, M. (2019). Design of technology-enhanced learning: Integrating research and practice. Emerald Publishing.</w:t>
      </w:r>
    </w:p>
    <w:p w14:paraId="180A9AA7" w14:textId="3D9417D0" w:rsidR="0017047C" w:rsidRPr="00F81F7F" w:rsidRDefault="0017047C" w:rsidP="00A820C0">
      <w:pPr>
        <w:pStyle w:val="ListParagraph"/>
        <w:numPr>
          <w:ilvl w:val="0"/>
          <w:numId w:val="3"/>
        </w:numPr>
        <w:jc w:val="both"/>
        <w:rPr>
          <w:rStyle w:val="Hyperlink"/>
          <w:rFonts w:ascii="Times New Roman" w:hAnsi="Times New Roman" w:cs="Times New Roman"/>
          <w:color w:val="auto"/>
          <w:u w:val="none"/>
        </w:rPr>
      </w:pPr>
      <w:r w:rsidRPr="00F81F7F">
        <w:rPr>
          <w:rFonts w:ascii="Times New Roman" w:hAnsi="Times New Roman" w:cs="Times New Roman"/>
        </w:rPr>
        <w:t xml:space="preserve">Braun, V., &amp; Clarke, V. (2006). Using thematic analysis in psychology. Qualitative Research in Psychology, 3(2), 77–101. </w:t>
      </w:r>
      <w:hyperlink r:id="rId15" w:history="1">
        <w:r w:rsidRPr="00F81F7F">
          <w:rPr>
            <w:rStyle w:val="Hyperlink"/>
            <w:rFonts w:ascii="Times New Roman" w:hAnsi="Times New Roman" w:cs="Times New Roman"/>
            <w:color w:val="auto"/>
            <w:u w:val="none"/>
          </w:rPr>
          <w:t>https://doi.org/10.1191/1478088706qp063oa</w:t>
        </w:r>
      </w:hyperlink>
    </w:p>
    <w:p w14:paraId="69DBBCED" w14:textId="756248DF" w:rsidR="00CE4EE5" w:rsidRPr="00F81F7F" w:rsidRDefault="00CE4EE5"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rPr>
        <w:t>Byram, M. (2020). Teaching and assessing intercultural communicative competence: Revisited. Multilingual matters.</w:t>
      </w:r>
    </w:p>
    <w:p w14:paraId="2DEBBC25" w14:textId="0820F7D3" w:rsidR="00C61F4A" w:rsidRPr="00F81F7F" w:rsidRDefault="00CE4EE5"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lang w:val="de-DE"/>
        </w:rPr>
        <w:t>C</w:t>
      </w:r>
      <w:r w:rsidR="00C61F4A" w:rsidRPr="00F81F7F">
        <w:rPr>
          <w:rFonts w:ascii="Times New Roman" w:hAnsi="Times New Roman" w:cs="Times New Roman"/>
          <w:lang w:val="de-DE"/>
        </w:rPr>
        <w:t xml:space="preserve">ents-Boonstra, M., Lichtwarck-Aschoff, A., Denessen, E., Aelterman, N., &amp; Haerens, L. (2021). </w:t>
      </w:r>
      <w:r w:rsidR="00C61F4A" w:rsidRPr="00F81F7F">
        <w:rPr>
          <w:rFonts w:ascii="Times New Roman" w:hAnsi="Times New Roman" w:cs="Times New Roman"/>
        </w:rPr>
        <w:t xml:space="preserve">Fostering student engagement with motivating teaching: An observation study of teacher and student </w:t>
      </w:r>
      <w:proofErr w:type="spellStart"/>
      <w:r w:rsidR="00C61F4A" w:rsidRPr="00F81F7F">
        <w:rPr>
          <w:rFonts w:ascii="Times New Roman" w:hAnsi="Times New Roman" w:cs="Times New Roman"/>
        </w:rPr>
        <w:t>behaviours</w:t>
      </w:r>
      <w:proofErr w:type="spellEnd"/>
      <w:r w:rsidR="00C61F4A" w:rsidRPr="00F81F7F">
        <w:rPr>
          <w:rFonts w:ascii="Times New Roman" w:hAnsi="Times New Roman" w:cs="Times New Roman"/>
        </w:rPr>
        <w:t xml:space="preserve">. Research Papers in Education, 36(6), 754-779. </w:t>
      </w:r>
      <w:hyperlink r:id="rId16" w:history="1">
        <w:r w:rsidR="00A820C0" w:rsidRPr="00F81F7F">
          <w:rPr>
            <w:rStyle w:val="Hyperlink"/>
            <w:rFonts w:ascii="Times New Roman" w:hAnsi="Times New Roman" w:cs="Times New Roman"/>
            <w:color w:val="auto"/>
            <w:u w:val="none"/>
          </w:rPr>
          <w:t>https://doi.org/10.1080/02671522.2020.1767184</w:t>
        </w:r>
      </w:hyperlink>
    </w:p>
    <w:p w14:paraId="479DAE6F" w14:textId="73D005DB" w:rsidR="00C61F4A" w:rsidRPr="00F81F7F" w:rsidRDefault="00215E36"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rPr>
        <w:t xml:space="preserve">Farley, I. A., &amp; </w:t>
      </w:r>
      <w:proofErr w:type="spellStart"/>
      <w:r w:rsidRPr="00F81F7F">
        <w:rPr>
          <w:rFonts w:ascii="Times New Roman" w:hAnsi="Times New Roman" w:cs="Times New Roman"/>
        </w:rPr>
        <w:t>Burbules</w:t>
      </w:r>
      <w:proofErr w:type="spellEnd"/>
      <w:r w:rsidRPr="00F81F7F">
        <w:rPr>
          <w:rFonts w:ascii="Times New Roman" w:hAnsi="Times New Roman" w:cs="Times New Roman"/>
        </w:rPr>
        <w:t>, N. C. (2022). Online education viewed through an equity lens: Promoting engagement and success for all learners. Review of Education, 10(3), e3367.</w:t>
      </w:r>
    </w:p>
    <w:p w14:paraId="0739ADBF" w14:textId="324FCDF5" w:rsidR="0017047C" w:rsidRPr="00F81F7F" w:rsidRDefault="0017047C"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rPr>
        <w:t xml:space="preserve">Garcia, I., &amp; Pena, M. I. (2011). Machine translation-assisted language learning: Writing for beginners. Computer Assisted Language Learning, 24(5), 471–487. </w:t>
      </w:r>
      <w:hyperlink r:id="rId17" w:history="1">
        <w:r w:rsidR="00A820C0" w:rsidRPr="00F81F7F">
          <w:rPr>
            <w:rStyle w:val="Hyperlink"/>
            <w:rFonts w:ascii="Times New Roman" w:hAnsi="Times New Roman" w:cs="Times New Roman"/>
            <w:color w:val="auto"/>
            <w:u w:val="none"/>
          </w:rPr>
          <w:t>https://doi.org/10.1080/09588221.2011.582687</w:t>
        </w:r>
      </w:hyperlink>
    </w:p>
    <w:p w14:paraId="4ACB2E8F" w14:textId="0E7DA935" w:rsidR="0017047C" w:rsidRPr="00F81F7F" w:rsidRDefault="0017047C"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rPr>
        <w:t xml:space="preserve">Groves, M., &amp; Mundt, K. (2015). Friend or foe? Google Translate in language for academic purposes. English for Specific Purposes, 37, 112–121. </w:t>
      </w:r>
      <w:hyperlink r:id="rId18" w:history="1">
        <w:r w:rsidRPr="00F81F7F">
          <w:rPr>
            <w:rStyle w:val="Hyperlink"/>
            <w:rFonts w:ascii="Times New Roman" w:hAnsi="Times New Roman" w:cs="Times New Roman"/>
            <w:color w:val="auto"/>
            <w:u w:val="none"/>
          </w:rPr>
          <w:t>https://</w:t>
        </w:r>
        <w:proofErr w:type="spellStart"/>
        <w:r w:rsidRPr="00F81F7F">
          <w:rPr>
            <w:rStyle w:val="Hyperlink"/>
            <w:rFonts w:ascii="Times New Roman" w:hAnsi="Times New Roman" w:cs="Times New Roman"/>
            <w:color w:val="auto"/>
            <w:u w:val="none"/>
          </w:rPr>
          <w:t>doi.org</w:t>
        </w:r>
        <w:proofErr w:type="spellEnd"/>
        <w:r w:rsidRPr="00F81F7F">
          <w:rPr>
            <w:rStyle w:val="Hyperlink"/>
            <w:rFonts w:ascii="Times New Roman" w:hAnsi="Times New Roman" w:cs="Times New Roman"/>
            <w:color w:val="auto"/>
            <w:u w:val="none"/>
          </w:rPr>
          <w:t>/10.1016/j.esp.2014.09.001</w:t>
        </w:r>
      </w:hyperlink>
    </w:p>
    <w:p w14:paraId="6FC60A4C" w14:textId="5F202721" w:rsidR="0017047C" w:rsidRPr="00F81F7F" w:rsidRDefault="0017047C"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lang w:val="de-DE"/>
        </w:rPr>
        <w:t xml:space="preserve">Lee, J., Warschauer, M., &amp; Lee, H. (2019). </w:t>
      </w:r>
      <w:r w:rsidRPr="00F81F7F">
        <w:rPr>
          <w:rFonts w:ascii="Times New Roman" w:hAnsi="Times New Roman" w:cs="Times New Roman"/>
        </w:rPr>
        <w:t>The effects of using machine translation on EFL students’ writing. Language Learning &amp; Technology, 23(2), 184–202.</w:t>
      </w:r>
    </w:p>
    <w:p w14:paraId="1B860A76" w14:textId="05D11978" w:rsidR="0017047C" w:rsidRPr="00F81F7F" w:rsidRDefault="0017047C"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rPr>
        <w:t>OECD. (2021). The state of global education: Addressing inclusion and equity. OECD Publishing.</w:t>
      </w:r>
    </w:p>
    <w:p w14:paraId="004C064C" w14:textId="6F8A000A" w:rsidR="00215E36" w:rsidRPr="00F81F7F" w:rsidRDefault="00215E36"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rPr>
        <w:t>Peel, K. L. (2021). Professional dialogue in researcher-teacher collaborations: Exploring practices for effective student learning. Journal of Education for Teaching, 47(2), 201-219.</w:t>
      </w:r>
    </w:p>
    <w:p w14:paraId="7F9A3246" w14:textId="1C3084C8" w:rsidR="0017047C" w:rsidRPr="00F81F7F" w:rsidRDefault="0017047C"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rPr>
        <w:t>Peters, O. (2010). Distance education in transition: Developments and issues (5th ed.). BIS Verlag.</w:t>
      </w:r>
    </w:p>
    <w:p w14:paraId="5987AF20" w14:textId="41CAC172" w:rsidR="0017047C" w:rsidRPr="00F81F7F" w:rsidRDefault="0017047C"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lang w:val="de-DE"/>
        </w:rPr>
        <w:t xml:space="preserve">Pimmer, C., Mateescu, M., &amp; Gröhbiel, U. (2020). </w:t>
      </w:r>
      <w:r w:rsidRPr="00F81F7F">
        <w:rPr>
          <w:rFonts w:ascii="Times New Roman" w:hAnsi="Times New Roman" w:cs="Times New Roman"/>
        </w:rPr>
        <w:t xml:space="preserve">Mobile and ubiquitous learning in higher education settings: A systematic review of empirical studies. Computers in Human Behavior, 63, 490–501. </w:t>
      </w:r>
      <w:hyperlink r:id="rId19" w:history="1">
        <w:r w:rsidRPr="00F81F7F">
          <w:rPr>
            <w:rStyle w:val="Hyperlink"/>
            <w:rFonts w:ascii="Times New Roman" w:hAnsi="Times New Roman" w:cs="Times New Roman"/>
            <w:color w:val="auto"/>
            <w:u w:val="none"/>
          </w:rPr>
          <w:t>https://doi.org/10.1016/j.chb.2016.05.057</w:t>
        </w:r>
      </w:hyperlink>
      <w:r w:rsidRPr="00F81F7F">
        <w:rPr>
          <w:rFonts w:ascii="Times New Roman" w:hAnsi="Times New Roman" w:cs="Times New Roman"/>
        </w:rPr>
        <w:t xml:space="preserve"> </w:t>
      </w:r>
    </w:p>
    <w:p w14:paraId="4556450D" w14:textId="1A6C1CBD" w:rsidR="0017047C" w:rsidRPr="00F81F7F" w:rsidRDefault="0017047C"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rPr>
        <w:t xml:space="preserve">Saito, H., &amp; Ebsworth, M. E. (2004). Seeing English language teaching and learning through the eyes of Japanese </w:t>
      </w:r>
      <w:proofErr w:type="spellStart"/>
      <w:r w:rsidRPr="00F81F7F">
        <w:rPr>
          <w:rFonts w:ascii="Times New Roman" w:hAnsi="Times New Roman" w:cs="Times New Roman"/>
        </w:rPr>
        <w:t>EFL</w:t>
      </w:r>
      <w:proofErr w:type="spellEnd"/>
      <w:r w:rsidRPr="00F81F7F">
        <w:rPr>
          <w:rFonts w:ascii="Times New Roman" w:hAnsi="Times New Roman" w:cs="Times New Roman"/>
        </w:rPr>
        <w:t xml:space="preserve"> and ESL students. Foreign Language Annals, 37(1), 111–124.</w:t>
      </w:r>
    </w:p>
    <w:p w14:paraId="19A3E92E" w14:textId="40974ED5" w:rsidR="0017047C" w:rsidRPr="00F81F7F" w:rsidRDefault="0017047C"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rPr>
        <w:t>Tait, A. (2018). Education for development: From distance to open education. Journal of Learning for Development, 5(2), 101–115.</w:t>
      </w:r>
    </w:p>
    <w:p w14:paraId="40353AF0" w14:textId="77777777" w:rsidR="0017047C" w:rsidRPr="00F81F7F" w:rsidRDefault="0017047C"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rPr>
        <w:t>UNESCO. (2020). Education in a multilingual world. UNESCO.</w:t>
      </w:r>
    </w:p>
    <w:p w14:paraId="385D9ED8" w14:textId="4F07C2D4" w:rsidR="00AC44A1" w:rsidRPr="00F81F7F" w:rsidRDefault="0017047C" w:rsidP="00A820C0">
      <w:pPr>
        <w:pStyle w:val="ListParagraph"/>
        <w:numPr>
          <w:ilvl w:val="0"/>
          <w:numId w:val="3"/>
        </w:numPr>
        <w:jc w:val="both"/>
        <w:rPr>
          <w:rFonts w:ascii="Times New Roman" w:hAnsi="Times New Roman" w:cs="Times New Roman"/>
        </w:rPr>
      </w:pPr>
      <w:r w:rsidRPr="00F81F7F">
        <w:rPr>
          <w:rFonts w:ascii="Times New Roman" w:hAnsi="Times New Roman" w:cs="Times New Roman"/>
        </w:rPr>
        <w:t>Yin, R. K. (2018). Case study research and applications: Design and methods (6th ed.). SAGE.</w:t>
      </w:r>
    </w:p>
    <w:sectPr w:rsidR="00AC44A1" w:rsidRPr="00F81F7F" w:rsidSect="00C66CC7">
      <w:headerReference w:type="default" r:id="rId20"/>
      <w:footerReference w:type="even" r:id="rId21"/>
      <w:footerReference w:type="default" r:id="rId22"/>
      <w:pgSz w:w="11909" w:h="16834" w:code="9"/>
      <w:pgMar w:top="851" w:right="605" w:bottom="605" w:left="605" w:header="450" w:footer="66" w:gutter="0"/>
      <w:pgNumType w:start="24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1BAFB" w14:textId="77777777" w:rsidR="0059432C" w:rsidRDefault="0059432C">
      <w:r>
        <w:separator/>
      </w:r>
    </w:p>
  </w:endnote>
  <w:endnote w:type="continuationSeparator" w:id="0">
    <w:p w14:paraId="6CE935C1" w14:textId="77777777" w:rsidR="0059432C" w:rsidRDefault="0059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941524"/>
      <w:docPartObj>
        <w:docPartGallery w:val="Page Numbers (Bottom of Page)"/>
        <w:docPartUnique/>
      </w:docPartObj>
    </w:sdtPr>
    <w:sdtContent>
      <w:p w14:paraId="6185E1BA" w14:textId="5DA110E1" w:rsidR="00127B87" w:rsidRDefault="00000000" w:rsidP="00FE5B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820C0">
          <w:rPr>
            <w:rStyle w:val="PageNumber"/>
            <w:noProof/>
          </w:rPr>
          <w:t>1</w:t>
        </w:r>
        <w:r>
          <w:rPr>
            <w:rStyle w:val="PageNumber"/>
          </w:rPr>
          <w:fldChar w:fldCharType="end"/>
        </w:r>
      </w:p>
    </w:sdtContent>
  </w:sdt>
  <w:p w14:paraId="683190EF" w14:textId="77777777" w:rsidR="00127B87" w:rsidRDefault="00127B87" w:rsidP="00743E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7B6F" w14:textId="78514C5C" w:rsidR="00127B87" w:rsidRPr="003D350A" w:rsidRDefault="003D350A" w:rsidP="003D350A">
    <w:pPr>
      <w:pStyle w:val="BodyText"/>
      <w:spacing w:line="14" w:lineRule="auto"/>
      <w:rPr>
        <w:sz w:val="20"/>
        <w:lang w:val="en-IN"/>
      </w:rPr>
    </w:pPr>
    <w:r>
      <w:rPr>
        <w:noProof/>
      </w:rPr>
      <mc:AlternateContent>
        <mc:Choice Requires="wps">
          <w:drawing>
            <wp:anchor distT="0" distB="0" distL="114300" distR="114300" simplePos="0" relativeHeight="251673600" behindDoc="1" locked="0" layoutInCell="1" allowOverlap="1" wp14:anchorId="13995053" wp14:editId="7BAB3EF0">
              <wp:simplePos x="0" y="0"/>
              <wp:positionH relativeFrom="page">
                <wp:posOffset>383540</wp:posOffset>
              </wp:positionH>
              <wp:positionV relativeFrom="page">
                <wp:posOffset>10340340</wp:posOffset>
              </wp:positionV>
              <wp:extent cx="6804000" cy="1905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00" cy="190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46668" id="Rectangle 20" o:spid="_x0000_s1026" style="position:absolute;margin-left:30.2pt;margin-top:814.2pt;width:535.75pt;height: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" fillcolor="gray" stroked="f">
              <w10:wrap anchorx="page" anchory="page"/>
            </v:rect>
          </w:pict>
        </mc:Fallback>
      </mc:AlternateContent>
    </w:r>
    <w:r>
      <w:rPr>
        <w:noProof/>
      </w:rPr>
      <mc:AlternateContent>
        <mc:Choice Requires="wps">
          <w:drawing>
            <wp:anchor distT="0" distB="0" distL="114300" distR="114300" simplePos="0" relativeHeight="251671552" behindDoc="1" locked="0" layoutInCell="1" allowOverlap="1" wp14:anchorId="739A85A1" wp14:editId="0A0568DA">
              <wp:simplePos x="0" y="0"/>
              <wp:positionH relativeFrom="page">
                <wp:posOffset>381000</wp:posOffset>
              </wp:positionH>
              <wp:positionV relativeFrom="page">
                <wp:posOffset>10378440</wp:posOffset>
              </wp:positionV>
              <wp:extent cx="1191260" cy="210185"/>
              <wp:effectExtent l="0" t="0" r="8890" b="184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FE839" w14:textId="77777777" w:rsidR="003D350A" w:rsidRPr="0061388E" w:rsidRDefault="003D350A" w:rsidP="003D350A">
                          <w:pPr>
                            <w:rPr>
                              <w:rFonts w:ascii="Times New Roman" w:hAnsi="Times New Roman" w:cs="Times New Roman"/>
                              <w:sz w:val="20"/>
                              <w:szCs w:val="20"/>
                            </w:rPr>
                          </w:pPr>
                          <w:r w:rsidRPr="0061388E">
                            <w:rPr>
                              <w:rFonts w:ascii="Times New Roman" w:hAnsi="Times New Roman" w:cs="Times New Roman"/>
                              <w:sz w:val="20"/>
                              <w:szCs w:val="20"/>
                            </w:rPr>
                            <w:t xml:space="preserve">Page </w:t>
                          </w:r>
                          <w:r w:rsidRPr="0061388E">
                            <w:rPr>
                              <w:rFonts w:ascii="Times New Roman" w:hAnsi="Times New Roman" w:cs="Times New Roman"/>
                              <w:sz w:val="20"/>
                              <w:szCs w:val="20"/>
                            </w:rPr>
                            <w:fldChar w:fldCharType="begin"/>
                          </w:r>
                          <w:r w:rsidRPr="0061388E">
                            <w:rPr>
                              <w:rFonts w:ascii="Times New Roman" w:hAnsi="Times New Roman" w:cs="Times New Roman"/>
                              <w:sz w:val="20"/>
                              <w:szCs w:val="20"/>
                            </w:rPr>
                            <w:instrText xml:space="preserve"> PAGE </w:instrText>
                          </w:r>
                          <w:r w:rsidRPr="0061388E">
                            <w:rPr>
                              <w:rFonts w:ascii="Times New Roman" w:hAnsi="Times New Roman" w:cs="Times New Roman"/>
                              <w:sz w:val="20"/>
                              <w:szCs w:val="20"/>
                            </w:rPr>
                            <w:fldChar w:fldCharType="separate"/>
                          </w:r>
                          <w:r w:rsidRPr="0061388E">
                            <w:rPr>
                              <w:rFonts w:ascii="Times New Roman" w:hAnsi="Times New Roman" w:cs="Times New Roman"/>
                              <w:sz w:val="20"/>
                              <w:szCs w:val="20"/>
                            </w:rPr>
                            <w:t>1</w:t>
                          </w:r>
                          <w:r w:rsidRPr="0061388E">
                            <w:rPr>
                              <w:rFonts w:ascii="Times New Roman" w:hAnsi="Times New Roman"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A85A1" id="_x0000_t202" coordsize="21600,21600" o:spt="202" path="m,l,21600r21600,l21600,xe">
              <v:stroke joinstyle="miter"/>
              <v:path gradientshapeok="t" o:connecttype="rect"/>
            </v:shapetype>
            <v:shape id="Text Box 9" o:spid="_x0000_s1027" type="#_x0000_t202" style="position:absolute;left:0;text-align:left;margin-left:30pt;margin-top:817.2pt;width:93.8pt;height:16.5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" filled="f" stroked="f">
              <v:textbox inset="0,0,0,0">
                <w:txbxContent>
                  <w:p w14:paraId="63AFE839" w14:textId="77777777" w:rsidR="003D350A" w:rsidRPr="0061388E" w:rsidRDefault="003D350A" w:rsidP="003D350A">
                    <w:pPr>
                      <w:rPr>
                        <w:rFonts w:ascii="Times New Roman" w:hAnsi="Times New Roman" w:cs="Times New Roman"/>
                        <w:sz w:val="20"/>
                        <w:szCs w:val="20"/>
                      </w:rPr>
                    </w:pPr>
                    <w:r w:rsidRPr="0061388E">
                      <w:rPr>
                        <w:rFonts w:ascii="Times New Roman" w:hAnsi="Times New Roman" w:cs="Times New Roman"/>
                        <w:sz w:val="20"/>
                        <w:szCs w:val="20"/>
                      </w:rPr>
                      <w:t xml:space="preserve">Page </w:t>
                    </w:r>
                    <w:r w:rsidRPr="0061388E">
                      <w:rPr>
                        <w:rFonts w:ascii="Times New Roman" w:hAnsi="Times New Roman" w:cs="Times New Roman"/>
                        <w:sz w:val="20"/>
                        <w:szCs w:val="20"/>
                      </w:rPr>
                      <w:fldChar w:fldCharType="begin"/>
                    </w:r>
                    <w:r w:rsidRPr="0061388E">
                      <w:rPr>
                        <w:rFonts w:ascii="Times New Roman" w:hAnsi="Times New Roman" w:cs="Times New Roman"/>
                        <w:sz w:val="20"/>
                        <w:szCs w:val="20"/>
                      </w:rPr>
                      <w:instrText xml:space="preserve"> PAGE </w:instrText>
                    </w:r>
                    <w:r w:rsidRPr="0061388E">
                      <w:rPr>
                        <w:rFonts w:ascii="Times New Roman" w:hAnsi="Times New Roman" w:cs="Times New Roman"/>
                        <w:sz w:val="20"/>
                        <w:szCs w:val="20"/>
                      </w:rPr>
                      <w:fldChar w:fldCharType="separate"/>
                    </w:r>
                    <w:r w:rsidRPr="0061388E">
                      <w:rPr>
                        <w:rFonts w:ascii="Times New Roman" w:hAnsi="Times New Roman" w:cs="Times New Roman"/>
                        <w:sz w:val="20"/>
                        <w:szCs w:val="20"/>
                      </w:rPr>
                      <w:t>1</w:t>
                    </w:r>
                    <w:r w:rsidRPr="0061388E">
                      <w:rPr>
                        <w:rFonts w:ascii="Times New Roman" w:hAnsi="Times New Roman" w:cs="Times New Roman"/>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0C943450" wp14:editId="2CA78E9F">
              <wp:simplePos x="0" y="0"/>
              <wp:positionH relativeFrom="page">
                <wp:posOffset>3066415</wp:posOffset>
              </wp:positionH>
              <wp:positionV relativeFrom="page">
                <wp:posOffset>10422890</wp:posOffset>
              </wp:positionV>
              <wp:extent cx="1351915" cy="16637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CAE58" w14:textId="77777777" w:rsidR="003D350A" w:rsidRPr="0061388E" w:rsidRDefault="003D350A" w:rsidP="003D350A">
                          <w:pPr>
                            <w:spacing w:before="11"/>
                            <w:ind w:left="20"/>
                            <w:rPr>
                              <w:rFonts w:ascii="Times New Roman" w:hAnsi="Times New Roman" w:cs="Times New Roman"/>
                              <w:sz w:val="20"/>
                              <w:szCs w:val="20"/>
                            </w:rPr>
                          </w:pPr>
                          <w:hyperlink r:id="rId1">
                            <w:r w:rsidRPr="0061388E">
                              <w:rPr>
                                <w:rFonts w:ascii="Times New Roman" w:hAnsi="Times New Roman" w:cs="Times New Roman"/>
                                <w:sz w:val="20"/>
                                <w:szCs w:val="20"/>
                              </w:rPr>
                              <w:t>www.rsisinternational.org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43450" id="Text Box 19" o:spid="_x0000_s1028" type="#_x0000_t202" style="position:absolute;left:0;text-align:left;margin-left:241.45pt;margin-top:820.7pt;width:106.45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" filled="f" stroked="f">
              <v:textbox inset="0,0,0,0">
                <w:txbxContent>
                  <w:p w14:paraId="6E6CAE58" w14:textId="77777777" w:rsidR="003D350A" w:rsidRPr="0061388E" w:rsidRDefault="003D350A" w:rsidP="003D350A">
                    <w:pPr>
                      <w:spacing w:before="11"/>
                      <w:ind w:left="20"/>
                      <w:rPr>
                        <w:rFonts w:ascii="Times New Roman" w:hAnsi="Times New Roman" w:cs="Times New Roman"/>
                        <w:sz w:val="20"/>
                        <w:szCs w:val="20"/>
                      </w:rPr>
                    </w:pPr>
                    <w:hyperlink r:id="rId2">
                      <w:r w:rsidRPr="0061388E">
                        <w:rPr>
                          <w:rFonts w:ascii="Times New Roman" w:hAnsi="Times New Roman" w:cs="Times New Roman"/>
                          <w:sz w:val="20"/>
                          <w:szCs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D92F" w14:textId="77777777" w:rsidR="0059432C" w:rsidRDefault="0059432C">
      <w:r>
        <w:separator/>
      </w:r>
    </w:p>
  </w:footnote>
  <w:footnote w:type="continuationSeparator" w:id="0">
    <w:p w14:paraId="7281A4AA" w14:textId="77777777" w:rsidR="0059432C" w:rsidRDefault="0059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31C4" w14:textId="1D6548EA" w:rsidR="00A820C0" w:rsidRPr="003D350A" w:rsidRDefault="003D350A" w:rsidP="003D350A">
    <w:pPr>
      <w:pStyle w:val="BodyText"/>
      <w:spacing w:line="14" w:lineRule="auto"/>
      <w:rPr>
        <w:sz w:val="20"/>
        <w:lang w:val="en-IN"/>
      </w:rPr>
    </w:pPr>
    <w:r>
      <w:rPr>
        <w:noProof/>
        <w:sz w:val="3"/>
      </w:rPr>
      <mc:AlternateContent>
        <mc:Choice Requires="wpg">
          <w:drawing>
            <wp:anchor distT="0" distB="0" distL="114300" distR="114300" simplePos="0" relativeHeight="251667456" behindDoc="0" locked="0" layoutInCell="1" allowOverlap="1" wp14:anchorId="40ECDD72" wp14:editId="149CCB9E">
              <wp:simplePos x="0" y="0"/>
              <wp:positionH relativeFrom="column">
                <wp:posOffset>-5715</wp:posOffset>
              </wp:positionH>
              <wp:positionV relativeFrom="paragraph">
                <wp:posOffset>224790</wp:posOffset>
              </wp:positionV>
              <wp:extent cx="6803766" cy="19050"/>
              <wp:effectExtent l="0" t="0" r="0" b="0"/>
              <wp:wrapNone/>
              <wp:docPr id="30348596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3766" cy="19050"/>
                        <a:chOff x="0" y="0"/>
                        <a:chExt cx="10618" cy="30"/>
                      </a:xfrm>
                    </wpg:grpSpPr>
                    <wps:wsp>
                      <wps:cNvPr id="780531179" name="Rectangle 8"/>
                      <wps:cNvSpPr>
                        <a:spLocks noChangeArrowheads="1"/>
                      </wps:cNvSpPr>
                      <wps:spPr bwMode="auto">
                        <a:xfrm>
                          <a:off x="0" y="0"/>
                          <a:ext cx="10618" cy="3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64A6937E" id="Group 1" o:spid="_x0000_s1026" style="position:absolute;margin-left:-.45pt;margin-top:17.7pt;width:535.75pt;height:1.5pt;z-index:251667456;mso-width-relative:margin" coordsize="106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">
              <v:rect id="Rectangle 8" o:spid="_x0000_s1027" style="position:absolute;width:10618;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" fillcolor="gray" stroked="f"/>
            </v:group>
          </w:pict>
        </mc:Fallback>
      </mc:AlternateContent>
    </w:r>
    <w:r>
      <w:rPr>
        <w:noProof/>
      </w:rPr>
      <w:drawing>
        <wp:anchor distT="0" distB="0" distL="114300" distR="114300" simplePos="0" relativeHeight="251668480" behindDoc="0" locked="0" layoutInCell="1" allowOverlap="1" wp14:anchorId="5A6DE93F" wp14:editId="3B6E828B">
          <wp:simplePos x="0" y="0"/>
          <wp:positionH relativeFrom="column">
            <wp:posOffset>-3175</wp:posOffset>
          </wp:positionH>
          <wp:positionV relativeFrom="paragraph">
            <wp:posOffset>-270510</wp:posOffset>
          </wp:positionV>
          <wp:extent cx="541020" cy="45726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4572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1" locked="0" layoutInCell="1" allowOverlap="1" wp14:anchorId="21343711" wp14:editId="6B313E3F">
              <wp:simplePos x="0" y="0"/>
              <wp:positionH relativeFrom="page">
                <wp:posOffset>1234440</wp:posOffset>
              </wp:positionH>
              <wp:positionV relativeFrom="page">
                <wp:posOffset>129540</wp:posOffset>
              </wp:positionV>
              <wp:extent cx="5947410" cy="3175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 w:name="_Hlk188349438"/>
                        <w:bookmarkStart w:id="2" w:name="_Hlk188349439"/>
                        <w:p w14:paraId="5D9110B4" w14:textId="77777777" w:rsidR="003D350A" w:rsidRPr="003D350A" w:rsidRDefault="003D350A" w:rsidP="003D350A">
                          <w:pPr>
                            <w:jc w:val="right"/>
                            <w:rPr>
                              <w:rStyle w:val="Hyperlink"/>
                              <w:rFonts w:ascii="Times New Roman" w:hAnsi="Times New Roman" w:cs="Times New Roman"/>
                              <w:b/>
                              <w:color w:val="auto"/>
                              <w:sz w:val="20"/>
                              <w:u w:val="none"/>
                            </w:rPr>
                          </w:pPr>
                          <w:r w:rsidRPr="003D350A">
                            <w:rPr>
                              <w:rFonts w:ascii="Times New Roman" w:hAnsi="Times New Roman" w:cs="Times New Roman"/>
                              <w:b/>
                              <w:sz w:val="20"/>
                            </w:rPr>
                            <w:fldChar w:fldCharType="begin"/>
                          </w:r>
                          <w:r w:rsidRPr="003D350A">
                            <w:rPr>
                              <w:rFonts w:ascii="Times New Roman" w:hAnsi="Times New Roman" w:cs="Times New Roman"/>
                              <w:b/>
                              <w:sz w:val="20"/>
                            </w:rPr>
                            <w:instrText>HYPERLINK "https://rsisinternational.org/journals/ijriss"</w:instrText>
                          </w:r>
                          <w:r w:rsidRPr="003D350A">
                            <w:rPr>
                              <w:rFonts w:ascii="Times New Roman" w:hAnsi="Times New Roman" w:cs="Times New Roman"/>
                              <w:b/>
                              <w:sz w:val="20"/>
                            </w:rPr>
                          </w:r>
                          <w:r w:rsidRPr="003D350A">
                            <w:rPr>
                              <w:rFonts w:ascii="Times New Roman" w:hAnsi="Times New Roman" w:cs="Times New Roman"/>
                              <w:b/>
                              <w:sz w:val="20"/>
                            </w:rPr>
                            <w:fldChar w:fldCharType="separate"/>
                          </w:r>
                          <w:r w:rsidRPr="003D350A">
                            <w:rPr>
                              <w:rStyle w:val="Hyperlink"/>
                              <w:rFonts w:ascii="Times New Roman" w:hAnsi="Times New Roman" w:cs="Times New Roman"/>
                              <w:b/>
                              <w:color w:val="auto"/>
                              <w:sz w:val="20"/>
                              <w:u w:val="none"/>
                            </w:rPr>
                            <w:t>INTERNATIONAL JOURNAL OF RESEARCH AND INNOVATION IN SOCIAL SCIENCE (</w:t>
                          </w:r>
                          <w:proofErr w:type="spellStart"/>
                          <w:r w:rsidRPr="003D350A">
                            <w:rPr>
                              <w:rStyle w:val="Hyperlink"/>
                              <w:rFonts w:ascii="Times New Roman" w:hAnsi="Times New Roman" w:cs="Times New Roman"/>
                              <w:b/>
                              <w:color w:val="auto"/>
                              <w:sz w:val="20"/>
                              <w:u w:val="none"/>
                            </w:rPr>
                            <w:t>IJRISS</w:t>
                          </w:r>
                          <w:proofErr w:type="spellEnd"/>
                          <w:r w:rsidRPr="003D350A">
                            <w:rPr>
                              <w:rStyle w:val="Hyperlink"/>
                              <w:rFonts w:ascii="Times New Roman" w:hAnsi="Times New Roman" w:cs="Times New Roman"/>
                              <w:b/>
                              <w:color w:val="auto"/>
                              <w:sz w:val="20"/>
                              <w:u w:val="none"/>
                            </w:rPr>
                            <w:t>)</w:t>
                          </w:r>
                        </w:p>
                        <w:p w14:paraId="213AAA0D" w14:textId="77777777" w:rsidR="003D350A" w:rsidRPr="003D350A" w:rsidRDefault="003D350A" w:rsidP="003D350A">
                          <w:pPr>
                            <w:jc w:val="right"/>
                            <w:rPr>
                              <w:rFonts w:ascii="Times New Roman" w:hAnsi="Times New Roman" w:cs="Times New Roman"/>
                              <w:sz w:val="20"/>
                            </w:rPr>
                          </w:pPr>
                          <w:r w:rsidRPr="003D350A">
                            <w:rPr>
                              <w:rStyle w:val="Hyperlink"/>
                              <w:rFonts w:ascii="Times New Roman" w:hAnsi="Times New Roman" w:cs="Times New Roman"/>
                              <w:color w:val="auto"/>
                              <w:sz w:val="20"/>
                              <w:u w:val="none"/>
                            </w:rPr>
                            <w:t>ISSN</w:t>
                          </w:r>
                          <w:r w:rsidRPr="003D350A">
                            <w:rPr>
                              <w:rStyle w:val="Hyperlink"/>
                              <w:rFonts w:ascii="Times New Roman" w:hAnsi="Times New Roman" w:cs="Times New Roman"/>
                              <w:color w:val="auto"/>
                              <w:spacing w:val="-1"/>
                              <w:sz w:val="20"/>
                              <w:u w:val="none"/>
                            </w:rPr>
                            <w:t xml:space="preserve"> </w:t>
                          </w:r>
                          <w:r w:rsidRPr="003D350A">
                            <w:rPr>
                              <w:rStyle w:val="Hyperlink"/>
                              <w:rFonts w:ascii="Times New Roman" w:hAnsi="Times New Roman" w:cs="Times New Roman"/>
                              <w:color w:val="auto"/>
                              <w:sz w:val="20"/>
                              <w:u w:val="none"/>
                            </w:rPr>
                            <w:t>No. 2454-6186 | DOI: 10.47772/</w:t>
                          </w:r>
                          <w:proofErr w:type="spellStart"/>
                          <w:r w:rsidRPr="003D350A">
                            <w:rPr>
                              <w:rStyle w:val="Hyperlink"/>
                              <w:rFonts w:ascii="Times New Roman" w:hAnsi="Times New Roman" w:cs="Times New Roman"/>
                              <w:color w:val="auto"/>
                              <w:sz w:val="20"/>
                              <w:u w:val="none"/>
                            </w:rPr>
                            <w:t>IJRISS</w:t>
                          </w:r>
                          <w:proofErr w:type="spellEnd"/>
                          <w:r w:rsidRPr="003D350A">
                            <w:rPr>
                              <w:rStyle w:val="Hyperlink"/>
                              <w:rFonts w:ascii="Times New Roman" w:hAnsi="Times New Roman" w:cs="Times New Roman"/>
                              <w:color w:val="auto"/>
                              <w:sz w:val="20"/>
                              <w:u w:val="none"/>
                            </w:rPr>
                            <w:t xml:space="preserve"> |Volume X Issue XXVI January 2026 | Special Issue on Education</w:t>
                          </w:r>
                          <w:r w:rsidRPr="003D350A">
                            <w:rPr>
                              <w:rFonts w:ascii="Times New Roman" w:hAnsi="Times New Roman" w:cs="Times New Roman"/>
                              <w:b/>
                              <w:sz w:val="20"/>
                            </w:rPr>
                            <w:fldChar w:fldCharType="end"/>
                          </w:r>
                          <w:bookmarkEnd w:id="1"/>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43711" id="_x0000_t202" coordsize="21600,21600" o:spt="202" path="m,l,21600r21600,l21600,xe">
              <v:stroke joinstyle="miter"/>
              <v:path gradientshapeok="t" o:connecttype="rect"/>
            </v:shapetype>
            <v:shape id="Text Box 7" o:spid="_x0000_s1026" type="#_x0000_t202" style="position:absolute;left:0;text-align:left;margin-left:97.2pt;margin-top:10.2pt;width:468.3pt;height: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" filled="f" stroked="f">
              <v:textbox inset="0,0,0,0">
                <w:txbxContent>
                  <w:bookmarkStart w:id="3" w:name="_Hlk188349438"/>
                  <w:bookmarkStart w:id="4" w:name="_Hlk188349439"/>
                  <w:p w14:paraId="5D9110B4" w14:textId="77777777" w:rsidR="003D350A" w:rsidRPr="003D350A" w:rsidRDefault="003D350A" w:rsidP="003D350A">
                    <w:pPr>
                      <w:jc w:val="right"/>
                      <w:rPr>
                        <w:rStyle w:val="Hyperlink"/>
                        <w:rFonts w:ascii="Times New Roman" w:hAnsi="Times New Roman" w:cs="Times New Roman"/>
                        <w:b/>
                        <w:color w:val="auto"/>
                        <w:sz w:val="20"/>
                        <w:u w:val="none"/>
                      </w:rPr>
                    </w:pPr>
                    <w:r w:rsidRPr="003D350A">
                      <w:rPr>
                        <w:rFonts w:ascii="Times New Roman" w:hAnsi="Times New Roman" w:cs="Times New Roman"/>
                        <w:b/>
                        <w:sz w:val="20"/>
                      </w:rPr>
                      <w:fldChar w:fldCharType="begin"/>
                    </w:r>
                    <w:r w:rsidRPr="003D350A">
                      <w:rPr>
                        <w:rFonts w:ascii="Times New Roman" w:hAnsi="Times New Roman" w:cs="Times New Roman"/>
                        <w:b/>
                        <w:sz w:val="20"/>
                      </w:rPr>
                      <w:instrText>HYPERLINK "https://rsisinternational.org/journals/ijriss"</w:instrText>
                    </w:r>
                    <w:r w:rsidRPr="003D350A">
                      <w:rPr>
                        <w:rFonts w:ascii="Times New Roman" w:hAnsi="Times New Roman" w:cs="Times New Roman"/>
                        <w:b/>
                        <w:sz w:val="20"/>
                      </w:rPr>
                    </w:r>
                    <w:r w:rsidRPr="003D350A">
                      <w:rPr>
                        <w:rFonts w:ascii="Times New Roman" w:hAnsi="Times New Roman" w:cs="Times New Roman"/>
                        <w:b/>
                        <w:sz w:val="20"/>
                      </w:rPr>
                      <w:fldChar w:fldCharType="separate"/>
                    </w:r>
                    <w:r w:rsidRPr="003D350A">
                      <w:rPr>
                        <w:rStyle w:val="Hyperlink"/>
                        <w:rFonts w:ascii="Times New Roman" w:hAnsi="Times New Roman" w:cs="Times New Roman"/>
                        <w:b/>
                        <w:color w:val="auto"/>
                        <w:sz w:val="20"/>
                        <w:u w:val="none"/>
                      </w:rPr>
                      <w:t>INTERNATIONAL JOURNAL OF RESEARCH AND INNOVATION IN SOCIAL SCIENCE (</w:t>
                    </w:r>
                    <w:proofErr w:type="spellStart"/>
                    <w:r w:rsidRPr="003D350A">
                      <w:rPr>
                        <w:rStyle w:val="Hyperlink"/>
                        <w:rFonts w:ascii="Times New Roman" w:hAnsi="Times New Roman" w:cs="Times New Roman"/>
                        <w:b/>
                        <w:color w:val="auto"/>
                        <w:sz w:val="20"/>
                        <w:u w:val="none"/>
                      </w:rPr>
                      <w:t>IJRISS</w:t>
                    </w:r>
                    <w:proofErr w:type="spellEnd"/>
                    <w:r w:rsidRPr="003D350A">
                      <w:rPr>
                        <w:rStyle w:val="Hyperlink"/>
                        <w:rFonts w:ascii="Times New Roman" w:hAnsi="Times New Roman" w:cs="Times New Roman"/>
                        <w:b/>
                        <w:color w:val="auto"/>
                        <w:sz w:val="20"/>
                        <w:u w:val="none"/>
                      </w:rPr>
                      <w:t>)</w:t>
                    </w:r>
                  </w:p>
                  <w:p w14:paraId="213AAA0D" w14:textId="77777777" w:rsidR="003D350A" w:rsidRPr="003D350A" w:rsidRDefault="003D350A" w:rsidP="003D350A">
                    <w:pPr>
                      <w:jc w:val="right"/>
                      <w:rPr>
                        <w:rFonts w:ascii="Times New Roman" w:hAnsi="Times New Roman" w:cs="Times New Roman"/>
                        <w:sz w:val="20"/>
                      </w:rPr>
                    </w:pPr>
                    <w:r w:rsidRPr="003D350A">
                      <w:rPr>
                        <w:rStyle w:val="Hyperlink"/>
                        <w:rFonts w:ascii="Times New Roman" w:hAnsi="Times New Roman" w:cs="Times New Roman"/>
                        <w:color w:val="auto"/>
                        <w:sz w:val="20"/>
                        <w:u w:val="none"/>
                      </w:rPr>
                      <w:t>ISSN</w:t>
                    </w:r>
                    <w:r w:rsidRPr="003D350A">
                      <w:rPr>
                        <w:rStyle w:val="Hyperlink"/>
                        <w:rFonts w:ascii="Times New Roman" w:hAnsi="Times New Roman" w:cs="Times New Roman"/>
                        <w:color w:val="auto"/>
                        <w:spacing w:val="-1"/>
                        <w:sz w:val="20"/>
                        <w:u w:val="none"/>
                      </w:rPr>
                      <w:t xml:space="preserve"> </w:t>
                    </w:r>
                    <w:r w:rsidRPr="003D350A">
                      <w:rPr>
                        <w:rStyle w:val="Hyperlink"/>
                        <w:rFonts w:ascii="Times New Roman" w:hAnsi="Times New Roman" w:cs="Times New Roman"/>
                        <w:color w:val="auto"/>
                        <w:sz w:val="20"/>
                        <w:u w:val="none"/>
                      </w:rPr>
                      <w:t>No. 2454-6186 | DOI: 10.47772/</w:t>
                    </w:r>
                    <w:proofErr w:type="spellStart"/>
                    <w:r w:rsidRPr="003D350A">
                      <w:rPr>
                        <w:rStyle w:val="Hyperlink"/>
                        <w:rFonts w:ascii="Times New Roman" w:hAnsi="Times New Roman" w:cs="Times New Roman"/>
                        <w:color w:val="auto"/>
                        <w:sz w:val="20"/>
                        <w:u w:val="none"/>
                      </w:rPr>
                      <w:t>IJRISS</w:t>
                    </w:r>
                    <w:proofErr w:type="spellEnd"/>
                    <w:r w:rsidRPr="003D350A">
                      <w:rPr>
                        <w:rStyle w:val="Hyperlink"/>
                        <w:rFonts w:ascii="Times New Roman" w:hAnsi="Times New Roman" w:cs="Times New Roman"/>
                        <w:color w:val="auto"/>
                        <w:sz w:val="20"/>
                        <w:u w:val="none"/>
                      </w:rPr>
                      <w:t xml:space="preserve"> |Volume X Issue XXVI January 2026 | Special Issue on Education</w:t>
                    </w:r>
                    <w:r w:rsidRPr="003D350A">
                      <w:rPr>
                        <w:rFonts w:ascii="Times New Roman" w:hAnsi="Times New Roman" w:cs="Times New Roman"/>
                        <w:b/>
                        <w:sz w:val="20"/>
                      </w:rPr>
                      <w:fldChar w:fldCharType="end"/>
                    </w:r>
                    <w:bookmarkEnd w:id="3"/>
                    <w:bookmarkEnd w:id="4"/>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E7065"/>
    <w:multiLevelType w:val="multilevel"/>
    <w:tmpl w:val="41B0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C4F1D"/>
    <w:multiLevelType w:val="multilevel"/>
    <w:tmpl w:val="9972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64D53"/>
    <w:multiLevelType w:val="hybridMultilevel"/>
    <w:tmpl w:val="7E6C9C90"/>
    <w:lvl w:ilvl="0" w:tplc="DEAADF5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20010977">
    <w:abstractNumId w:val="1"/>
  </w:num>
  <w:num w:numId="2" w16cid:durableId="1861433137">
    <w:abstractNumId w:val="0"/>
  </w:num>
  <w:num w:numId="3" w16cid:durableId="1248267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7C"/>
    <w:rsid w:val="00004F14"/>
    <w:rsid w:val="0002328D"/>
    <w:rsid w:val="00027F39"/>
    <w:rsid w:val="00127B87"/>
    <w:rsid w:val="0017047C"/>
    <w:rsid w:val="00186961"/>
    <w:rsid w:val="00215E36"/>
    <w:rsid w:val="0023569B"/>
    <w:rsid w:val="00243EC1"/>
    <w:rsid w:val="003D350A"/>
    <w:rsid w:val="004C3F8A"/>
    <w:rsid w:val="005073EB"/>
    <w:rsid w:val="0051555A"/>
    <w:rsid w:val="0051785C"/>
    <w:rsid w:val="0059432C"/>
    <w:rsid w:val="005E3544"/>
    <w:rsid w:val="006A0A4D"/>
    <w:rsid w:val="006B0DEC"/>
    <w:rsid w:val="006D5526"/>
    <w:rsid w:val="006F3D73"/>
    <w:rsid w:val="0078307B"/>
    <w:rsid w:val="007D4134"/>
    <w:rsid w:val="00815AB6"/>
    <w:rsid w:val="00870A1A"/>
    <w:rsid w:val="008B1D28"/>
    <w:rsid w:val="008C6590"/>
    <w:rsid w:val="009527FA"/>
    <w:rsid w:val="00993BDF"/>
    <w:rsid w:val="009B5A0F"/>
    <w:rsid w:val="00A820C0"/>
    <w:rsid w:val="00AC44A1"/>
    <w:rsid w:val="00AD057B"/>
    <w:rsid w:val="00B6364F"/>
    <w:rsid w:val="00BA5308"/>
    <w:rsid w:val="00BC10AA"/>
    <w:rsid w:val="00C61F4A"/>
    <w:rsid w:val="00C66CC7"/>
    <w:rsid w:val="00C905A4"/>
    <w:rsid w:val="00CE485A"/>
    <w:rsid w:val="00CE4EE5"/>
    <w:rsid w:val="00EB6BEF"/>
    <w:rsid w:val="00ED5D96"/>
    <w:rsid w:val="00F81F7F"/>
    <w:rsid w:val="00F96F86"/>
    <w:rsid w:val="00FA15FF"/>
    <w:rsid w:val="00FD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669CB"/>
  <w15:chartTrackingRefBased/>
  <w15:docId w15:val="{F82DD2D3-224F-D44A-85A3-4485125B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47C"/>
    <w:rPr>
      <w:color w:val="0563C1" w:themeColor="hyperlink"/>
      <w:u w:val="single"/>
    </w:rPr>
  </w:style>
  <w:style w:type="paragraph" w:styleId="Footer">
    <w:name w:val="footer"/>
    <w:basedOn w:val="Normal"/>
    <w:link w:val="FooterChar"/>
    <w:uiPriority w:val="99"/>
    <w:unhideWhenUsed/>
    <w:rsid w:val="0017047C"/>
    <w:pPr>
      <w:tabs>
        <w:tab w:val="center" w:pos="4680"/>
        <w:tab w:val="right" w:pos="9360"/>
      </w:tabs>
    </w:pPr>
  </w:style>
  <w:style w:type="character" w:customStyle="1" w:styleId="FooterChar">
    <w:name w:val="Footer Char"/>
    <w:basedOn w:val="DefaultParagraphFont"/>
    <w:link w:val="Footer"/>
    <w:uiPriority w:val="99"/>
    <w:rsid w:val="0017047C"/>
  </w:style>
  <w:style w:type="character" w:styleId="PageNumber">
    <w:name w:val="page number"/>
    <w:basedOn w:val="DefaultParagraphFont"/>
    <w:uiPriority w:val="99"/>
    <w:semiHidden/>
    <w:unhideWhenUsed/>
    <w:rsid w:val="0017047C"/>
  </w:style>
  <w:style w:type="character" w:styleId="UnresolvedMention">
    <w:name w:val="Unresolved Mention"/>
    <w:basedOn w:val="DefaultParagraphFont"/>
    <w:uiPriority w:val="99"/>
    <w:semiHidden/>
    <w:unhideWhenUsed/>
    <w:rsid w:val="00C61F4A"/>
    <w:rPr>
      <w:color w:val="605E5C"/>
      <w:shd w:val="clear" w:color="auto" w:fill="E1DFDD"/>
    </w:rPr>
  </w:style>
  <w:style w:type="character" w:styleId="FollowedHyperlink">
    <w:name w:val="FollowedHyperlink"/>
    <w:basedOn w:val="DefaultParagraphFont"/>
    <w:uiPriority w:val="99"/>
    <w:semiHidden/>
    <w:unhideWhenUsed/>
    <w:rsid w:val="00C61F4A"/>
    <w:rPr>
      <w:color w:val="954F72" w:themeColor="followedHyperlink"/>
      <w:u w:val="single"/>
    </w:rPr>
  </w:style>
  <w:style w:type="paragraph" w:styleId="Header">
    <w:name w:val="header"/>
    <w:basedOn w:val="Normal"/>
    <w:link w:val="HeaderChar"/>
    <w:uiPriority w:val="99"/>
    <w:unhideWhenUsed/>
    <w:rsid w:val="00A820C0"/>
    <w:pPr>
      <w:tabs>
        <w:tab w:val="center" w:pos="4513"/>
        <w:tab w:val="right" w:pos="9026"/>
      </w:tabs>
    </w:pPr>
  </w:style>
  <w:style w:type="character" w:customStyle="1" w:styleId="HeaderChar">
    <w:name w:val="Header Char"/>
    <w:basedOn w:val="DefaultParagraphFont"/>
    <w:link w:val="Header"/>
    <w:uiPriority w:val="99"/>
    <w:rsid w:val="00A820C0"/>
  </w:style>
  <w:style w:type="paragraph" w:styleId="ListParagraph">
    <w:name w:val="List Paragraph"/>
    <w:basedOn w:val="Normal"/>
    <w:uiPriority w:val="34"/>
    <w:qFormat/>
    <w:rsid w:val="00A820C0"/>
    <w:pPr>
      <w:ind w:left="720"/>
      <w:contextualSpacing/>
    </w:pPr>
  </w:style>
  <w:style w:type="paragraph" w:styleId="BodyText">
    <w:name w:val="Body Text"/>
    <w:basedOn w:val="Normal"/>
    <w:link w:val="BodyTextChar"/>
    <w:uiPriority w:val="99"/>
    <w:unhideWhenUsed/>
    <w:rsid w:val="00A820C0"/>
    <w:pPr>
      <w:bidi/>
      <w:spacing w:after="120" w:line="259" w:lineRule="auto"/>
    </w:pPr>
    <w:rPr>
      <w:sz w:val="22"/>
      <w:szCs w:val="22"/>
    </w:rPr>
  </w:style>
  <w:style w:type="character" w:customStyle="1" w:styleId="BodyTextChar">
    <w:name w:val="Body Text Char"/>
    <w:basedOn w:val="DefaultParagraphFont"/>
    <w:link w:val="BodyText"/>
    <w:uiPriority w:val="99"/>
    <w:rsid w:val="00A820C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6956">
      <w:bodyDiv w:val="1"/>
      <w:marLeft w:val="0"/>
      <w:marRight w:val="0"/>
      <w:marTop w:val="0"/>
      <w:marBottom w:val="0"/>
      <w:divBdr>
        <w:top w:val="none" w:sz="0" w:space="0" w:color="auto"/>
        <w:left w:val="none" w:sz="0" w:space="0" w:color="auto"/>
        <w:bottom w:val="none" w:sz="0" w:space="0" w:color="auto"/>
        <w:right w:val="none" w:sz="0" w:space="0" w:color="auto"/>
      </w:divBdr>
      <w:divsChild>
        <w:div w:id="1400832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1016/j.esp.2014.09.00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47772/IJRISS.2026.1026EDU0019" TargetMode="External"/><Relationship Id="rId12" Type="http://schemas.openxmlformats.org/officeDocument/2006/relationships/image" Target="media/image5.jpeg"/><Relationship Id="rId17" Type="http://schemas.openxmlformats.org/officeDocument/2006/relationships/hyperlink" Target="https://doi.org/10.1080/09588221.2011.582687" TargetMode="External"/><Relationship Id="rId2" Type="http://schemas.openxmlformats.org/officeDocument/2006/relationships/styles" Target="styles.xml"/><Relationship Id="rId16" Type="http://schemas.openxmlformats.org/officeDocument/2006/relationships/hyperlink" Target="https://doi.org/10.1080/02671522.2020.176718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91/1478088706qp063oa"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doi.org/10.1016/j.chb.2016.05.057"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doi.org/10.14434/josotl.v16i3.19295"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8</Pages>
  <Words>2895</Words>
  <Characters>16504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Tablet Translation in English Learning: A Single Case Study</vt:lpstr>
    </vt:vector>
  </TitlesOfParts>
  <Company/>
  <LinksUpToDate>false</LinksUpToDate>
  <CharactersWithSpaces>19361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 Translation in English Learning: A Single Case Study</dc:title>
  <dc:subject/>
  <dc:creator>Oluwatimilehin Amos Akinade</dc:creator>
  <cp:keywords/>
  <dc:description/>
  <cp:lastModifiedBy>naved khan</cp:lastModifiedBy>
  <cp:revision>5</cp:revision>
  <dcterms:created xsi:type="dcterms:W3CDTF">2026-01-03T07:35:00Z</dcterms:created>
  <dcterms:modified xsi:type="dcterms:W3CDTF">2026-01-06T20:56:00Z</dcterms:modified>
</cp:coreProperties>
</file>