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8F7D" w14:textId="3E9F6BD2" w:rsidR="00AD23DC" w:rsidRDefault="006E7B07" w:rsidP="006E7B07">
      <w:pPr>
        <w:jc w:val="center"/>
        <w:rPr>
          <w:rFonts w:eastAsia="DengXian"/>
          <w:b/>
          <w:sz w:val="28"/>
          <w:szCs w:val="28"/>
          <w:lang w:eastAsia="zh-CN"/>
        </w:rPr>
      </w:pPr>
      <w:r w:rsidRPr="006E7B07">
        <w:rPr>
          <w:rFonts w:eastAsia="DengXian"/>
          <w:b/>
          <w:sz w:val="28"/>
          <w:szCs w:val="28"/>
          <w:lang w:eastAsia="zh-CN"/>
        </w:rPr>
        <w:t xml:space="preserve">RELIGIOSITY AS A BUFFER AGAINST OCCUPATIONAL STRESS: EVIDENCE FROM THE </w:t>
      </w:r>
      <w:r w:rsidRPr="006E7B07">
        <w:rPr>
          <w:rFonts w:eastAsia="DengXian"/>
          <w:b/>
          <w:bCs/>
          <w:sz w:val="28"/>
          <w:szCs w:val="28"/>
          <w:lang w:eastAsia="zh-CN"/>
        </w:rPr>
        <w:t>MALAYSIAN PUBLIC SECTOR</w:t>
      </w:r>
    </w:p>
    <w:p w14:paraId="3DEC6E68" w14:textId="77777777" w:rsidR="006E7B07" w:rsidRPr="00A46B49" w:rsidRDefault="006E7B07" w:rsidP="006E7B07">
      <w:pPr>
        <w:jc w:val="center"/>
        <w:rPr>
          <w:lang w:val="en-US"/>
        </w:rPr>
      </w:pPr>
    </w:p>
    <w:p w14:paraId="7817113E" w14:textId="42F9C667" w:rsidR="003C19EC" w:rsidRPr="008C71D3" w:rsidRDefault="000C163F" w:rsidP="000C163F">
      <w:pPr>
        <w:spacing w:line="240" w:lineRule="auto"/>
        <w:rPr>
          <w:i/>
          <w:iCs/>
          <w:sz w:val="20"/>
          <w:szCs w:val="20"/>
          <w:lang w:val="en-MY"/>
        </w:rPr>
      </w:pPr>
      <w:r w:rsidRPr="008C71D3">
        <w:rPr>
          <w:b/>
          <w:bCs/>
          <w:i/>
          <w:iCs/>
          <w:sz w:val="20"/>
          <w:szCs w:val="20"/>
        </w:rPr>
        <w:t/>
      </w:r>
      <w:r w:rsidRPr="008C71D3">
        <w:rPr>
          <w:i/>
          <w:iCs/>
          <w:sz w:val="20"/>
          <w:szCs w:val="20"/>
        </w:rPr>
        <w:t xml:space="preserve"/>
      </w:r>
      <w:r w:rsidR="003C19EC" w:rsidRPr="008C71D3">
        <w:rPr>
          <w:i/>
          <w:iCs/>
          <w:sz w:val="20"/>
          <w:szCs w:val="20"/>
          <w:lang w:val="en-MY"/>
        </w:rPr>
        <w:t xml:space="preserve"/>
      </w:r>
      <w:r w:rsidR="007942AE">
        <w:rPr>
          <w:i/>
          <w:iCs/>
          <w:sz w:val="20"/>
          <w:szCs w:val="20"/>
          <w:lang w:val="en-MY"/>
        </w:rPr>
        <w:t/>
      </w:r>
      <w:r w:rsidR="003C19EC" w:rsidRPr="008C71D3">
        <w:rPr>
          <w:i/>
          <w:iCs/>
          <w:sz w:val="20"/>
          <w:szCs w:val="20"/>
          <w:lang w:val="en-MY"/>
        </w:rPr>
        <w:t xml:space="preserve"/>
      </w:r>
      <w:proofErr w:type="spellStart"/>
      <w:r w:rsidR="003C19EC" w:rsidRPr="008C71D3">
        <w:rPr>
          <w:i/>
          <w:iCs/>
          <w:sz w:val="20"/>
          <w:szCs w:val="20"/>
          <w:lang w:val="en-MY"/>
        </w:rPr>
        <w:t/>
      </w:r>
      <w:proofErr w:type="spellEnd"/>
      <w:r w:rsidR="003C19EC" w:rsidRPr="008C71D3">
        <w:rPr>
          <w:i/>
          <w:iCs/>
          <w:sz w:val="20"/>
          <w:szCs w:val="20"/>
          <w:lang w:val="en-MY"/>
        </w:rPr>
        <w:t xml:space="preserve"/>
      </w:r>
      <w:proofErr w:type="spellStart"/>
      <w:r w:rsidR="003C19EC" w:rsidRPr="008C71D3">
        <w:rPr>
          <w:i/>
          <w:iCs/>
          <w:sz w:val="20"/>
          <w:szCs w:val="20"/>
          <w:lang w:val="en-MY"/>
        </w:rPr>
        <w:t/>
      </w:r>
      <w:proofErr w:type="spellEnd"/>
      <w:r w:rsidR="003C19EC" w:rsidRPr="008C71D3">
        <w:rPr>
          <w:i/>
          <w:iCs/>
          <w:sz w:val="20"/>
          <w:szCs w:val="20"/>
          <w:lang w:val="en-MY"/>
        </w:rPr>
        <w:t xml:space="preserve"/>
      </w:r>
      <w:r w:rsidR="007942AE">
        <w:rPr>
          <w:i/>
          <w:iCs/>
          <w:sz w:val="20"/>
          <w:szCs w:val="20"/>
          <w:lang w:val="en-MY"/>
        </w:rPr>
        <w:t/>
      </w:r>
      <w:r w:rsidR="003C19EC" w:rsidRPr="008C71D3">
        <w:rPr>
          <w:i/>
          <w:iCs/>
          <w:sz w:val="20"/>
          <w:szCs w:val="20"/>
          <w:lang w:val="en-MY"/>
        </w:rPr>
        <w:t xml:space="preserve"/>
      </w:r>
      <w:r w:rsidR="007942AE">
        <w:rPr>
          <w:i/>
          <w:iCs/>
          <w:sz w:val="20"/>
          <w:szCs w:val="20"/>
          <w:lang w:val="en-MY"/>
        </w:rPr>
        <w:t/>
      </w:r>
      <w:r w:rsidR="003C19EC" w:rsidRPr="008C71D3">
        <w:rPr>
          <w:i/>
          <w:iCs/>
          <w:sz w:val="20"/>
          <w:szCs w:val="20"/>
          <w:lang w:val="en-MY"/>
        </w:rPr>
        <w:t xml:space="preserve"/>
      </w:r>
      <w:r w:rsidR="007942AE">
        <w:rPr>
          <w:i/>
          <w:iCs/>
          <w:sz w:val="20"/>
          <w:szCs w:val="20"/>
          <w:lang w:val="en-MY"/>
        </w:rPr>
        <w:t/>
      </w:r>
      <w:r w:rsidR="003C19EC" w:rsidRPr="008C71D3">
        <w:rPr>
          <w:i/>
          <w:iCs/>
          <w:sz w:val="20"/>
          <w:szCs w:val="20"/>
          <w:lang w:val="en-MY"/>
        </w:rPr>
        <w:t xml:space="preserve"/>
      </w:r>
    </w:p>
    <w:p w14:paraId="77BA1286" w14:textId="77777777" w:rsidR="000C163F" w:rsidRPr="008C71D3" w:rsidRDefault="000C163F" w:rsidP="000C163F">
      <w:pPr>
        <w:spacing w:line="240" w:lineRule="auto"/>
        <w:rPr>
          <w:i/>
          <w:iCs/>
          <w:color w:val="EE0000"/>
          <w:sz w:val="20"/>
          <w:szCs w:val="20"/>
        </w:rPr>
      </w:pPr>
    </w:p>
    <w:p w14:paraId="3865A4BA" w14:textId="77777777" w:rsidR="000C163F" w:rsidRPr="008C71D3" w:rsidRDefault="000C163F" w:rsidP="000C163F">
      <w:pPr>
        <w:spacing w:line="240" w:lineRule="auto"/>
        <w:rPr>
          <w:i/>
          <w:iCs/>
          <w:sz w:val="20"/>
          <w:szCs w:val="20"/>
        </w:rPr>
      </w:pPr>
      <w:r w:rsidRPr="008C71D3">
        <w:rPr>
          <w:b/>
          <w:bCs/>
          <w:i/>
          <w:iCs/>
          <w:sz w:val="20"/>
          <w:szCs w:val="20"/>
        </w:rPr>
        <w:t/>
      </w:r>
      <w:r w:rsidRPr="008C71D3">
        <w:rPr>
          <w:sz w:val="20"/>
          <w:szCs w:val="20"/>
        </w:rPr>
        <w:t xml:space="preserve"/>
      </w:r>
      <w:r w:rsidRPr="008C71D3">
        <w:rPr>
          <w:i/>
          <w:iCs/>
          <w:sz w:val="20"/>
          <w:szCs w:val="20"/>
        </w:rPr>
        <w:t/>
      </w:r>
    </w:p>
    <w:p w14:paraId="3343E08C" w14:textId="77777777" w:rsidR="000C163F" w:rsidRPr="00A46B49" w:rsidRDefault="000C163F"/>
    <w:p w14:paraId="54E5E262" w14:textId="77777777" w:rsidR="000C163F" w:rsidRPr="00A46B49" w:rsidRDefault="000C163F" w:rsidP="000C163F">
      <w:pPr>
        <w:spacing w:line="240" w:lineRule="auto"/>
        <w:jc w:val="left"/>
        <w:rPr>
          <w:b/>
          <w:bCs/>
        </w:rPr>
      </w:pPr>
      <w:r w:rsidRPr="00A46B49">
        <w:rPr>
          <w:b/>
          <w:bCs/>
        </w:rPr>
        <w:t xml:space="preserve">Introduction </w:t>
      </w:r>
    </w:p>
    <w:p w14:paraId="122AAE29" w14:textId="77777777" w:rsidR="000C163F" w:rsidRPr="00A46B49" w:rsidRDefault="000C163F" w:rsidP="000C163F">
      <w:pPr>
        <w:spacing w:line="240" w:lineRule="auto"/>
        <w:jc w:val="left"/>
        <w:rPr>
          <w:b/>
          <w:bCs/>
        </w:rPr>
      </w:pPr>
    </w:p>
    <w:p w14:paraId="0A68053C" w14:textId="0772E934" w:rsidR="000C163F" w:rsidRPr="00A46B49" w:rsidRDefault="000C163F" w:rsidP="000C163F">
      <w:pPr>
        <w:spacing w:line="240" w:lineRule="auto"/>
        <w:rPr>
          <w:rFonts w:eastAsia="SimSun"/>
          <w:lang w:eastAsia="zh-CN"/>
        </w:rPr>
      </w:pPr>
      <w:r w:rsidRPr="00A46B49">
        <w:rPr>
          <w:rFonts w:eastAsia="SimSun"/>
          <w:lang w:val="en-MY" w:eastAsia="zh-CN"/>
        </w:rPr>
        <w:t xml:space="preserve">The issue of stress among academicians </w:t>
      </w:r>
      <w:r w:rsidR="007942AE">
        <w:rPr>
          <w:rFonts w:eastAsia="SimSun"/>
          <w:lang w:val="en-MY" w:eastAsia="zh-CN"/>
        </w:rPr>
        <w:t xml:space="preserve">has received increased attention in </w:t>
      </w:r>
      <w:r w:rsidR="00002E2B" w:rsidRPr="00A46B49">
        <w:rPr>
          <w:rFonts w:eastAsia="SimSun"/>
          <w:lang w:val="en-MY" w:eastAsia="zh-CN"/>
        </w:rPr>
        <w:t>recent years</w:t>
      </w:r>
      <w:r w:rsidRPr="00A46B49">
        <w:rPr>
          <w:rFonts w:eastAsia="SimSun"/>
          <w:lang w:val="en-MY" w:eastAsia="zh-CN"/>
        </w:rPr>
        <w:t xml:space="preserve"> (</w:t>
      </w:r>
      <w:r w:rsidR="007942AE" w:rsidRPr="00A46B49">
        <w:rPr>
          <w:rFonts w:eastAsia="SimSun"/>
          <w:lang w:val="en-MY" w:eastAsia="zh-CN"/>
        </w:rPr>
        <w:t>Babatunde et al., 2025; Mohammad et al., 2025</w:t>
      </w:r>
      <w:r w:rsidR="007942AE">
        <w:rPr>
          <w:rFonts w:eastAsia="SimSun"/>
          <w:lang w:val="en-MY" w:eastAsia="zh-CN"/>
        </w:rPr>
        <w:t xml:space="preserve">; </w:t>
      </w:r>
      <w:r w:rsidRPr="00A46B49">
        <w:rPr>
          <w:rFonts w:eastAsia="SimSun"/>
          <w:lang w:eastAsia="zh-CN"/>
        </w:rPr>
        <w:t>Sanders et al., 2025;</w:t>
      </w:r>
      <w:r w:rsidRPr="00A46B49">
        <w:rPr>
          <w:rFonts w:eastAsia="SimSun"/>
          <w:lang w:val="en-MY" w:eastAsia="zh-CN"/>
        </w:rPr>
        <w:t xml:space="preserve"> </w:t>
      </w:r>
      <w:r w:rsidR="007942AE" w:rsidRPr="00A46B49">
        <w:rPr>
          <w:rFonts w:eastAsia="SimSun"/>
          <w:lang w:eastAsia="zh-CN"/>
        </w:rPr>
        <w:t>Ueno et al., 2025</w:t>
      </w:r>
      <w:r w:rsidRPr="00A46B49">
        <w:rPr>
          <w:rFonts w:eastAsia="SimSun"/>
          <w:lang w:eastAsia="zh-CN"/>
        </w:rPr>
        <w:t>).</w:t>
      </w:r>
      <w:r w:rsidRPr="00A46B49">
        <w:rPr>
          <w:rFonts w:eastAsia="SimSun"/>
          <w:lang w:val="en-MY" w:eastAsia="zh-CN"/>
        </w:rPr>
        <w:t xml:space="preserve">  As </w:t>
      </w:r>
      <w:r w:rsidR="007942AE">
        <w:rPr>
          <w:rFonts w:eastAsia="SimSun"/>
          <w:lang w:val="en-MY" w:eastAsia="zh-CN"/>
        </w:rPr>
        <w:t>the World Health Organization has proposed that mental health is an integral part of people's health and well-being and serves as a basic human right, however, to date, one in eight people in the world lives</w:t>
      </w:r>
      <w:r w:rsidRPr="00A46B49">
        <w:rPr>
          <w:rFonts w:eastAsia="SimSun"/>
          <w:lang w:val="en-MY" w:eastAsia="zh-CN"/>
        </w:rPr>
        <w:t xml:space="preserve"> with a mental disorder. Mental health enables people to connect, function, cope</w:t>
      </w:r>
      <w:r w:rsidR="007942AE">
        <w:rPr>
          <w:rFonts w:eastAsia="SimSun"/>
          <w:lang w:val="en-MY" w:eastAsia="zh-CN"/>
        </w:rPr>
        <w:t>, and thrive with daily challenges and pressures</w:t>
      </w:r>
      <w:r w:rsidRPr="00A46B49">
        <w:rPr>
          <w:rFonts w:eastAsia="SimSun"/>
          <w:lang w:val="en-MY" w:eastAsia="zh-CN"/>
        </w:rPr>
        <w:t xml:space="preserve"> (</w:t>
      </w:r>
      <w:r w:rsidRPr="00A46B49">
        <w:rPr>
          <w:rFonts w:eastAsia="SimSun"/>
          <w:lang w:eastAsia="zh-CN"/>
        </w:rPr>
        <w:t>World Health Organization, 2022)</w:t>
      </w:r>
      <w:r w:rsidRPr="00A46B49">
        <w:rPr>
          <w:rFonts w:eastAsia="SimSun"/>
          <w:lang w:val="en-MY" w:eastAsia="zh-CN"/>
        </w:rPr>
        <w:t xml:space="preserve">. Mental health was one of the important pillars of Sustainable Development Goal (2030). However, to date, more than 280 million people of all ages suffer from mental health </w:t>
      </w:r>
      <w:r w:rsidR="007942AE">
        <w:rPr>
          <w:rFonts w:eastAsia="SimSun"/>
          <w:lang w:val="en-MY" w:eastAsia="zh-CN"/>
        </w:rPr>
        <w:t xml:space="preserve">disorders such as stress, depression, bipolar disorder, schizophrenia, and anxiety, which are </w:t>
      </w:r>
      <w:r w:rsidRPr="00A46B49">
        <w:rPr>
          <w:rFonts w:eastAsia="SimSun"/>
          <w:lang w:val="en-MY" w:eastAsia="zh-CN"/>
        </w:rPr>
        <w:t>leading causes of disability and reduced productivity (</w:t>
      </w:r>
      <w:r w:rsidR="007942AE" w:rsidRPr="00A46B49">
        <w:rPr>
          <w:rFonts w:eastAsia="SimSun"/>
          <w:lang w:eastAsia="zh-CN"/>
        </w:rPr>
        <w:t xml:space="preserve">Nicholls et al, </w:t>
      </w:r>
      <w:r w:rsidR="007942AE">
        <w:rPr>
          <w:rFonts w:eastAsia="SimSun"/>
          <w:lang w:eastAsia="zh-CN"/>
        </w:rPr>
        <w:t xml:space="preserve">2022; </w:t>
      </w:r>
      <w:proofErr w:type="spellStart"/>
      <w:r w:rsidR="007942AE">
        <w:rPr>
          <w:rFonts w:eastAsia="SimSun"/>
          <w:lang w:eastAsia="zh-CN"/>
        </w:rPr>
        <w:t>Tutun</w:t>
      </w:r>
      <w:proofErr w:type="spellEnd"/>
      <w:r w:rsidR="007942AE">
        <w:rPr>
          <w:rFonts w:eastAsia="SimSun"/>
          <w:lang w:eastAsia="zh-CN"/>
        </w:rPr>
        <w:t xml:space="preserve"> et al., 2023; WHO, 2023</w:t>
      </w:r>
      <w:r w:rsidRPr="00A46B49">
        <w:rPr>
          <w:rFonts w:eastAsia="SimSun"/>
          <w:lang w:val="en-MY" w:eastAsia="zh-CN"/>
        </w:rPr>
        <w:t xml:space="preserve">). Others manifest </w:t>
      </w:r>
      <w:r w:rsidR="007942AE">
        <w:rPr>
          <w:rFonts w:eastAsia="SimSun"/>
          <w:lang w:val="en-MY" w:eastAsia="zh-CN"/>
        </w:rPr>
        <w:t xml:space="preserve">unstable mood, anxiety, and substance use disorders, and it is found to be </w:t>
      </w:r>
      <w:r w:rsidRPr="00A46B49">
        <w:rPr>
          <w:rFonts w:eastAsia="SimSun"/>
          <w:lang w:eastAsia="zh-CN"/>
        </w:rPr>
        <w:t xml:space="preserve">common across the world (Have et al., 2023). Mental health </w:t>
      </w:r>
      <w:r w:rsidR="007942AE">
        <w:rPr>
          <w:rFonts w:eastAsia="SimSun"/>
          <w:lang w:eastAsia="zh-CN"/>
        </w:rPr>
        <w:t xml:space="preserve">disorders impacted not only communities from low-or middle-income countries (LMICs), but also </w:t>
      </w:r>
      <w:r w:rsidRPr="00A46B49">
        <w:rPr>
          <w:rFonts w:eastAsia="SimSun"/>
          <w:lang w:eastAsia="zh-CN"/>
        </w:rPr>
        <w:t>high-income countries (HICs) (</w:t>
      </w:r>
      <w:proofErr w:type="spellStart"/>
      <w:r w:rsidR="007942AE" w:rsidRPr="00A46B49">
        <w:rPr>
          <w:rFonts w:eastAsia="SimSun"/>
          <w:lang w:eastAsia="zh-CN"/>
        </w:rPr>
        <w:t>Kazdin</w:t>
      </w:r>
      <w:proofErr w:type="spellEnd"/>
      <w:r w:rsidR="007942AE" w:rsidRPr="00A46B49">
        <w:rPr>
          <w:rFonts w:eastAsia="SimSun"/>
          <w:lang w:eastAsia="zh-CN"/>
        </w:rPr>
        <w:t xml:space="preserve"> et al., </w:t>
      </w:r>
      <w:r w:rsidR="007942AE">
        <w:rPr>
          <w:rFonts w:eastAsia="SimSun"/>
          <w:lang w:eastAsia="zh-CN"/>
        </w:rPr>
        <w:t>2023; Stein et al., 2025</w:t>
      </w:r>
      <w:r w:rsidRPr="00A46B49">
        <w:rPr>
          <w:rFonts w:eastAsia="SimSun"/>
          <w:lang w:eastAsia="zh-CN"/>
        </w:rPr>
        <w:t xml:space="preserve">). </w:t>
      </w:r>
    </w:p>
    <w:p w14:paraId="539D73F6" w14:textId="77777777" w:rsidR="000C163F" w:rsidRPr="00A46B49" w:rsidRDefault="000C163F" w:rsidP="000C163F">
      <w:pPr>
        <w:spacing w:line="240" w:lineRule="auto"/>
        <w:rPr>
          <w:rFonts w:eastAsia="SimSun"/>
          <w:lang w:eastAsia="zh-CN"/>
        </w:rPr>
      </w:pPr>
    </w:p>
    <w:p w14:paraId="5A7681CD" w14:textId="72813C16" w:rsidR="000C163F" w:rsidRPr="00A46B49" w:rsidRDefault="000C163F" w:rsidP="000C163F">
      <w:pPr>
        <w:spacing w:line="240" w:lineRule="auto"/>
        <w:rPr>
          <w:rFonts w:eastAsia="SimSun"/>
          <w:lang w:eastAsia="zh-CN"/>
        </w:rPr>
      </w:pPr>
      <w:r w:rsidRPr="00A46B49">
        <w:rPr>
          <w:rFonts w:eastAsia="SimSun"/>
          <w:lang w:eastAsia="zh-CN"/>
        </w:rPr>
        <w:t>Academicians experienced occupational stress and mental health challenges due to massive factors such as work-life conflict and lack of support (Othman et al, 2023), job demands (Sakarji et al., 2018), job insecurity, competing demands in teaching and research work, competition amongst peer, and pressure to publish papers and win research funding (Nicholls et al, 2022), the demands for research productivity, teaching excellence, and administrative duties (</w:t>
      </w:r>
      <w:r w:rsidR="007942AE" w:rsidRPr="00A46B49">
        <w:rPr>
          <w:rFonts w:eastAsia="SimSun"/>
          <w:lang w:eastAsia="zh-CN"/>
        </w:rPr>
        <w:t>Jayman et al., 2022</w:t>
      </w:r>
      <w:r w:rsidR="007942AE">
        <w:rPr>
          <w:rFonts w:eastAsia="SimSun"/>
          <w:lang w:eastAsia="zh-CN"/>
        </w:rPr>
        <w:t xml:space="preserve">; </w:t>
      </w:r>
      <w:r w:rsidRPr="00A46B49">
        <w:rPr>
          <w:rFonts w:eastAsia="SimSun"/>
          <w:lang w:eastAsia="zh-CN"/>
        </w:rPr>
        <w:t xml:space="preserve">Patel et al., 2018; Sharma &amp; Kumra, 2020). These factors have left researchers experiencing high levels of stress, which have the potential to </w:t>
      </w:r>
      <w:r w:rsidR="007942AE">
        <w:rPr>
          <w:rFonts w:eastAsia="SimSun"/>
          <w:lang w:eastAsia="zh-CN"/>
        </w:rPr>
        <w:t>negatively impact</w:t>
      </w:r>
      <w:r w:rsidRPr="00A46B49">
        <w:rPr>
          <w:rFonts w:eastAsia="SimSun"/>
          <w:lang w:eastAsia="zh-CN"/>
        </w:rPr>
        <w:t xml:space="preserve"> their mental health and well-being.  </w:t>
      </w:r>
    </w:p>
    <w:p w14:paraId="0F5E82B9" w14:textId="77777777" w:rsidR="000C163F" w:rsidRPr="00A46B49" w:rsidRDefault="000C163F" w:rsidP="000C163F">
      <w:pPr>
        <w:spacing w:line="240" w:lineRule="auto"/>
        <w:rPr>
          <w:rFonts w:eastAsia="SimSun"/>
          <w:lang w:eastAsia="zh-CN"/>
        </w:rPr>
      </w:pPr>
    </w:p>
    <w:p w14:paraId="37C9A03D" w14:textId="2D42F8A3" w:rsidR="000C163F" w:rsidRPr="00A46B49" w:rsidRDefault="007942AE" w:rsidP="000C163F">
      <w:pPr>
        <w:spacing w:line="240" w:lineRule="auto"/>
        <w:rPr>
          <w:rFonts w:eastAsia="SimSun"/>
          <w:lang w:eastAsia="zh-CN"/>
        </w:rPr>
      </w:pPr>
      <w:r>
        <w:rPr>
          <w:rFonts w:eastAsia="SimSun"/>
          <w:lang w:eastAsia="zh-CN"/>
        </w:rPr>
        <w:lastRenderedPageBreak/>
        <w:t xml:space="preserve">In other studies, a study among academicians in China reported that resource constraints, work overload, uneven competition, inefficient and imbalanced management procedures, lack of motivation, and continuous social and family pressures are the key challenges leading to </w:t>
      </w:r>
      <w:r w:rsidR="000C163F" w:rsidRPr="00A46B49">
        <w:rPr>
          <w:rFonts w:eastAsia="SimSun"/>
          <w:lang w:eastAsia="zh-CN"/>
        </w:rPr>
        <w:t xml:space="preserve">job burnout among academicians (Lei et al., 20241). Contrarily, </w:t>
      </w:r>
      <w:r>
        <w:rPr>
          <w:rFonts w:eastAsia="SimSun"/>
          <w:lang w:eastAsia="zh-CN"/>
        </w:rPr>
        <w:t>employees’ incompetence is claimed to be the reason for</w:t>
      </w:r>
      <w:r w:rsidR="000C163F" w:rsidRPr="00A46B49">
        <w:rPr>
          <w:rFonts w:eastAsia="SimSun"/>
          <w:lang w:eastAsia="zh-CN"/>
        </w:rPr>
        <w:t xml:space="preserve"> their job burnout and stress (Leiter et al., </w:t>
      </w:r>
      <w:r>
        <w:rPr>
          <w:rFonts w:eastAsia="SimSun"/>
          <w:lang w:eastAsia="zh-CN"/>
        </w:rPr>
        <w:t>2017; Stankovic et al., 2022</w:t>
      </w:r>
      <w:r w:rsidR="000C163F" w:rsidRPr="00A46B49">
        <w:rPr>
          <w:rFonts w:eastAsia="SimSun"/>
          <w:lang w:eastAsia="zh-CN"/>
        </w:rPr>
        <w:t xml:space="preserve">). As a result, a growing number of studies shifted to the prevention of </w:t>
      </w:r>
      <w:r>
        <w:rPr>
          <w:rFonts w:eastAsia="SimSun"/>
          <w:lang w:eastAsia="zh-CN"/>
        </w:rPr>
        <w:t>academic</w:t>
      </w:r>
      <w:r w:rsidR="000C163F" w:rsidRPr="00A46B49">
        <w:rPr>
          <w:rFonts w:eastAsia="SimSun"/>
          <w:lang w:eastAsia="zh-CN"/>
        </w:rPr>
        <w:t xml:space="preserve"> mental health</w:t>
      </w:r>
      <w:r>
        <w:rPr>
          <w:rFonts w:eastAsia="SimSun"/>
          <w:lang w:eastAsia="zh-CN"/>
        </w:rPr>
        <w:t>, such as a study by Abraham et al. (2025), suggesting that the grounded intervention, such as leadership support, institutional integration, peer networks, and flexible delivery,</w:t>
      </w:r>
      <w:r w:rsidR="000C163F" w:rsidRPr="00A46B49">
        <w:rPr>
          <w:rFonts w:eastAsia="SimSun"/>
          <w:lang w:eastAsia="zh-CN"/>
        </w:rPr>
        <w:t xml:space="preserve"> barriers included stigma. Using a similar Job-Demand-Resources theory, </w:t>
      </w:r>
      <w:proofErr w:type="spellStart"/>
      <w:r w:rsidR="000C163F" w:rsidRPr="00A46B49">
        <w:rPr>
          <w:rFonts w:eastAsia="SimSun"/>
          <w:lang w:eastAsia="zh-CN"/>
        </w:rPr>
        <w:t>Whitsed</w:t>
      </w:r>
      <w:proofErr w:type="spellEnd"/>
      <w:r w:rsidR="000C163F" w:rsidRPr="00A46B49">
        <w:rPr>
          <w:rFonts w:eastAsia="SimSun"/>
          <w:lang w:eastAsia="zh-CN"/>
        </w:rPr>
        <w:t xml:space="preserve"> et al. (2025) also asserted the importance of strong team relationships and supportive leaders as </w:t>
      </w:r>
      <w:r>
        <w:rPr>
          <w:rFonts w:eastAsia="SimSun"/>
          <w:lang w:eastAsia="zh-CN"/>
        </w:rPr>
        <w:t>key elements in mitigating academician’s job demands</w:t>
      </w:r>
      <w:r w:rsidR="000C163F" w:rsidRPr="00A46B49">
        <w:rPr>
          <w:rFonts w:eastAsia="SimSun"/>
          <w:lang w:eastAsia="zh-CN"/>
        </w:rPr>
        <w:t xml:space="preserve">. In addition, </w:t>
      </w:r>
      <w:proofErr w:type="spellStart"/>
      <w:r w:rsidR="000C163F" w:rsidRPr="00A46B49">
        <w:rPr>
          <w:rFonts w:eastAsia="SimSun"/>
          <w:lang w:val="en-MY" w:eastAsia="zh-CN"/>
        </w:rPr>
        <w:t>Röbken</w:t>
      </w:r>
      <w:proofErr w:type="spellEnd"/>
      <w:r w:rsidR="000C163F" w:rsidRPr="00A46B49">
        <w:rPr>
          <w:rFonts w:eastAsia="SimSun"/>
          <w:lang w:val="en-MY" w:eastAsia="zh-CN"/>
        </w:rPr>
        <w:t xml:space="preserve"> et al. (2025) </w:t>
      </w:r>
      <w:r w:rsidR="000C163F" w:rsidRPr="00A46B49">
        <w:rPr>
          <w:rFonts w:eastAsia="SimSun"/>
          <w:lang w:eastAsia="zh-CN"/>
        </w:rPr>
        <w:t xml:space="preserve">suggested that the institution </w:t>
      </w:r>
      <w:r>
        <w:rPr>
          <w:rFonts w:eastAsia="SimSun"/>
          <w:lang w:eastAsia="zh-CN"/>
        </w:rPr>
        <w:t>needs to address contract insecurity, regulate workload, and institute burnout-prevention programs to foster more satisfied and resilient academics</w:t>
      </w:r>
      <w:r w:rsidR="000C163F" w:rsidRPr="00A46B49">
        <w:rPr>
          <w:rFonts w:eastAsia="SimSun"/>
          <w:lang w:eastAsia="zh-CN"/>
        </w:rPr>
        <w:t xml:space="preserve">. </w:t>
      </w:r>
    </w:p>
    <w:p w14:paraId="1AABEB20" w14:textId="77777777" w:rsidR="00BB307F" w:rsidRDefault="00BB307F" w:rsidP="000C163F">
      <w:pPr>
        <w:spacing w:line="240" w:lineRule="auto"/>
        <w:rPr>
          <w:rFonts w:eastAsia="SimSun"/>
          <w:lang w:val="en-MY" w:eastAsia="zh-CN"/>
        </w:rPr>
      </w:pPr>
    </w:p>
    <w:p w14:paraId="3F210CAE" w14:textId="252B0E43" w:rsidR="000C163F" w:rsidRPr="00A46B49" w:rsidRDefault="00BB307F" w:rsidP="000C163F">
      <w:pPr>
        <w:spacing w:line="240" w:lineRule="auto"/>
        <w:rPr>
          <w:rFonts w:eastAsia="SimSun"/>
          <w:lang w:val="en-MY" w:eastAsia="zh-CN"/>
        </w:rPr>
      </w:pPr>
      <w:r>
        <w:rPr>
          <w:rFonts w:eastAsia="SimSun"/>
          <w:lang w:val="en-MY" w:eastAsia="zh-CN"/>
        </w:rPr>
        <w:t xml:space="preserve">In Malaysia, mental health issues are considered conservative and </w:t>
      </w:r>
      <w:r w:rsidR="007942AE">
        <w:rPr>
          <w:rFonts w:eastAsia="SimSun"/>
          <w:lang w:val="en-MY" w:eastAsia="zh-CN"/>
        </w:rPr>
        <w:t xml:space="preserve">have </w:t>
      </w:r>
      <w:r>
        <w:rPr>
          <w:rFonts w:eastAsia="SimSun"/>
          <w:lang w:val="en-MY" w:eastAsia="zh-CN"/>
        </w:rPr>
        <w:t>not been well understood by society historically, thus resulting in social stigmas against patients with mental health disorders (Mok et al., 2025).</w:t>
      </w:r>
      <w:r w:rsidR="0099135F">
        <w:rPr>
          <w:rFonts w:eastAsia="SimSun"/>
          <w:lang w:val="en-MY" w:eastAsia="zh-CN"/>
        </w:rPr>
        <w:t xml:space="preserve"> </w:t>
      </w:r>
      <w:r w:rsidR="0099135F" w:rsidRPr="0099135F">
        <w:rPr>
          <w:rFonts w:eastAsia="SimSun"/>
          <w:lang w:eastAsia="zh-CN"/>
        </w:rPr>
        <w:t>In collectivistic societies, mental health discussions remain taboo (Ahad et al., 2023)</w:t>
      </w:r>
      <w:r w:rsidR="0099135F">
        <w:rPr>
          <w:rFonts w:eastAsia="SimSun"/>
          <w:lang w:eastAsia="zh-CN"/>
        </w:rPr>
        <w:t xml:space="preserve">, which </w:t>
      </w:r>
      <w:r w:rsidR="007942AE">
        <w:rPr>
          <w:rFonts w:eastAsia="SimSun"/>
          <w:lang w:eastAsia="zh-CN"/>
        </w:rPr>
        <w:t>may lead people to fear being labelled as different or deviating from societal norms</w:t>
      </w:r>
      <w:r w:rsidR="0099135F" w:rsidRPr="0099135F">
        <w:rPr>
          <w:rFonts w:eastAsia="SimSun"/>
          <w:lang w:eastAsia="zh-CN"/>
        </w:rPr>
        <w:t>, leading to reluctance in seeking psychological help</w:t>
      </w:r>
      <w:r w:rsidR="0099135F">
        <w:rPr>
          <w:rFonts w:eastAsia="SimSun"/>
          <w:lang w:eastAsia="zh-CN"/>
        </w:rPr>
        <w:t xml:space="preserve"> (</w:t>
      </w:r>
      <w:proofErr w:type="spellStart"/>
      <w:r w:rsidR="0099135F" w:rsidRPr="0099135F">
        <w:rPr>
          <w:rFonts w:eastAsia="SimSun"/>
          <w:lang w:eastAsia="zh-CN"/>
        </w:rPr>
        <w:t>AthinarayananRao</w:t>
      </w:r>
      <w:proofErr w:type="spellEnd"/>
      <w:r w:rsidR="0099135F">
        <w:rPr>
          <w:rFonts w:eastAsia="SimSun"/>
          <w:lang w:eastAsia="zh-CN"/>
        </w:rPr>
        <w:t xml:space="preserve"> et al., 2025). </w:t>
      </w:r>
      <w:r>
        <w:rPr>
          <w:rFonts w:eastAsia="SimSun"/>
          <w:lang w:val="en-MY" w:eastAsia="zh-CN"/>
        </w:rPr>
        <w:t xml:space="preserve"> </w:t>
      </w:r>
      <w:r w:rsidR="0099135F">
        <w:rPr>
          <w:rFonts w:eastAsia="SimSun"/>
          <w:lang w:val="en-MY" w:eastAsia="zh-CN"/>
        </w:rPr>
        <w:t xml:space="preserve">However, according to You (2025), </w:t>
      </w:r>
      <w:r w:rsidR="0099135F" w:rsidRPr="0099135F">
        <w:rPr>
          <w:rFonts w:eastAsia="SimSun"/>
          <w:lang w:eastAsia="zh-CN"/>
        </w:rPr>
        <w:t>Malaysia has made strides in developing services and resources to support mental health.</w:t>
      </w:r>
      <w:r w:rsidR="0099135F">
        <w:rPr>
          <w:rFonts w:eastAsia="SimSun"/>
          <w:lang w:eastAsia="zh-CN"/>
        </w:rPr>
        <w:t xml:space="preserve"> </w:t>
      </w:r>
      <w:r w:rsidR="0099135F" w:rsidRPr="0099135F">
        <w:rPr>
          <w:rFonts w:eastAsia="SimSun"/>
          <w:lang w:val="en-MY" w:eastAsia="zh-CN"/>
        </w:rPr>
        <w:t>F</w:t>
      </w:r>
      <w:r w:rsidRPr="0099135F">
        <w:rPr>
          <w:rFonts w:eastAsia="SimSun"/>
          <w:lang w:val="en-MY" w:eastAsia="zh-CN"/>
        </w:rPr>
        <w:t>indings from the Adolescent Health Survey (AHS) conducted as part of the National Health and Morbidity Survey (NHMS) 2022 painted a worrying picture: a notable increase in mental health among adolescents, with 26.9% of them reporting feelings of depression this year. This is a significant rise from 17.7% back in 2012, and it also highlights a disturbing uptick in suicidal thoughts (13.1%) and attempts (9.5%) over the same period. Given the current trajectory, mental health issues are expected to become major challenges for the population, with prevalence rates projected to soar from 7.9% in 2019 to 16.5% by 2023.</w:t>
      </w:r>
      <w:r w:rsidR="00B91ED2">
        <w:rPr>
          <w:rFonts w:eastAsia="SimSun"/>
          <w:lang w:val="en-MY" w:eastAsia="zh-CN"/>
        </w:rPr>
        <w:t xml:space="preserve"> </w:t>
      </w:r>
      <w:r w:rsidR="000C163F" w:rsidRPr="00A46B49">
        <w:rPr>
          <w:rFonts w:eastAsia="SimSun"/>
          <w:lang w:val="en-MY" w:eastAsia="zh-CN"/>
        </w:rPr>
        <w:t xml:space="preserve">Moreover, </w:t>
      </w:r>
      <w:r w:rsidR="000C163F" w:rsidRPr="00A46B49">
        <w:rPr>
          <w:rFonts w:eastAsia="SimSun"/>
          <w:lang w:eastAsia="zh-CN"/>
        </w:rPr>
        <w:t xml:space="preserve">Munusamy et al. (2024) reported </w:t>
      </w:r>
      <w:r w:rsidR="007942AE">
        <w:rPr>
          <w:rFonts w:eastAsia="SimSun"/>
          <w:lang w:eastAsia="zh-CN"/>
        </w:rPr>
        <w:t xml:space="preserve">that </w:t>
      </w:r>
      <w:r w:rsidR="000C163F" w:rsidRPr="00A46B49">
        <w:rPr>
          <w:rFonts w:eastAsia="SimSun"/>
          <w:lang w:eastAsia="zh-CN"/>
        </w:rPr>
        <w:t xml:space="preserve">the poor mental health of academicians in higher education and continuing education is a growing public health and policy concern, with clinical depression affected 27.7% of the 278 </w:t>
      </w:r>
      <w:r w:rsidR="007942AE">
        <w:rPr>
          <w:rFonts w:eastAsia="SimSun"/>
          <w:lang w:eastAsia="zh-CN"/>
        </w:rPr>
        <w:t>staff</w:t>
      </w:r>
      <w:r w:rsidR="000C163F" w:rsidRPr="00A46B49">
        <w:rPr>
          <w:rFonts w:eastAsia="SimSun"/>
          <w:lang w:eastAsia="zh-CN"/>
        </w:rPr>
        <w:t xml:space="preserve"> from academic </w:t>
      </w:r>
      <w:r w:rsidR="007942AE">
        <w:rPr>
          <w:rFonts w:eastAsia="SimSun"/>
          <w:lang w:eastAsia="zh-CN"/>
        </w:rPr>
        <w:t>institutions</w:t>
      </w:r>
      <w:r w:rsidR="000C163F" w:rsidRPr="00A46B49">
        <w:rPr>
          <w:rFonts w:eastAsia="SimSun"/>
          <w:lang w:eastAsia="zh-CN"/>
        </w:rPr>
        <w:t xml:space="preserve"> in Malaysia due to low income, working in an urban campus, low-tier job type, and inadequate workplace amenities. </w:t>
      </w:r>
    </w:p>
    <w:p w14:paraId="71F04394" w14:textId="77777777" w:rsidR="000C163F" w:rsidRPr="00A46B49" w:rsidRDefault="000C163F" w:rsidP="000C163F">
      <w:pPr>
        <w:spacing w:line="240" w:lineRule="auto"/>
        <w:rPr>
          <w:rFonts w:eastAsia="SimSun"/>
          <w:lang w:eastAsia="zh-CN"/>
        </w:rPr>
      </w:pPr>
    </w:p>
    <w:p w14:paraId="295D72D6" w14:textId="2732050E" w:rsidR="000C163F" w:rsidRPr="00A46B49" w:rsidRDefault="000C163F" w:rsidP="000C163F">
      <w:pPr>
        <w:spacing w:line="240" w:lineRule="auto"/>
        <w:rPr>
          <w:rFonts w:eastAsia="SimSun"/>
          <w:lang w:val="en-MY" w:eastAsia="zh-CN"/>
        </w:rPr>
      </w:pPr>
      <w:r w:rsidRPr="00A46B49">
        <w:rPr>
          <w:rFonts w:eastAsia="SimSun"/>
          <w:lang w:eastAsia="zh-CN"/>
        </w:rPr>
        <w:t xml:space="preserve">However, </w:t>
      </w:r>
      <w:r w:rsidR="007942AE">
        <w:rPr>
          <w:rFonts w:eastAsia="SimSun"/>
          <w:lang w:eastAsia="zh-CN"/>
        </w:rPr>
        <w:t>robust relationships between academician’s job demands and their mental health are scarce (Nicholls et al., 2022; Ueno et al., 2025), with a notable gap in the literature</w:t>
      </w:r>
      <w:r w:rsidRPr="00A46B49">
        <w:rPr>
          <w:rFonts w:eastAsia="SimSun"/>
          <w:lang w:eastAsia="zh-CN"/>
        </w:rPr>
        <w:t xml:space="preserve"> </w:t>
      </w:r>
      <w:r w:rsidR="007942AE">
        <w:rPr>
          <w:rFonts w:eastAsia="SimSun"/>
          <w:lang w:eastAsia="zh-CN"/>
        </w:rPr>
        <w:t>on the mental health of</w:t>
      </w:r>
      <w:r w:rsidRPr="00A46B49">
        <w:rPr>
          <w:rFonts w:eastAsia="SimSun"/>
          <w:lang w:eastAsia="zh-CN"/>
        </w:rPr>
        <w:t xml:space="preserve"> university academicians in Malaysia. </w:t>
      </w:r>
      <w:r w:rsidR="007942AE">
        <w:rPr>
          <w:rFonts w:eastAsia="SimSun"/>
          <w:lang w:eastAsia="zh-CN"/>
        </w:rPr>
        <w:t xml:space="preserve">Some studies focus only on research universities, as in </w:t>
      </w:r>
      <w:r w:rsidR="00D92A83" w:rsidRPr="00A46B49">
        <w:rPr>
          <w:rFonts w:eastAsia="SimSun"/>
          <w:lang w:eastAsia="zh-CN"/>
        </w:rPr>
        <w:t>Gan and Kee (2024)</w:t>
      </w:r>
      <w:r w:rsidR="00D92A83">
        <w:rPr>
          <w:rFonts w:eastAsia="SimSun"/>
          <w:lang w:eastAsia="zh-CN"/>
        </w:rPr>
        <w:t xml:space="preserve">, </w:t>
      </w:r>
      <w:r w:rsidR="007942AE">
        <w:rPr>
          <w:rFonts w:eastAsia="SimSun"/>
          <w:lang w:eastAsia="zh-CN"/>
        </w:rPr>
        <w:t xml:space="preserve">Kok and Nik Yaacob (2023), </w:t>
      </w:r>
      <w:r w:rsidR="00D92A83">
        <w:rPr>
          <w:rFonts w:eastAsia="SimSun"/>
          <w:lang w:eastAsia="zh-CN"/>
        </w:rPr>
        <w:t xml:space="preserve">and </w:t>
      </w:r>
      <w:r w:rsidR="007942AE">
        <w:rPr>
          <w:rFonts w:eastAsia="SimSun"/>
          <w:lang w:eastAsia="zh-CN"/>
        </w:rPr>
        <w:t>Teoh and Kee (2022)</w:t>
      </w:r>
      <w:r w:rsidRPr="00A46B49">
        <w:rPr>
          <w:rFonts w:eastAsia="SimSun"/>
          <w:lang w:eastAsia="zh-CN"/>
        </w:rPr>
        <w:t xml:space="preserve">. </w:t>
      </w:r>
      <w:r w:rsidR="007942AE">
        <w:rPr>
          <w:rFonts w:eastAsia="SimSun"/>
          <w:lang w:eastAsia="zh-CN"/>
        </w:rPr>
        <w:t xml:space="preserve">A previous study by Teoh and Kee (2022) focused on the psychological safety climate and burnout, with the mediating roles of job demands and job </w:t>
      </w:r>
      <w:proofErr w:type="gramStart"/>
      <w:r w:rsidR="00D92A83">
        <w:rPr>
          <w:rFonts w:eastAsia="SimSun"/>
          <w:lang w:eastAsia="zh-CN"/>
        </w:rPr>
        <w:t>engagement, and</w:t>
      </w:r>
      <w:proofErr w:type="gramEnd"/>
      <w:r w:rsidR="007942AE">
        <w:rPr>
          <w:rFonts w:eastAsia="SimSun"/>
          <w:lang w:eastAsia="zh-CN"/>
        </w:rPr>
        <w:t xml:space="preserve"> found that challenge demands and hindrance demands were significantly and positively related</w:t>
      </w:r>
      <w:r w:rsidRPr="00A46B49">
        <w:rPr>
          <w:rFonts w:eastAsia="SimSun"/>
          <w:lang w:eastAsia="zh-CN"/>
        </w:rPr>
        <w:t xml:space="preserve"> to the academicians. A limited </w:t>
      </w:r>
      <w:r w:rsidR="007942AE">
        <w:rPr>
          <w:rFonts w:eastAsia="SimSun"/>
          <w:lang w:eastAsia="zh-CN"/>
        </w:rPr>
        <w:t xml:space="preserve">number of respondents were identified in a study by </w:t>
      </w:r>
      <w:proofErr w:type="spellStart"/>
      <w:r w:rsidR="007942AE">
        <w:rPr>
          <w:rFonts w:eastAsia="SimSun"/>
          <w:lang w:eastAsia="zh-CN"/>
        </w:rPr>
        <w:t>Hasanudin</w:t>
      </w:r>
      <w:proofErr w:type="spellEnd"/>
      <w:r w:rsidR="007942AE">
        <w:rPr>
          <w:rFonts w:eastAsia="SimSun"/>
          <w:lang w:eastAsia="zh-CN"/>
        </w:rPr>
        <w:t xml:space="preserve"> et al. (2022) </w:t>
      </w:r>
      <w:r w:rsidR="00345ED0">
        <w:rPr>
          <w:rFonts w:eastAsia="SimSun"/>
          <w:lang w:eastAsia="zh-CN"/>
        </w:rPr>
        <w:t>examining the relationship among job demands</w:t>
      </w:r>
      <w:r w:rsidR="007942AE">
        <w:rPr>
          <w:rFonts w:eastAsia="SimSun"/>
          <w:lang w:eastAsia="zh-CN"/>
        </w:rPr>
        <w:t xml:space="preserve">, interpersonal conflict, and the COVID-19 pandemic at a </w:t>
      </w:r>
      <w:r w:rsidRPr="00A46B49">
        <w:rPr>
          <w:rFonts w:eastAsia="SimSun"/>
          <w:lang w:eastAsia="zh-CN"/>
        </w:rPr>
        <w:t xml:space="preserve">private university in Malaysia. Beta et al. (2024) found that the job demand and burnout among </w:t>
      </w:r>
      <w:r w:rsidR="007942AE">
        <w:rPr>
          <w:rFonts w:eastAsia="SimSun"/>
          <w:lang w:eastAsia="zh-CN"/>
        </w:rPr>
        <w:t>academics are moderate and moderated by religion</w:t>
      </w:r>
      <w:r w:rsidRPr="00A46B49">
        <w:rPr>
          <w:rFonts w:eastAsia="SimSun"/>
          <w:lang w:eastAsia="zh-CN"/>
        </w:rPr>
        <w:t xml:space="preserve">. On the other hand, a systematic literature </w:t>
      </w:r>
      <w:r w:rsidR="007942AE">
        <w:rPr>
          <w:rFonts w:eastAsia="SimSun"/>
          <w:lang w:eastAsia="zh-CN"/>
        </w:rPr>
        <w:t xml:space="preserve">review </w:t>
      </w:r>
      <w:r w:rsidRPr="00A46B49">
        <w:rPr>
          <w:rFonts w:eastAsia="SimSun"/>
          <w:lang w:eastAsia="zh-CN"/>
        </w:rPr>
        <w:t xml:space="preserve">conducted by Munusamy </w:t>
      </w:r>
      <w:r w:rsidR="007942AE">
        <w:rPr>
          <w:rFonts w:eastAsia="SimSun"/>
          <w:lang w:eastAsia="zh-CN"/>
        </w:rPr>
        <w:t>et</w:t>
      </w:r>
      <w:r w:rsidRPr="00A46B49">
        <w:rPr>
          <w:rFonts w:eastAsia="SimSun"/>
          <w:lang w:eastAsia="zh-CN"/>
        </w:rPr>
        <w:t xml:space="preserve"> al. (2024) among educators in Malaysia reported that work-family conflict and demands, pandemic impact, work environment, physical health, personality traits, and workload are the most common issues encountered by academicians in Malaysia. </w:t>
      </w:r>
    </w:p>
    <w:p w14:paraId="010B4F24" w14:textId="77777777" w:rsidR="000C163F" w:rsidRPr="00A46B49" w:rsidRDefault="000C163F" w:rsidP="000C163F">
      <w:pPr>
        <w:spacing w:line="240" w:lineRule="auto"/>
        <w:rPr>
          <w:rFonts w:eastAsia="SimSun"/>
          <w:lang w:eastAsia="zh-CN"/>
        </w:rPr>
      </w:pPr>
    </w:p>
    <w:p w14:paraId="29E7D1ED" w14:textId="2EBE593A" w:rsidR="000C163F" w:rsidRPr="00A46B49" w:rsidRDefault="000C163F" w:rsidP="000C163F">
      <w:pPr>
        <w:spacing w:line="240" w:lineRule="auto"/>
        <w:rPr>
          <w:rFonts w:eastAsia="SimSun"/>
          <w:lang w:eastAsia="zh-CN"/>
        </w:rPr>
      </w:pPr>
      <w:r w:rsidRPr="00A46B49">
        <w:rPr>
          <w:rFonts w:eastAsia="SimSun"/>
          <w:lang w:val="en-MY" w:eastAsia="zh-CN"/>
        </w:rPr>
        <w:lastRenderedPageBreak/>
        <w:t xml:space="preserve">Only </w:t>
      </w:r>
      <w:r w:rsidR="00D92A83">
        <w:rPr>
          <w:rFonts w:eastAsia="SimSun"/>
          <w:lang w:val="en-MY" w:eastAsia="zh-CN"/>
        </w:rPr>
        <w:t xml:space="preserve">a few studies have examined academics' mental health, particularly </w:t>
      </w:r>
      <w:r w:rsidR="00345ED0">
        <w:rPr>
          <w:rFonts w:eastAsia="SimSun"/>
          <w:lang w:val="en-MY" w:eastAsia="zh-CN"/>
        </w:rPr>
        <w:t>how it is</w:t>
      </w:r>
      <w:r w:rsidR="00D92A83">
        <w:rPr>
          <w:rFonts w:eastAsia="SimSun"/>
          <w:lang w:val="en-MY" w:eastAsia="zh-CN"/>
        </w:rPr>
        <w:t xml:space="preserve"> affected by </w:t>
      </w:r>
      <w:r w:rsidRPr="00A46B49">
        <w:rPr>
          <w:rFonts w:eastAsia="SimSun"/>
          <w:lang w:val="en-MY" w:eastAsia="zh-CN"/>
        </w:rPr>
        <w:t>occupational and personal factors (</w:t>
      </w:r>
      <w:proofErr w:type="spellStart"/>
      <w:r w:rsidRPr="00A46B49">
        <w:rPr>
          <w:rFonts w:eastAsia="SimSun"/>
          <w:lang w:val="en-MY" w:eastAsia="zh-CN"/>
        </w:rPr>
        <w:t>Ratanasiripong</w:t>
      </w:r>
      <w:proofErr w:type="spellEnd"/>
      <w:r w:rsidRPr="00A46B49">
        <w:rPr>
          <w:rFonts w:eastAsia="SimSun"/>
          <w:lang w:val="en-MY" w:eastAsia="zh-CN"/>
        </w:rPr>
        <w:t xml:space="preserve"> et al., 2020). Most studies have concentrated on students, leaving a significant gap in our understanding of the health and well-being of academicians (Ibrahim et al., 2021). There is a need for more comprehensive research that focuses on the backbone of the teaching and learning process, namely</w:t>
      </w:r>
      <w:r w:rsidR="00D92A83">
        <w:rPr>
          <w:rFonts w:eastAsia="SimSun"/>
          <w:lang w:val="en-MY" w:eastAsia="zh-CN"/>
        </w:rPr>
        <w:t>,</w:t>
      </w:r>
      <w:r w:rsidRPr="00A46B49">
        <w:rPr>
          <w:rFonts w:eastAsia="SimSun"/>
          <w:lang w:val="en-MY" w:eastAsia="zh-CN"/>
        </w:rPr>
        <w:t xml:space="preserve"> academicians themselves. This could help identify the factors contributing to depression symptoms among them and how these symptoms connect to other psychological issues like stress, burnout, and anxiety. This study is grounded in the Job Demand-Resource Model, which examines work design through the lenses of job stress and motivation (Bakker &amp; Demerouti, 2017). This framework helps us understand how the work environment can influence </w:t>
      </w:r>
      <w:r w:rsidR="00D92A83">
        <w:rPr>
          <w:rFonts w:eastAsia="SimSun"/>
          <w:lang w:val="en-MY" w:eastAsia="zh-CN"/>
        </w:rPr>
        <w:t xml:space="preserve">employees' physical and mental health </w:t>
      </w:r>
      <w:r w:rsidRPr="00A46B49">
        <w:rPr>
          <w:rFonts w:eastAsia="SimSun"/>
          <w:lang w:val="en-MY" w:eastAsia="zh-CN"/>
        </w:rPr>
        <w:t xml:space="preserve">by focusing on two key elements: job demands and resources (Bakker &amp; Demerouti, 2017; Bakker et al., 2023; Demerouti et al., 2001). According to the JD–R model, the energy expended in managing job demands can lead to feelings of exhaustion and self-sabotage </w:t>
      </w:r>
      <w:r w:rsidRPr="00A46B49">
        <w:rPr>
          <w:rFonts w:eastAsia="SimSun"/>
          <w:lang w:eastAsia="zh-CN"/>
        </w:rPr>
        <w:t>(Bakker &amp; Demerouti, 2017; Van Veldhoven et al., 2020)</w:t>
      </w:r>
      <w:r w:rsidRPr="00A46B49">
        <w:rPr>
          <w:rFonts w:eastAsia="SimSun"/>
          <w:lang w:val="en-MY" w:eastAsia="zh-CN"/>
        </w:rPr>
        <w:t xml:space="preserve">, while having sufficient job resources can boost employees’ engagement and proactive behaviour (Chuang et al., 2025). </w:t>
      </w:r>
      <w:r w:rsidRPr="00A46B49">
        <w:rPr>
          <w:rFonts w:eastAsia="SimSun"/>
          <w:lang w:eastAsia="zh-CN"/>
        </w:rPr>
        <w:t>It is frequently used to predict employee well-being, work behaviours, and performance (Bakker &amp; Demerouti, 2024). </w:t>
      </w:r>
    </w:p>
    <w:p w14:paraId="3D6D2D44" w14:textId="77777777" w:rsidR="000C163F" w:rsidRPr="00A46B49" w:rsidRDefault="000C163F" w:rsidP="000C163F">
      <w:pPr>
        <w:spacing w:line="240" w:lineRule="auto"/>
        <w:rPr>
          <w:rFonts w:eastAsia="SimSun"/>
          <w:lang w:val="en-MY" w:eastAsia="zh-CN"/>
        </w:rPr>
      </w:pPr>
    </w:p>
    <w:p w14:paraId="206E6993" w14:textId="31F189D1" w:rsidR="000C163F" w:rsidRPr="00A46B49" w:rsidRDefault="000C163F" w:rsidP="000C163F">
      <w:pPr>
        <w:spacing w:line="240" w:lineRule="auto"/>
        <w:rPr>
          <w:rFonts w:eastAsia="SimSun"/>
          <w:lang w:val="en-MY" w:eastAsia="zh-CN"/>
        </w:rPr>
      </w:pPr>
      <w:r w:rsidRPr="00A46B49">
        <w:rPr>
          <w:rFonts w:eastAsia="SimSun"/>
          <w:lang w:val="en-MY" w:eastAsia="zh-CN"/>
        </w:rPr>
        <w:t>Understanding how the light and shadow aspects of job demands affect employees' work and lives</w:t>
      </w:r>
      <w:r w:rsidR="00D92A83">
        <w:rPr>
          <w:rFonts w:eastAsia="SimSun"/>
          <w:lang w:val="en-MY" w:eastAsia="zh-CN"/>
        </w:rPr>
        <w:t>, especially their mental health,</w:t>
      </w:r>
      <w:r w:rsidRPr="00A46B49">
        <w:rPr>
          <w:rFonts w:eastAsia="SimSun"/>
          <w:lang w:val="en-MY" w:eastAsia="zh-CN"/>
        </w:rPr>
        <w:t xml:space="preserve"> has become a crucial area of this study. The insights gained from this study benefit many parties</w:t>
      </w:r>
      <w:r w:rsidR="00D92A83">
        <w:rPr>
          <w:rFonts w:eastAsia="SimSun"/>
          <w:lang w:val="en-MY" w:eastAsia="zh-CN"/>
        </w:rPr>
        <w:t xml:space="preserve">, especially those </w:t>
      </w:r>
      <w:r w:rsidR="00345ED0">
        <w:rPr>
          <w:rFonts w:eastAsia="SimSun"/>
          <w:lang w:val="en-MY" w:eastAsia="zh-CN"/>
        </w:rPr>
        <w:t>directly and indirectly involved</w:t>
      </w:r>
      <w:r w:rsidR="00D92A83">
        <w:rPr>
          <w:rFonts w:eastAsia="SimSun"/>
          <w:lang w:val="en-MY" w:eastAsia="zh-CN"/>
        </w:rPr>
        <w:t xml:space="preserve"> in the academic field</w:t>
      </w:r>
      <w:r w:rsidRPr="00A46B49">
        <w:rPr>
          <w:rFonts w:eastAsia="SimSun"/>
          <w:lang w:val="en-MY" w:eastAsia="zh-CN"/>
        </w:rPr>
        <w:t xml:space="preserve">. The </w:t>
      </w:r>
      <w:r w:rsidR="00D92A83">
        <w:rPr>
          <w:rFonts w:eastAsia="SimSun"/>
          <w:lang w:val="en-MY" w:eastAsia="zh-CN"/>
        </w:rPr>
        <w:t>findings</w:t>
      </w:r>
      <w:r w:rsidRPr="00A46B49">
        <w:rPr>
          <w:rFonts w:eastAsia="SimSun"/>
          <w:lang w:val="en-MY" w:eastAsia="zh-CN"/>
        </w:rPr>
        <w:t xml:space="preserve"> of this study may also </w:t>
      </w:r>
      <w:r w:rsidR="00D92A83">
        <w:rPr>
          <w:rFonts w:eastAsia="SimSun"/>
          <w:lang w:val="en-MY" w:eastAsia="zh-CN"/>
        </w:rPr>
        <w:t xml:space="preserve">provide impactful insights for policymakers and academic leaders in preparing better guidelines for </w:t>
      </w:r>
      <w:r w:rsidRPr="00A46B49">
        <w:rPr>
          <w:rFonts w:eastAsia="SimSun"/>
          <w:lang w:val="en-MY" w:eastAsia="zh-CN"/>
        </w:rPr>
        <w:t>implementing strategies to reduce depression among academicians, ultimately fostering healthier academic environments. This aligns with the Sustainable Development Goals (</w:t>
      </w:r>
      <w:r w:rsidR="00D92A83">
        <w:rPr>
          <w:rFonts w:eastAsia="SimSun"/>
          <w:lang w:val="en-MY" w:eastAsia="zh-CN"/>
        </w:rPr>
        <w:t>SDGs 2023), particularly in promoting good health and</w:t>
      </w:r>
      <w:r w:rsidRPr="00A46B49">
        <w:rPr>
          <w:rFonts w:eastAsia="SimSun"/>
          <w:lang w:val="en-MY" w:eastAsia="zh-CN"/>
        </w:rPr>
        <w:t xml:space="preserve"> well-being, and quality education on a global scale. By enhancing </w:t>
      </w:r>
      <w:r w:rsidR="00D92A83">
        <w:rPr>
          <w:rFonts w:eastAsia="SimSun"/>
          <w:lang w:val="en-MY" w:eastAsia="zh-CN"/>
        </w:rPr>
        <w:t>educators' well-being, university management can help them achieve a better work-life balance, minimize burnout, prevent depression, and boost</w:t>
      </w:r>
      <w:r w:rsidRPr="00A46B49">
        <w:rPr>
          <w:rFonts w:eastAsia="SimSun"/>
          <w:lang w:val="en-MY" w:eastAsia="zh-CN"/>
        </w:rPr>
        <w:t xml:space="preserve"> overall job satisfaction and quality of life. Therefore, this study aims to </w:t>
      </w:r>
      <w:r w:rsidR="00D92A83">
        <w:rPr>
          <w:rFonts w:eastAsia="SimSun"/>
          <w:lang w:val="en-MY" w:eastAsia="zh-CN"/>
        </w:rPr>
        <w:t>investigate</w:t>
      </w:r>
      <w:r w:rsidRPr="00A46B49">
        <w:rPr>
          <w:rFonts w:eastAsia="SimSun"/>
          <w:lang w:val="en-MY" w:eastAsia="zh-CN"/>
        </w:rPr>
        <w:t xml:space="preserve"> </w:t>
      </w:r>
      <w:r w:rsidR="00D92A83">
        <w:rPr>
          <w:rFonts w:eastAsia="SimSun"/>
          <w:lang w:val="en-MY" w:eastAsia="zh-CN"/>
        </w:rPr>
        <w:t xml:space="preserve">and confirm </w:t>
      </w:r>
      <w:r w:rsidRPr="00A46B49">
        <w:rPr>
          <w:rFonts w:eastAsia="SimSun"/>
          <w:lang w:val="en-MY" w:eastAsia="zh-CN"/>
        </w:rPr>
        <w:t>the factors influencing mental health, with a particular focus on depression among educators at public higher education institutions in Malaysia.</w:t>
      </w:r>
    </w:p>
    <w:p w14:paraId="46D502B8" w14:textId="77777777" w:rsidR="000C163F" w:rsidRPr="00D92A83" w:rsidRDefault="000C163F" w:rsidP="000C163F">
      <w:pPr>
        <w:spacing w:line="240" w:lineRule="auto"/>
        <w:rPr>
          <w:rFonts w:eastAsia="SimSun"/>
          <w:lang w:val="en-MY" w:eastAsia="zh-CN"/>
        </w:rPr>
      </w:pPr>
    </w:p>
    <w:p w14:paraId="74D63045" w14:textId="77777777" w:rsidR="000C163F" w:rsidRPr="00D92A83" w:rsidRDefault="000C163F" w:rsidP="000C163F">
      <w:pPr>
        <w:spacing w:line="240" w:lineRule="auto"/>
        <w:jc w:val="left"/>
        <w:rPr>
          <w:b/>
          <w:bCs/>
        </w:rPr>
      </w:pPr>
      <w:r w:rsidRPr="00D92A83">
        <w:rPr>
          <w:b/>
          <w:bCs/>
        </w:rPr>
        <w:t xml:space="preserve">Literature Review </w:t>
      </w:r>
    </w:p>
    <w:p w14:paraId="5806C8B1" w14:textId="77777777" w:rsidR="000C163F" w:rsidRPr="00D92A83" w:rsidRDefault="000C163F" w:rsidP="000C163F">
      <w:pPr>
        <w:spacing w:line="240" w:lineRule="auto"/>
        <w:rPr>
          <w:b/>
          <w:bCs/>
        </w:rPr>
      </w:pPr>
    </w:p>
    <w:p w14:paraId="174E116F" w14:textId="77777777" w:rsidR="000C163F" w:rsidRPr="00D92A83" w:rsidRDefault="000C163F" w:rsidP="000C163F">
      <w:pPr>
        <w:spacing w:line="240" w:lineRule="auto"/>
        <w:rPr>
          <w:rFonts w:eastAsia="SimSun"/>
          <w:b/>
          <w:bCs/>
          <w:lang w:val="en-MY" w:eastAsia="zh-CN"/>
        </w:rPr>
      </w:pPr>
      <w:r w:rsidRPr="00D92A83">
        <w:rPr>
          <w:rFonts w:eastAsia="SimSun"/>
          <w:b/>
          <w:bCs/>
          <w:lang w:val="en-MY" w:eastAsia="zh-CN"/>
        </w:rPr>
        <w:t xml:space="preserve">Stress </w:t>
      </w:r>
    </w:p>
    <w:p w14:paraId="28FF8EB7" w14:textId="77777777" w:rsidR="000C163F" w:rsidRPr="00D92A83" w:rsidRDefault="000C163F" w:rsidP="000C163F">
      <w:pPr>
        <w:spacing w:line="240" w:lineRule="auto"/>
        <w:rPr>
          <w:rFonts w:eastAsia="DengXian"/>
          <w:lang w:val="en-MY" w:eastAsia="zh-CN"/>
        </w:rPr>
      </w:pPr>
    </w:p>
    <w:p w14:paraId="1DC57F48" w14:textId="63A06FBA" w:rsidR="00942F4E" w:rsidRPr="00086316" w:rsidRDefault="00DA12F3" w:rsidP="000C163F">
      <w:pPr>
        <w:spacing w:line="240" w:lineRule="auto"/>
        <w:rPr>
          <w:rFonts w:eastAsia="DengXian"/>
          <w:lang w:val="en-MY" w:eastAsia="zh-CN"/>
        </w:rPr>
      </w:pPr>
      <w:r>
        <w:rPr>
          <w:rFonts w:eastAsia="DengXian"/>
          <w:lang w:val="en-MY" w:eastAsia="zh-CN"/>
        </w:rPr>
        <w:t>A</w:t>
      </w:r>
      <w:r w:rsidRPr="00DA12F3">
        <w:rPr>
          <w:rFonts w:eastAsia="DengXian"/>
          <w:lang w:eastAsia="zh-CN"/>
        </w:rPr>
        <w:t xml:space="preserve"> person</w:t>
      </w:r>
      <w:r>
        <w:rPr>
          <w:rFonts w:eastAsia="DengXian"/>
          <w:lang w:eastAsia="zh-CN"/>
        </w:rPr>
        <w:t xml:space="preserve"> may encounter stress when they</w:t>
      </w:r>
      <w:r w:rsidRPr="00DA12F3">
        <w:rPr>
          <w:rFonts w:eastAsia="DengXian"/>
          <w:lang w:eastAsia="zh-CN"/>
        </w:rPr>
        <w:t xml:space="preserve"> </w:t>
      </w:r>
      <w:r w:rsidR="00EC5AA4" w:rsidRPr="00DA12F3">
        <w:rPr>
          <w:rFonts w:eastAsia="DengXian"/>
          <w:lang w:eastAsia="zh-CN"/>
        </w:rPr>
        <w:t>appraise</w:t>
      </w:r>
      <w:r w:rsidRPr="00DA12F3">
        <w:rPr>
          <w:rFonts w:eastAsia="DengXian"/>
          <w:lang w:eastAsia="zh-CN"/>
        </w:rPr>
        <w:t xml:space="preserve"> that the perceived demand of their job exceeds their internal and external resources (</w:t>
      </w:r>
      <w:hyperlink r:id="rId4" w:history="1">
        <w:r w:rsidRPr="00DA12F3">
          <w:rPr>
            <w:rStyle w:val="Hyperlink"/>
            <w:rFonts w:eastAsia="DengXian"/>
            <w:color w:val="auto"/>
            <w:u w:val="none"/>
            <w:lang w:eastAsia="zh-CN"/>
          </w:rPr>
          <w:t>Lazarus and Folkman, 1984</w:t>
        </w:r>
      </w:hyperlink>
      <w:r w:rsidRPr="00DA12F3">
        <w:rPr>
          <w:rFonts w:eastAsia="DengXian"/>
          <w:lang w:eastAsia="zh-CN"/>
        </w:rPr>
        <w:t>). </w:t>
      </w:r>
      <w:r w:rsidR="007806AC" w:rsidRPr="007806AC">
        <w:rPr>
          <w:rFonts w:eastAsia="DengXian"/>
          <w:lang w:eastAsia="zh-CN"/>
        </w:rPr>
        <w:t>Chronic stress and burnout have been characterised as negative job-related psychological outcomes (</w:t>
      </w:r>
      <w:proofErr w:type="spellStart"/>
      <w:r w:rsidR="007806AC" w:rsidRPr="007806AC">
        <w:rPr>
          <w:rFonts w:eastAsia="DengXian"/>
          <w:lang w:eastAsia="zh-CN"/>
        </w:rPr>
        <w:t>Hobfoll</w:t>
      </w:r>
      <w:proofErr w:type="spellEnd"/>
      <w:r w:rsidR="007806AC" w:rsidRPr="007806AC">
        <w:rPr>
          <w:rFonts w:eastAsia="DengXian"/>
          <w:lang w:eastAsia="zh-CN"/>
        </w:rPr>
        <w:t xml:space="preserve">, 1998). </w:t>
      </w:r>
      <w:r w:rsidR="00EC5AA4">
        <w:rPr>
          <w:rFonts w:eastAsia="DengXian"/>
          <w:lang w:eastAsia="zh-CN"/>
        </w:rPr>
        <w:t>Maddock (2024) pointed out that s</w:t>
      </w:r>
      <w:r w:rsidR="00EC5AA4" w:rsidRPr="00EC5AA4">
        <w:rPr>
          <w:rFonts w:eastAsia="DengXian"/>
          <w:lang w:eastAsia="zh-CN"/>
        </w:rPr>
        <w:t>tress and burnout can have several negative effects on the individual’s work performance, a</w:t>
      </w:r>
      <w:r w:rsidR="00EC5AA4">
        <w:rPr>
          <w:rFonts w:eastAsia="DengXian"/>
          <w:lang w:eastAsia="zh-CN"/>
        </w:rPr>
        <w:t xml:space="preserve">s well as to </w:t>
      </w:r>
      <w:r w:rsidR="00EC5AA4" w:rsidRPr="00EC5AA4">
        <w:rPr>
          <w:rFonts w:eastAsia="DengXian"/>
          <w:lang w:eastAsia="zh-CN"/>
        </w:rPr>
        <w:t>their mental health and well-being</w:t>
      </w:r>
      <w:r w:rsidR="00EC5AA4">
        <w:rPr>
          <w:rFonts w:eastAsia="DengXian"/>
          <w:lang w:eastAsia="zh-CN"/>
        </w:rPr>
        <w:t xml:space="preserve">. </w:t>
      </w:r>
      <w:r w:rsidR="00086316">
        <w:rPr>
          <w:rFonts w:eastAsia="DengXian"/>
          <w:lang w:eastAsia="zh-CN"/>
        </w:rPr>
        <w:t xml:space="preserve">Earlier study by </w:t>
      </w:r>
      <w:proofErr w:type="spellStart"/>
      <w:proofErr w:type="gramStart"/>
      <w:r w:rsidR="00086316" w:rsidRPr="00086316">
        <w:rPr>
          <w:rFonts w:eastAsia="DengXian"/>
          <w:lang w:val="en-MY" w:eastAsia="zh-CN"/>
        </w:rPr>
        <w:t>Riepenhausen</w:t>
      </w:r>
      <w:proofErr w:type="spellEnd"/>
      <w:r w:rsidR="00086316" w:rsidRPr="00086316">
        <w:rPr>
          <w:rFonts w:eastAsia="DengXian"/>
          <w:lang w:eastAsia="zh-CN"/>
        </w:rPr>
        <w:t xml:space="preserve"> </w:t>
      </w:r>
      <w:r w:rsidR="00086316">
        <w:rPr>
          <w:rFonts w:eastAsia="DengXian"/>
          <w:lang w:eastAsia="zh-CN"/>
        </w:rPr>
        <w:t xml:space="preserve"> et</w:t>
      </w:r>
      <w:proofErr w:type="gramEnd"/>
      <w:r w:rsidR="00086316">
        <w:rPr>
          <w:rFonts w:eastAsia="DengXian"/>
          <w:lang w:eastAsia="zh-CN"/>
        </w:rPr>
        <w:t xml:space="preserve"> al (</w:t>
      </w:r>
      <w:r w:rsidR="00086316" w:rsidRPr="00086316">
        <w:rPr>
          <w:rFonts w:eastAsia="DengXian"/>
          <w:lang w:eastAsia="zh-CN"/>
        </w:rPr>
        <w:t xml:space="preserve">2022) pointed out that stress-related disorders such as depression or anxiety are a major cause of disability in a modern society. </w:t>
      </w:r>
      <w:r w:rsidR="00EC5AA4" w:rsidRPr="00086316">
        <w:rPr>
          <w:rFonts w:eastAsia="DengXian"/>
          <w:lang w:eastAsia="zh-CN"/>
        </w:rPr>
        <w:t>Similarly, stress</w:t>
      </w:r>
      <w:r w:rsidRPr="00086316">
        <w:rPr>
          <w:rFonts w:eastAsia="DengXian"/>
          <w:lang w:val="en-MY" w:eastAsia="zh-CN"/>
        </w:rPr>
        <w:t xml:space="preserve"> and d</w:t>
      </w:r>
      <w:r w:rsidR="000C163F" w:rsidRPr="00086316">
        <w:rPr>
          <w:rFonts w:eastAsia="DengXian"/>
          <w:lang w:val="en-MY" w:eastAsia="zh-CN"/>
        </w:rPr>
        <w:t xml:space="preserve">epression </w:t>
      </w:r>
      <w:r w:rsidRPr="00086316">
        <w:rPr>
          <w:rFonts w:eastAsia="DengXian"/>
          <w:lang w:val="en-MY" w:eastAsia="zh-CN"/>
        </w:rPr>
        <w:t>are</w:t>
      </w:r>
      <w:r w:rsidR="000C163F" w:rsidRPr="00086316">
        <w:rPr>
          <w:rFonts w:eastAsia="DengXian"/>
          <w:lang w:val="en-MY" w:eastAsia="zh-CN"/>
        </w:rPr>
        <w:t xml:space="preserve"> a major mental health challenge that poses a serious risk to communities worldwide (Ma et al., 2022). </w:t>
      </w:r>
      <w:r w:rsidR="0084047E" w:rsidRPr="00086316">
        <w:rPr>
          <w:rFonts w:eastAsia="DengXian"/>
          <w:lang w:val="en-MY" w:eastAsia="zh-CN"/>
        </w:rPr>
        <w:t xml:space="preserve">Fincham et al (2023) emphasized that </w:t>
      </w:r>
      <w:r w:rsidR="0084047E" w:rsidRPr="00086316">
        <w:rPr>
          <w:rFonts w:eastAsia="DengXian"/>
          <w:lang w:eastAsia="zh-CN"/>
        </w:rPr>
        <w:t xml:space="preserve">World Health Organisation postulated that stress is contributing to several non-communicable diseases and can significantly contribute to physical and mental health conditions, such as hypertension and cardiovascular disease to anxiety and depression. </w:t>
      </w:r>
      <w:r w:rsidR="0084047E" w:rsidRPr="00086316">
        <w:rPr>
          <w:rFonts w:eastAsia="DengXian"/>
          <w:lang w:val="en-MY" w:eastAsia="zh-CN"/>
        </w:rPr>
        <w:t xml:space="preserve"> Moreover, i</w:t>
      </w:r>
      <w:r w:rsidR="000C163F" w:rsidRPr="00086316">
        <w:rPr>
          <w:rFonts w:eastAsia="DengXian"/>
          <w:lang w:val="en-MY" w:eastAsia="zh-CN"/>
        </w:rPr>
        <w:t xml:space="preserve">t is estimated that about 5% of adults around the globe are dealing with </w:t>
      </w:r>
      <w:r w:rsidRPr="00086316">
        <w:rPr>
          <w:rFonts w:eastAsia="DengXian"/>
          <w:lang w:val="en-MY" w:eastAsia="zh-CN"/>
        </w:rPr>
        <w:t>stress and depression</w:t>
      </w:r>
      <w:r w:rsidR="000C163F" w:rsidRPr="00086316">
        <w:rPr>
          <w:rFonts w:eastAsia="DengXian"/>
          <w:lang w:val="en-MY" w:eastAsia="zh-CN"/>
        </w:rPr>
        <w:t xml:space="preserve">, with those in academia being particularly vulnerable compared to other fields. This condition affects roughly 6% of the adult population globally </w:t>
      </w:r>
      <w:r w:rsidR="000C163F" w:rsidRPr="00086316">
        <w:rPr>
          <w:rFonts w:eastAsia="DengXian"/>
          <w:lang w:val="en-MY" w:eastAsia="zh-CN"/>
        </w:rPr>
        <w:lastRenderedPageBreak/>
        <w:t xml:space="preserve">and is the </w:t>
      </w:r>
      <w:r w:rsidR="00D92A83" w:rsidRPr="00086316">
        <w:rPr>
          <w:rFonts w:eastAsia="DengXian"/>
          <w:lang w:val="en-MY" w:eastAsia="zh-CN"/>
        </w:rPr>
        <w:t xml:space="preserve">second-leading cause of the </w:t>
      </w:r>
      <w:r w:rsidR="000C163F" w:rsidRPr="00086316">
        <w:rPr>
          <w:rFonts w:eastAsia="DengXian"/>
          <w:lang w:val="en-MY" w:eastAsia="zh-CN"/>
        </w:rPr>
        <w:t xml:space="preserve">chronic disease burden (Halat et al., 2024). Recent statistics from the World Health Organization revealed that around 300 million people worldwide are impacted by </w:t>
      </w:r>
      <w:r w:rsidR="00EC5AA4" w:rsidRPr="00086316">
        <w:rPr>
          <w:rFonts w:eastAsia="DengXian"/>
          <w:lang w:val="en-MY" w:eastAsia="zh-CN"/>
        </w:rPr>
        <w:t xml:space="preserve">stress and </w:t>
      </w:r>
      <w:r w:rsidR="000C163F" w:rsidRPr="00086316">
        <w:rPr>
          <w:rFonts w:eastAsia="DengXian"/>
          <w:lang w:val="en-MY" w:eastAsia="zh-CN"/>
        </w:rPr>
        <w:t xml:space="preserve">depression, cutting across all ages, genders, and cultures (Munusamy et al., 2024). For those in academia, </w:t>
      </w:r>
      <w:r w:rsidR="00942F4E" w:rsidRPr="00086316">
        <w:rPr>
          <w:rFonts w:eastAsia="DengXian"/>
          <w:lang w:val="en-MY" w:eastAsia="zh-CN"/>
        </w:rPr>
        <w:t>stress</w:t>
      </w:r>
      <w:r w:rsidR="000C163F" w:rsidRPr="00086316">
        <w:rPr>
          <w:rFonts w:eastAsia="DengXian"/>
          <w:lang w:val="en-MY" w:eastAsia="zh-CN"/>
        </w:rPr>
        <w:t xml:space="preserve"> can deeply affect their health, productivity, and overall well-being, significantly influencing both their personal and professional lives (Agyapong et al., 2022). Within institutions, the mental health struggles of academic staff can adversely affect their success and the quality of life for both staff and students (Munusamy et al., 2024).</w:t>
      </w:r>
    </w:p>
    <w:p w14:paraId="3FB25D72" w14:textId="77777777" w:rsidR="000C163F" w:rsidRPr="00086316" w:rsidRDefault="000C163F" w:rsidP="000C163F">
      <w:pPr>
        <w:spacing w:line="240" w:lineRule="auto"/>
        <w:ind w:firstLine="720"/>
        <w:rPr>
          <w:lang w:val="en-MY"/>
        </w:rPr>
      </w:pPr>
    </w:p>
    <w:p w14:paraId="7C9456BA" w14:textId="1CEB2DFB" w:rsidR="000C163F" w:rsidRPr="00086316" w:rsidRDefault="000C163F" w:rsidP="00086316">
      <w:pPr>
        <w:spacing w:line="240" w:lineRule="auto"/>
        <w:rPr>
          <w:rFonts w:eastAsia="SimSun"/>
          <w:b/>
          <w:bCs/>
          <w:lang w:val="en-MY" w:eastAsia="zh-CN"/>
        </w:rPr>
      </w:pPr>
      <w:r w:rsidRPr="00A46B49">
        <w:rPr>
          <w:rFonts w:eastAsia="SimSun"/>
          <w:b/>
          <w:bCs/>
          <w:lang w:val="en-MY" w:eastAsia="zh-CN"/>
        </w:rPr>
        <w:t>Workload and Stress</w:t>
      </w:r>
    </w:p>
    <w:p w14:paraId="23359974" w14:textId="77777777" w:rsidR="004F425C" w:rsidRDefault="004F425C" w:rsidP="004F425C">
      <w:pPr>
        <w:pStyle w:val="NormalWeb"/>
        <w:jc w:val="both"/>
        <w:rPr>
          <w:lang w:val="en-GB"/>
        </w:rPr>
      </w:pPr>
      <w:r w:rsidRPr="00900FA3">
        <w:t xml:space="preserve">Workload represents one of the most prominent jobs demands examined in occupational stress research. </w:t>
      </w:r>
      <w:r>
        <w:t xml:space="preserve">It </w:t>
      </w:r>
      <w:r w:rsidRPr="00900FA3">
        <w:rPr>
          <w:lang w:val="en-GB"/>
        </w:rPr>
        <w:t>refers to cognitive, physical, and emotional demands placed on individuals that they are obligated to perform (Liu et al., 2024). Upon it exceed from the individual’s capability, then they will manifest stress. Stress refers to the psychological and physiological response of individuals facing demanding situations or challenges that exceed their perceived ability to cope (Liu et al., 2024). The study classified the education area as the third most stricken work environment in terms of stress, depression, and anxiety symptoms</w:t>
      </w:r>
      <w:r>
        <w:rPr>
          <w:lang w:val="en-GB"/>
        </w:rPr>
        <w:t>. This is proven by numerous studies confirming how an excessive workload had led to academician’s stress and their mental state (Pace et al. 2019; Lee e al., 2022;</w:t>
      </w:r>
      <w:r w:rsidRPr="00B54165">
        <w:rPr>
          <w:lang w:val="en-GB"/>
        </w:rPr>
        <w:t xml:space="preserve"> Hammoudi Halat</w:t>
      </w:r>
      <w:r>
        <w:rPr>
          <w:lang w:val="en-GB"/>
        </w:rPr>
        <w:t xml:space="preserve"> et al., 2023; Abraham et al., 2025). </w:t>
      </w:r>
    </w:p>
    <w:p w14:paraId="5A4CC943" w14:textId="77777777" w:rsidR="004F425C" w:rsidRDefault="004F425C" w:rsidP="004F425C">
      <w:pPr>
        <w:pStyle w:val="NormalWeb"/>
        <w:jc w:val="both"/>
        <w:rPr>
          <w:lang w:val="en-GB"/>
        </w:rPr>
      </w:pPr>
      <w:r w:rsidRPr="00E97223">
        <w:rPr>
          <w:lang w:val="en-GB"/>
        </w:rPr>
        <w:t xml:space="preserve">Extensive empirical evidence </w:t>
      </w:r>
      <w:r>
        <w:rPr>
          <w:lang w:val="en-GB"/>
        </w:rPr>
        <w:t xml:space="preserve">reported the negative impact of workload on academician’s stress and mental health. Such </w:t>
      </w:r>
      <w:proofErr w:type="spellStart"/>
      <w:r w:rsidRPr="005C7C1B">
        <w:rPr>
          <w:lang w:val="en-GB"/>
        </w:rPr>
        <w:t>Ohadomere</w:t>
      </w:r>
      <w:proofErr w:type="spellEnd"/>
      <w:r>
        <w:rPr>
          <w:lang w:val="en-GB"/>
        </w:rPr>
        <w:t xml:space="preserve"> and </w:t>
      </w:r>
      <w:proofErr w:type="spellStart"/>
      <w:r w:rsidRPr="005C7C1B">
        <w:rPr>
          <w:lang w:val="en-GB"/>
        </w:rPr>
        <w:t>Ogamba</w:t>
      </w:r>
      <w:proofErr w:type="spellEnd"/>
      <w:r>
        <w:rPr>
          <w:lang w:val="en-GB"/>
        </w:rPr>
        <w:t xml:space="preserve"> (2020) </w:t>
      </w:r>
      <w:r w:rsidRPr="005C7C1B">
        <w:rPr>
          <w:lang w:val="en-GB"/>
        </w:rPr>
        <w:t>highlighted that more than 33% of all ill health incidences are attributable to work-related stress</w:t>
      </w:r>
      <w:r>
        <w:rPr>
          <w:lang w:val="en-GB"/>
        </w:rPr>
        <w:t xml:space="preserve"> includes </w:t>
      </w:r>
      <w:r w:rsidRPr="005C7C1B">
        <w:rPr>
          <w:lang w:val="en-GB"/>
        </w:rPr>
        <w:t>increasing workloads</w:t>
      </w:r>
      <w:r>
        <w:rPr>
          <w:lang w:val="en-GB"/>
        </w:rPr>
        <w:t xml:space="preserve"> among academicians. The scholars suggesting the urgency in combatting a stable mental well-being and further suggesting the management-led solutions in tackling the escalating levels of stress as it is a critical issue among academic staff. On the other hand, further study by Lee et al (2021) points out that academic staff suffered from the unrealistic workloads (mainly teaching and research)</w:t>
      </w:r>
      <w:r w:rsidRPr="005C7C1B">
        <w:rPr>
          <w:lang w:val="en-GB"/>
        </w:rPr>
        <w:t xml:space="preserve"> </w:t>
      </w:r>
      <w:r>
        <w:rPr>
          <w:lang w:val="en-GB"/>
        </w:rPr>
        <w:t xml:space="preserve">as the most factors impacting to their stress. It became worse to the early-career academics staff and staff who transition from industry to academia. Academic staff need to adjust to the changes in cultural identity and organizational priorities, all together to learn to teach and plan for their research career. Contrarily, Pace et al (2019) remarked </w:t>
      </w:r>
      <w:r w:rsidRPr="005C7C1B">
        <w:rPr>
          <w:lang w:val="en-GB"/>
        </w:rPr>
        <w:t xml:space="preserve">that the </w:t>
      </w:r>
      <w:r>
        <w:rPr>
          <w:lang w:val="en-GB"/>
        </w:rPr>
        <w:t xml:space="preserve">academicians at the </w:t>
      </w:r>
      <w:r w:rsidRPr="005C7C1B">
        <w:rPr>
          <w:lang w:val="en-GB"/>
        </w:rPr>
        <w:t>age group of 45–54 has the highest rate of illness due to occupational stress</w:t>
      </w:r>
      <w:r>
        <w:rPr>
          <w:lang w:val="en-GB"/>
        </w:rPr>
        <w:t xml:space="preserve">, as they hold higher post as professor in the university. The </w:t>
      </w:r>
      <w:r w:rsidRPr="005C7C1B">
        <w:rPr>
          <w:lang w:val="en-GB"/>
        </w:rPr>
        <w:t>perceived workload</w:t>
      </w:r>
      <w:r>
        <w:rPr>
          <w:lang w:val="en-GB"/>
        </w:rPr>
        <w:t xml:space="preserve"> </w:t>
      </w:r>
      <w:r w:rsidRPr="005C7C1B">
        <w:rPr>
          <w:lang w:val="en-GB"/>
        </w:rPr>
        <w:t xml:space="preserve">including competitive and intense research, teaching and supervision requests, fundraising requests, and administrative responsibilities of university professors </w:t>
      </w:r>
      <w:r>
        <w:rPr>
          <w:lang w:val="en-GB"/>
        </w:rPr>
        <w:t xml:space="preserve">was found had </w:t>
      </w:r>
      <w:r w:rsidRPr="005C7C1B">
        <w:rPr>
          <w:lang w:val="en-GB"/>
        </w:rPr>
        <w:t>effects on their well-being</w:t>
      </w:r>
      <w:r>
        <w:rPr>
          <w:lang w:val="en-GB"/>
        </w:rPr>
        <w:t xml:space="preserve">. </w:t>
      </w:r>
    </w:p>
    <w:p w14:paraId="6A8271DD" w14:textId="665E5635" w:rsidR="000C163F" w:rsidRPr="004F425C" w:rsidRDefault="004F425C" w:rsidP="004F425C">
      <w:pPr>
        <w:pStyle w:val="NormalWeb"/>
        <w:shd w:val="clear" w:color="auto" w:fill="FFFFFF" w:themeFill="background1"/>
        <w:jc w:val="both"/>
        <w:rPr>
          <w:lang w:val="en-GB"/>
        </w:rPr>
      </w:pPr>
      <w:r w:rsidRPr="004F425C">
        <w:rPr>
          <w:lang w:val="en-GB"/>
        </w:rPr>
        <w:t xml:space="preserve">In comparing the attention among student and academician’s mental health in universities and higher education institutions (HEIs), the preferences in focusing to student’s mental health, leaving the scarce and ignorance to the academic staff (Hammoudi Halat, 2023; Tight, 2025; </w:t>
      </w:r>
      <w:r w:rsidRPr="004F425C">
        <w:t>Wahab et al., 2024</w:t>
      </w:r>
      <w:r w:rsidRPr="004F425C">
        <w:rPr>
          <w:lang w:val="en-GB"/>
        </w:rPr>
        <w:t xml:space="preserve">). In fact, academicians are overwhelmed with high workloads such as different tasks of teaching, mentoring, leadership, publication, funding, deadlines, administrative duties, and service. As proposed by Tight (2025), making sure the good mental health among employees are vital for a well-functioning institutional culture and for the maintenance and development of the workforce. Therefore, a further study needs to be done in investigating the interplay between workload and stress among academician in Malaysia. </w:t>
      </w:r>
      <w:r w:rsidR="00D92A83" w:rsidRPr="004F425C">
        <w:t>Therefore</w:t>
      </w:r>
      <w:r w:rsidR="000C163F" w:rsidRPr="004F425C">
        <w:t xml:space="preserve">, </w:t>
      </w:r>
      <w:r w:rsidR="00D92A83" w:rsidRPr="004F425C">
        <w:t xml:space="preserve">based on the discussion, </w:t>
      </w:r>
      <w:r w:rsidR="000C163F" w:rsidRPr="004F425C">
        <w:t xml:space="preserve">it </w:t>
      </w:r>
      <w:r w:rsidR="00D92A83" w:rsidRPr="004F425C">
        <w:t>can</w:t>
      </w:r>
      <w:r w:rsidR="000C163F" w:rsidRPr="004F425C">
        <w:t xml:space="preserve"> be postulated that: </w:t>
      </w:r>
    </w:p>
    <w:p w14:paraId="29572319" w14:textId="77777777" w:rsidR="000C163F" w:rsidRPr="00A46B49" w:rsidRDefault="000C163F" w:rsidP="000C163F">
      <w:pPr>
        <w:spacing w:line="240" w:lineRule="auto"/>
      </w:pPr>
    </w:p>
    <w:p w14:paraId="0EEA3A92" w14:textId="77777777" w:rsidR="000C163F" w:rsidRPr="00A46B49" w:rsidRDefault="000C163F" w:rsidP="000C163F">
      <w:pPr>
        <w:spacing w:line="240" w:lineRule="auto"/>
      </w:pPr>
      <w:r w:rsidRPr="00A46B49">
        <w:lastRenderedPageBreak/>
        <w:t xml:space="preserve">H1: Workload has a significant effect on academicians ‘stress at higher education institutions in Malaysia. </w:t>
      </w:r>
    </w:p>
    <w:p w14:paraId="4AD5A744" w14:textId="77777777" w:rsidR="000C163F" w:rsidRPr="00A46B49" w:rsidRDefault="000C163F" w:rsidP="000C163F">
      <w:pPr>
        <w:spacing w:line="240" w:lineRule="auto"/>
        <w:ind w:firstLine="720"/>
        <w:rPr>
          <w:rFonts w:eastAsia="SimSun"/>
          <w:b/>
          <w:bCs/>
          <w:lang w:val="en-MY" w:eastAsia="zh-CN"/>
        </w:rPr>
      </w:pPr>
    </w:p>
    <w:p w14:paraId="017EA656" w14:textId="77777777" w:rsidR="000C163F" w:rsidRPr="00A46B49" w:rsidRDefault="000C163F" w:rsidP="000C163F">
      <w:pPr>
        <w:spacing w:line="240" w:lineRule="auto"/>
        <w:ind w:firstLine="720"/>
        <w:rPr>
          <w:rFonts w:eastAsia="SimSun"/>
          <w:b/>
          <w:bCs/>
          <w:lang w:val="en-MY" w:eastAsia="zh-CN"/>
        </w:rPr>
      </w:pPr>
    </w:p>
    <w:p w14:paraId="72BFE16B" w14:textId="77777777" w:rsidR="000C163F" w:rsidRPr="00A46B49" w:rsidRDefault="000C163F" w:rsidP="000C163F">
      <w:pPr>
        <w:spacing w:line="240" w:lineRule="auto"/>
        <w:rPr>
          <w:b/>
          <w:bCs/>
        </w:rPr>
      </w:pPr>
      <w:r w:rsidRPr="00A46B49">
        <w:rPr>
          <w:b/>
          <w:bCs/>
        </w:rPr>
        <w:t>Role Conflict and Stress</w:t>
      </w:r>
    </w:p>
    <w:p w14:paraId="4637BE35" w14:textId="77777777" w:rsidR="000C163F" w:rsidRPr="00A46B49" w:rsidRDefault="000C163F" w:rsidP="000C163F">
      <w:pPr>
        <w:spacing w:line="240" w:lineRule="auto"/>
        <w:ind w:firstLine="720"/>
        <w:rPr>
          <w:b/>
          <w:bCs/>
        </w:rPr>
      </w:pPr>
    </w:p>
    <w:p w14:paraId="5332D96B" w14:textId="77777777" w:rsidR="004F425C" w:rsidRDefault="004F425C" w:rsidP="004F425C">
      <w:pPr>
        <w:spacing w:line="240" w:lineRule="auto"/>
      </w:pPr>
      <w:r>
        <w:t>An importance of role conflict among academician manifests an increase attention among scholars in a recent year (</w:t>
      </w:r>
      <w:proofErr w:type="spellStart"/>
      <w:r>
        <w:t>Asfahani</w:t>
      </w:r>
      <w:proofErr w:type="spellEnd"/>
      <w:r>
        <w:t xml:space="preserve">, 2022). Role conflict encounters by academicians as their inability to achieve an effective balance between family and work had prone them to occupational well-being and stress (Zhou et al., 2021; Munusamy et al., 2024; </w:t>
      </w:r>
      <w:proofErr w:type="spellStart"/>
      <w:r>
        <w:t>Keshniri</w:t>
      </w:r>
      <w:proofErr w:type="spellEnd"/>
      <w:r>
        <w:t xml:space="preserve">, 2024). Jahan Priyanka et al. (2021) asserted about work-family conflict (WFC) as a fact that it is related to personal and professional lives that affecting each other, appealing concept day by day. Generally, as first introduced by Greenhaus and </w:t>
      </w:r>
      <w:proofErr w:type="spellStart"/>
      <w:r>
        <w:t>Beutell</w:t>
      </w:r>
      <w:proofErr w:type="spellEnd"/>
      <w:r>
        <w:t xml:space="preserve"> (1985), role conflicts exist when there are incompatible demands between the work and family roles of an individual that makes participation in both roles difficult. Most of the time, work-family conflict (WFC) and family-work conflict (FWC) are relate to each other bi-directionally. The role conflict between work and family is associated with increased occupational burnout and job stress and decreased health, organizational commitment and job performance (</w:t>
      </w:r>
      <w:proofErr w:type="spellStart"/>
      <w:r>
        <w:t>Amstad</w:t>
      </w:r>
      <w:proofErr w:type="spellEnd"/>
      <w:r>
        <w:t xml:space="preserve"> et al., 2011). Moreover, excessive negative emotion due to role conflict not only resulting in energy depletion among employee, but also to the loss of organization’s talent and potential turnover intention among talented employees, resulting from their stress and emotional exhaustion. </w:t>
      </w:r>
    </w:p>
    <w:p w14:paraId="2477BEEF" w14:textId="77777777" w:rsidR="004F425C" w:rsidRDefault="004F425C" w:rsidP="004F425C">
      <w:pPr>
        <w:spacing w:line="240" w:lineRule="auto"/>
      </w:pPr>
    </w:p>
    <w:p w14:paraId="7D2F9FE5" w14:textId="4D192C40" w:rsidR="004F425C" w:rsidRDefault="004F425C" w:rsidP="004F425C">
      <w:pPr>
        <w:spacing w:line="240" w:lineRule="auto"/>
      </w:pPr>
      <w:r>
        <w:t>While academicians need to fulfil their role such as teaching and conduct research, the academician also need to support both the university and the community. These multiple roles create an interesting dynamic state that may have an impact on mental health and well-being (Munusamy et al., 2024). Academicians need to juggle from one task to another roles, resulting to the acceleration of occupational burnout and lack of productivity (Keshmiri, 2024). Naidoo-Chetty and Du Plessis (2021) categorized role conflict as one of the quantitative jobs demands which such as the number of tasks and the speed at which it can be accomplished by the employees. When quantitative work demands are elevated, work tasks will necessitate more time than what was planned for. When academician spent more time to complete the organizational demand, they will have to sacrifice and reduce their time to be spent to their family.</w:t>
      </w:r>
    </w:p>
    <w:p w14:paraId="60CBBC6E" w14:textId="20E49B89" w:rsidR="004F425C" w:rsidRDefault="004F425C" w:rsidP="004F425C">
      <w:pPr>
        <w:spacing w:line="240" w:lineRule="auto"/>
      </w:pPr>
      <w:r>
        <w:t xml:space="preserve"> </w:t>
      </w:r>
    </w:p>
    <w:p w14:paraId="69BABFD7" w14:textId="06186F43" w:rsidR="000C163F" w:rsidRPr="00A46B49" w:rsidRDefault="004F425C" w:rsidP="004F425C">
      <w:pPr>
        <w:spacing w:line="240" w:lineRule="auto"/>
      </w:pPr>
      <w:r>
        <w:t xml:space="preserve">Similarly, a study by Asiedu et al. (2018) and Unruh et al. (2016) postulate that the conflict occurs when commitments and interests at work interfere with family life, like irregular or inflexible working hours, work overload, stress, interpersonal conflict at work and others. As a result, the role conflict between work and family will increase occupational burnout and job stress and decreased health among employees (Jahan Priyanka et al., 2024). Additionally, Erden (2024) proved that the role stressor involving either the mental or physical stress experienced by the individual while performing their role and are correlated with stress (Huang et al., 2024). </w:t>
      </w:r>
      <w:r w:rsidR="00345ED0">
        <w:t>From</w:t>
      </w:r>
      <w:r w:rsidR="00D92A83">
        <w:t xml:space="preserve"> the discussion</w:t>
      </w:r>
      <w:r w:rsidR="000C163F" w:rsidRPr="00A46B49">
        <w:t xml:space="preserve">, it </w:t>
      </w:r>
      <w:r w:rsidR="00D92A83">
        <w:t>can</w:t>
      </w:r>
      <w:r w:rsidR="000C163F" w:rsidRPr="00A46B49">
        <w:t xml:space="preserve"> be </w:t>
      </w:r>
      <w:r w:rsidR="00D92A83">
        <w:t>hypothesized</w:t>
      </w:r>
      <w:r w:rsidR="000C163F" w:rsidRPr="00A46B49">
        <w:t xml:space="preserve"> that: </w:t>
      </w:r>
    </w:p>
    <w:p w14:paraId="3C5E92B1" w14:textId="77777777" w:rsidR="000C163F" w:rsidRPr="00A46B49" w:rsidRDefault="000C163F" w:rsidP="000C163F">
      <w:pPr>
        <w:spacing w:line="240" w:lineRule="auto"/>
      </w:pPr>
    </w:p>
    <w:p w14:paraId="132E663F" w14:textId="20AA118B" w:rsidR="000C163F" w:rsidRPr="00A46B49" w:rsidRDefault="000C163F" w:rsidP="000C163F">
      <w:pPr>
        <w:spacing w:line="240" w:lineRule="auto"/>
      </w:pPr>
      <w:r w:rsidRPr="00A46B49">
        <w:t>H2: Role conflict has a significant effect on academicians’ stress at higher education</w:t>
      </w:r>
      <w:r w:rsidR="00D92A83">
        <w:t xml:space="preserve"> ins</w:t>
      </w:r>
      <w:r w:rsidRPr="00A46B49">
        <w:t xml:space="preserve">titutions in Malaysia. </w:t>
      </w:r>
    </w:p>
    <w:p w14:paraId="76153F79" w14:textId="77777777" w:rsidR="000C163F" w:rsidRPr="00A46B49" w:rsidRDefault="000C163F" w:rsidP="000C163F">
      <w:pPr>
        <w:spacing w:line="240" w:lineRule="auto"/>
      </w:pPr>
    </w:p>
    <w:p w14:paraId="2830F4D4" w14:textId="77777777" w:rsidR="000C163F" w:rsidRPr="00A46B49" w:rsidRDefault="000C163F" w:rsidP="000C163F">
      <w:pPr>
        <w:spacing w:line="240" w:lineRule="auto"/>
        <w:rPr>
          <w:b/>
          <w:bCs/>
        </w:rPr>
      </w:pPr>
    </w:p>
    <w:p w14:paraId="792D23D5" w14:textId="34D8F4BE" w:rsidR="000C163F" w:rsidRPr="00A46B49" w:rsidRDefault="00345ED0" w:rsidP="000C163F">
      <w:pPr>
        <w:spacing w:line="240" w:lineRule="auto"/>
        <w:rPr>
          <w:rFonts w:eastAsia="SimSun"/>
          <w:b/>
          <w:bCs/>
          <w:lang w:val="en-MY" w:eastAsia="zh-CN"/>
        </w:rPr>
      </w:pPr>
      <w:r>
        <w:rPr>
          <w:rFonts w:eastAsia="SimSun"/>
          <w:b/>
          <w:bCs/>
          <w:lang w:val="en-MY" w:eastAsia="zh-CN"/>
        </w:rPr>
        <w:t>Religiosity</w:t>
      </w:r>
      <w:r w:rsidR="000C163F" w:rsidRPr="00A46B49">
        <w:rPr>
          <w:rFonts w:eastAsia="SimSun"/>
          <w:b/>
          <w:bCs/>
          <w:lang w:val="en-MY" w:eastAsia="zh-CN"/>
        </w:rPr>
        <w:t xml:space="preserve"> as Mediator</w:t>
      </w:r>
    </w:p>
    <w:p w14:paraId="53C492C5" w14:textId="77777777" w:rsidR="000C163F" w:rsidRPr="00A46B49" w:rsidRDefault="000C163F" w:rsidP="000C163F">
      <w:pPr>
        <w:spacing w:line="240" w:lineRule="auto"/>
        <w:rPr>
          <w:rFonts w:eastAsia="SimSun"/>
          <w:b/>
          <w:bCs/>
          <w:lang w:val="en-MY" w:eastAsia="zh-CN"/>
        </w:rPr>
      </w:pPr>
    </w:p>
    <w:p w14:paraId="373F7B17" w14:textId="71703AE1" w:rsidR="000C163F" w:rsidRPr="00A46B49" w:rsidRDefault="000C163F" w:rsidP="00345ED0">
      <w:pPr>
        <w:spacing w:line="240" w:lineRule="auto"/>
      </w:pPr>
      <w:r w:rsidRPr="00A46B49">
        <w:lastRenderedPageBreak/>
        <w:t xml:space="preserve">Lately, there has been a noticeable uptick in research surrounding work-family conflict (WFC), largely driven by the increasing number of dual-career couples. These couples often find themselves navigating the tricky waters of balancing their professional and personal lives, which can </w:t>
      </w:r>
      <w:r w:rsidR="00345ED0">
        <w:t>blur</w:t>
      </w:r>
      <w:r w:rsidRPr="00A46B49">
        <w:t xml:space="preserve"> those important boundaries (Jakubowski et al., 2021). As noted by Abdou et al. (2024), WFC can lead to significant psychological distress. The impact of this conflict can be deep and long-lasting, affecting not just mental and emotional well-being, but also physical health and overall quality of life.</w:t>
      </w:r>
    </w:p>
    <w:p w14:paraId="1961EDEF" w14:textId="77777777" w:rsidR="000C163F" w:rsidRPr="00A46B49" w:rsidRDefault="000C163F" w:rsidP="000C163F">
      <w:pPr>
        <w:spacing w:line="240" w:lineRule="auto"/>
      </w:pPr>
    </w:p>
    <w:p w14:paraId="5CF1B5BA" w14:textId="3F51714A" w:rsidR="000C163F" w:rsidRPr="00A46B49" w:rsidRDefault="000C163F" w:rsidP="000C163F">
      <w:pPr>
        <w:spacing w:line="240" w:lineRule="auto"/>
      </w:pPr>
      <w:r w:rsidRPr="00A46B49">
        <w:t xml:space="preserve">A variety of studies have explored the connection between work stress and work-family conflict (WFC), aiming to understand how </w:t>
      </w:r>
      <w:r w:rsidR="00345ED0">
        <w:t>job-related stress</w:t>
      </w:r>
      <w:r w:rsidRPr="00A46B49">
        <w:t xml:space="preserve"> can spill over into our family lives. For example, research </w:t>
      </w:r>
      <w:r w:rsidR="00345ED0">
        <w:t xml:space="preserve">by Mohd Isa et al. (2018) and Suhartini et al. (2023) found that when individuals experience higher levels of role overload, conflict, and ambiguity at work, </w:t>
      </w:r>
      <w:r w:rsidR="003E268A">
        <w:t>these often lead to increased</w:t>
      </w:r>
      <w:r w:rsidRPr="00A46B49">
        <w:t xml:space="preserve"> WFC. Similarly, a study by Wang and Kee (2025), which used </w:t>
      </w:r>
      <w:proofErr w:type="spellStart"/>
      <w:r w:rsidRPr="00A46B49">
        <w:t>SmartPLS</w:t>
      </w:r>
      <w:proofErr w:type="spellEnd"/>
      <w:r w:rsidRPr="00A46B49">
        <w:t xml:space="preserve"> software, revealed that academics at Chinese universities frequently grapple with heavy workloads and public expectations, resulting in significant WFC and psychological stress, </w:t>
      </w:r>
      <w:r w:rsidR="00345ED0">
        <w:t>ultimately leading</w:t>
      </w:r>
      <w:r w:rsidRPr="00A46B49">
        <w:t xml:space="preserve"> to burnout and depression. Instead of merely focusing on the impact of WFC on academicians, Kakul and Khan found that </w:t>
      </w:r>
      <w:r w:rsidR="00345ED0">
        <w:t xml:space="preserve">gender differences are a significant factor when facing </w:t>
      </w:r>
      <w:r w:rsidRPr="00A46B49">
        <w:t xml:space="preserve">WFC. The study highlighted that female academicians are more </w:t>
      </w:r>
      <w:r w:rsidR="00345ED0">
        <w:t>affected by their personal lives than</w:t>
      </w:r>
      <w:r w:rsidRPr="00A46B49">
        <w:t xml:space="preserve"> their male colleagues. As </w:t>
      </w:r>
      <w:r w:rsidR="00345ED0">
        <w:t xml:space="preserve">noted by </w:t>
      </w:r>
      <w:proofErr w:type="spellStart"/>
      <w:r w:rsidR="00345ED0">
        <w:t>Asfahani</w:t>
      </w:r>
      <w:proofErr w:type="spellEnd"/>
      <w:r w:rsidR="00345ED0">
        <w:t xml:space="preserve"> (2021), the evolving roles of women and men in</w:t>
      </w:r>
      <w:r w:rsidRPr="00A46B49">
        <w:t xml:space="preserve"> recent decades have moved away from traditional norms. This shifting paradigm has </w:t>
      </w:r>
      <w:r w:rsidR="00345ED0">
        <w:t>contributed to</w:t>
      </w:r>
      <w:r w:rsidRPr="00A46B49">
        <w:t xml:space="preserve"> the rise of WFC. The conservative belief that women are responsible for household duties while men are the main breadwinners is becoming less relevant as social and economic changes take place. </w:t>
      </w:r>
    </w:p>
    <w:p w14:paraId="3FD57A7C" w14:textId="77777777" w:rsidR="000C163F" w:rsidRPr="00A46B49" w:rsidRDefault="000C163F" w:rsidP="000C163F">
      <w:pPr>
        <w:spacing w:line="240" w:lineRule="auto"/>
      </w:pPr>
    </w:p>
    <w:p w14:paraId="7BC8BFAF" w14:textId="3E1508B4" w:rsidR="000C163F" w:rsidRPr="00A46B49" w:rsidRDefault="000C163F" w:rsidP="000C163F">
      <w:pPr>
        <w:spacing w:line="240" w:lineRule="auto"/>
      </w:pPr>
      <w:r w:rsidRPr="00A46B49">
        <w:t xml:space="preserve">Therefore, it means that </w:t>
      </w:r>
      <w:r w:rsidR="003E268A">
        <w:t>gender equality is practiced more in the workplace nowadays, and women in the workplace hold significant positions, as men previously did</w:t>
      </w:r>
      <w:r w:rsidRPr="00A46B49">
        <w:t xml:space="preserve">. Additionally, a survey by </w:t>
      </w:r>
      <w:proofErr w:type="spellStart"/>
      <w:r w:rsidRPr="00A46B49">
        <w:t>Bayraktaroglu</w:t>
      </w:r>
      <w:proofErr w:type="spellEnd"/>
      <w:r w:rsidRPr="00A46B49">
        <w:t xml:space="preserve"> et al. (2019) pointed out that employees from diverse cultural backgrounds can also experience work-family conflict. This is particularly evident in a study that found academics in </w:t>
      </w:r>
      <w:r w:rsidR="00345ED0">
        <w:t>Turkish business schools experience higher levels of family-work and work-family conflict than</w:t>
      </w:r>
      <w:r w:rsidRPr="00A46B49">
        <w:t xml:space="preserve"> their counterparts in the UK. As a result, it could be hypothesized that: </w:t>
      </w:r>
    </w:p>
    <w:p w14:paraId="5F6E9834" w14:textId="77777777" w:rsidR="000C163F" w:rsidRPr="00A46B49" w:rsidRDefault="000C163F" w:rsidP="000C163F">
      <w:pPr>
        <w:spacing w:line="240" w:lineRule="auto"/>
        <w:ind w:firstLine="720"/>
      </w:pPr>
    </w:p>
    <w:p w14:paraId="30D1F801" w14:textId="66B94DE6" w:rsidR="000C163F" w:rsidRPr="00A46B49" w:rsidRDefault="000C163F" w:rsidP="000C163F">
      <w:pPr>
        <w:spacing w:line="240" w:lineRule="auto"/>
      </w:pPr>
      <w:r w:rsidRPr="00A46B49">
        <w:t xml:space="preserve">H3: Religiosity </w:t>
      </w:r>
      <w:r w:rsidR="00345ED0">
        <w:t>moderates</w:t>
      </w:r>
      <w:r w:rsidRPr="00A46B49">
        <w:t xml:space="preserve"> the relationship between workload and academician’s stress at higher education institutions in Malaysia. </w:t>
      </w:r>
    </w:p>
    <w:p w14:paraId="02241489" w14:textId="77777777" w:rsidR="000C163F" w:rsidRPr="00A46B49" w:rsidRDefault="000C163F" w:rsidP="000C163F">
      <w:pPr>
        <w:spacing w:line="240" w:lineRule="auto"/>
      </w:pPr>
    </w:p>
    <w:p w14:paraId="3D347AE6" w14:textId="0C922C65" w:rsidR="000C163F" w:rsidRPr="00A46B49" w:rsidRDefault="000C163F" w:rsidP="000C163F">
      <w:pPr>
        <w:spacing w:line="240" w:lineRule="auto"/>
      </w:pPr>
      <w:r w:rsidRPr="00A46B49">
        <w:t xml:space="preserve">H4: Religiosity </w:t>
      </w:r>
      <w:r w:rsidR="00345ED0">
        <w:t>moderates</w:t>
      </w:r>
      <w:r w:rsidRPr="00A46B49">
        <w:t xml:space="preserve"> the relationship between role conflict and academician’s stress at higher education institutions in Malaysia. </w:t>
      </w:r>
    </w:p>
    <w:p w14:paraId="215BAD10" w14:textId="77777777" w:rsidR="000C163F" w:rsidRPr="00A46B49" w:rsidRDefault="000C163F" w:rsidP="000C163F">
      <w:pPr>
        <w:spacing w:line="240" w:lineRule="auto"/>
      </w:pPr>
    </w:p>
    <w:p w14:paraId="550B11AF" w14:textId="7FD2C7FF" w:rsidR="000C163F" w:rsidRPr="00A46B49" w:rsidRDefault="000C163F" w:rsidP="000C163F">
      <w:pPr>
        <w:spacing w:line="240" w:lineRule="auto"/>
      </w:pPr>
      <w:r w:rsidRPr="00A46B49">
        <w:t>The research framework illustrated in Figure 1 indicates that factors such as workload and role conflict</w:t>
      </w:r>
      <w:r w:rsidR="00345ED0">
        <w:t xml:space="preserve"> can directly influence an academician's mental health, especially leading to stress, while religiosity buffers</w:t>
      </w:r>
      <w:r w:rsidRPr="00A46B49">
        <w:t xml:space="preserve"> the mental health effects of role conflict and workload. This idea is rooted in the understanding that academicians enduring long-term stress might find it difficult to maintain their mental well-being, which can subsequently hinder their mental health state, and how enduring </w:t>
      </w:r>
      <w:r w:rsidR="00345ED0">
        <w:t>high religiosity may protect them from coping</w:t>
      </w:r>
      <w:r w:rsidRPr="00A46B49">
        <w:t xml:space="preserve"> with the workplace workload and burdens. </w:t>
      </w:r>
    </w:p>
    <w:p w14:paraId="24B23C5E" w14:textId="77777777" w:rsidR="000C163F" w:rsidRPr="00A46B49" w:rsidRDefault="000C163F" w:rsidP="000C163F">
      <w:pPr>
        <w:spacing w:line="240" w:lineRule="auto"/>
      </w:pPr>
    </w:p>
    <w:p w14:paraId="64C2BB29" w14:textId="77777777" w:rsidR="000C163F" w:rsidRPr="00A46B49" w:rsidRDefault="000C163F" w:rsidP="000C163F">
      <w:pPr>
        <w:spacing w:line="240" w:lineRule="auto"/>
        <w:rPr>
          <w:b/>
          <w:bCs/>
          <w:lang w:val="en-MY"/>
        </w:rPr>
      </w:pPr>
      <w:r w:rsidRPr="00A46B49">
        <w:rPr>
          <w:b/>
          <w:bCs/>
          <w:lang w:val="en-MY"/>
        </w:rPr>
        <w:t>Research Methodology</w:t>
      </w:r>
    </w:p>
    <w:p w14:paraId="1D930C02" w14:textId="77777777" w:rsidR="000C163F" w:rsidRPr="00A46B49" w:rsidRDefault="000C163F" w:rsidP="000C163F">
      <w:pPr>
        <w:spacing w:line="240" w:lineRule="auto"/>
      </w:pPr>
    </w:p>
    <w:p w14:paraId="2D4062B9" w14:textId="2C98283D" w:rsidR="000C163F" w:rsidRPr="00A46B49" w:rsidRDefault="000C163F" w:rsidP="000C163F">
      <w:pPr>
        <w:spacing w:line="240" w:lineRule="auto"/>
      </w:pPr>
      <w:r w:rsidRPr="00A46B49">
        <w:t xml:space="preserve">In this study, a quantitative approach was used to </w:t>
      </w:r>
      <w:r w:rsidR="00345ED0">
        <w:t>examine how workload, role conflict, work-family conflict, and stress are interconnected among academicians at</w:t>
      </w:r>
      <w:r w:rsidRPr="00A46B49">
        <w:t xml:space="preserve"> Malaysian public </w:t>
      </w:r>
      <w:r w:rsidRPr="00A46B49">
        <w:lastRenderedPageBreak/>
        <w:t>universities. Malaysia’s National Mental Health Policy, along with the United Nations’ Sustainable Development Goals (SDG 3: Good Health and Well-being), underscores the vital role of promoting mental health in the workplace. This study zeroes in on academicians, aligning with both national priorities and global initiatives aimed at fostering healthier, more resilient workforces</w:t>
      </w:r>
      <w:r w:rsidR="00345ED0">
        <w:t xml:space="preserve">, </w:t>
      </w:r>
      <w:r w:rsidR="003E268A">
        <w:t>as well as</w:t>
      </w:r>
      <w:r w:rsidR="00345ED0">
        <w:t xml:space="preserve"> on established,</w:t>
      </w:r>
      <w:r w:rsidRPr="00A46B49">
        <w:t xml:space="preserve"> </w:t>
      </w:r>
      <w:r w:rsidR="00345ED0">
        <w:t>highly</w:t>
      </w:r>
      <w:r w:rsidRPr="00A46B49">
        <w:t xml:space="preserve"> reputable institutions. </w:t>
      </w:r>
    </w:p>
    <w:p w14:paraId="1A181D50" w14:textId="77777777" w:rsidR="000C163F" w:rsidRPr="00A46B49" w:rsidRDefault="000C163F" w:rsidP="000C163F">
      <w:pPr>
        <w:spacing w:line="240" w:lineRule="auto"/>
      </w:pPr>
    </w:p>
    <w:p w14:paraId="2A295231" w14:textId="7DF89B8A" w:rsidR="000C163F" w:rsidRPr="00A46B49" w:rsidRDefault="000C163F" w:rsidP="000C163F">
      <w:pPr>
        <w:spacing w:line="240" w:lineRule="auto"/>
      </w:pPr>
      <w:r w:rsidRPr="00A46B49">
        <w:t xml:space="preserve">The data collected through a structured questionnaire </w:t>
      </w:r>
      <w:r w:rsidR="00345ED0">
        <w:t xml:space="preserve">administered via a Google survey form, with two types of Likert scales, were incorporated </w:t>
      </w:r>
      <w:r w:rsidR="003E268A">
        <w:t>to reduce the likelihood</w:t>
      </w:r>
      <w:r w:rsidRPr="00A46B49">
        <w:t xml:space="preserve"> of Common Method Bias (CMB) (Podsakoff et al.</w:t>
      </w:r>
      <w:r w:rsidR="00345ED0">
        <w:t xml:space="preserve">, </w:t>
      </w:r>
      <w:r w:rsidRPr="00A46B49">
        <w:t xml:space="preserve">2003). The evaluation of job demands (workload) was based on items from Bakker and Costa (2014), while role conflict was assessed using their </w:t>
      </w:r>
      <w:r w:rsidR="00345ED0">
        <w:t>items</w:t>
      </w:r>
      <w:r w:rsidRPr="00A46B49">
        <w:t>, along with work-family conflict items from Netemeyer et al. (1996).</w:t>
      </w:r>
    </w:p>
    <w:p w14:paraId="0E42EA43" w14:textId="77777777" w:rsidR="000C163F" w:rsidRPr="00A46B49" w:rsidRDefault="000C163F" w:rsidP="000C163F">
      <w:pPr>
        <w:spacing w:line="240" w:lineRule="auto"/>
      </w:pPr>
    </w:p>
    <w:p w14:paraId="3821B241" w14:textId="21B62C17" w:rsidR="000C163F" w:rsidRPr="00A46B49" w:rsidRDefault="000C163F" w:rsidP="000C163F">
      <w:pPr>
        <w:spacing w:line="240" w:lineRule="auto"/>
      </w:pPr>
      <w:r w:rsidRPr="00A46B49">
        <w:t xml:space="preserve">The instrument was validated by a panel of industry experts and prominent Professors from higher education institutions. This study utilized purposive sampling, as it allows researchers to </w:t>
      </w:r>
      <w:r w:rsidR="00345ED0">
        <w:t>select respondents with relevant expertise in the area under study</w:t>
      </w:r>
      <w:r w:rsidRPr="00A46B49">
        <w:t xml:space="preserve"> (Bougie &amp; Sekaran, 2019) and </w:t>
      </w:r>
      <w:r w:rsidR="00345ED0">
        <w:t xml:space="preserve">is a </w:t>
      </w:r>
      <w:r w:rsidRPr="00A46B49">
        <w:t xml:space="preserve">cost-effective option. A total of 135 questionnaires were completed and </w:t>
      </w:r>
      <w:r w:rsidR="00345ED0">
        <w:t xml:space="preserve">deemed valid for the final analysis, which was conducted using the Structural Equation </w:t>
      </w:r>
      <w:proofErr w:type="spellStart"/>
      <w:r w:rsidR="00345ED0">
        <w:t>Modeling</w:t>
      </w:r>
      <w:proofErr w:type="spellEnd"/>
      <w:r w:rsidR="00345ED0">
        <w:t>–Partial Least Squares (SEM-PLS) technique (version 4.0)</w:t>
      </w:r>
      <w:r w:rsidRPr="00A46B49">
        <w:t xml:space="preserve">. The data analysis was executed with SEM-PLS 4.0. </w:t>
      </w:r>
    </w:p>
    <w:p w14:paraId="7FC03E01" w14:textId="77777777" w:rsidR="000C163F" w:rsidRPr="00A46B49" w:rsidRDefault="000C163F" w:rsidP="000C163F">
      <w:pPr>
        <w:spacing w:line="240" w:lineRule="auto"/>
      </w:pPr>
    </w:p>
    <w:p w14:paraId="0D1796C4" w14:textId="77777777" w:rsidR="000C163F" w:rsidRPr="00A46B49" w:rsidRDefault="000C163F" w:rsidP="000C163F">
      <w:pPr>
        <w:spacing w:line="240" w:lineRule="auto"/>
        <w:rPr>
          <w:b/>
          <w:bCs/>
          <w:lang w:val="en-MY"/>
        </w:rPr>
      </w:pPr>
      <w:r w:rsidRPr="00A46B49">
        <w:rPr>
          <w:b/>
          <w:bCs/>
          <w:lang w:val="en-MY"/>
        </w:rPr>
        <w:t>Findings and Discussions</w:t>
      </w:r>
    </w:p>
    <w:p w14:paraId="5CFF8DFB" w14:textId="77777777" w:rsidR="000C163F" w:rsidRPr="00A46B49" w:rsidRDefault="000C163F" w:rsidP="000C163F">
      <w:pPr>
        <w:spacing w:line="240" w:lineRule="auto"/>
      </w:pPr>
    </w:p>
    <w:p w14:paraId="52F6B98A" w14:textId="77777777" w:rsidR="000C163F" w:rsidRPr="00A46B49" w:rsidRDefault="000C163F" w:rsidP="000C163F">
      <w:pPr>
        <w:pStyle w:val="ListParagraph"/>
        <w:ind w:left="0"/>
        <w:rPr>
          <w:rFonts w:ascii="Times New Roman" w:hAnsi="Times New Roman"/>
        </w:rPr>
      </w:pPr>
      <w:r w:rsidRPr="00A46B49">
        <w:rPr>
          <w:noProof/>
        </w:rPr>
        <w:drawing>
          <wp:inline distT="0" distB="0" distL="0" distR="0" wp14:anchorId="6AFB0B77" wp14:editId="3BF3CC6B">
            <wp:extent cx="5731510" cy="2806065"/>
            <wp:effectExtent l="19050" t="19050" r="21590" b="13335"/>
            <wp:docPr id="855650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06065"/>
                    </a:xfrm>
                    <a:prstGeom prst="rect">
                      <a:avLst/>
                    </a:prstGeom>
                    <a:noFill/>
                    <a:ln w="9525" cmpd="sng">
                      <a:solidFill>
                        <a:srgbClr val="156082"/>
                      </a:solidFill>
                      <a:miter lim="800000"/>
                      <a:headEnd/>
                      <a:tailEnd/>
                    </a:ln>
                    <a:effectLst/>
                  </pic:spPr>
                </pic:pic>
              </a:graphicData>
            </a:graphic>
          </wp:inline>
        </w:drawing>
      </w:r>
    </w:p>
    <w:p w14:paraId="5E38B76D" w14:textId="77777777" w:rsidR="000C163F" w:rsidRPr="00A46B49" w:rsidRDefault="000C163F" w:rsidP="000C163F">
      <w:pPr>
        <w:pStyle w:val="ListParagraph"/>
        <w:jc w:val="center"/>
        <w:rPr>
          <w:rFonts w:ascii="Times New Roman" w:hAnsi="Times New Roman"/>
        </w:rPr>
      </w:pPr>
      <w:r w:rsidRPr="00A46B49">
        <w:rPr>
          <w:rFonts w:ascii="Times New Roman" w:hAnsi="Times New Roman"/>
        </w:rPr>
        <w:t>Figure 1: Research Framework</w:t>
      </w:r>
    </w:p>
    <w:p w14:paraId="40E1B7B3" w14:textId="77777777" w:rsidR="000C163F" w:rsidRPr="00A46B49" w:rsidRDefault="000C163F" w:rsidP="000C163F">
      <w:pPr>
        <w:jc w:val="center"/>
      </w:pPr>
    </w:p>
    <w:p w14:paraId="2E512578" w14:textId="77777777" w:rsidR="000C163F" w:rsidRPr="00A46B49" w:rsidRDefault="000C163F" w:rsidP="000C163F">
      <w:pPr>
        <w:spacing w:line="240" w:lineRule="auto"/>
        <w:jc w:val="center"/>
      </w:pPr>
      <w:r w:rsidRPr="00A46B49">
        <w:t>Table 1: Factor Loading Result</w:t>
      </w:r>
    </w:p>
    <w:tbl>
      <w:tblPr>
        <w:tblW w:w="0" w:type="auto"/>
        <w:jc w:val="center"/>
        <w:tblLook w:val="04A0" w:firstRow="1" w:lastRow="0" w:firstColumn="1" w:lastColumn="0" w:noHBand="0" w:noVBand="1"/>
      </w:tblPr>
      <w:tblGrid>
        <w:gridCol w:w="2235"/>
        <w:gridCol w:w="2409"/>
        <w:gridCol w:w="3012"/>
      </w:tblGrid>
      <w:tr w:rsidR="00A46B49" w:rsidRPr="00A46B49" w14:paraId="7E482100" w14:textId="77777777" w:rsidTr="00345ED0">
        <w:trPr>
          <w:jc w:val="center"/>
        </w:trPr>
        <w:tc>
          <w:tcPr>
            <w:tcW w:w="2235" w:type="dxa"/>
            <w:tcBorders>
              <w:top w:val="single" w:sz="4" w:space="0" w:color="auto"/>
              <w:bottom w:val="single" w:sz="4" w:space="0" w:color="auto"/>
            </w:tcBorders>
          </w:tcPr>
          <w:p w14:paraId="7A174575" w14:textId="77777777" w:rsidR="000C163F" w:rsidRPr="00A46B49" w:rsidRDefault="000C163F" w:rsidP="00345ED0">
            <w:pPr>
              <w:autoSpaceDE w:val="0"/>
              <w:autoSpaceDN w:val="0"/>
              <w:adjustRightInd w:val="0"/>
              <w:spacing w:line="240" w:lineRule="auto"/>
              <w:jc w:val="center"/>
              <w:rPr>
                <w:b/>
                <w:bCs/>
              </w:rPr>
            </w:pPr>
            <w:r w:rsidRPr="00A46B49">
              <w:rPr>
                <w:b/>
                <w:bCs/>
              </w:rPr>
              <w:t xml:space="preserve">Dimensions </w:t>
            </w:r>
          </w:p>
        </w:tc>
        <w:tc>
          <w:tcPr>
            <w:tcW w:w="2409" w:type="dxa"/>
            <w:tcBorders>
              <w:top w:val="single" w:sz="4" w:space="0" w:color="auto"/>
              <w:bottom w:val="single" w:sz="4" w:space="0" w:color="auto"/>
            </w:tcBorders>
          </w:tcPr>
          <w:p w14:paraId="69D083AD" w14:textId="77777777" w:rsidR="000C163F" w:rsidRPr="00A46B49" w:rsidRDefault="000C163F" w:rsidP="00345ED0">
            <w:pPr>
              <w:autoSpaceDE w:val="0"/>
              <w:autoSpaceDN w:val="0"/>
              <w:adjustRightInd w:val="0"/>
              <w:spacing w:line="240" w:lineRule="auto"/>
              <w:jc w:val="center"/>
              <w:rPr>
                <w:b/>
                <w:bCs/>
              </w:rPr>
            </w:pPr>
            <w:r w:rsidRPr="00A46B49">
              <w:rPr>
                <w:b/>
                <w:bCs/>
              </w:rPr>
              <w:t>Items</w:t>
            </w:r>
          </w:p>
        </w:tc>
        <w:tc>
          <w:tcPr>
            <w:tcW w:w="3012" w:type="dxa"/>
            <w:tcBorders>
              <w:top w:val="single" w:sz="4" w:space="0" w:color="auto"/>
              <w:bottom w:val="single" w:sz="4" w:space="0" w:color="auto"/>
            </w:tcBorders>
          </w:tcPr>
          <w:p w14:paraId="7F586C85" w14:textId="77777777" w:rsidR="000C163F" w:rsidRPr="00A46B49" w:rsidRDefault="000C163F" w:rsidP="00345ED0">
            <w:pPr>
              <w:autoSpaceDE w:val="0"/>
              <w:autoSpaceDN w:val="0"/>
              <w:adjustRightInd w:val="0"/>
              <w:spacing w:line="240" w:lineRule="auto"/>
              <w:jc w:val="center"/>
              <w:rPr>
                <w:b/>
                <w:bCs/>
              </w:rPr>
            </w:pPr>
            <w:r w:rsidRPr="00A46B49">
              <w:rPr>
                <w:b/>
                <w:bCs/>
              </w:rPr>
              <w:t>Loading</w:t>
            </w:r>
          </w:p>
        </w:tc>
      </w:tr>
      <w:tr w:rsidR="00A46B49" w:rsidRPr="00A46B49" w14:paraId="71F61A4E" w14:textId="77777777" w:rsidTr="00345ED0">
        <w:trPr>
          <w:jc w:val="center"/>
        </w:trPr>
        <w:tc>
          <w:tcPr>
            <w:tcW w:w="2235" w:type="dxa"/>
            <w:tcBorders>
              <w:top w:val="single" w:sz="4" w:space="0" w:color="auto"/>
            </w:tcBorders>
          </w:tcPr>
          <w:p w14:paraId="3026F26A" w14:textId="77777777" w:rsidR="000C163F" w:rsidRPr="00A46B49" w:rsidRDefault="000C163F" w:rsidP="00345ED0">
            <w:pPr>
              <w:autoSpaceDE w:val="0"/>
              <w:autoSpaceDN w:val="0"/>
              <w:adjustRightInd w:val="0"/>
              <w:spacing w:line="240" w:lineRule="auto"/>
            </w:pPr>
            <w:r w:rsidRPr="00A46B49">
              <w:t xml:space="preserve">Workload </w:t>
            </w:r>
          </w:p>
        </w:tc>
        <w:tc>
          <w:tcPr>
            <w:tcW w:w="2409" w:type="dxa"/>
            <w:tcBorders>
              <w:top w:val="single" w:sz="4" w:space="0" w:color="auto"/>
            </w:tcBorders>
          </w:tcPr>
          <w:p w14:paraId="612E9842" w14:textId="77777777" w:rsidR="000C163F" w:rsidRPr="00A46B49" w:rsidRDefault="000C163F" w:rsidP="00345ED0">
            <w:pPr>
              <w:autoSpaceDE w:val="0"/>
              <w:autoSpaceDN w:val="0"/>
              <w:adjustRightInd w:val="0"/>
              <w:spacing w:line="240" w:lineRule="auto"/>
            </w:pPr>
            <w:r w:rsidRPr="00A46B49">
              <w:t>JDW1</w:t>
            </w:r>
          </w:p>
        </w:tc>
        <w:tc>
          <w:tcPr>
            <w:tcW w:w="3012" w:type="dxa"/>
            <w:tcBorders>
              <w:top w:val="single" w:sz="4" w:space="0" w:color="auto"/>
            </w:tcBorders>
            <w:vAlign w:val="bottom"/>
          </w:tcPr>
          <w:p w14:paraId="53940E51" w14:textId="77777777" w:rsidR="000C163F" w:rsidRPr="00A46B49" w:rsidRDefault="000C163F" w:rsidP="00345ED0">
            <w:pPr>
              <w:autoSpaceDE w:val="0"/>
              <w:autoSpaceDN w:val="0"/>
              <w:adjustRightInd w:val="0"/>
              <w:spacing w:line="240" w:lineRule="auto"/>
              <w:jc w:val="center"/>
            </w:pPr>
            <w:r w:rsidRPr="00A46B49">
              <w:t>0.877</w:t>
            </w:r>
          </w:p>
        </w:tc>
      </w:tr>
      <w:tr w:rsidR="00A46B49" w:rsidRPr="00A46B49" w14:paraId="058979E7" w14:textId="77777777" w:rsidTr="00345ED0">
        <w:trPr>
          <w:jc w:val="center"/>
        </w:trPr>
        <w:tc>
          <w:tcPr>
            <w:tcW w:w="2235" w:type="dxa"/>
          </w:tcPr>
          <w:p w14:paraId="095C1D39" w14:textId="77777777" w:rsidR="000C163F" w:rsidRPr="00A46B49" w:rsidRDefault="000C163F" w:rsidP="00345ED0">
            <w:pPr>
              <w:autoSpaceDE w:val="0"/>
              <w:autoSpaceDN w:val="0"/>
              <w:adjustRightInd w:val="0"/>
              <w:spacing w:line="240" w:lineRule="auto"/>
            </w:pPr>
          </w:p>
        </w:tc>
        <w:tc>
          <w:tcPr>
            <w:tcW w:w="2409" w:type="dxa"/>
          </w:tcPr>
          <w:p w14:paraId="2DD9C2FD" w14:textId="77777777" w:rsidR="000C163F" w:rsidRPr="00A46B49" w:rsidRDefault="000C163F" w:rsidP="00345ED0">
            <w:pPr>
              <w:autoSpaceDE w:val="0"/>
              <w:autoSpaceDN w:val="0"/>
              <w:adjustRightInd w:val="0"/>
              <w:spacing w:line="240" w:lineRule="auto"/>
            </w:pPr>
            <w:r w:rsidRPr="00A46B49">
              <w:t>JDW2</w:t>
            </w:r>
          </w:p>
        </w:tc>
        <w:tc>
          <w:tcPr>
            <w:tcW w:w="3012" w:type="dxa"/>
            <w:vAlign w:val="bottom"/>
          </w:tcPr>
          <w:p w14:paraId="161A2EFE" w14:textId="77777777" w:rsidR="000C163F" w:rsidRPr="00A46B49" w:rsidRDefault="000C163F" w:rsidP="00345ED0">
            <w:pPr>
              <w:autoSpaceDE w:val="0"/>
              <w:autoSpaceDN w:val="0"/>
              <w:adjustRightInd w:val="0"/>
              <w:spacing w:line="240" w:lineRule="auto"/>
              <w:jc w:val="center"/>
            </w:pPr>
            <w:r w:rsidRPr="00A46B49">
              <w:t>0.868</w:t>
            </w:r>
          </w:p>
        </w:tc>
      </w:tr>
      <w:tr w:rsidR="00A46B49" w:rsidRPr="00A46B49" w14:paraId="1ACEA330" w14:textId="77777777" w:rsidTr="00345ED0">
        <w:trPr>
          <w:jc w:val="center"/>
        </w:trPr>
        <w:tc>
          <w:tcPr>
            <w:tcW w:w="2235" w:type="dxa"/>
          </w:tcPr>
          <w:p w14:paraId="06164C2B" w14:textId="77777777" w:rsidR="000C163F" w:rsidRPr="00A46B49" w:rsidRDefault="000C163F" w:rsidP="00345ED0">
            <w:pPr>
              <w:autoSpaceDE w:val="0"/>
              <w:autoSpaceDN w:val="0"/>
              <w:adjustRightInd w:val="0"/>
              <w:spacing w:line="240" w:lineRule="auto"/>
            </w:pPr>
          </w:p>
        </w:tc>
        <w:tc>
          <w:tcPr>
            <w:tcW w:w="2409" w:type="dxa"/>
          </w:tcPr>
          <w:p w14:paraId="2074B868" w14:textId="77777777" w:rsidR="000C163F" w:rsidRPr="00A46B49" w:rsidRDefault="000C163F" w:rsidP="00345ED0">
            <w:pPr>
              <w:autoSpaceDE w:val="0"/>
              <w:autoSpaceDN w:val="0"/>
              <w:adjustRightInd w:val="0"/>
              <w:spacing w:line="240" w:lineRule="auto"/>
            </w:pPr>
            <w:r w:rsidRPr="00A46B49">
              <w:t>JDW3</w:t>
            </w:r>
          </w:p>
        </w:tc>
        <w:tc>
          <w:tcPr>
            <w:tcW w:w="3012" w:type="dxa"/>
            <w:vAlign w:val="bottom"/>
          </w:tcPr>
          <w:p w14:paraId="38D33CC2" w14:textId="77777777" w:rsidR="000C163F" w:rsidRPr="00A46B49" w:rsidRDefault="000C163F" w:rsidP="00345ED0">
            <w:pPr>
              <w:autoSpaceDE w:val="0"/>
              <w:autoSpaceDN w:val="0"/>
              <w:adjustRightInd w:val="0"/>
              <w:spacing w:line="240" w:lineRule="auto"/>
              <w:jc w:val="center"/>
            </w:pPr>
            <w:r w:rsidRPr="00A46B49">
              <w:t>0.894</w:t>
            </w:r>
          </w:p>
        </w:tc>
      </w:tr>
      <w:tr w:rsidR="00A46B49" w:rsidRPr="00A46B49" w14:paraId="2CB421C5" w14:textId="77777777" w:rsidTr="00345ED0">
        <w:trPr>
          <w:jc w:val="center"/>
        </w:trPr>
        <w:tc>
          <w:tcPr>
            <w:tcW w:w="2235" w:type="dxa"/>
            <w:tcBorders>
              <w:bottom w:val="single" w:sz="4" w:space="0" w:color="auto"/>
            </w:tcBorders>
          </w:tcPr>
          <w:p w14:paraId="04573192" w14:textId="77777777" w:rsidR="000C163F" w:rsidRPr="00A46B49" w:rsidRDefault="000C163F" w:rsidP="00345ED0">
            <w:pPr>
              <w:autoSpaceDE w:val="0"/>
              <w:autoSpaceDN w:val="0"/>
              <w:adjustRightInd w:val="0"/>
              <w:spacing w:line="240" w:lineRule="auto"/>
            </w:pPr>
          </w:p>
        </w:tc>
        <w:tc>
          <w:tcPr>
            <w:tcW w:w="2409" w:type="dxa"/>
            <w:tcBorders>
              <w:bottom w:val="single" w:sz="4" w:space="0" w:color="auto"/>
            </w:tcBorders>
          </w:tcPr>
          <w:p w14:paraId="20156C4F" w14:textId="77777777" w:rsidR="000C163F" w:rsidRPr="00A46B49" w:rsidRDefault="000C163F" w:rsidP="00345ED0">
            <w:pPr>
              <w:autoSpaceDE w:val="0"/>
              <w:autoSpaceDN w:val="0"/>
              <w:adjustRightInd w:val="0"/>
              <w:spacing w:line="240" w:lineRule="auto"/>
            </w:pPr>
            <w:r w:rsidRPr="00A46B49">
              <w:t>JDW4</w:t>
            </w:r>
          </w:p>
        </w:tc>
        <w:tc>
          <w:tcPr>
            <w:tcW w:w="3012" w:type="dxa"/>
            <w:tcBorders>
              <w:bottom w:val="single" w:sz="4" w:space="0" w:color="auto"/>
            </w:tcBorders>
            <w:vAlign w:val="bottom"/>
          </w:tcPr>
          <w:p w14:paraId="70E8C400" w14:textId="77777777" w:rsidR="000C163F" w:rsidRPr="00A46B49" w:rsidRDefault="000C163F" w:rsidP="00345ED0">
            <w:pPr>
              <w:autoSpaceDE w:val="0"/>
              <w:autoSpaceDN w:val="0"/>
              <w:adjustRightInd w:val="0"/>
              <w:spacing w:line="240" w:lineRule="auto"/>
              <w:jc w:val="center"/>
            </w:pPr>
            <w:r w:rsidRPr="00A46B49">
              <w:t>0.722</w:t>
            </w:r>
          </w:p>
        </w:tc>
      </w:tr>
      <w:tr w:rsidR="00A46B49" w:rsidRPr="00A46B49" w14:paraId="45B134A8" w14:textId="77777777" w:rsidTr="00345ED0">
        <w:trPr>
          <w:jc w:val="center"/>
        </w:trPr>
        <w:tc>
          <w:tcPr>
            <w:tcW w:w="2235" w:type="dxa"/>
            <w:tcBorders>
              <w:top w:val="single" w:sz="4" w:space="0" w:color="auto"/>
            </w:tcBorders>
          </w:tcPr>
          <w:p w14:paraId="15806074" w14:textId="77777777" w:rsidR="000C163F" w:rsidRPr="00A46B49" w:rsidRDefault="000C163F" w:rsidP="00345ED0">
            <w:pPr>
              <w:autoSpaceDE w:val="0"/>
              <w:autoSpaceDN w:val="0"/>
              <w:adjustRightInd w:val="0"/>
              <w:spacing w:line="240" w:lineRule="auto"/>
            </w:pPr>
            <w:r w:rsidRPr="00A46B49">
              <w:t xml:space="preserve">Role Conflict </w:t>
            </w:r>
          </w:p>
        </w:tc>
        <w:tc>
          <w:tcPr>
            <w:tcW w:w="2409" w:type="dxa"/>
            <w:tcBorders>
              <w:top w:val="single" w:sz="4" w:space="0" w:color="auto"/>
            </w:tcBorders>
          </w:tcPr>
          <w:p w14:paraId="79010C77" w14:textId="77777777" w:rsidR="000C163F" w:rsidRPr="00A46B49" w:rsidRDefault="000C163F" w:rsidP="00345ED0">
            <w:pPr>
              <w:autoSpaceDE w:val="0"/>
              <w:autoSpaceDN w:val="0"/>
              <w:adjustRightInd w:val="0"/>
              <w:spacing w:line="240" w:lineRule="auto"/>
            </w:pPr>
            <w:r w:rsidRPr="00A46B49">
              <w:t>JDRC1</w:t>
            </w:r>
          </w:p>
        </w:tc>
        <w:tc>
          <w:tcPr>
            <w:tcW w:w="3012" w:type="dxa"/>
            <w:tcBorders>
              <w:top w:val="single" w:sz="4" w:space="0" w:color="auto"/>
            </w:tcBorders>
            <w:vAlign w:val="bottom"/>
          </w:tcPr>
          <w:p w14:paraId="384838A0" w14:textId="77777777" w:rsidR="000C163F" w:rsidRPr="00A46B49" w:rsidRDefault="000C163F" w:rsidP="00345ED0">
            <w:pPr>
              <w:autoSpaceDE w:val="0"/>
              <w:autoSpaceDN w:val="0"/>
              <w:adjustRightInd w:val="0"/>
              <w:spacing w:line="240" w:lineRule="auto"/>
              <w:jc w:val="center"/>
            </w:pPr>
            <w:r w:rsidRPr="00A46B49">
              <w:t>0.872</w:t>
            </w:r>
          </w:p>
        </w:tc>
      </w:tr>
      <w:tr w:rsidR="00A46B49" w:rsidRPr="00A46B49" w14:paraId="71EB2B27" w14:textId="77777777" w:rsidTr="00345ED0">
        <w:trPr>
          <w:jc w:val="center"/>
        </w:trPr>
        <w:tc>
          <w:tcPr>
            <w:tcW w:w="2235" w:type="dxa"/>
          </w:tcPr>
          <w:p w14:paraId="3A3DE567" w14:textId="77777777" w:rsidR="000C163F" w:rsidRPr="00A46B49" w:rsidRDefault="000C163F" w:rsidP="00345ED0">
            <w:pPr>
              <w:autoSpaceDE w:val="0"/>
              <w:autoSpaceDN w:val="0"/>
              <w:adjustRightInd w:val="0"/>
              <w:spacing w:line="240" w:lineRule="auto"/>
            </w:pPr>
          </w:p>
        </w:tc>
        <w:tc>
          <w:tcPr>
            <w:tcW w:w="2409" w:type="dxa"/>
          </w:tcPr>
          <w:p w14:paraId="7396681F" w14:textId="77777777" w:rsidR="000C163F" w:rsidRPr="00A46B49" w:rsidRDefault="000C163F" w:rsidP="00345ED0">
            <w:pPr>
              <w:autoSpaceDE w:val="0"/>
              <w:autoSpaceDN w:val="0"/>
              <w:adjustRightInd w:val="0"/>
              <w:spacing w:line="240" w:lineRule="auto"/>
            </w:pPr>
            <w:r w:rsidRPr="00A46B49">
              <w:t>JDRC2</w:t>
            </w:r>
          </w:p>
        </w:tc>
        <w:tc>
          <w:tcPr>
            <w:tcW w:w="3012" w:type="dxa"/>
            <w:vAlign w:val="bottom"/>
          </w:tcPr>
          <w:p w14:paraId="6C2566F1" w14:textId="77777777" w:rsidR="000C163F" w:rsidRPr="00A46B49" w:rsidRDefault="000C163F" w:rsidP="00345ED0">
            <w:pPr>
              <w:autoSpaceDE w:val="0"/>
              <w:autoSpaceDN w:val="0"/>
              <w:adjustRightInd w:val="0"/>
              <w:spacing w:line="240" w:lineRule="auto"/>
              <w:jc w:val="center"/>
            </w:pPr>
            <w:r w:rsidRPr="00A46B49">
              <w:t>0.938</w:t>
            </w:r>
          </w:p>
        </w:tc>
      </w:tr>
      <w:tr w:rsidR="00A46B49" w:rsidRPr="00A46B49" w14:paraId="6D19AD67" w14:textId="77777777" w:rsidTr="00345ED0">
        <w:trPr>
          <w:jc w:val="center"/>
        </w:trPr>
        <w:tc>
          <w:tcPr>
            <w:tcW w:w="2235" w:type="dxa"/>
            <w:tcBorders>
              <w:bottom w:val="single" w:sz="4" w:space="0" w:color="auto"/>
            </w:tcBorders>
          </w:tcPr>
          <w:p w14:paraId="65E35DE5" w14:textId="77777777" w:rsidR="000C163F" w:rsidRPr="00A46B49" w:rsidRDefault="000C163F" w:rsidP="00345ED0">
            <w:pPr>
              <w:autoSpaceDE w:val="0"/>
              <w:autoSpaceDN w:val="0"/>
              <w:adjustRightInd w:val="0"/>
              <w:spacing w:line="240" w:lineRule="auto"/>
            </w:pPr>
          </w:p>
        </w:tc>
        <w:tc>
          <w:tcPr>
            <w:tcW w:w="2409" w:type="dxa"/>
            <w:tcBorders>
              <w:bottom w:val="single" w:sz="4" w:space="0" w:color="auto"/>
            </w:tcBorders>
          </w:tcPr>
          <w:p w14:paraId="5E95F53A" w14:textId="77777777" w:rsidR="000C163F" w:rsidRPr="00A46B49" w:rsidRDefault="000C163F" w:rsidP="00345ED0">
            <w:pPr>
              <w:autoSpaceDE w:val="0"/>
              <w:autoSpaceDN w:val="0"/>
              <w:adjustRightInd w:val="0"/>
              <w:spacing w:line="240" w:lineRule="auto"/>
            </w:pPr>
            <w:r w:rsidRPr="00A46B49">
              <w:t>JDRC3</w:t>
            </w:r>
          </w:p>
        </w:tc>
        <w:tc>
          <w:tcPr>
            <w:tcW w:w="3012" w:type="dxa"/>
            <w:tcBorders>
              <w:bottom w:val="single" w:sz="4" w:space="0" w:color="auto"/>
            </w:tcBorders>
            <w:vAlign w:val="bottom"/>
          </w:tcPr>
          <w:p w14:paraId="39EDA682" w14:textId="77777777" w:rsidR="000C163F" w:rsidRPr="00A46B49" w:rsidRDefault="000C163F" w:rsidP="00345ED0">
            <w:pPr>
              <w:autoSpaceDE w:val="0"/>
              <w:autoSpaceDN w:val="0"/>
              <w:adjustRightInd w:val="0"/>
              <w:spacing w:line="240" w:lineRule="auto"/>
              <w:jc w:val="center"/>
            </w:pPr>
            <w:r w:rsidRPr="00A46B49">
              <w:t>0.899</w:t>
            </w:r>
          </w:p>
        </w:tc>
      </w:tr>
      <w:tr w:rsidR="00A46B49" w:rsidRPr="00A46B49" w14:paraId="18325F80" w14:textId="77777777" w:rsidTr="00345ED0">
        <w:trPr>
          <w:jc w:val="center"/>
        </w:trPr>
        <w:tc>
          <w:tcPr>
            <w:tcW w:w="2235" w:type="dxa"/>
            <w:tcBorders>
              <w:top w:val="single" w:sz="4" w:space="0" w:color="auto"/>
            </w:tcBorders>
          </w:tcPr>
          <w:p w14:paraId="0D1E4301" w14:textId="77777777" w:rsidR="000C163F" w:rsidRPr="00A46B49" w:rsidRDefault="000C163F" w:rsidP="00345ED0">
            <w:pPr>
              <w:autoSpaceDE w:val="0"/>
              <w:autoSpaceDN w:val="0"/>
              <w:adjustRightInd w:val="0"/>
              <w:spacing w:line="240" w:lineRule="auto"/>
            </w:pPr>
            <w:r w:rsidRPr="00A46B49">
              <w:t xml:space="preserve">Stress </w:t>
            </w:r>
          </w:p>
        </w:tc>
        <w:tc>
          <w:tcPr>
            <w:tcW w:w="2409" w:type="dxa"/>
            <w:tcBorders>
              <w:top w:val="single" w:sz="4" w:space="0" w:color="auto"/>
            </w:tcBorders>
            <w:vAlign w:val="bottom"/>
          </w:tcPr>
          <w:p w14:paraId="5CFD3722" w14:textId="77777777" w:rsidR="000C163F" w:rsidRPr="00A46B49" w:rsidRDefault="000C163F" w:rsidP="00345ED0">
            <w:pPr>
              <w:autoSpaceDE w:val="0"/>
              <w:autoSpaceDN w:val="0"/>
              <w:adjustRightInd w:val="0"/>
              <w:spacing w:line="240" w:lineRule="auto"/>
            </w:pPr>
            <w:r w:rsidRPr="00A46B49">
              <w:t>MHS1</w:t>
            </w:r>
          </w:p>
        </w:tc>
        <w:tc>
          <w:tcPr>
            <w:tcW w:w="3012" w:type="dxa"/>
            <w:tcBorders>
              <w:top w:val="single" w:sz="4" w:space="0" w:color="auto"/>
            </w:tcBorders>
            <w:vAlign w:val="bottom"/>
          </w:tcPr>
          <w:p w14:paraId="7938EEE9" w14:textId="77777777" w:rsidR="000C163F" w:rsidRPr="00A46B49" w:rsidRDefault="000C163F" w:rsidP="00345ED0">
            <w:pPr>
              <w:autoSpaceDE w:val="0"/>
              <w:autoSpaceDN w:val="0"/>
              <w:adjustRightInd w:val="0"/>
              <w:spacing w:line="240" w:lineRule="auto"/>
              <w:jc w:val="center"/>
            </w:pPr>
            <w:r w:rsidRPr="00A46B49">
              <w:t>0.827</w:t>
            </w:r>
          </w:p>
        </w:tc>
      </w:tr>
      <w:tr w:rsidR="00A46B49" w:rsidRPr="00A46B49" w14:paraId="1209DA6C" w14:textId="77777777" w:rsidTr="00345ED0">
        <w:trPr>
          <w:jc w:val="center"/>
        </w:trPr>
        <w:tc>
          <w:tcPr>
            <w:tcW w:w="2235" w:type="dxa"/>
          </w:tcPr>
          <w:p w14:paraId="5F8678E8" w14:textId="77777777" w:rsidR="000C163F" w:rsidRPr="00A46B49" w:rsidRDefault="000C163F" w:rsidP="00345ED0">
            <w:pPr>
              <w:autoSpaceDE w:val="0"/>
              <w:autoSpaceDN w:val="0"/>
              <w:adjustRightInd w:val="0"/>
              <w:spacing w:line="240" w:lineRule="auto"/>
            </w:pPr>
          </w:p>
        </w:tc>
        <w:tc>
          <w:tcPr>
            <w:tcW w:w="2409" w:type="dxa"/>
            <w:vAlign w:val="bottom"/>
          </w:tcPr>
          <w:p w14:paraId="44D93A17" w14:textId="77777777" w:rsidR="000C163F" w:rsidRPr="00A46B49" w:rsidRDefault="000C163F" w:rsidP="00345ED0">
            <w:pPr>
              <w:autoSpaceDE w:val="0"/>
              <w:autoSpaceDN w:val="0"/>
              <w:adjustRightInd w:val="0"/>
              <w:spacing w:line="240" w:lineRule="auto"/>
            </w:pPr>
            <w:r w:rsidRPr="00A46B49">
              <w:t>MHS2</w:t>
            </w:r>
          </w:p>
        </w:tc>
        <w:tc>
          <w:tcPr>
            <w:tcW w:w="3012" w:type="dxa"/>
            <w:vAlign w:val="bottom"/>
          </w:tcPr>
          <w:p w14:paraId="5C966E14" w14:textId="77777777" w:rsidR="000C163F" w:rsidRPr="00A46B49" w:rsidRDefault="000C163F" w:rsidP="00345ED0">
            <w:pPr>
              <w:autoSpaceDE w:val="0"/>
              <w:autoSpaceDN w:val="0"/>
              <w:adjustRightInd w:val="0"/>
              <w:spacing w:line="240" w:lineRule="auto"/>
              <w:jc w:val="center"/>
            </w:pPr>
            <w:r w:rsidRPr="00A46B49">
              <w:t>0.770</w:t>
            </w:r>
          </w:p>
        </w:tc>
      </w:tr>
      <w:tr w:rsidR="00A46B49" w:rsidRPr="00A46B49" w14:paraId="2E694976" w14:textId="77777777" w:rsidTr="00345ED0">
        <w:trPr>
          <w:jc w:val="center"/>
        </w:trPr>
        <w:tc>
          <w:tcPr>
            <w:tcW w:w="2235" w:type="dxa"/>
          </w:tcPr>
          <w:p w14:paraId="1F0D1CF4" w14:textId="77777777" w:rsidR="000C163F" w:rsidRPr="00A46B49" w:rsidRDefault="000C163F" w:rsidP="00345ED0">
            <w:pPr>
              <w:autoSpaceDE w:val="0"/>
              <w:autoSpaceDN w:val="0"/>
              <w:adjustRightInd w:val="0"/>
              <w:spacing w:line="240" w:lineRule="auto"/>
            </w:pPr>
          </w:p>
        </w:tc>
        <w:tc>
          <w:tcPr>
            <w:tcW w:w="2409" w:type="dxa"/>
            <w:vAlign w:val="bottom"/>
          </w:tcPr>
          <w:p w14:paraId="551C8D90" w14:textId="77777777" w:rsidR="000C163F" w:rsidRPr="00A46B49" w:rsidRDefault="000C163F" w:rsidP="00345ED0">
            <w:pPr>
              <w:autoSpaceDE w:val="0"/>
              <w:autoSpaceDN w:val="0"/>
              <w:adjustRightInd w:val="0"/>
              <w:spacing w:line="240" w:lineRule="auto"/>
            </w:pPr>
            <w:r w:rsidRPr="00A46B49">
              <w:t>MHS3</w:t>
            </w:r>
          </w:p>
        </w:tc>
        <w:tc>
          <w:tcPr>
            <w:tcW w:w="3012" w:type="dxa"/>
            <w:vAlign w:val="bottom"/>
          </w:tcPr>
          <w:p w14:paraId="436FADBF" w14:textId="77777777" w:rsidR="000C163F" w:rsidRPr="00A46B49" w:rsidRDefault="000C163F" w:rsidP="00345ED0">
            <w:pPr>
              <w:autoSpaceDE w:val="0"/>
              <w:autoSpaceDN w:val="0"/>
              <w:adjustRightInd w:val="0"/>
              <w:spacing w:line="240" w:lineRule="auto"/>
              <w:jc w:val="center"/>
            </w:pPr>
            <w:r w:rsidRPr="00A46B49">
              <w:t>0.819</w:t>
            </w:r>
          </w:p>
        </w:tc>
      </w:tr>
      <w:tr w:rsidR="00A46B49" w:rsidRPr="00A46B49" w14:paraId="312357E1" w14:textId="77777777" w:rsidTr="00345ED0">
        <w:trPr>
          <w:jc w:val="center"/>
        </w:trPr>
        <w:tc>
          <w:tcPr>
            <w:tcW w:w="2235" w:type="dxa"/>
          </w:tcPr>
          <w:p w14:paraId="1833FBE0" w14:textId="77777777" w:rsidR="000C163F" w:rsidRPr="00A46B49" w:rsidRDefault="000C163F" w:rsidP="00345ED0">
            <w:pPr>
              <w:autoSpaceDE w:val="0"/>
              <w:autoSpaceDN w:val="0"/>
              <w:adjustRightInd w:val="0"/>
              <w:spacing w:line="240" w:lineRule="auto"/>
            </w:pPr>
          </w:p>
        </w:tc>
        <w:tc>
          <w:tcPr>
            <w:tcW w:w="2409" w:type="dxa"/>
            <w:vAlign w:val="bottom"/>
          </w:tcPr>
          <w:p w14:paraId="1D528935" w14:textId="77777777" w:rsidR="000C163F" w:rsidRPr="00A46B49" w:rsidRDefault="000C163F" w:rsidP="00345ED0">
            <w:pPr>
              <w:autoSpaceDE w:val="0"/>
              <w:autoSpaceDN w:val="0"/>
              <w:adjustRightInd w:val="0"/>
              <w:spacing w:line="240" w:lineRule="auto"/>
            </w:pPr>
            <w:r w:rsidRPr="00A46B49">
              <w:t>MHS4</w:t>
            </w:r>
          </w:p>
        </w:tc>
        <w:tc>
          <w:tcPr>
            <w:tcW w:w="3012" w:type="dxa"/>
            <w:vAlign w:val="bottom"/>
          </w:tcPr>
          <w:p w14:paraId="02667F03" w14:textId="77777777" w:rsidR="000C163F" w:rsidRPr="00A46B49" w:rsidRDefault="000C163F" w:rsidP="00345ED0">
            <w:pPr>
              <w:autoSpaceDE w:val="0"/>
              <w:autoSpaceDN w:val="0"/>
              <w:adjustRightInd w:val="0"/>
              <w:spacing w:line="240" w:lineRule="auto"/>
              <w:jc w:val="center"/>
            </w:pPr>
            <w:r w:rsidRPr="00A46B49">
              <w:t>0.846</w:t>
            </w:r>
          </w:p>
        </w:tc>
      </w:tr>
      <w:tr w:rsidR="00A46B49" w:rsidRPr="00A46B49" w14:paraId="33CE6124" w14:textId="77777777" w:rsidTr="00345ED0">
        <w:trPr>
          <w:jc w:val="center"/>
        </w:trPr>
        <w:tc>
          <w:tcPr>
            <w:tcW w:w="2235" w:type="dxa"/>
          </w:tcPr>
          <w:p w14:paraId="33EF18A6" w14:textId="77777777" w:rsidR="000C163F" w:rsidRPr="00A46B49" w:rsidRDefault="000C163F" w:rsidP="00345ED0">
            <w:pPr>
              <w:autoSpaceDE w:val="0"/>
              <w:autoSpaceDN w:val="0"/>
              <w:adjustRightInd w:val="0"/>
              <w:spacing w:line="240" w:lineRule="auto"/>
            </w:pPr>
          </w:p>
        </w:tc>
        <w:tc>
          <w:tcPr>
            <w:tcW w:w="2409" w:type="dxa"/>
            <w:vAlign w:val="bottom"/>
          </w:tcPr>
          <w:p w14:paraId="769174D7" w14:textId="77777777" w:rsidR="000C163F" w:rsidRPr="00A46B49" w:rsidRDefault="000C163F" w:rsidP="00345ED0">
            <w:pPr>
              <w:autoSpaceDE w:val="0"/>
              <w:autoSpaceDN w:val="0"/>
              <w:adjustRightInd w:val="0"/>
              <w:spacing w:line="240" w:lineRule="auto"/>
            </w:pPr>
            <w:r w:rsidRPr="00A46B49">
              <w:t>MHS5</w:t>
            </w:r>
          </w:p>
        </w:tc>
        <w:tc>
          <w:tcPr>
            <w:tcW w:w="3012" w:type="dxa"/>
            <w:vAlign w:val="bottom"/>
          </w:tcPr>
          <w:p w14:paraId="453C4275" w14:textId="77777777" w:rsidR="000C163F" w:rsidRPr="00A46B49" w:rsidRDefault="000C163F" w:rsidP="00345ED0">
            <w:pPr>
              <w:autoSpaceDE w:val="0"/>
              <w:autoSpaceDN w:val="0"/>
              <w:adjustRightInd w:val="0"/>
              <w:spacing w:line="240" w:lineRule="auto"/>
              <w:jc w:val="center"/>
            </w:pPr>
            <w:r w:rsidRPr="00A46B49">
              <w:t>0.876</w:t>
            </w:r>
          </w:p>
        </w:tc>
      </w:tr>
      <w:tr w:rsidR="00A46B49" w:rsidRPr="00A46B49" w14:paraId="122AF229" w14:textId="77777777" w:rsidTr="00345ED0">
        <w:trPr>
          <w:jc w:val="center"/>
        </w:trPr>
        <w:tc>
          <w:tcPr>
            <w:tcW w:w="2235" w:type="dxa"/>
            <w:tcBorders>
              <w:bottom w:val="single" w:sz="4" w:space="0" w:color="auto"/>
            </w:tcBorders>
          </w:tcPr>
          <w:p w14:paraId="0F71655E" w14:textId="77777777" w:rsidR="000C163F" w:rsidRPr="00A46B49" w:rsidRDefault="000C163F" w:rsidP="00345ED0">
            <w:pPr>
              <w:autoSpaceDE w:val="0"/>
              <w:autoSpaceDN w:val="0"/>
              <w:adjustRightInd w:val="0"/>
              <w:spacing w:line="240" w:lineRule="auto"/>
            </w:pPr>
          </w:p>
        </w:tc>
        <w:tc>
          <w:tcPr>
            <w:tcW w:w="2409" w:type="dxa"/>
            <w:tcBorders>
              <w:bottom w:val="single" w:sz="4" w:space="0" w:color="auto"/>
            </w:tcBorders>
            <w:vAlign w:val="bottom"/>
          </w:tcPr>
          <w:p w14:paraId="0C4A7EF9" w14:textId="77777777" w:rsidR="000C163F" w:rsidRPr="00A46B49" w:rsidRDefault="000C163F" w:rsidP="00345ED0">
            <w:pPr>
              <w:autoSpaceDE w:val="0"/>
              <w:autoSpaceDN w:val="0"/>
              <w:adjustRightInd w:val="0"/>
              <w:spacing w:line="240" w:lineRule="auto"/>
            </w:pPr>
            <w:r w:rsidRPr="00A46B49">
              <w:t>MHS6</w:t>
            </w:r>
          </w:p>
        </w:tc>
        <w:tc>
          <w:tcPr>
            <w:tcW w:w="3012" w:type="dxa"/>
            <w:tcBorders>
              <w:bottom w:val="single" w:sz="4" w:space="0" w:color="auto"/>
            </w:tcBorders>
            <w:vAlign w:val="bottom"/>
          </w:tcPr>
          <w:p w14:paraId="20F5D64C" w14:textId="77777777" w:rsidR="000C163F" w:rsidRPr="00A46B49" w:rsidRDefault="000C163F" w:rsidP="00345ED0">
            <w:pPr>
              <w:autoSpaceDE w:val="0"/>
              <w:autoSpaceDN w:val="0"/>
              <w:adjustRightInd w:val="0"/>
              <w:spacing w:line="240" w:lineRule="auto"/>
              <w:jc w:val="center"/>
            </w:pPr>
            <w:r w:rsidRPr="00A46B49">
              <w:t>0.835</w:t>
            </w:r>
          </w:p>
        </w:tc>
      </w:tr>
      <w:tr w:rsidR="00A46B49" w:rsidRPr="00A46B49" w14:paraId="7A8E8AD3" w14:textId="77777777" w:rsidTr="00345ED0">
        <w:trPr>
          <w:jc w:val="center"/>
        </w:trPr>
        <w:tc>
          <w:tcPr>
            <w:tcW w:w="2235" w:type="dxa"/>
            <w:tcBorders>
              <w:top w:val="single" w:sz="4" w:space="0" w:color="auto"/>
            </w:tcBorders>
          </w:tcPr>
          <w:p w14:paraId="1498CC7D" w14:textId="77777777" w:rsidR="000C163F" w:rsidRPr="00A46B49" w:rsidRDefault="000C163F" w:rsidP="00345ED0">
            <w:pPr>
              <w:autoSpaceDE w:val="0"/>
              <w:autoSpaceDN w:val="0"/>
              <w:adjustRightInd w:val="0"/>
              <w:spacing w:line="240" w:lineRule="auto"/>
            </w:pPr>
            <w:r w:rsidRPr="00A46B49">
              <w:t xml:space="preserve">Religious </w:t>
            </w:r>
          </w:p>
        </w:tc>
        <w:tc>
          <w:tcPr>
            <w:tcW w:w="2409" w:type="dxa"/>
            <w:tcBorders>
              <w:top w:val="single" w:sz="4" w:space="0" w:color="auto"/>
            </w:tcBorders>
            <w:vAlign w:val="bottom"/>
          </w:tcPr>
          <w:p w14:paraId="44E996B9" w14:textId="77777777" w:rsidR="000C163F" w:rsidRPr="00A46B49" w:rsidRDefault="000C163F" w:rsidP="00345ED0">
            <w:pPr>
              <w:autoSpaceDE w:val="0"/>
              <w:autoSpaceDN w:val="0"/>
              <w:adjustRightInd w:val="0"/>
              <w:spacing w:line="240" w:lineRule="auto"/>
            </w:pPr>
            <w:r w:rsidRPr="00A46B49">
              <w:t>REL1</w:t>
            </w:r>
          </w:p>
        </w:tc>
        <w:tc>
          <w:tcPr>
            <w:tcW w:w="3012" w:type="dxa"/>
            <w:tcBorders>
              <w:top w:val="single" w:sz="4" w:space="0" w:color="auto"/>
            </w:tcBorders>
            <w:vAlign w:val="bottom"/>
          </w:tcPr>
          <w:p w14:paraId="504823B4" w14:textId="77777777" w:rsidR="000C163F" w:rsidRPr="00A46B49" w:rsidRDefault="000C163F" w:rsidP="00345ED0">
            <w:pPr>
              <w:autoSpaceDE w:val="0"/>
              <w:autoSpaceDN w:val="0"/>
              <w:adjustRightInd w:val="0"/>
              <w:spacing w:line="240" w:lineRule="auto"/>
              <w:jc w:val="center"/>
            </w:pPr>
            <w:r w:rsidRPr="00A46B49">
              <w:t>0.807</w:t>
            </w:r>
          </w:p>
        </w:tc>
      </w:tr>
      <w:tr w:rsidR="00A46B49" w:rsidRPr="00A46B49" w14:paraId="06C4749A" w14:textId="77777777" w:rsidTr="00345ED0">
        <w:trPr>
          <w:jc w:val="center"/>
        </w:trPr>
        <w:tc>
          <w:tcPr>
            <w:tcW w:w="2235" w:type="dxa"/>
          </w:tcPr>
          <w:p w14:paraId="4970CA12" w14:textId="77777777" w:rsidR="000C163F" w:rsidRPr="00A46B49" w:rsidRDefault="000C163F" w:rsidP="00345ED0">
            <w:pPr>
              <w:autoSpaceDE w:val="0"/>
              <w:autoSpaceDN w:val="0"/>
              <w:adjustRightInd w:val="0"/>
              <w:spacing w:line="240" w:lineRule="auto"/>
            </w:pPr>
          </w:p>
        </w:tc>
        <w:tc>
          <w:tcPr>
            <w:tcW w:w="2409" w:type="dxa"/>
            <w:vAlign w:val="bottom"/>
          </w:tcPr>
          <w:p w14:paraId="0704F37A" w14:textId="77777777" w:rsidR="000C163F" w:rsidRPr="00A46B49" w:rsidRDefault="000C163F" w:rsidP="00345ED0">
            <w:pPr>
              <w:autoSpaceDE w:val="0"/>
              <w:autoSpaceDN w:val="0"/>
              <w:adjustRightInd w:val="0"/>
              <w:spacing w:line="240" w:lineRule="auto"/>
            </w:pPr>
            <w:r w:rsidRPr="00A46B49">
              <w:t>REL2</w:t>
            </w:r>
          </w:p>
        </w:tc>
        <w:tc>
          <w:tcPr>
            <w:tcW w:w="3012" w:type="dxa"/>
            <w:vAlign w:val="bottom"/>
          </w:tcPr>
          <w:p w14:paraId="63FD481D" w14:textId="77777777" w:rsidR="000C163F" w:rsidRPr="00A46B49" w:rsidRDefault="000C163F" w:rsidP="00345ED0">
            <w:pPr>
              <w:autoSpaceDE w:val="0"/>
              <w:autoSpaceDN w:val="0"/>
              <w:adjustRightInd w:val="0"/>
              <w:spacing w:line="240" w:lineRule="auto"/>
              <w:jc w:val="center"/>
            </w:pPr>
            <w:r w:rsidRPr="00A46B49">
              <w:t>0.825</w:t>
            </w:r>
          </w:p>
        </w:tc>
      </w:tr>
      <w:tr w:rsidR="00A46B49" w:rsidRPr="00A46B49" w14:paraId="32E52A39" w14:textId="77777777" w:rsidTr="00345ED0">
        <w:trPr>
          <w:jc w:val="center"/>
        </w:trPr>
        <w:tc>
          <w:tcPr>
            <w:tcW w:w="2235" w:type="dxa"/>
          </w:tcPr>
          <w:p w14:paraId="39B9F949" w14:textId="77777777" w:rsidR="000C163F" w:rsidRPr="00A46B49" w:rsidRDefault="000C163F" w:rsidP="00345ED0">
            <w:pPr>
              <w:autoSpaceDE w:val="0"/>
              <w:autoSpaceDN w:val="0"/>
              <w:adjustRightInd w:val="0"/>
              <w:spacing w:line="240" w:lineRule="auto"/>
            </w:pPr>
          </w:p>
        </w:tc>
        <w:tc>
          <w:tcPr>
            <w:tcW w:w="2409" w:type="dxa"/>
            <w:vAlign w:val="bottom"/>
          </w:tcPr>
          <w:p w14:paraId="2E9D27FB" w14:textId="77777777" w:rsidR="000C163F" w:rsidRPr="00A46B49" w:rsidRDefault="000C163F" w:rsidP="00345ED0">
            <w:pPr>
              <w:autoSpaceDE w:val="0"/>
              <w:autoSpaceDN w:val="0"/>
              <w:adjustRightInd w:val="0"/>
              <w:spacing w:line="240" w:lineRule="auto"/>
            </w:pPr>
            <w:r w:rsidRPr="00A46B49">
              <w:t>REL3</w:t>
            </w:r>
          </w:p>
        </w:tc>
        <w:tc>
          <w:tcPr>
            <w:tcW w:w="3012" w:type="dxa"/>
            <w:vAlign w:val="bottom"/>
          </w:tcPr>
          <w:p w14:paraId="5E13A671" w14:textId="77777777" w:rsidR="000C163F" w:rsidRPr="00A46B49" w:rsidRDefault="000C163F" w:rsidP="00345ED0">
            <w:pPr>
              <w:autoSpaceDE w:val="0"/>
              <w:autoSpaceDN w:val="0"/>
              <w:adjustRightInd w:val="0"/>
              <w:spacing w:line="240" w:lineRule="auto"/>
              <w:jc w:val="center"/>
            </w:pPr>
            <w:r w:rsidRPr="00A46B49">
              <w:t>0.773</w:t>
            </w:r>
          </w:p>
        </w:tc>
      </w:tr>
      <w:tr w:rsidR="00A46B49" w:rsidRPr="00A46B49" w14:paraId="362AC80A" w14:textId="77777777" w:rsidTr="00345ED0">
        <w:trPr>
          <w:jc w:val="center"/>
        </w:trPr>
        <w:tc>
          <w:tcPr>
            <w:tcW w:w="2235" w:type="dxa"/>
          </w:tcPr>
          <w:p w14:paraId="1C919923" w14:textId="77777777" w:rsidR="000C163F" w:rsidRPr="00A46B49" w:rsidRDefault="000C163F" w:rsidP="00345ED0">
            <w:pPr>
              <w:autoSpaceDE w:val="0"/>
              <w:autoSpaceDN w:val="0"/>
              <w:adjustRightInd w:val="0"/>
              <w:spacing w:line="240" w:lineRule="auto"/>
            </w:pPr>
          </w:p>
        </w:tc>
        <w:tc>
          <w:tcPr>
            <w:tcW w:w="2409" w:type="dxa"/>
            <w:vAlign w:val="bottom"/>
          </w:tcPr>
          <w:p w14:paraId="18AC91AF" w14:textId="77777777" w:rsidR="000C163F" w:rsidRPr="00A46B49" w:rsidRDefault="000C163F" w:rsidP="00345ED0">
            <w:pPr>
              <w:autoSpaceDE w:val="0"/>
              <w:autoSpaceDN w:val="0"/>
              <w:adjustRightInd w:val="0"/>
              <w:spacing w:line="240" w:lineRule="auto"/>
            </w:pPr>
            <w:r w:rsidRPr="00A46B49">
              <w:t>REL4</w:t>
            </w:r>
          </w:p>
        </w:tc>
        <w:tc>
          <w:tcPr>
            <w:tcW w:w="3012" w:type="dxa"/>
            <w:vAlign w:val="bottom"/>
          </w:tcPr>
          <w:p w14:paraId="2F5DA25E" w14:textId="77777777" w:rsidR="000C163F" w:rsidRPr="00A46B49" w:rsidRDefault="000C163F" w:rsidP="00345ED0">
            <w:pPr>
              <w:autoSpaceDE w:val="0"/>
              <w:autoSpaceDN w:val="0"/>
              <w:adjustRightInd w:val="0"/>
              <w:spacing w:line="240" w:lineRule="auto"/>
              <w:jc w:val="center"/>
            </w:pPr>
            <w:r w:rsidRPr="00A46B49">
              <w:t>0.846</w:t>
            </w:r>
          </w:p>
        </w:tc>
      </w:tr>
      <w:tr w:rsidR="00A46B49" w:rsidRPr="00A46B49" w14:paraId="5A5221A7" w14:textId="77777777" w:rsidTr="00345ED0">
        <w:trPr>
          <w:jc w:val="center"/>
        </w:trPr>
        <w:tc>
          <w:tcPr>
            <w:tcW w:w="2235" w:type="dxa"/>
          </w:tcPr>
          <w:p w14:paraId="224903F2" w14:textId="77777777" w:rsidR="000C163F" w:rsidRPr="00A46B49" w:rsidRDefault="000C163F" w:rsidP="00345ED0">
            <w:pPr>
              <w:autoSpaceDE w:val="0"/>
              <w:autoSpaceDN w:val="0"/>
              <w:adjustRightInd w:val="0"/>
              <w:spacing w:line="240" w:lineRule="auto"/>
            </w:pPr>
          </w:p>
        </w:tc>
        <w:tc>
          <w:tcPr>
            <w:tcW w:w="2409" w:type="dxa"/>
            <w:vAlign w:val="bottom"/>
          </w:tcPr>
          <w:p w14:paraId="66292C5C" w14:textId="77777777" w:rsidR="000C163F" w:rsidRPr="00A46B49" w:rsidRDefault="000C163F" w:rsidP="00345ED0">
            <w:pPr>
              <w:autoSpaceDE w:val="0"/>
              <w:autoSpaceDN w:val="0"/>
              <w:adjustRightInd w:val="0"/>
              <w:spacing w:line="240" w:lineRule="auto"/>
            </w:pPr>
            <w:r w:rsidRPr="00A46B49">
              <w:t>REL5</w:t>
            </w:r>
          </w:p>
        </w:tc>
        <w:tc>
          <w:tcPr>
            <w:tcW w:w="3012" w:type="dxa"/>
            <w:vAlign w:val="bottom"/>
          </w:tcPr>
          <w:p w14:paraId="5497B045" w14:textId="77777777" w:rsidR="000C163F" w:rsidRPr="00A46B49" w:rsidRDefault="000C163F" w:rsidP="00345ED0">
            <w:pPr>
              <w:autoSpaceDE w:val="0"/>
              <w:autoSpaceDN w:val="0"/>
              <w:adjustRightInd w:val="0"/>
              <w:spacing w:line="240" w:lineRule="auto"/>
              <w:jc w:val="center"/>
            </w:pPr>
            <w:r w:rsidRPr="00A46B49">
              <w:t>0.848</w:t>
            </w:r>
          </w:p>
        </w:tc>
      </w:tr>
      <w:tr w:rsidR="00A46B49" w:rsidRPr="00A46B49" w14:paraId="7BE6EDCA" w14:textId="77777777" w:rsidTr="00345ED0">
        <w:trPr>
          <w:jc w:val="center"/>
        </w:trPr>
        <w:tc>
          <w:tcPr>
            <w:tcW w:w="2235" w:type="dxa"/>
          </w:tcPr>
          <w:p w14:paraId="1BE1F4AA" w14:textId="77777777" w:rsidR="000C163F" w:rsidRPr="00A46B49" w:rsidRDefault="000C163F" w:rsidP="00345ED0">
            <w:pPr>
              <w:autoSpaceDE w:val="0"/>
              <w:autoSpaceDN w:val="0"/>
              <w:adjustRightInd w:val="0"/>
              <w:spacing w:line="240" w:lineRule="auto"/>
            </w:pPr>
          </w:p>
        </w:tc>
        <w:tc>
          <w:tcPr>
            <w:tcW w:w="2409" w:type="dxa"/>
            <w:vAlign w:val="bottom"/>
          </w:tcPr>
          <w:p w14:paraId="4673CDF0" w14:textId="77777777" w:rsidR="000C163F" w:rsidRPr="00A46B49" w:rsidRDefault="000C163F" w:rsidP="00345ED0">
            <w:pPr>
              <w:autoSpaceDE w:val="0"/>
              <w:autoSpaceDN w:val="0"/>
              <w:adjustRightInd w:val="0"/>
              <w:spacing w:line="240" w:lineRule="auto"/>
            </w:pPr>
            <w:r w:rsidRPr="00A46B49">
              <w:t>REL6</w:t>
            </w:r>
          </w:p>
        </w:tc>
        <w:tc>
          <w:tcPr>
            <w:tcW w:w="3012" w:type="dxa"/>
            <w:vAlign w:val="bottom"/>
          </w:tcPr>
          <w:p w14:paraId="63B04228" w14:textId="77777777" w:rsidR="000C163F" w:rsidRPr="00A46B49" w:rsidRDefault="000C163F" w:rsidP="00345ED0">
            <w:pPr>
              <w:autoSpaceDE w:val="0"/>
              <w:autoSpaceDN w:val="0"/>
              <w:adjustRightInd w:val="0"/>
              <w:spacing w:line="240" w:lineRule="auto"/>
              <w:jc w:val="center"/>
            </w:pPr>
            <w:r w:rsidRPr="00A46B49">
              <w:t>0.912</w:t>
            </w:r>
          </w:p>
        </w:tc>
      </w:tr>
      <w:tr w:rsidR="00A46B49" w:rsidRPr="00A46B49" w14:paraId="03BE3076" w14:textId="77777777" w:rsidTr="00345ED0">
        <w:trPr>
          <w:jc w:val="center"/>
        </w:trPr>
        <w:tc>
          <w:tcPr>
            <w:tcW w:w="2235" w:type="dxa"/>
          </w:tcPr>
          <w:p w14:paraId="653D68D9" w14:textId="77777777" w:rsidR="000C163F" w:rsidRPr="00A46B49" w:rsidRDefault="000C163F" w:rsidP="00345ED0">
            <w:pPr>
              <w:autoSpaceDE w:val="0"/>
              <w:autoSpaceDN w:val="0"/>
              <w:adjustRightInd w:val="0"/>
              <w:spacing w:line="240" w:lineRule="auto"/>
            </w:pPr>
          </w:p>
        </w:tc>
        <w:tc>
          <w:tcPr>
            <w:tcW w:w="2409" w:type="dxa"/>
            <w:vAlign w:val="bottom"/>
          </w:tcPr>
          <w:p w14:paraId="7FEC4071" w14:textId="77777777" w:rsidR="000C163F" w:rsidRPr="00A46B49" w:rsidRDefault="000C163F" w:rsidP="00345ED0">
            <w:pPr>
              <w:autoSpaceDE w:val="0"/>
              <w:autoSpaceDN w:val="0"/>
              <w:adjustRightInd w:val="0"/>
              <w:spacing w:line="240" w:lineRule="auto"/>
            </w:pPr>
            <w:r w:rsidRPr="00A46B49">
              <w:t>REL7</w:t>
            </w:r>
          </w:p>
        </w:tc>
        <w:tc>
          <w:tcPr>
            <w:tcW w:w="3012" w:type="dxa"/>
            <w:vAlign w:val="bottom"/>
          </w:tcPr>
          <w:p w14:paraId="257139AC" w14:textId="77777777" w:rsidR="000C163F" w:rsidRPr="00A46B49" w:rsidRDefault="000C163F" w:rsidP="00345ED0">
            <w:pPr>
              <w:autoSpaceDE w:val="0"/>
              <w:autoSpaceDN w:val="0"/>
              <w:adjustRightInd w:val="0"/>
              <w:spacing w:line="240" w:lineRule="auto"/>
              <w:jc w:val="center"/>
            </w:pPr>
            <w:r w:rsidRPr="00A46B49">
              <w:t>0.909</w:t>
            </w:r>
          </w:p>
        </w:tc>
      </w:tr>
      <w:tr w:rsidR="00A46B49" w:rsidRPr="00A46B49" w14:paraId="21CE72EA" w14:textId="77777777" w:rsidTr="00345ED0">
        <w:trPr>
          <w:jc w:val="center"/>
        </w:trPr>
        <w:tc>
          <w:tcPr>
            <w:tcW w:w="2235" w:type="dxa"/>
          </w:tcPr>
          <w:p w14:paraId="3255E274" w14:textId="77777777" w:rsidR="000C163F" w:rsidRPr="00A46B49" w:rsidRDefault="000C163F" w:rsidP="00345ED0">
            <w:pPr>
              <w:autoSpaceDE w:val="0"/>
              <w:autoSpaceDN w:val="0"/>
              <w:adjustRightInd w:val="0"/>
              <w:spacing w:line="240" w:lineRule="auto"/>
            </w:pPr>
          </w:p>
        </w:tc>
        <w:tc>
          <w:tcPr>
            <w:tcW w:w="2409" w:type="dxa"/>
            <w:vAlign w:val="bottom"/>
          </w:tcPr>
          <w:p w14:paraId="23DD4FD6" w14:textId="77777777" w:rsidR="000C163F" w:rsidRPr="00A46B49" w:rsidRDefault="000C163F" w:rsidP="00345ED0">
            <w:pPr>
              <w:autoSpaceDE w:val="0"/>
              <w:autoSpaceDN w:val="0"/>
              <w:adjustRightInd w:val="0"/>
              <w:spacing w:line="240" w:lineRule="auto"/>
            </w:pPr>
            <w:r w:rsidRPr="00A46B49">
              <w:t>REL8</w:t>
            </w:r>
          </w:p>
        </w:tc>
        <w:tc>
          <w:tcPr>
            <w:tcW w:w="3012" w:type="dxa"/>
            <w:vAlign w:val="bottom"/>
          </w:tcPr>
          <w:p w14:paraId="7C4C9A75" w14:textId="77777777" w:rsidR="000C163F" w:rsidRPr="00A46B49" w:rsidRDefault="000C163F" w:rsidP="00345ED0">
            <w:pPr>
              <w:autoSpaceDE w:val="0"/>
              <w:autoSpaceDN w:val="0"/>
              <w:adjustRightInd w:val="0"/>
              <w:spacing w:line="240" w:lineRule="auto"/>
              <w:jc w:val="center"/>
            </w:pPr>
            <w:r w:rsidRPr="00A46B49">
              <w:t>0.813</w:t>
            </w:r>
          </w:p>
        </w:tc>
      </w:tr>
      <w:tr w:rsidR="00A46B49" w:rsidRPr="00A46B49" w14:paraId="485A214B" w14:textId="77777777" w:rsidTr="00345ED0">
        <w:trPr>
          <w:jc w:val="center"/>
        </w:trPr>
        <w:tc>
          <w:tcPr>
            <w:tcW w:w="2235" w:type="dxa"/>
            <w:tcBorders>
              <w:bottom w:val="single" w:sz="4" w:space="0" w:color="auto"/>
            </w:tcBorders>
          </w:tcPr>
          <w:p w14:paraId="081B50F4" w14:textId="77777777" w:rsidR="000C163F" w:rsidRPr="00A46B49" w:rsidRDefault="000C163F" w:rsidP="00345ED0">
            <w:pPr>
              <w:autoSpaceDE w:val="0"/>
              <w:autoSpaceDN w:val="0"/>
              <w:adjustRightInd w:val="0"/>
              <w:spacing w:line="240" w:lineRule="auto"/>
            </w:pPr>
          </w:p>
        </w:tc>
        <w:tc>
          <w:tcPr>
            <w:tcW w:w="2409" w:type="dxa"/>
            <w:tcBorders>
              <w:bottom w:val="single" w:sz="4" w:space="0" w:color="auto"/>
            </w:tcBorders>
            <w:vAlign w:val="bottom"/>
          </w:tcPr>
          <w:p w14:paraId="1AFD613B" w14:textId="77777777" w:rsidR="000C163F" w:rsidRPr="00A46B49" w:rsidRDefault="000C163F" w:rsidP="00345ED0">
            <w:pPr>
              <w:autoSpaceDE w:val="0"/>
              <w:autoSpaceDN w:val="0"/>
              <w:adjustRightInd w:val="0"/>
              <w:spacing w:line="240" w:lineRule="auto"/>
            </w:pPr>
            <w:r w:rsidRPr="00A46B49">
              <w:t>REL10</w:t>
            </w:r>
          </w:p>
        </w:tc>
        <w:tc>
          <w:tcPr>
            <w:tcW w:w="3012" w:type="dxa"/>
            <w:tcBorders>
              <w:bottom w:val="single" w:sz="4" w:space="0" w:color="auto"/>
            </w:tcBorders>
            <w:vAlign w:val="bottom"/>
          </w:tcPr>
          <w:p w14:paraId="0587DDF1" w14:textId="77777777" w:rsidR="000C163F" w:rsidRPr="00A46B49" w:rsidRDefault="000C163F" w:rsidP="00345ED0">
            <w:pPr>
              <w:autoSpaceDE w:val="0"/>
              <w:autoSpaceDN w:val="0"/>
              <w:adjustRightInd w:val="0"/>
              <w:spacing w:line="240" w:lineRule="auto"/>
              <w:jc w:val="center"/>
            </w:pPr>
            <w:r w:rsidRPr="00A46B49">
              <w:t>0.733</w:t>
            </w:r>
          </w:p>
        </w:tc>
      </w:tr>
    </w:tbl>
    <w:p w14:paraId="44BC23AC" w14:textId="77777777" w:rsidR="000C163F" w:rsidRPr="00A46B49" w:rsidRDefault="000C163F" w:rsidP="000C163F">
      <w:pPr>
        <w:pStyle w:val="ListParagraph"/>
        <w:rPr>
          <w:rFonts w:ascii="Times New Roman" w:hAnsi="Times New Roman"/>
        </w:rPr>
      </w:pPr>
    </w:p>
    <w:p w14:paraId="1F2738EA" w14:textId="479DCE9B" w:rsidR="000C163F" w:rsidRPr="00A46B49" w:rsidRDefault="000C163F" w:rsidP="000C163F">
      <w:pPr>
        <w:autoSpaceDE w:val="0"/>
        <w:autoSpaceDN w:val="0"/>
        <w:adjustRightInd w:val="0"/>
        <w:spacing w:line="240" w:lineRule="auto"/>
        <w:rPr>
          <w:lang w:val="en-MY"/>
        </w:rPr>
      </w:pPr>
      <w:r w:rsidRPr="00A46B49">
        <w:rPr>
          <w:lang w:val="en-MY"/>
        </w:rPr>
        <w:t xml:space="preserve">Hair </w:t>
      </w:r>
      <w:r w:rsidR="00345ED0">
        <w:rPr>
          <w:lang w:val="en-MY"/>
        </w:rPr>
        <w:t>et al.</w:t>
      </w:r>
      <w:r w:rsidRPr="00A46B49">
        <w:rPr>
          <w:lang w:val="en-MY"/>
        </w:rPr>
        <w:t xml:space="preserve"> (2011) suggested that the quality of the measurement model should be assessed by examining convergent validity, which includes indicator loadings, average variance extracted (AVE), </w:t>
      </w:r>
      <w:r w:rsidR="00345ED0">
        <w:rPr>
          <w:lang w:val="en-MY"/>
        </w:rPr>
        <w:t>composite reliability (CR), and Cronbach's</w:t>
      </w:r>
      <w:r w:rsidRPr="00A46B49">
        <w:rPr>
          <w:lang w:val="en-MY"/>
        </w:rPr>
        <w:t xml:space="preserve"> Alpha (CA). Based on the results presented above, one (1) item (REL9) was deleted due to its low factor loading of 0.445, which was below the recommended threshold. After </w:t>
      </w:r>
      <w:r w:rsidR="00345ED0">
        <w:rPr>
          <w:lang w:val="en-MY"/>
        </w:rPr>
        <w:t xml:space="preserve">removing this item, the results indicate that all remaining indicator loadings exceeded the recommended minimum </w:t>
      </w:r>
      <w:r w:rsidRPr="00A46B49">
        <w:rPr>
          <w:lang w:val="en-MY"/>
        </w:rPr>
        <w:t xml:space="preserve">of 0.50 (Hair </w:t>
      </w:r>
      <w:r w:rsidR="00345ED0">
        <w:rPr>
          <w:lang w:val="en-MY"/>
        </w:rPr>
        <w:t>et al.</w:t>
      </w:r>
      <w:r w:rsidRPr="00A46B49">
        <w:rPr>
          <w:lang w:val="en-MY"/>
        </w:rPr>
        <w:t xml:space="preserve">, 2009), thereby confirming adequate convergent validity for the measurement model. </w:t>
      </w:r>
    </w:p>
    <w:p w14:paraId="3EBF27A6" w14:textId="77777777" w:rsidR="000C163F" w:rsidRPr="00A46B49" w:rsidRDefault="000C163F" w:rsidP="000C163F">
      <w:pPr>
        <w:autoSpaceDE w:val="0"/>
        <w:autoSpaceDN w:val="0"/>
        <w:adjustRightInd w:val="0"/>
        <w:spacing w:line="240" w:lineRule="auto"/>
        <w:rPr>
          <w:lang w:val="en-MY"/>
        </w:rPr>
      </w:pPr>
    </w:p>
    <w:p w14:paraId="4660DF73" w14:textId="77777777" w:rsidR="000C163F" w:rsidRPr="00A46B49" w:rsidRDefault="000C163F" w:rsidP="000C163F">
      <w:pPr>
        <w:autoSpaceDE w:val="0"/>
        <w:autoSpaceDN w:val="0"/>
        <w:adjustRightInd w:val="0"/>
        <w:spacing w:line="240" w:lineRule="auto"/>
      </w:pPr>
    </w:p>
    <w:p w14:paraId="0D6917F2" w14:textId="5CB81A77" w:rsidR="000C163F" w:rsidRPr="00A46B49" w:rsidRDefault="000C163F" w:rsidP="000C163F">
      <w:pPr>
        <w:autoSpaceDE w:val="0"/>
        <w:autoSpaceDN w:val="0"/>
        <w:adjustRightInd w:val="0"/>
        <w:spacing w:line="240" w:lineRule="auto"/>
        <w:jc w:val="center"/>
        <w:rPr>
          <w:lang w:val="en-MY"/>
        </w:rPr>
      </w:pPr>
      <w:r w:rsidRPr="00A46B49">
        <w:rPr>
          <w:lang w:val="en-MY"/>
        </w:rPr>
        <w:t>Table 4.2 Average Varian Extract, Cronbach Alpha</w:t>
      </w:r>
      <w:r w:rsidR="00345ED0">
        <w:rPr>
          <w:lang w:val="en-MY"/>
        </w:rPr>
        <w:t>,</w:t>
      </w:r>
      <w:r w:rsidRPr="00A46B49">
        <w:rPr>
          <w:lang w:val="en-MY"/>
        </w:rPr>
        <w:t xml:space="preserve"> and Composite Reliability Result</w:t>
      </w:r>
    </w:p>
    <w:p w14:paraId="13C8583D" w14:textId="77777777" w:rsidR="000C163F" w:rsidRPr="00A46B49" w:rsidRDefault="000C163F" w:rsidP="000C163F">
      <w:pPr>
        <w:autoSpaceDE w:val="0"/>
        <w:autoSpaceDN w:val="0"/>
        <w:adjustRightInd w:val="0"/>
        <w:spacing w:line="240" w:lineRule="auto"/>
        <w:rPr>
          <w:lang w:val="en-MY"/>
        </w:rPr>
      </w:pPr>
    </w:p>
    <w:tbl>
      <w:tblPr>
        <w:tblW w:w="8080" w:type="dxa"/>
        <w:tblInd w:w="817" w:type="dxa"/>
        <w:tblLook w:val="04A0" w:firstRow="1" w:lastRow="0" w:firstColumn="1" w:lastColumn="0" w:noHBand="0" w:noVBand="1"/>
      </w:tblPr>
      <w:tblGrid>
        <w:gridCol w:w="1701"/>
        <w:gridCol w:w="2422"/>
        <w:gridCol w:w="1985"/>
        <w:gridCol w:w="1972"/>
      </w:tblGrid>
      <w:tr w:rsidR="00A46B49" w:rsidRPr="00A46B49" w14:paraId="5B9AE00F" w14:textId="77777777" w:rsidTr="0095338E">
        <w:trPr>
          <w:trHeight w:val="290"/>
        </w:trPr>
        <w:tc>
          <w:tcPr>
            <w:tcW w:w="1701" w:type="dxa"/>
            <w:tcBorders>
              <w:top w:val="single" w:sz="4" w:space="0" w:color="auto"/>
              <w:bottom w:val="single" w:sz="4" w:space="0" w:color="auto"/>
            </w:tcBorders>
            <w:noWrap/>
            <w:vAlign w:val="bottom"/>
            <w:hideMark/>
          </w:tcPr>
          <w:p w14:paraId="07EDCDEB" w14:textId="77777777" w:rsidR="000C163F" w:rsidRPr="00A46B49" w:rsidRDefault="000C163F" w:rsidP="0095338E">
            <w:pPr>
              <w:autoSpaceDE w:val="0"/>
              <w:autoSpaceDN w:val="0"/>
              <w:adjustRightInd w:val="0"/>
              <w:spacing w:line="240" w:lineRule="auto"/>
              <w:rPr>
                <w:lang w:val="en-MY"/>
              </w:rPr>
            </w:pPr>
          </w:p>
        </w:tc>
        <w:tc>
          <w:tcPr>
            <w:tcW w:w="2422" w:type="dxa"/>
            <w:tcBorders>
              <w:top w:val="single" w:sz="4" w:space="0" w:color="auto"/>
              <w:bottom w:val="single" w:sz="4" w:space="0" w:color="auto"/>
            </w:tcBorders>
            <w:noWrap/>
            <w:vAlign w:val="bottom"/>
          </w:tcPr>
          <w:p w14:paraId="490154DC" w14:textId="77777777" w:rsidR="000C163F" w:rsidRPr="00A46B49" w:rsidRDefault="000C163F" w:rsidP="0095338E">
            <w:pPr>
              <w:autoSpaceDE w:val="0"/>
              <w:autoSpaceDN w:val="0"/>
              <w:adjustRightInd w:val="0"/>
              <w:spacing w:line="240" w:lineRule="auto"/>
              <w:rPr>
                <w:b/>
                <w:bCs/>
                <w:lang w:val="en-MY"/>
              </w:rPr>
            </w:pPr>
            <w:r w:rsidRPr="00A46B49">
              <w:rPr>
                <w:b/>
                <w:bCs/>
                <w:lang w:val="en-MY"/>
              </w:rPr>
              <w:t>Average Varian Extract</w:t>
            </w:r>
          </w:p>
          <w:p w14:paraId="5321675E" w14:textId="77777777" w:rsidR="000C163F" w:rsidRPr="00A46B49" w:rsidRDefault="000C163F" w:rsidP="0095338E">
            <w:pPr>
              <w:autoSpaceDE w:val="0"/>
              <w:autoSpaceDN w:val="0"/>
              <w:adjustRightInd w:val="0"/>
              <w:spacing w:line="240" w:lineRule="auto"/>
              <w:rPr>
                <w:b/>
                <w:bCs/>
                <w:lang w:val="en-MY"/>
              </w:rPr>
            </w:pPr>
            <w:r w:rsidRPr="00A46B49">
              <w:rPr>
                <w:b/>
                <w:bCs/>
                <w:lang w:val="en-MY"/>
              </w:rPr>
              <w:t xml:space="preserve">(AVE) </w:t>
            </w:r>
          </w:p>
        </w:tc>
        <w:tc>
          <w:tcPr>
            <w:tcW w:w="1985" w:type="dxa"/>
            <w:tcBorders>
              <w:top w:val="single" w:sz="4" w:space="0" w:color="auto"/>
              <w:bottom w:val="single" w:sz="4" w:space="0" w:color="auto"/>
            </w:tcBorders>
            <w:noWrap/>
            <w:vAlign w:val="bottom"/>
          </w:tcPr>
          <w:p w14:paraId="43876D1F" w14:textId="54EEF5B0" w:rsidR="000C163F" w:rsidRPr="00A46B49" w:rsidRDefault="00345ED0" w:rsidP="0095338E">
            <w:pPr>
              <w:autoSpaceDE w:val="0"/>
              <w:autoSpaceDN w:val="0"/>
              <w:adjustRightInd w:val="0"/>
              <w:spacing w:line="240" w:lineRule="auto"/>
              <w:rPr>
                <w:b/>
                <w:bCs/>
                <w:lang w:val="en-MY"/>
              </w:rPr>
            </w:pPr>
            <w:r>
              <w:rPr>
                <w:b/>
                <w:bCs/>
                <w:lang w:val="en-MY"/>
              </w:rPr>
              <w:t>Cronbach's Alpha</w:t>
            </w:r>
            <w:r w:rsidR="000C163F" w:rsidRPr="00A46B49">
              <w:rPr>
                <w:b/>
                <w:bCs/>
                <w:lang w:val="en-MY"/>
              </w:rPr>
              <w:t xml:space="preserve"> (CA)</w:t>
            </w:r>
          </w:p>
        </w:tc>
        <w:tc>
          <w:tcPr>
            <w:tcW w:w="1972" w:type="dxa"/>
            <w:tcBorders>
              <w:top w:val="single" w:sz="4" w:space="0" w:color="auto"/>
              <w:bottom w:val="single" w:sz="4" w:space="0" w:color="auto"/>
            </w:tcBorders>
            <w:noWrap/>
            <w:vAlign w:val="bottom"/>
          </w:tcPr>
          <w:p w14:paraId="3D720E49" w14:textId="77777777" w:rsidR="000C163F" w:rsidRPr="00A46B49" w:rsidRDefault="000C163F" w:rsidP="0095338E">
            <w:pPr>
              <w:autoSpaceDE w:val="0"/>
              <w:autoSpaceDN w:val="0"/>
              <w:adjustRightInd w:val="0"/>
              <w:spacing w:line="240" w:lineRule="auto"/>
              <w:rPr>
                <w:b/>
                <w:bCs/>
                <w:lang w:val="en-MY"/>
              </w:rPr>
            </w:pPr>
            <w:r w:rsidRPr="00A46B49">
              <w:rPr>
                <w:b/>
                <w:bCs/>
                <w:lang w:val="en-MY"/>
              </w:rPr>
              <w:t>Composite Reliability (CR)</w:t>
            </w:r>
          </w:p>
        </w:tc>
      </w:tr>
      <w:tr w:rsidR="00A46B49" w:rsidRPr="00A46B49" w14:paraId="21702E8E" w14:textId="77777777" w:rsidTr="0095338E">
        <w:trPr>
          <w:trHeight w:val="290"/>
        </w:trPr>
        <w:tc>
          <w:tcPr>
            <w:tcW w:w="1701" w:type="dxa"/>
            <w:tcBorders>
              <w:top w:val="single" w:sz="4" w:space="0" w:color="auto"/>
            </w:tcBorders>
            <w:noWrap/>
            <w:vAlign w:val="bottom"/>
          </w:tcPr>
          <w:p w14:paraId="5F927B9C" w14:textId="77777777" w:rsidR="000C163F" w:rsidRPr="00A46B49" w:rsidRDefault="000C163F" w:rsidP="0095338E">
            <w:pPr>
              <w:autoSpaceDE w:val="0"/>
              <w:autoSpaceDN w:val="0"/>
              <w:adjustRightInd w:val="0"/>
              <w:spacing w:line="240" w:lineRule="auto"/>
              <w:rPr>
                <w:lang w:val="en-MY"/>
              </w:rPr>
            </w:pPr>
            <w:r w:rsidRPr="00A46B49">
              <w:rPr>
                <w:lang w:val="en-MY"/>
              </w:rPr>
              <w:t>Workload</w:t>
            </w:r>
          </w:p>
        </w:tc>
        <w:tc>
          <w:tcPr>
            <w:tcW w:w="2422" w:type="dxa"/>
            <w:tcBorders>
              <w:top w:val="single" w:sz="4" w:space="0" w:color="auto"/>
            </w:tcBorders>
            <w:noWrap/>
            <w:vAlign w:val="bottom"/>
          </w:tcPr>
          <w:p w14:paraId="119CF98C" w14:textId="77777777" w:rsidR="000C163F" w:rsidRPr="00A46B49" w:rsidRDefault="000C163F" w:rsidP="0095338E">
            <w:pPr>
              <w:autoSpaceDE w:val="0"/>
              <w:autoSpaceDN w:val="0"/>
              <w:adjustRightInd w:val="0"/>
              <w:spacing w:line="240" w:lineRule="auto"/>
              <w:rPr>
                <w:lang w:val="en-MY"/>
              </w:rPr>
            </w:pPr>
            <w:r w:rsidRPr="00A46B49">
              <w:rPr>
                <w:lang w:val="en-MY"/>
              </w:rPr>
              <w:t>0.711</w:t>
            </w:r>
          </w:p>
        </w:tc>
        <w:tc>
          <w:tcPr>
            <w:tcW w:w="1985" w:type="dxa"/>
            <w:tcBorders>
              <w:top w:val="single" w:sz="4" w:space="0" w:color="auto"/>
            </w:tcBorders>
            <w:noWrap/>
            <w:vAlign w:val="bottom"/>
          </w:tcPr>
          <w:p w14:paraId="4E1E3C96" w14:textId="77777777" w:rsidR="000C163F" w:rsidRPr="00A46B49" w:rsidRDefault="000C163F" w:rsidP="0095338E">
            <w:pPr>
              <w:autoSpaceDE w:val="0"/>
              <w:autoSpaceDN w:val="0"/>
              <w:adjustRightInd w:val="0"/>
              <w:spacing w:line="240" w:lineRule="auto"/>
              <w:rPr>
                <w:lang w:val="en-MY"/>
              </w:rPr>
            </w:pPr>
            <w:r w:rsidRPr="00A46B49">
              <w:rPr>
                <w:lang w:val="en-MY"/>
              </w:rPr>
              <w:t>0.862</w:t>
            </w:r>
          </w:p>
        </w:tc>
        <w:tc>
          <w:tcPr>
            <w:tcW w:w="1972" w:type="dxa"/>
            <w:tcBorders>
              <w:top w:val="single" w:sz="4" w:space="0" w:color="auto"/>
            </w:tcBorders>
            <w:noWrap/>
            <w:vAlign w:val="bottom"/>
          </w:tcPr>
          <w:p w14:paraId="79072054" w14:textId="77777777" w:rsidR="000C163F" w:rsidRPr="00A46B49" w:rsidRDefault="000C163F" w:rsidP="0095338E">
            <w:pPr>
              <w:autoSpaceDE w:val="0"/>
              <w:autoSpaceDN w:val="0"/>
              <w:adjustRightInd w:val="0"/>
              <w:spacing w:line="240" w:lineRule="auto"/>
              <w:rPr>
                <w:lang w:val="en-MY"/>
              </w:rPr>
            </w:pPr>
            <w:r w:rsidRPr="00A46B49">
              <w:rPr>
                <w:lang w:val="en-MY"/>
              </w:rPr>
              <w:t>0.907</w:t>
            </w:r>
          </w:p>
        </w:tc>
      </w:tr>
      <w:tr w:rsidR="00A46B49" w:rsidRPr="00A46B49" w14:paraId="5D34EF48" w14:textId="77777777" w:rsidTr="0095338E">
        <w:trPr>
          <w:trHeight w:val="290"/>
        </w:trPr>
        <w:tc>
          <w:tcPr>
            <w:tcW w:w="1701" w:type="dxa"/>
            <w:noWrap/>
            <w:vAlign w:val="bottom"/>
            <w:hideMark/>
          </w:tcPr>
          <w:p w14:paraId="67B6B0C3" w14:textId="77777777" w:rsidR="000C163F" w:rsidRPr="00A46B49" w:rsidRDefault="000C163F" w:rsidP="0095338E">
            <w:pPr>
              <w:autoSpaceDE w:val="0"/>
              <w:autoSpaceDN w:val="0"/>
              <w:adjustRightInd w:val="0"/>
              <w:spacing w:line="240" w:lineRule="auto"/>
              <w:rPr>
                <w:lang w:val="en-MY"/>
              </w:rPr>
            </w:pPr>
            <w:r w:rsidRPr="00A46B49">
              <w:rPr>
                <w:lang w:val="en-MY"/>
              </w:rPr>
              <w:t>Role conflict</w:t>
            </w:r>
          </w:p>
        </w:tc>
        <w:tc>
          <w:tcPr>
            <w:tcW w:w="2422" w:type="dxa"/>
            <w:noWrap/>
            <w:vAlign w:val="bottom"/>
          </w:tcPr>
          <w:p w14:paraId="66A80500" w14:textId="77777777" w:rsidR="000C163F" w:rsidRPr="00A46B49" w:rsidRDefault="000C163F" w:rsidP="0095338E">
            <w:pPr>
              <w:autoSpaceDE w:val="0"/>
              <w:autoSpaceDN w:val="0"/>
              <w:adjustRightInd w:val="0"/>
              <w:spacing w:line="240" w:lineRule="auto"/>
              <w:rPr>
                <w:lang w:val="en-MY"/>
              </w:rPr>
            </w:pPr>
            <w:r w:rsidRPr="00A46B49">
              <w:rPr>
                <w:lang w:val="en-MY"/>
              </w:rPr>
              <w:t>0.816</w:t>
            </w:r>
          </w:p>
        </w:tc>
        <w:tc>
          <w:tcPr>
            <w:tcW w:w="1985" w:type="dxa"/>
            <w:noWrap/>
            <w:vAlign w:val="bottom"/>
          </w:tcPr>
          <w:p w14:paraId="56D4BADF" w14:textId="77777777" w:rsidR="000C163F" w:rsidRPr="00A46B49" w:rsidRDefault="000C163F" w:rsidP="0095338E">
            <w:pPr>
              <w:autoSpaceDE w:val="0"/>
              <w:autoSpaceDN w:val="0"/>
              <w:adjustRightInd w:val="0"/>
              <w:spacing w:line="240" w:lineRule="auto"/>
              <w:rPr>
                <w:lang w:val="en-MY"/>
              </w:rPr>
            </w:pPr>
            <w:r w:rsidRPr="00A46B49">
              <w:rPr>
                <w:lang w:val="en-MY"/>
              </w:rPr>
              <w:t>0.887</w:t>
            </w:r>
          </w:p>
        </w:tc>
        <w:tc>
          <w:tcPr>
            <w:tcW w:w="1972" w:type="dxa"/>
            <w:noWrap/>
            <w:vAlign w:val="bottom"/>
          </w:tcPr>
          <w:p w14:paraId="3A11F01A" w14:textId="77777777" w:rsidR="000C163F" w:rsidRPr="00A46B49" w:rsidRDefault="000C163F" w:rsidP="0095338E">
            <w:pPr>
              <w:autoSpaceDE w:val="0"/>
              <w:autoSpaceDN w:val="0"/>
              <w:adjustRightInd w:val="0"/>
              <w:spacing w:line="240" w:lineRule="auto"/>
              <w:rPr>
                <w:lang w:val="en-MY"/>
              </w:rPr>
            </w:pPr>
            <w:r w:rsidRPr="00A46B49">
              <w:rPr>
                <w:lang w:val="en-MY"/>
              </w:rPr>
              <w:t>0.930</w:t>
            </w:r>
          </w:p>
        </w:tc>
      </w:tr>
      <w:tr w:rsidR="00A46B49" w:rsidRPr="00A46B49" w14:paraId="33B51796" w14:textId="77777777" w:rsidTr="0095338E">
        <w:trPr>
          <w:trHeight w:val="290"/>
        </w:trPr>
        <w:tc>
          <w:tcPr>
            <w:tcW w:w="1701" w:type="dxa"/>
            <w:noWrap/>
            <w:vAlign w:val="bottom"/>
            <w:hideMark/>
          </w:tcPr>
          <w:p w14:paraId="52CC9531" w14:textId="77777777" w:rsidR="000C163F" w:rsidRPr="00A46B49" w:rsidRDefault="000C163F" w:rsidP="0095338E">
            <w:pPr>
              <w:autoSpaceDE w:val="0"/>
              <w:autoSpaceDN w:val="0"/>
              <w:adjustRightInd w:val="0"/>
              <w:spacing w:line="240" w:lineRule="auto"/>
              <w:rPr>
                <w:lang w:val="en-MY"/>
              </w:rPr>
            </w:pPr>
            <w:r w:rsidRPr="00A46B49">
              <w:rPr>
                <w:lang w:val="en-MY"/>
              </w:rPr>
              <w:t xml:space="preserve">Religious </w:t>
            </w:r>
          </w:p>
        </w:tc>
        <w:tc>
          <w:tcPr>
            <w:tcW w:w="2422" w:type="dxa"/>
            <w:noWrap/>
            <w:vAlign w:val="bottom"/>
          </w:tcPr>
          <w:p w14:paraId="0D845232" w14:textId="77777777" w:rsidR="000C163F" w:rsidRPr="00A46B49" w:rsidRDefault="000C163F" w:rsidP="0095338E">
            <w:pPr>
              <w:autoSpaceDE w:val="0"/>
              <w:autoSpaceDN w:val="0"/>
              <w:adjustRightInd w:val="0"/>
              <w:spacing w:line="240" w:lineRule="auto"/>
              <w:rPr>
                <w:lang w:val="en-MY"/>
              </w:rPr>
            </w:pPr>
            <w:r w:rsidRPr="00A46B49">
              <w:rPr>
                <w:lang w:val="en-MY"/>
              </w:rPr>
              <w:t>0.692</w:t>
            </w:r>
          </w:p>
        </w:tc>
        <w:tc>
          <w:tcPr>
            <w:tcW w:w="1985" w:type="dxa"/>
            <w:noWrap/>
            <w:vAlign w:val="bottom"/>
          </w:tcPr>
          <w:p w14:paraId="2851F007" w14:textId="77777777" w:rsidR="000C163F" w:rsidRPr="00A46B49" w:rsidRDefault="000C163F" w:rsidP="0095338E">
            <w:pPr>
              <w:autoSpaceDE w:val="0"/>
              <w:autoSpaceDN w:val="0"/>
              <w:adjustRightInd w:val="0"/>
              <w:spacing w:line="240" w:lineRule="auto"/>
              <w:rPr>
                <w:lang w:val="en-MY"/>
              </w:rPr>
            </w:pPr>
            <w:r w:rsidRPr="00A46B49">
              <w:rPr>
                <w:lang w:val="en-MY"/>
              </w:rPr>
              <w:t>0.945</w:t>
            </w:r>
          </w:p>
        </w:tc>
        <w:tc>
          <w:tcPr>
            <w:tcW w:w="1972" w:type="dxa"/>
            <w:noWrap/>
            <w:vAlign w:val="bottom"/>
          </w:tcPr>
          <w:p w14:paraId="6A72084B" w14:textId="77777777" w:rsidR="000C163F" w:rsidRPr="00A46B49" w:rsidRDefault="000C163F" w:rsidP="0095338E">
            <w:pPr>
              <w:autoSpaceDE w:val="0"/>
              <w:autoSpaceDN w:val="0"/>
              <w:adjustRightInd w:val="0"/>
              <w:spacing w:line="240" w:lineRule="auto"/>
              <w:rPr>
                <w:lang w:val="en-MY"/>
              </w:rPr>
            </w:pPr>
            <w:r w:rsidRPr="00A46B49">
              <w:rPr>
                <w:lang w:val="en-MY"/>
              </w:rPr>
              <w:t>0.953</w:t>
            </w:r>
          </w:p>
        </w:tc>
      </w:tr>
      <w:tr w:rsidR="00A46B49" w:rsidRPr="00A46B49" w14:paraId="18D3BAC8" w14:textId="77777777" w:rsidTr="0095338E">
        <w:trPr>
          <w:trHeight w:val="290"/>
        </w:trPr>
        <w:tc>
          <w:tcPr>
            <w:tcW w:w="1701" w:type="dxa"/>
            <w:tcBorders>
              <w:bottom w:val="single" w:sz="4" w:space="0" w:color="auto"/>
            </w:tcBorders>
            <w:noWrap/>
            <w:vAlign w:val="bottom"/>
            <w:hideMark/>
          </w:tcPr>
          <w:p w14:paraId="4556B660" w14:textId="77777777" w:rsidR="000C163F" w:rsidRPr="00A46B49" w:rsidRDefault="000C163F" w:rsidP="0095338E">
            <w:pPr>
              <w:autoSpaceDE w:val="0"/>
              <w:autoSpaceDN w:val="0"/>
              <w:adjustRightInd w:val="0"/>
              <w:spacing w:line="240" w:lineRule="auto"/>
              <w:rPr>
                <w:lang w:val="en-MY"/>
              </w:rPr>
            </w:pPr>
            <w:r w:rsidRPr="00A46B49">
              <w:rPr>
                <w:lang w:val="en-MY"/>
              </w:rPr>
              <w:t xml:space="preserve">Stress </w:t>
            </w:r>
          </w:p>
        </w:tc>
        <w:tc>
          <w:tcPr>
            <w:tcW w:w="2422" w:type="dxa"/>
            <w:tcBorders>
              <w:bottom w:val="single" w:sz="4" w:space="0" w:color="auto"/>
            </w:tcBorders>
            <w:noWrap/>
            <w:vAlign w:val="bottom"/>
          </w:tcPr>
          <w:p w14:paraId="2A9F5565" w14:textId="77777777" w:rsidR="000C163F" w:rsidRPr="00A46B49" w:rsidRDefault="000C163F" w:rsidP="0095338E">
            <w:pPr>
              <w:autoSpaceDE w:val="0"/>
              <w:autoSpaceDN w:val="0"/>
              <w:adjustRightInd w:val="0"/>
              <w:spacing w:line="240" w:lineRule="auto"/>
              <w:rPr>
                <w:lang w:val="en-MY"/>
              </w:rPr>
            </w:pPr>
            <w:r w:rsidRPr="00A46B49">
              <w:rPr>
                <w:lang w:val="en-MY"/>
              </w:rPr>
              <w:t>0.688</w:t>
            </w:r>
          </w:p>
        </w:tc>
        <w:tc>
          <w:tcPr>
            <w:tcW w:w="1985" w:type="dxa"/>
            <w:tcBorders>
              <w:bottom w:val="single" w:sz="4" w:space="0" w:color="auto"/>
            </w:tcBorders>
            <w:noWrap/>
            <w:vAlign w:val="bottom"/>
          </w:tcPr>
          <w:p w14:paraId="3D9BD956" w14:textId="77777777" w:rsidR="000C163F" w:rsidRPr="00A46B49" w:rsidRDefault="000C163F" w:rsidP="0095338E">
            <w:pPr>
              <w:autoSpaceDE w:val="0"/>
              <w:autoSpaceDN w:val="0"/>
              <w:adjustRightInd w:val="0"/>
              <w:spacing w:line="240" w:lineRule="auto"/>
              <w:rPr>
                <w:lang w:val="en-MY"/>
              </w:rPr>
            </w:pPr>
            <w:r w:rsidRPr="00A46B49">
              <w:rPr>
                <w:lang w:val="en-MY"/>
              </w:rPr>
              <w:t>0.909</w:t>
            </w:r>
          </w:p>
        </w:tc>
        <w:tc>
          <w:tcPr>
            <w:tcW w:w="1972" w:type="dxa"/>
            <w:tcBorders>
              <w:bottom w:val="single" w:sz="4" w:space="0" w:color="auto"/>
            </w:tcBorders>
            <w:noWrap/>
            <w:vAlign w:val="bottom"/>
          </w:tcPr>
          <w:p w14:paraId="1EED8353" w14:textId="77777777" w:rsidR="000C163F" w:rsidRPr="00A46B49" w:rsidRDefault="000C163F" w:rsidP="0095338E">
            <w:pPr>
              <w:autoSpaceDE w:val="0"/>
              <w:autoSpaceDN w:val="0"/>
              <w:adjustRightInd w:val="0"/>
              <w:spacing w:line="240" w:lineRule="auto"/>
              <w:rPr>
                <w:lang w:val="en-MY"/>
              </w:rPr>
            </w:pPr>
            <w:r w:rsidRPr="00A46B49">
              <w:rPr>
                <w:lang w:val="en-MY"/>
              </w:rPr>
              <w:t>0.930</w:t>
            </w:r>
          </w:p>
        </w:tc>
      </w:tr>
    </w:tbl>
    <w:p w14:paraId="0DB143E8" w14:textId="77777777" w:rsidR="000C163F" w:rsidRPr="00A46B49" w:rsidRDefault="000C163F" w:rsidP="000C163F">
      <w:pPr>
        <w:autoSpaceDE w:val="0"/>
        <w:autoSpaceDN w:val="0"/>
        <w:adjustRightInd w:val="0"/>
        <w:spacing w:line="240" w:lineRule="auto"/>
      </w:pPr>
    </w:p>
    <w:p w14:paraId="6486C610" w14:textId="77777777" w:rsidR="000C163F" w:rsidRPr="00A46B49" w:rsidRDefault="000C163F" w:rsidP="000C163F">
      <w:pPr>
        <w:autoSpaceDE w:val="0"/>
        <w:autoSpaceDN w:val="0"/>
        <w:adjustRightInd w:val="0"/>
        <w:spacing w:line="240" w:lineRule="auto"/>
      </w:pPr>
    </w:p>
    <w:p w14:paraId="21694927" w14:textId="77777777" w:rsidR="000C163F" w:rsidRPr="00A46B49" w:rsidRDefault="000C163F" w:rsidP="000C163F">
      <w:pPr>
        <w:autoSpaceDE w:val="0"/>
        <w:autoSpaceDN w:val="0"/>
        <w:adjustRightInd w:val="0"/>
        <w:spacing w:line="240" w:lineRule="auto"/>
        <w:rPr>
          <w:lang w:val="en-MY"/>
        </w:rPr>
      </w:pPr>
      <w:r w:rsidRPr="00A46B49">
        <w:rPr>
          <w:lang w:val="en-MY"/>
        </w:rPr>
        <w:t>Furthermore, the average variance extracted (AVE) values ranged from 0.688 to 0.816, exceeding the recommended threshold of 0.50. Cronbach’s alpha values ranged between 0.862 and 0.909, while composite reliability values ranged from 0.930 to 0.953, all of which surpassed the recommended minimum value of 0.70 (Hair et al., 2009). These findings confirm satisfactory convergent validity and internal consistency reliability of the measurement model.</w:t>
      </w:r>
    </w:p>
    <w:p w14:paraId="5F2821E0" w14:textId="77777777" w:rsidR="000C163F" w:rsidRPr="00A46B49" w:rsidRDefault="000C163F" w:rsidP="000C163F">
      <w:pPr>
        <w:autoSpaceDE w:val="0"/>
        <w:autoSpaceDN w:val="0"/>
        <w:adjustRightInd w:val="0"/>
        <w:spacing w:line="240" w:lineRule="auto"/>
        <w:rPr>
          <w:lang w:val="en-MY"/>
        </w:rPr>
      </w:pPr>
    </w:p>
    <w:p w14:paraId="21A87DDF" w14:textId="48F3ABC1" w:rsidR="000C163F" w:rsidRPr="00A46B49" w:rsidRDefault="000C163F" w:rsidP="000C163F">
      <w:pPr>
        <w:spacing w:line="240" w:lineRule="auto"/>
        <w:jc w:val="center"/>
        <w:rPr>
          <w:rFonts w:eastAsia="DengXian"/>
          <w:sz w:val="22"/>
          <w:szCs w:val="22"/>
          <w:lang w:val="en-MY"/>
        </w:rPr>
      </w:pPr>
      <w:r w:rsidRPr="00A46B49">
        <w:rPr>
          <w:rFonts w:eastAsia="DengXian"/>
          <w:sz w:val="22"/>
          <w:szCs w:val="22"/>
          <w:lang w:val="en-MY"/>
        </w:rPr>
        <w:t xml:space="preserve">Table 4.3 </w:t>
      </w:r>
      <w:proofErr w:type="spellStart"/>
      <w:r w:rsidRPr="00A46B49">
        <w:rPr>
          <w:rFonts w:eastAsia="DengXian"/>
          <w:sz w:val="22"/>
          <w:szCs w:val="22"/>
          <w:lang w:val="en-MY"/>
        </w:rPr>
        <w:t>Heterotrait-monotrait</w:t>
      </w:r>
      <w:proofErr w:type="spellEnd"/>
      <w:r w:rsidRPr="00A46B49">
        <w:rPr>
          <w:rFonts w:eastAsia="DengXian"/>
          <w:sz w:val="22"/>
          <w:szCs w:val="22"/>
          <w:lang w:val="en-MY"/>
        </w:rPr>
        <w:t xml:space="preserve"> </w:t>
      </w:r>
      <w:r w:rsidR="003E268A">
        <w:rPr>
          <w:rFonts w:eastAsia="DengXian"/>
          <w:sz w:val="22"/>
          <w:szCs w:val="22"/>
          <w:lang w:val="en-MY"/>
        </w:rPr>
        <w:t>R</w:t>
      </w:r>
      <w:r w:rsidRPr="00A46B49">
        <w:rPr>
          <w:rFonts w:eastAsia="DengXian"/>
          <w:sz w:val="22"/>
          <w:szCs w:val="22"/>
          <w:lang w:val="en-MY"/>
        </w:rPr>
        <w:t>atio (HTMT) Result</w:t>
      </w:r>
    </w:p>
    <w:p w14:paraId="57F19247" w14:textId="77777777" w:rsidR="000C163F" w:rsidRPr="00A46B49" w:rsidRDefault="000C163F" w:rsidP="000C163F">
      <w:pPr>
        <w:autoSpaceDE w:val="0"/>
        <w:autoSpaceDN w:val="0"/>
        <w:adjustRightInd w:val="0"/>
        <w:spacing w:line="240" w:lineRule="auto"/>
        <w:rPr>
          <w:lang w:val="en-MY"/>
        </w:rPr>
      </w:pPr>
    </w:p>
    <w:tbl>
      <w:tblPr>
        <w:tblW w:w="8222" w:type="dxa"/>
        <w:jc w:val="center"/>
        <w:tblLook w:val="04A0" w:firstRow="1" w:lastRow="0" w:firstColumn="1" w:lastColumn="0" w:noHBand="0" w:noVBand="1"/>
      </w:tblPr>
      <w:tblGrid>
        <w:gridCol w:w="1701"/>
        <w:gridCol w:w="1559"/>
        <w:gridCol w:w="1985"/>
        <w:gridCol w:w="1417"/>
        <w:gridCol w:w="1560"/>
      </w:tblGrid>
      <w:tr w:rsidR="00A46B49" w:rsidRPr="00A46B49" w14:paraId="3C1BE9B2" w14:textId="77777777" w:rsidTr="0095338E">
        <w:trPr>
          <w:trHeight w:val="290"/>
          <w:jc w:val="center"/>
        </w:trPr>
        <w:tc>
          <w:tcPr>
            <w:tcW w:w="1701" w:type="dxa"/>
            <w:tcBorders>
              <w:top w:val="single" w:sz="4" w:space="0" w:color="auto"/>
              <w:bottom w:val="single" w:sz="4" w:space="0" w:color="auto"/>
            </w:tcBorders>
            <w:noWrap/>
            <w:vAlign w:val="bottom"/>
            <w:hideMark/>
          </w:tcPr>
          <w:p w14:paraId="69858575" w14:textId="77777777" w:rsidR="000C163F" w:rsidRPr="00A46B49" w:rsidRDefault="000C163F" w:rsidP="0095338E">
            <w:pPr>
              <w:autoSpaceDE w:val="0"/>
              <w:autoSpaceDN w:val="0"/>
              <w:adjustRightInd w:val="0"/>
              <w:spacing w:line="240" w:lineRule="auto"/>
              <w:rPr>
                <w:lang w:val="en-MY"/>
              </w:rPr>
            </w:pPr>
          </w:p>
        </w:tc>
        <w:tc>
          <w:tcPr>
            <w:tcW w:w="1559" w:type="dxa"/>
            <w:tcBorders>
              <w:top w:val="single" w:sz="4" w:space="0" w:color="auto"/>
              <w:bottom w:val="single" w:sz="4" w:space="0" w:color="auto"/>
            </w:tcBorders>
            <w:noWrap/>
            <w:vAlign w:val="bottom"/>
            <w:hideMark/>
          </w:tcPr>
          <w:p w14:paraId="425DC746" w14:textId="77777777" w:rsidR="000C163F" w:rsidRPr="00A46B49" w:rsidRDefault="000C163F" w:rsidP="0095338E">
            <w:pPr>
              <w:autoSpaceDE w:val="0"/>
              <w:autoSpaceDN w:val="0"/>
              <w:adjustRightInd w:val="0"/>
              <w:spacing w:line="240" w:lineRule="auto"/>
              <w:rPr>
                <w:b/>
                <w:bCs/>
                <w:lang w:val="en-MY"/>
              </w:rPr>
            </w:pPr>
            <w:r w:rsidRPr="00A46B49">
              <w:rPr>
                <w:b/>
                <w:bCs/>
                <w:lang w:val="en-MY"/>
              </w:rPr>
              <w:t>Religious</w:t>
            </w:r>
          </w:p>
        </w:tc>
        <w:tc>
          <w:tcPr>
            <w:tcW w:w="1985" w:type="dxa"/>
            <w:tcBorders>
              <w:top w:val="single" w:sz="4" w:space="0" w:color="auto"/>
              <w:bottom w:val="single" w:sz="4" w:space="0" w:color="auto"/>
            </w:tcBorders>
            <w:noWrap/>
            <w:vAlign w:val="bottom"/>
            <w:hideMark/>
          </w:tcPr>
          <w:p w14:paraId="22B2A63E" w14:textId="77777777" w:rsidR="000C163F" w:rsidRPr="00A46B49" w:rsidRDefault="000C163F" w:rsidP="0095338E">
            <w:pPr>
              <w:autoSpaceDE w:val="0"/>
              <w:autoSpaceDN w:val="0"/>
              <w:adjustRightInd w:val="0"/>
              <w:spacing w:line="240" w:lineRule="auto"/>
              <w:rPr>
                <w:b/>
                <w:bCs/>
                <w:lang w:val="en-MY"/>
              </w:rPr>
            </w:pPr>
            <w:r w:rsidRPr="00A46B49">
              <w:rPr>
                <w:b/>
                <w:bCs/>
                <w:lang w:val="en-MY"/>
              </w:rPr>
              <w:t>Role Conflict</w:t>
            </w:r>
          </w:p>
        </w:tc>
        <w:tc>
          <w:tcPr>
            <w:tcW w:w="1417" w:type="dxa"/>
            <w:tcBorders>
              <w:top w:val="single" w:sz="4" w:space="0" w:color="auto"/>
              <w:bottom w:val="single" w:sz="4" w:space="0" w:color="auto"/>
            </w:tcBorders>
            <w:noWrap/>
            <w:vAlign w:val="bottom"/>
            <w:hideMark/>
          </w:tcPr>
          <w:p w14:paraId="3AA05BE2" w14:textId="77777777" w:rsidR="000C163F" w:rsidRPr="00A46B49" w:rsidRDefault="000C163F" w:rsidP="0095338E">
            <w:pPr>
              <w:autoSpaceDE w:val="0"/>
              <w:autoSpaceDN w:val="0"/>
              <w:adjustRightInd w:val="0"/>
              <w:spacing w:line="240" w:lineRule="auto"/>
              <w:rPr>
                <w:b/>
                <w:bCs/>
                <w:lang w:val="en-MY"/>
              </w:rPr>
            </w:pPr>
            <w:r w:rsidRPr="00A46B49">
              <w:rPr>
                <w:b/>
                <w:bCs/>
                <w:lang w:val="en-MY"/>
              </w:rPr>
              <w:t>Stress</w:t>
            </w:r>
          </w:p>
        </w:tc>
        <w:tc>
          <w:tcPr>
            <w:tcW w:w="1560" w:type="dxa"/>
            <w:tcBorders>
              <w:top w:val="single" w:sz="4" w:space="0" w:color="auto"/>
              <w:bottom w:val="single" w:sz="4" w:space="0" w:color="auto"/>
            </w:tcBorders>
            <w:noWrap/>
            <w:vAlign w:val="bottom"/>
            <w:hideMark/>
          </w:tcPr>
          <w:p w14:paraId="34F1D241" w14:textId="77777777" w:rsidR="000C163F" w:rsidRPr="00A46B49" w:rsidRDefault="000C163F" w:rsidP="0095338E">
            <w:pPr>
              <w:autoSpaceDE w:val="0"/>
              <w:autoSpaceDN w:val="0"/>
              <w:adjustRightInd w:val="0"/>
              <w:spacing w:line="240" w:lineRule="auto"/>
              <w:rPr>
                <w:b/>
                <w:bCs/>
                <w:lang w:val="en-MY"/>
              </w:rPr>
            </w:pPr>
            <w:r w:rsidRPr="00A46B49">
              <w:rPr>
                <w:b/>
                <w:bCs/>
                <w:lang w:val="en-MY"/>
              </w:rPr>
              <w:t>Workload</w:t>
            </w:r>
          </w:p>
        </w:tc>
      </w:tr>
      <w:tr w:rsidR="00A46B49" w:rsidRPr="00A46B49" w14:paraId="02789138" w14:textId="77777777" w:rsidTr="0095338E">
        <w:trPr>
          <w:trHeight w:val="290"/>
          <w:jc w:val="center"/>
        </w:trPr>
        <w:tc>
          <w:tcPr>
            <w:tcW w:w="1701" w:type="dxa"/>
            <w:tcBorders>
              <w:top w:val="single" w:sz="4" w:space="0" w:color="auto"/>
            </w:tcBorders>
            <w:noWrap/>
            <w:vAlign w:val="bottom"/>
          </w:tcPr>
          <w:p w14:paraId="15E12297" w14:textId="77777777" w:rsidR="000C163F" w:rsidRPr="00A46B49" w:rsidRDefault="000C163F" w:rsidP="0095338E">
            <w:pPr>
              <w:autoSpaceDE w:val="0"/>
              <w:autoSpaceDN w:val="0"/>
              <w:adjustRightInd w:val="0"/>
              <w:spacing w:line="240" w:lineRule="auto"/>
              <w:rPr>
                <w:lang w:val="en-MY"/>
              </w:rPr>
            </w:pPr>
            <w:r w:rsidRPr="00A46B49">
              <w:rPr>
                <w:lang w:val="en-MY"/>
              </w:rPr>
              <w:t>Religious</w:t>
            </w:r>
          </w:p>
        </w:tc>
        <w:tc>
          <w:tcPr>
            <w:tcW w:w="1559" w:type="dxa"/>
            <w:tcBorders>
              <w:top w:val="single" w:sz="4" w:space="0" w:color="auto"/>
            </w:tcBorders>
            <w:noWrap/>
            <w:vAlign w:val="bottom"/>
          </w:tcPr>
          <w:p w14:paraId="78F8B4EC" w14:textId="77777777" w:rsidR="000C163F" w:rsidRPr="00A46B49" w:rsidRDefault="000C163F" w:rsidP="0095338E">
            <w:pPr>
              <w:autoSpaceDE w:val="0"/>
              <w:autoSpaceDN w:val="0"/>
              <w:adjustRightInd w:val="0"/>
              <w:spacing w:line="240" w:lineRule="auto"/>
              <w:rPr>
                <w:lang w:val="en-MY"/>
              </w:rPr>
            </w:pPr>
          </w:p>
        </w:tc>
        <w:tc>
          <w:tcPr>
            <w:tcW w:w="1985" w:type="dxa"/>
            <w:tcBorders>
              <w:top w:val="single" w:sz="4" w:space="0" w:color="auto"/>
            </w:tcBorders>
            <w:noWrap/>
            <w:vAlign w:val="bottom"/>
          </w:tcPr>
          <w:p w14:paraId="7841B92B" w14:textId="77777777" w:rsidR="000C163F" w:rsidRPr="00A46B49" w:rsidRDefault="000C163F" w:rsidP="0095338E">
            <w:pPr>
              <w:autoSpaceDE w:val="0"/>
              <w:autoSpaceDN w:val="0"/>
              <w:adjustRightInd w:val="0"/>
              <w:spacing w:line="240" w:lineRule="auto"/>
              <w:rPr>
                <w:lang w:val="en-MY"/>
              </w:rPr>
            </w:pPr>
          </w:p>
        </w:tc>
        <w:tc>
          <w:tcPr>
            <w:tcW w:w="1417" w:type="dxa"/>
            <w:tcBorders>
              <w:top w:val="single" w:sz="4" w:space="0" w:color="auto"/>
            </w:tcBorders>
            <w:noWrap/>
            <w:vAlign w:val="bottom"/>
          </w:tcPr>
          <w:p w14:paraId="0C699525" w14:textId="77777777" w:rsidR="000C163F" w:rsidRPr="00A46B49" w:rsidRDefault="000C163F" w:rsidP="0095338E">
            <w:pPr>
              <w:autoSpaceDE w:val="0"/>
              <w:autoSpaceDN w:val="0"/>
              <w:adjustRightInd w:val="0"/>
              <w:spacing w:line="240" w:lineRule="auto"/>
              <w:rPr>
                <w:lang w:val="en-MY"/>
              </w:rPr>
            </w:pPr>
          </w:p>
        </w:tc>
        <w:tc>
          <w:tcPr>
            <w:tcW w:w="1560" w:type="dxa"/>
            <w:tcBorders>
              <w:top w:val="single" w:sz="4" w:space="0" w:color="auto"/>
            </w:tcBorders>
            <w:noWrap/>
            <w:vAlign w:val="bottom"/>
          </w:tcPr>
          <w:p w14:paraId="498B5CEB" w14:textId="77777777" w:rsidR="000C163F" w:rsidRPr="00A46B49" w:rsidRDefault="000C163F" w:rsidP="0095338E">
            <w:pPr>
              <w:autoSpaceDE w:val="0"/>
              <w:autoSpaceDN w:val="0"/>
              <w:adjustRightInd w:val="0"/>
              <w:spacing w:line="240" w:lineRule="auto"/>
              <w:rPr>
                <w:lang w:val="en-MY"/>
              </w:rPr>
            </w:pPr>
          </w:p>
        </w:tc>
      </w:tr>
      <w:tr w:rsidR="00A46B49" w:rsidRPr="00A46B49" w14:paraId="3789BA02" w14:textId="77777777" w:rsidTr="0095338E">
        <w:trPr>
          <w:trHeight w:val="290"/>
          <w:jc w:val="center"/>
        </w:trPr>
        <w:tc>
          <w:tcPr>
            <w:tcW w:w="1701" w:type="dxa"/>
            <w:noWrap/>
            <w:vAlign w:val="bottom"/>
            <w:hideMark/>
          </w:tcPr>
          <w:p w14:paraId="6667CFC2" w14:textId="77777777" w:rsidR="000C163F" w:rsidRPr="00A46B49" w:rsidRDefault="000C163F" w:rsidP="0095338E">
            <w:pPr>
              <w:autoSpaceDE w:val="0"/>
              <w:autoSpaceDN w:val="0"/>
              <w:adjustRightInd w:val="0"/>
              <w:spacing w:line="240" w:lineRule="auto"/>
              <w:rPr>
                <w:lang w:val="en-MY"/>
              </w:rPr>
            </w:pPr>
            <w:r w:rsidRPr="00A46B49">
              <w:rPr>
                <w:lang w:val="en-MY"/>
              </w:rPr>
              <w:t>Role conflict</w:t>
            </w:r>
          </w:p>
        </w:tc>
        <w:tc>
          <w:tcPr>
            <w:tcW w:w="1559" w:type="dxa"/>
            <w:noWrap/>
            <w:vAlign w:val="bottom"/>
            <w:hideMark/>
          </w:tcPr>
          <w:p w14:paraId="379A2B15" w14:textId="77777777" w:rsidR="000C163F" w:rsidRPr="00A46B49" w:rsidRDefault="000C163F" w:rsidP="0095338E">
            <w:pPr>
              <w:autoSpaceDE w:val="0"/>
              <w:autoSpaceDN w:val="0"/>
              <w:adjustRightInd w:val="0"/>
              <w:spacing w:line="240" w:lineRule="auto"/>
              <w:rPr>
                <w:lang w:val="en-MY"/>
              </w:rPr>
            </w:pPr>
            <w:r w:rsidRPr="00A46B49">
              <w:rPr>
                <w:lang w:val="en-MY"/>
              </w:rPr>
              <w:t>0.396</w:t>
            </w:r>
          </w:p>
        </w:tc>
        <w:tc>
          <w:tcPr>
            <w:tcW w:w="1985" w:type="dxa"/>
            <w:noWrap/>
            <w:vAlign w:val="bottom"/>
            <w:hideMark/>
          </w:tcPr>
          <w:p w14:paraId="30739ACC" w14:textId="77777777" w:rsidR="000C163F" w:rsidRPr="00A46B49" w:rsidRDefault="000C163F" w:rsidP="0095338E">
            <w:pPr>
              <w:autoSpaceDE w:val="0"/>
              <w:autoSpaceDN w:val="0"/>
              <w:adjustRightInd w:val="0"/>
              <w:spacing w:line="240" w:lineRule="auto"/>
              <w:rPr>
                <w:lang w:val="en-MY"/>
              </w:rPr>
            </w:pPr>
          </w:p>
        </w:tc>
        <w:tc>
          <w:tcPr>
            <w:tcW w:w="1417" w:type="dxa"/>
            <w:noWrap/>
            <w:vAlign w:val="bottom"/>
            <w:hideMark/>
          </w:tcPr>
          <w:p w14:paraId="5E06599A" w14:textId="77777777" w:rsidR="000C163F" w:rsidRPr="00A46B49" w:rsidRDefault="000C163F" w:rsidP="0095338E">
            <w:pPr>
              <w:autoSpaceDE w:val="0"/>
              <w:autoSpaceDN w:val="0"/>
              <w:adjustRightInd w:val="0"/>
              <w:spacing w:line="240" w:lineRule="auto"/>
              <w:rPr>
                <w:lang w:val="en-MY"/>
              </w:rPr>
            </w:pPr>
          </w:p>
        </w:tc>
        <w:tc>
          <w:tcPr>
            <w:tcW w:w="1560" w:type="dxa"/>
            <w:noWrap/>
            <w:vAlign w:val="bottom"/>
            <w:hideMark/>
          </w:tcPr>
          <w:p w14:paraId="34A84C73" w14:textId="77777777" w:rsidR="000C163F" w:rsidRPr="00A46B49" w:rsidRDefault="000C163F" w:rsidP="0095338E">
            <w:pPr>
              <w:autoSpaceDE w:val="0"/>
              <w:autoSpaceDN w:val="0"/>
              <w:adjustRightInd w:val="0"/>
              <w:spacing w:line="240" w:lineRule="auto"/>
              <w:rPr>
                <w:lang w:val="en-MY"/>
              </w:rPr>
            </w:pPr>
            <w:r w:rsidRPr="00A46B49">
              <w:rPr>
                <w:lang w:val="en-MY"/>
              </w:rPr>
              <w:t> </w:t>
            </w:r>
          </w:p>
        </w:tc>
      </w:tr>
      <w:tr w:rsidR="00A46B49" w:rsidRPr="00A46B49" w14:paraId="00BFD1FB" w14:textId="77777777" w:rsidTr="0095338E">
        <w:trPr>
          <w:trHeight w:val="290"/>
          <w:jc w:val="center"/>
        </w:trPr>
        <w:tc>
          <w:tcPr>
            <w:tcW w:w="1701" w:type="dxa"/>
            <w:noWrap/>
            <w:vAlign w:val="bottom"/>
            <w:hideMark/>
          </w:tcPr>
          <w:p w14:paraId="39B1BD96" w14:textId="77777777" w:rsidR="000C163F" w:rsidRPr="00A46B49" w:rsidRDefault="000C163F" w:rsidP="0095338E">
            <w:pPr>
              <w:autoSpaceDE w:val="0"/>
              <w:autoSpaceDN w:val="0"/>
              <w:adjustRightInd w:val="0"/>
              <w:spacing w:line="240" w:lineRule="auto"/>
              <w:rPr>
                <w:lang w:val="en-MY"/>
              </w:rPr>
            </w:pPr>
            <w:r w:rsidRPr="00A46B49">
              <w:rPr>
                <w:lang w:val="en-MY"/>
              </w:rPr>
              <w:t>Stress</w:t>
            </w:r>
          </w:p>
        </w:tc>
        <w:tc>
          <w:tcPr>
            <w:tcW w:w="1559" w:type="dxa"/>
            <w:noWrap/>
            <w:vAlign w:val="bottom"/>
            <w:hideMark/>
          </w:tcPr>
          <w:p w14:paraId="72C2FBAE" w14:textId="77777777" w:rsidR="000C163F" w:rsidRPr="00A46B49" w:rsidRDefault="000C163F" w:rsidP="0095338E">
            <w:pPr>
              <w:autoSpaceDE w:val="0"/>
              <w:autoSpaceDN w:val="0"/>
              <w:adjustRightInd w:val="0"/>
              <w:spacing w:line="240" w:lineRule="auto"/>
              <w:rPr>
                <w:lang w:val="en-MY"/>
              </w:rPr>
            </w:pPr>
            <w:r w:rsidRPr="00A46B49">
              <w:rPr>
                <w:lang w:val="en-MY"/>
              </w:rPr>
              <w:t>0.103</w:t>
            </w:r>
          </w:p>
        </w:tc>
        <w:tc>
          <w:tcPr>
            <w:tcW w:w="1985" w:type="dxa"/>
            <w:noWrap/>
            <w:vAlign w:val="bottom"/>
            <w:hideMark/>
          </w:tcPr>
          <w:p w14:paraId="3D3E3A65" w14:textId="77777777" w:rsidR="000C163F" w:rsidRPr="00A46B49" w:rsidRDefault="000C163F" w:rsidP="0095338E">
            <w:pPr>
              <w:autoSpaceDE w:val="0"/>
              <w:autoSpaceDN w:val="0"/>
              <w:adjustRightInd w:val="0"/>
              <w:spacing w:line="240" w:lineRule="auto"/>
              <w:rPr>
                <w:lang w:val="en-MY"/>
              </w:rPr>
            </w:pPr>
            <w:r w:rsidRPr="00A46B49">
              <w:rPr>
                <w:lang w:val="en-MY"/>
              </w:rPr>
              <w:t>0.509</w:t>
            </w:r>
          </w:p>
        </w:tc>
        <w:tc>
          <w:tcPr>
            <w:tcW w:w="1417" w:type="dxa"/>
            <w:noWrap/>
            <w:vAlign w:val="bottom"/>
            <w:hideMark/>
          </w:tcPr>
          <w:p w14:paraId="17531C05" w14:textId="77777777" w:rsidR="000C163F" w:rsidRPr="00A46B49" w:rsidRDefault="000C163F" w:rsidP="0095338E">
            <w:pPr>
              <w:autoSpaceDE w:val="0"/>
              <w:autoSpaceDN w:val="0"/>
              <w:adjustRightInd w:val="0"/>
              <w:spacing w:line="240" w:lineRule="auto"/>
              <w:rPr>
                <w:lang w:val="en-MY"/>
              </w:rPr>
            </w:pPr>
          </w:p>
        </w:tc>
        <w:tc>
          <w:tcPr>
            <w:tcW w:w="1560" w:type="dxa"/>
            <w:noWrap/>
            <w:vAlign w:val="bottom"/>
            <w:hideMark/>
          </w:tcPr>
          <w:p w14:paraId="6A66B1CC" w14:textId="77777777" w:rsidR="000C163F" w:rsidRPr="00A46B49" w:rsidRDefault="000C163F" w:rsidP="0095338E">
            <w:pPr>
              <w:autoSpaceDE w:val="0"/>
              <w:autoSpaceDN w:val="0"/>
              <w:adjustRightInd w:val="0"/>
              <w:spacing w:line="240" w:lineRule="auto"/>
              <w:rPr>
                <w:lang w:val="en-MY"/>
              </w:rPr>
            </w:pPr>
            <w:r w:rsidRPr="00A46B49">
              <w:rPr>
                <w:lang w:val="en-MY"/>
              </w:rPr>
              <w:t> </w:t>
            </w:r>
          </w:p>
        </w:tc>
      </w:tr>
      <w:tr w:rsidR="00A46B49" w:rsidRPr="00A46B49" w14:paraId="4CBF2A96" w14:textId="77777777" w:rsidTr="0095338E">
        <w:trPr>
          <w:trHeight w:val="290"/>
          <w:jc w:val="center"/>
        </w:trPr>
        <w:tc>
          <w:tcPr>
            <w:tcW w:w="1701" w:type="dxa"/>
            <w:tcBorders>
              <w:bottom w:val="single" w:sz="4" w:space="0" w:color="auto"/>
            </w:tcBorders>
            <w:noWrap/>
            <w:vAlign w:val="bottom"/>
            <w:hideMark/>
          </w:tcPr>
          <w:p w14:paraId="59E728C1" w14:textId="77777777" w:rsidR="000C163F" w:rsidRPr="00A46B49" w:rsidRDefault="000C163F" w:rsidP="0095338E">
            <w:pPr>
              <w:autoSpaceDE w:val="0"/>
              <w:autoSpaceDN w:val="0"/>
              <w:adjustRightInd w:val="0"/>
              <w:spacing w:line="240" w:lineRule="auto"/>
              <w:rPr>
                <w:lang w:val="en-MY"/>
              </w:rPr>
            </w:pPr>
            <w:r w:rsidRPr="00A46B49">
              <w:rPr>
                <w:lang w:val="en-MY"/>
              </w:rPr>
              <w:lastRenderedPageBreak/>
              <w:t>Workload</w:t>
            </w:r>
          </w:p>
        </w:tc>
        <w:tc>
          <w:tcPr>
            <w:tcW w:w="1559" w:type="dxa"/>
            <w:tcBorders>
              <w:bottom w:val="single" w:sz="4" w:space="0" w:color="auto"/>
            </w:tcBorders>
            <w:noWrap/>
            <w:vAlign w:val="bottom"/>
            <w:hideMark/>
          </w:tcPr>
          <w:p w14:paraId="14135227" w14:textId="77777777" w:rsidR="000C163F" w:rsidRPr="00A46B49" w:rsidRDefault="000C163F" w:rsidP="0095338E">
            <w:pPr>
              <w:autoSpaceDE w:val="0"/>
              <w:autoSpaceDN w:val="0"/>
              <w:adjustRightInd w:val="0"/>
              <w:spacing w:line="240" w:lineRule="auto"/>
              <w:rPr>
                <w:lang w:val="en-MY"/>
              </w:rPr>
            </w:pPr>
            <w:r w:rsidRPr="00A46B49">
              <w:rPr>
                <w:lang w:val="en-MY"/>
              </w:rPr>
              <w:t>0.283</w:t>
            </w:r>
          </w:p>
        </w:tc>
        <w:tc>
          <w:tcPr>
            <w:tcW w:w="1985" w:type="dxa"/>
            <w:tcBorders>
              <w:bottom w:val="single" w:sz="4" w:space="0" w:color="auto"/>
            </w:tcBorders>
            <w:noWrap/>
            <w:vAlign w:val="bottom"/>
            <w:hideMark/>
          </w:tcPr>
          <w:p w14:paraId="44435F89" w14:textId="77777777" w:rsidR="000C163F" w:rsidRPr="00A46B49" w:rsidRDefault="000C163F" w:rsidP="0095338E">
            <w:pPr>
              <w:autoSpaceDE w:val="0"/>
              <w:autoSpaceDN w:val="0"/>
              <w:adjustRightInd w:val="0"/>
              <w:spacing w:line="240" w:lineRule="auto"/>
              <w:rPr>
                <w:lang w:val="en-MY"/>
              </w:rPr>
            </w:pPr>
            <w:r w:rsidRPr="00A46B49">
              <w:rPr>
                <w:lang w:val="en-MY"/>
              </w:rPr>
              <w:t>0.210</w:t>
            </w:r>
          </w:p>
        </w:tc>
        <w:tc>
          <w:tcPr>
            <w:tcW w:w="1417" w:type="dxa"/>
            <w:tcBorders>
              <w:bottom w:val="single" w:sz="4" w:space="0" w:color="auto"/>
            </w:tcBorders>
            <w:noWrap/>
            <w:vAlign w:val="bottom"/>
            <w:hideMark/>
          </w:tcPr>
          <w:p w14:paraId="67B4DB8A" w14:textId="77777777" w:rsidR="000C163F" w:rsidRPr="00A46B49" w:rsidRDefault="000C163F" w:rsidP="0095338E">
            <w:pPr>
              <w:autoSpaceDE w:val="0"/>
              <w:autoSpaceDN w:val="0"/>
              <w:adjustRightInd w:val="0"/>
              <w:spacing w:line="240" w:lineRule="auto"/>
              <w:rPr>
                <w:lang w:val="en-MY"/>
              </w:rPr>
            </w:pPr>
            <w:r w:rsidRPr="00A46B49">
              <w:rPr>
                <w:lang w:val="en-MY"/>
              </w:rPr>
              <w:t>0.499</w:t>
            </w:r>
          </w:p>
        </w:tc>
        <w:tc>
          <w:tcPr>
            <w:tcW w:w="1560" w:type="dxa"/>
            <w:tcBorders>
              <w:bottom w:val="single" w:sz="4" w:space="0" w:color="auto"/>
            </w:tcBorders>
            <w:noWrap/>
            <w:vAlign w:val="bottom"/>
            <w:hideMark/>
          </w:tcPr>
          <w:p w14:paraId="205735FF" w14:textId="77777777" w:rsidR="000C163F" w:rsidRPr="00A46B49" w:rsidRDefault="000C163F" w:rsidP="0095338E">
            <w:pPr>
              <w:autoSpaceDE w:val="0"/>
              <w:autoSpaceDN w:val="0"/>
              <w:adjustRightInd w:val="0"/>
              <w:spacing w:line="240" w:lineRule="auto"/>
              <w:rPr>
                <w:lang w:val="en-MY"/>
              </w:rPr>
            </w:pPr>
            <w:r w:rsidRPr="00A46B49">
              <w:rPr>
                <w:lang w:val="en-MY"/>
              </w:rPr>
              <w:t> </w:t>
            </w:r>
          </w:p>
        </w:tc>
      </w:tr>
    </w:tbl>
    <w:p w14:paraId="5CD1AA1C" w14:textId="77777777" w:rsidR="000C163F" w:rsidRPr="00A46B49" w:rsidRDefault="000C163F" w:rsidP="000C163F">
      <w:pPr>
        <w:autoSpaceDE w:val="0"/>
        <w:autoSpaceDN w:val="0"/>
        <w:adjustRightInd w:val="0"/>
        <w:spacing w:line="240" w:lineRule="auto"/>
      </w:pPr>
    </w:p>
    <w:p w14:paraId="7277EA68" w14:textId="58246E93" w:rsidR="000C163F" w:rsidRPr="00A46B49" w:rsidRDefault="000C163F" w:rsidP="000C163F">
      <w:pPr>
        <w:autoSpaceDE w:val="0"/>
        <w:autoSpaceDN w:val="0"/>
        <w:adjustRightInd w:val="0"/>
        <w:spacing w:line="240" w:lineRule="auto"/>
        <w:rPr>
          <w:lang w:val="en-MY"/>
        </w:rPr>
      </w:pPr>
      <w:r w:rsidRPr="00A46B49">
        <w:rPr>
          <w:lang w:val="en-MY"/>
        </w:rPr>
        <w:t xml:space="preserve">Henseler </w:t>
      </w:r>
      <w:r w:rsidR="00345ED0">
        <w:rPr>
          <w:lang w:val="en-MY"/>
        </w:rPr>
        <w:t>et al.</w:t>
      </w:r>
      <w:r w:rsidRPr="00A46B49">
        <w:rPr>
          <w:lang w:val="en-MY"/>
        </w:rPr>
        <w:t xml:space="preserve"> (2015) suggested </w:t>
      </w:r>
      <w:r w:rsidR="00345ED0">
        <w:rPr>
          <w:lang w:val="en-MY"/>
        </w:rPr>
        <w:t>using</w:t>
      </w:r>
      <w:r w:rsidRPr="00A46B49">
        <w:rPr>
          <w:lang w:val="en-MY"/>
        </w:rPr>
        <w:t xml:space="preserve"> the </w:t>
      </w:r>
      <w:proofErr w:type="spellStart"/>
      <w:r w:rsidRPr="00A46B49">
        <w:rPr>
          <w:lang w:val="en-MY"/>
        </w:rPr>
        <w:t>heterotrait-monotrait</w:t>
      </w:r>
      <w:proofErr w:type="spellEnd"/>
      <w:r w:rsidRPr="00A46B49">
        <w:rPr>
          <w:lang w:val="en-MY"/>
        </w:rPr>
        <w:t xml:space="preserve"> (HTMT) ratio to establish discriminant validity for the measurement model. The HTMT technique is regarded as a more stringent criterion for </w:t>
      </w:r>
      <w:r w:rsidR="00345ED0">
        <w:rPr>
          <w:lang w:val="en-MY"/>
        </w:rPr>
        <w:t>assessing discriminant validity because it compares the ratios of correlations between constructs against</w:t>
      </w:r>
      <w:r w:rsidRPr="00A46B49">
        <w:rPr>
          <w:lang w:val="en-MY"/>
        </w:rPr>
        <w:t xml:space="preserve"> a preset threshold. Previous literature suggests a threshold </w:t>
      </w:r>
      <w:r w:rsidR="00345ED0">
        <w:rPr>
          <w:lang w:val="en-MY"/>
        </w:rPr>
        <w:t>of 0.85 (Clark &amp; Watson, 1995; Kline, 2011), but Voorhees et al. (2016) found that values below</w:t>
      </w:r>
      <w:r w:rsidRPr="00A46B49">
        <w:rPr>
          <w:lang w:val="en-MY"/>
        </w:rPr>
        <w:t xml:space="preserve"> 0.90 are acceptable for demonstrating discriminant validity. As indicated in the table above, all HTMT values fall below the acceptable levels, indicating that discriminant validity is satisfactorily accomplished.</w:t>
      </w:r>
    </w:p>
    <w:p w14:paraId="7D6889BE" w14:textId="77777777" w:rsidR="000C163F" w:rsidRPr="00A46B49" w:rsidRDefault="000C163F" w:rsidP="000C163F">
      <w:pPr>
        <w:autoSpaceDE w:val="0"/>
        <w:autoSpaceDN w:val="0"/>
        <w:adjustRightInd w:val="0"/>
        <w:spacing w:line="240" w:lineRule="auto"/>
        <w:rPr>
          <w:lang w:val="en-MY"/>
        </w:rPr>
      </w:pPr>
    </w:p>
    <w:p w14:paraId="2E7948DE" w14:textId="77777777" w:rsidR="000C163F" w:rsidRPr="00A46B49" w:rsidRDefault="000C163F" w:rsidP="000C163F">
      <w:pPr>
        <w:autoSpaceDE w:val="0"/>
        <w:autoSpaceDN w:val="0"/>
        <w:adjustRightInd w:val="0"/>
        <w:spacing w:line="240" w:lineRule="auto"/>
      </w:pPr>
    </w:p>
    <w:p w14:paraId="7DED3673" w14:textId="77777777" w:rsidR="000C163F" w:rsidRPr="00A46B49" w:rsidRDefault="000C163F" w:rsidP="000C163F">
      <w:pPr>
        <w:autoSpaceDE w:val="0"/>
        <w:autoSpaceDN w:val="0"/>
        <w:adjustRightInd w:val="0"/>
        <w:spacing w:line="240" w:lineRule="auto"/>
      </w:pPr>
      <w:r w:rsidRPr="00A46B49">
        <w:rPr>
          <w:rFonts w:ascii="Calibri" w:eastAsia="DengXian" w:hAnsi="Calibri"/>
          <w:noProof/>
          <w:sz w:val="22"/>
          <w:szCs w:val="22"/>
          <w:lang w:val="en-MY" w:eastAsia="zh-CN"/>
        </w:rPr>
        <w:drawing>
          <wp:inline distT="0" distB="0" distL="0" distR="0" wp14:anchorId="12F5E5D6" wp14:editId="7E7F08B9">
            <wp:extent cx="5731510" cy="2806065"/>
            <wp:effectExtent l="19050" t="19050" r="21590" b="13335"/>
            <wp:docPr id="1011555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06065"/>
                    </a:xfrm>
                    <a:prstGeom prst="rect">
                      <a:avLst/>
                    </a:prstGeom>
                    <a:noFill/>
                    <a:ln w="6350" cmpd="sng">
                      <a:solidFill>
                        <a:srgbClr val="156082"/>
                      </a:solidFill>
                      <a:miter lim="800000"/>
                      <a:headEnd/>
                      <a:tailEnd/>
                    </a:ln>
                    <a:effectLst/>
                  </pic:spPr>
                </pic:pic>
              </a:graphicData>
            </a:graphic>
          </wp:inline>
        </w:drawing>
      </w:r>
    </w:p>
    <w:p w14:paraId="104ED6C3" w14:textId="77777777" w:rsidR="000C163F" w:rsidRPr="00A46B49" w:rsidRDefault="000C163F" w:rsidP="000C163F">
      <w:pPr>
        <w:autoSpaceDE w:val="0"/>
        <w:autoSpaceDN w:val="0"/>
        <w:adjustRightInd w:val="0"/>
        <w:spacing w:line="240" w:lineRule="auto"/>
        <w:jc w:val="center"/>
        <w:rPr>
          <w:lang w:val="en-MY"/>
        </w:rPr>
      </w:pPr>
      <w:r w:rsidRPr="00A46B49">
        <w:rPr>
          <w:lang w:val="en-MY"/>
        </w:rPr>
        <w:t>Figure 2: Structural Model</w:t>
      </w:r>
    </w:p>
    <w:p w14:paraId="3B91A96B" w14:textId="77777777" w:rsidR="000C163F" w:rsidRPr="00A46B49" w:rsidRDefault="000C163F" w:rsidP="000C163F">
      <w:pPr>
        <w:autoSpaceDE w:val="0"/>
        <w:autoSpaceDN w:val="0"/>
        <w:adjustRightInd w:val="0"/>
        <w:spacing w:line="240" w:lineRule="auto"/>
      </w:pPr>
    </w:p>
    <w:p w14:paraId="2E8D3752" w14:textId="3E2866BC" w:rsidR="00345ED0" w:rsidRPr="00EC614B" w:rsidRDefault="000C163F" w:rsidP="00EC614B">
      <w:pPr>
        <w:autoSpaceDE w:val="0"/>
        <w:autoSpaceDN w:val="0"/>
        <w:adjustRightInd w:val="0"/>
        <w:spacing w:line="240" w:lineRule="auto"/>
      </w:pPr>
      <w:r w:rsidRPr="00A46B49">
        <w:t>Based on Hair et al. (2011), path analysis was conducted to evaluate the structural model, with the coefficient of determination (R²) and the significance of the path coefficients serving as the primary assessment criteria. According to Cohen (1988), an R² value exceeding 0.26 indicates a substantial explanatory power for endogenous latent variables. In this study, the R² value was 0.394, indicating that 39.4% of the variance in the dependent variable was explained by the independent variables included in the model. The remaining 60.6% of the variance may be attributed to other factors not examined in this study, such as family commitment, development opportunities, co-worker support, and rewards.</w:t>
      </w:r>
    </w:p>
    <w:p w14:paraId="05869D14" w14:textId="77777777" w:rsidR="00345ED0" w:rsidRDefault="00345ED0" w:rsidP="000C163F">
      <w:pPr>
        <w:autoSpaceDE w:val="0"/>
        <w:autoSpaceDN w:val="0"/>
        <w:adjustRightInd w:val="0"/>
        <w:spacing w:line="240" w:lineRule="auto"/>
        <w:jc w:val="center"/>
        <w:rPr>
          <w:lang w:val="en-MY"/>
        </w:rPr>
      </w:pPr>
    </w:p>
    <w:p w14:paraId="524414C0" w14:textId="7A901BC7" w:rsidR="000C163F" w:rsidRPr="00A46B49" w:rsidRDefault="000C163F" w:rsidP="000C163F">
      <w:pPr>
        <w:autoSpaceDE w:val="0"/>
        <w:autoSpaceDN w:val="0"/>
        <w:adjustRightInd w:val="0"/>
        <w:spacing w:line="240" w:lineRule="auto"/>
        <w:jc w:val="center"/>
        <w:rPr>
          <w:lang w:val="en-MY"/>
        </w:rPr>
      </w:pPr>
      <w:r w:rsidRPr="00A46B49">
        <w:rPr>
          <w:lang w:val="en-MY"/>
        </w:rPr>
        <w:t>Table 2: Result Direct Relationships</w:t>
      </w:r>
    </w:p>
    <w:tbl>
      <w:tblPr>
        <w:tblpPr w:leftFromText="180" w:rightFromText="180" w:vertAnchor="text" w:horzAnchor="margin" w:tblpY="379"/>
        <w:tblW w:w="9724" w:type="dxa"/>
        <w:tblLook w:val="04A0" w:firstRow="1" w:lastRow="0" w:firstColumn="1" w:lastColumn="0" w:noHBand="0" w:noVBand="1"/>
      </w:tblPr>
      <w:tblGrid>
        <w:gridCol w:w="3085"/>
        <w:gridCol w:w="1167"/>
        <w:gridCol w:w="1134"/>
        <w:gridCol w:w="1385"/>
        <w:gridCol w:w="1285"/>
        <w:gridCol w:w="1668"/>
      </w:tblGrid>
      <w:tr w:rsidR="00A46B49" w:rsidRPr="00A46B49" w14:paraId="30887CCB" w14:textId="77777777" w:rsidTr="0095338E">
        <w:trPr>
          <w:trHeight w:val="290"/>
        </w:trPr>
        <w:tc>
          <w:tcPr>
            <w:tcW w:w="3085" w:type="dxa"/>
            <w:tcBorders>
              <w:top w:val="single" w:sz="4" w:space="0" w:color="auto"/>
              <w:bottom w:val="single" w:sz="4" w:space="0" w:color="auto"/>
            </w:tcBorders>
            <w:noWrap/>
            <w:vAlign w:val="bottom"/>
            <w:hideMark/>
          </w:tcPr>
          <w:p w14:paraId="18DCD967"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Direct Relationship</w:t>
            </w:r>
          </w:p>
        </w:tc>
        <w:tc>
          <w:tcPr>
            <w:tcW w:w="1167" w:type="dxa"/>
            <w:tcBorders>
              <w:top w:val="single" w:sz="4" w:space="0" w:color="auto"/>
              <w:bottom w:val="single" w:sz="4" w:space="0" w:color="auto"/>
            </w:tcBorders>
            <w:noWrap/>
            <w:vAlign w:val="bottom"/>
            <w:hideMark/>
          </w:tcPr>
          <w:p w14:paraId="6B8CFB1D"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Beta</w:t>
            </w:r>
          </w:p>
        </w:tc>
        <w:tc>
          <w:tcPr>
            <w:tcW w:w="1134" w:type="dxa"/>
            <w:tcBorders>
              <w:top w:val="single" w:sz="4" w:space="0" w:color="auto"/>
              <w:bottom w:val="single" w:sz="4" w:space="0" w:color="auto"/>
            </w:tcBorders>
            <w:noWrap/>
            <w:vAlign w:val="bottom"/>
            <w:hideMark/>
          </w:tcPr>
          <w:p w14:paraId="1A8A784E"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Standard deviation</w:t>
            </w:r>
          </w:p>
        </w:tc>
        <w:tc>
          <w:tcPr>
            <w:tcW w:w="1385" w:type="dxa"/>
            <w:tcBorders>
              <w:top w:val="single" w:sz="4" w:space="0" w:color="auto"/>
              <w:bottom w:val="single" w:sz="4" w:space="0" w:color="auto"/>
            </w:tcBorders>
            <w:noWrap/>
            <w:vAlign w:val="bottom"/>
            <w:hideMark/>
          </w:tcPr>
          <w:p w14:paraId="4D360A0C"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 xml:space="preserve">T </w:t>
            </w:r>
          </w:p>
          <w:p w14:paraId="2D2C53AA"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statistics</w:t>
            </w:r>
          </w:p>
        </w:tc>
        <w:tc>
          <w:tcPr>
            <w:tcW w:w="1285" w:type="dxa"/>
            <w:tcBorders>
              <w:top w:val="single" w:sz="4" w:space="0" w:color="auto"/>
              <w:bottom w:val="single" w:sz="4" w:space="0" w:color="auto"/>
            </w:tcBorders>
            <w:noWrap/>
            <w:vAlign w:val="bottom"/>
            <w:hideMark/>
          </w:tcPr>
          <w:p w14:paraId="18926A6A"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 xml:space="preserve">P </w:t>
            </w:r>
          </w:p>
          <w:p w14:paraId="44092D30"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values</w:t>
            </w:r>
          </w:p>
        </w:tc>
        <w:tc>
          <w:tcPr>
            <w:tcW w:w="1668" w:type="dxa"/>
            <w:tcBorders>
              <w:top w:val="single" w:sz="4" w:space="0" w:color="auto"/>
              <w:bottom w:val="single" w:sz="4" w:space="0" w:color="auto"/>
            </w:tcBorders>
          </w:tcPr>
          <w:p w14:paraId="2F176B9F" w14:textId="77777777" w:rsidR="000C163F" w:rsidRPr="00A46B49" w:rsidRDefault="000C163F" w:rsidP="0095338E">
            <w:pPr>
              <w:autoSpaceDE w:val="0"/>
              <w:autoSpaceDN w:val="0"/>
              <w:adjustRightInd w:val="0"/>
              <w:spacing w:line="240" w:lineRule="auto"/>
              <w:jc w:val="center"/>
              <w:rPr>
                <w:b/>
                <w:bCs/>
                <w:sz w:val="22"/>
                <w:szCs w:val="22"/>
                <w:lang w:val="en-MY"/>
              </w:rPr>
            </w:pPr>
            <w:r w:rsidRPr="00A46B49">
              <w:rPr>
                <w:b/>
                <w:bCs/>
                <w:sz w:val="22"/>
                <w:szCs w:val="22"/>
                <w:lang w:val="en-MY"/>
              </w:rPr>
              <w:t>Results Hypotheses</w:t>
            </w:r>
          </w:p>
        </w:tc>
      </w:tr>
      <w:tr w:rsidR="00A46B49" w:rsidRPr="00A46B49" w14:paraId="2E523FC0" w14:textId="77777777" w:rsidTr="0095338E">
        <w:trPr>
          <w:trHeight w:val="290"/>
        </w:trPr>
        <w:tc>
          <w:tcPr>
            <w:tcW w:w="3085" w:type="dxa"/>
            <w:tcBorders>
              <w:top w:val="single" w:sz="4" w:space="0" w:color="auto"/>
            </w:tcBorders>
            <w:noWrap/>
            <w:vAlign w:val="bottom"/>
          </w:tcPr>
          <w:p w14:paraId="7F283CE7"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Workload -&gt; Stress</w:t>
            </w:r>
          </w:p>
        </w:tc>
        <w:tc>
          <w:tcPr>
            <w:tcW w:w="1167" w:type="dxa"/>
            <w:tcBorders>
              <w:top w:val="single" w:sz="4" w:space="0" w:color="auto"/>
            </w:tcBorders>
            <w:noWrap/>
            <w:vAlign w:val="bottom"/>
          </w:tcPr>
          <w:p w14:paraId="45B55CDC"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0.433</w:t>
            </w:r>
          </w:p>
        </w:tc>
        <w:tc>
          <w:tcPr>
            <w:tcW w:w="1134" w:type="dxa"/>
            <w:tcBorders>
              <w:top w:val="single" w:sz="4" w:space="0" w:color="auto"/>
            </w:tcBorders>
            <w:noWrap/>
            <w:vAlign w:val="bottom"/>
          </w:tcPr>
          <w:p w14:paraId="59B82FF9"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0.067</w:t>
            </w:r>
          </w:p>
        </w:tc>
        <w:tc>
          <w:tcPr>
            <w:tcW w:w="1385" w:type="dxa"/>
            <w:tcBorders>
              <w:top w:val="single" w:sz="4" w:space="0" w:color="auto"/>
            </w:tcBorders>
            <w:noWrap/>
            <w:vAlign w:val="bottom"/>
          </w:tcPr>
          <w:p w14:paraId="0A154B50"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6.453</w:t>
            </w:r>
          </w:p>
        </w:tc>
        <w:tc>
          <w:tcPr>
            <w:tcW w:w="1285" w:type="dxa"/>
            <w:tcBorders>
              <w:top w:val="single" w:sz="4" w:space="0" w:color="auto"/>
            </w:tcBorders>
            <w:noWrap/>
            <w:vAlign w:val="bottom"/>
          </w:tcPr>
          <w:p w14:paraId="6DF6E618"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0.000</w:t>
            </w:r>
          </w:p>
        </w:tc>
        <w:tc>
          <w:tcPr>
            <w:tcW w:w="1668" w:type="dxa"/>
            <w:tcBorders>
              <w:top w:val="single" w:sz="4" w:space="0" w:color="auto"/>
            </w:tcBorders>
          </w:tcPr>
          <w:p w14:paraId="33E6231A" w14:textId="77777777" w:rsidR="000C163F" w:rsidRPr="00A46B49" w:rsidRDefault="000C163F" w:rsidP="0095338E">
            <w:pPr>
              <w:autoSpaceDE w:val="0"/>
              <w:autoSpaceDN w:val="0"/>
              <w:adjustRightInd w:val="0"/>
              <w:spacing w:line="240" w:lineRule="auto"/>
              <w:jc w:val="center"/>
              <w:rPr>
                <w:sz w:val="22"/>
                <w:szCs w:val="22"/>
                <w:lang w:val="en-MY"/>
              </w:rPr>
            </w:pPr>
          </w:p>
          <w:p w14:paraId="1EDD6401"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 xml:space="preserve">Significant </w:t>
            </w:r>
          </w:p>
        </w:tc>
      </w:tr>
      <w:tr w:rsidR="00A46B49" w:rsidRPr="00A46B49" w14:paraId="70F5C80C" w14:textId="77777777" w:rsidTr="0095338E">
        <w:trPr>
          <w:trHeight w:val="290"/>
        </w:trPr>
        <w:tc>
          <w:tcPr>
            <w:tcW w:w="3085" w:type="dxa"/>
            <w:tcBorders>
              <w:bottom w:val="single" w:sz="4" w:space="0" w:color="auto"/>
            </w:tcBorders>
            <w:noWrap/>
            <w:vAlign w:val="bottom"/>
          </w:tcPr>
          <w:p w14:paraId="246463DF"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Role Conflict -&gt; Stress</w:t>
            </w:r>
          </w:p>
        </w:tc>
        <w:tc>
          <w:tcPr>
            <w:tcW w:w="1167" w:type="dxa"/>
            <w:tcBorders>
              <w:bottom w:val="single" w:sz="4" w:space="0" w:color="auto"/>
            </w:tcBorders>
            <w:noWrap/>
            <w:vAlign w:val="bottom"/>
          </w:tcPr>
          <w:p w14:paraId="3A58218D"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0.444</w:t>
            </w:r>
          </w:p>
        </w:tc>
        <w:tc>
          <w:tcPr>
            <w:tcW w:w="1134" w:type="dxa"/>
            <w:tcBorders>
              <w:bottom w:val="single" w:sz="4" w:space="0" w:color="auto"/>
            </w:tcBorders>
            <w:noWrap/>
            <w:vAlign w:val="bottom"/>
          </w:tcPr>
          <w:p w14:paraId="620BF942"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0.068</w:t>
            </w:r>
          </w:p>
        </w:tc>
        <w:tc>
          <w:tcPr>
            <w:tcW w:w="1385" w:type="dxa"/>
            <w:tcBorders>
              <w:bottom w:val="single" w:sz="4" w:space="0" w:color="auto"/>
            </w:tcBorders>
            <w:noWrap/>
            <w:vAlign w:val="bottom"/>
          </w:tcPr>
          <w:p w14:paraId="00664D6B"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6.551</w:t>
            </w:r>
          </w:p>
        </w:tc>
        <w:tc>
          <w:tcPr>
            <w:tcW w:w="1285" w:type="dxa"/>
            <w:tcBorders>
              <w:bottom w:val="single" w:sz="4" w:space="0" w:color="auto"/>
            </w:tcBorders>
            <w:noWrap/>
            <w:vAlign w:val="bottom"/>
          </w:tcPr>
          <w:p w14:paraId="6FB4BFAF"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0.000</w:t>
            </w:r>
          </w:p>
        </w:tc>
        <w:tc>
          <w:tcPr>
            <w:tcW w:w="1668" w:type="dxa"/>
            <w:tcBorders>
              <w:bottom w:val="single" w:sz="4" w:space="0" w:color="auto"/>
            </w:tcBorders>
          </w:tcPr>
          <w:p w14:paraId="042A972A" w14:textId="77777777" w:rsidR="000C163F" w:rsidRPr="00A46B49" w:rsidRDefault="000C163F" w:rsidP="0095338E">
            <w:pPr>
              <w:autoSpaceDE w:val="0"/>
              <w:autoSpaceDN w:val="0"/>
              <w:adjustRightInd w:val="0"/>
              <w:spacing w:line="240" w:lineRule="auto"/>
              <w:jc w:val="center"/>
              <w:rPr>
                <w:sz w:val="22"/>
                <w:szCs w:val="22"/>
                <w:lang w:val="en-MY"/>
              </w:rPr>
            </w:pPr>
            <w:r w:rsidRPr="00A46B49">
              <w:rPr>
                <w:sz w:val="22"/>
                <w:szCs w:val="22"/>
                <w:lang w:val="en-MY"/>
              </w:rPr>
              <w:t>Significant</w:t>
            </w:r>
          </w:p>
        </w:tc>
      </w:tr>
    </w:tbl>
    <w:p w14:paraId="2008717E" w14:textId="77777777" w:rsidR="000C163F" w:rsidRPr="00A46B49" w:rsidRDefault="000C163F" w:rsidP="000C163F">
      <w:pPr>
        <w:autoSpaceDE w:val="0"/>
        <w:autoSpaceDN w:val="0"/>
        <w:adjustRightInd w:val="0"/>
        <w:spacing w:line="240" w:lineRule="auto"/>
        <w:rPr>
          <w:lang w:val="en-MY"/>
        </w:rPr>
      </w:pPr>
    </w:p>
    <w:p w14:paraId="7EF6AF6F" w14:textId="77777777" w:rsidR="000C163F" w:rsidRPr="00A46B49" w:rsidRDefault="000C163F" w:rsidP="000C163F">
      <w:pPr>
        <w:autoSpaceDE w:val="0"/>
        <w:autoSpaceDN w:val="0"/>
        <w:adjustRightInd w:val="0"/>
        <w:spacing w:line="240" w:lineRule="auto"/>
      </w:pPr>
    </w:p>
    <w:p w14:paraId="58B52C29" w14:textId="77777777" w:rsidR="000C163F" w:rsidRPr="00A46B49" w:rsidRDefault="000C163F" w:rsidP="000C163F">
      <w:pPr>
        <w:autoSpaceDE w:val="0"/>
        <w:autoSpaceDN w:val="0"/>
        <w:adjustRightInd w:val="0"/>
        <w:spacing w:line="240" w:lineRule="auto"/>
        <w:rPr>
          <w:lang w:val="en-MY"/>
        </w:rPr>
      </w:pPr>
      <w:r w:rsidRPr="00A46B49">
        <w:rPr>
          <w:lang w:val="en-MY"/>
        </w:rPr>
        <w:t xml:space="preserve">Path coefficient analysis was conducted using the bootstrapping technique to test the significance of the hypothesised relationships. Based on the results, the relationship between workload and stress was found to be significant (β = 0.433, p &lt; 0.001). Similarly, the </w:t>
      </w:r>
      <w:r w:rsidRPr="00A46B49">
        <w:rPr>
          <w:lang w:val="en-MY"/>
        </w:rPr>
        <w:lastRenderedPageBreak/>
        <w:t>relationship between role conflict and stress was also significant (β = 0.444, p &lt; 0.001). These findings indicate that both workload and role conflict have significant positive effects on stress. Therefore, Hypotheses H1 and H2 were supported.</w:t>
      </w:r>
    </w:p>
    <w:p w14:paraId="396BFE08" w14:textId="77777777" w:rsidR="000C163F" w:rsidRPr="00A46B49" w:rsidRDefault="000C163F" w:rsidP="000C163F">
      <w:pPr>
        <w:autoSpaceDE w:val="0"/>
        <w:autoSpaceDN w:val="0"/>
        <w:adjustRightInd w:val="0"/>
        <w:spacing w:line="240" w:lineRule="auto"/>
      </w:pPr>
    </w:p>
    <w:p w14:paraId="7EFD4A46" w14:textId="1CE19F3C" w:rsidR="000C163F" w:rsidRPr="00A46B49" w:rsidRDefault="000C163F" w:rsidP="000C163F">
      <w:pPr>
        <w:autoSpaceDE w:val="0"/>
        <w:autoSpaceDN w:val="0"/>
        <w:adjustRightInd w:val="0"/>
        <w:spacing w:line="240" w:lineRule="auto"/>
        <w:rPr>
          <w:lang w:val="en-MY"/>
        </w:rPr>
      </w:pPr>
      <w:r w:rsidRPr="00A46B49">
        <w:rPr>
          <w:lang w:val="en-MY"/>
        </w:rPr>
        <w:t xml:space="preserve">The mediating effect of religiosity on the relationships between workload and stress, </w:t>
      </w:r>
      <w:r w:rsidR="00345ED0">
        <w:rPr>
          <w:lang w:val="en-MY"/>
        </w:rPr>
        <w:t>and between role conflict and stress, was examined using a</w:t>
      </w:r>
      <w:r w:rsidRPr="00A46B49">
        <w:rPr>
          <w:lang w:val="en-MY"/>
        </w:rPr>
        <w:t xml:space="preserve"> bootstrapping procedure. As shown in </w:t>
      </w:r>
      <w:r w:rsidR="00345ED0">
        <w:rPr>
          <w:lang w:val="en-MY"/>
        </w:rPr>
        <w:t xml:space="preserve">the </w:t>
      </w:r>
      <w:r w:rsidRPr="00A46B49">
        <w:rPr>
          <w:lang w:val="en-MY"/>
        </w:rPr>
        <w:t>above table, the indirect effect of workload on stress through religiosity was not significant (β = −0.001, t = 0.040, p = 0.968). Similarly, the indirect effect of role conflict on stress through religiosity was also not significant (β = 0.001, t = 0.041, p = 0.967). These findings indicate that religiosity does not mediate the relationships between workload and stress or between role conflict and stress. Therefore, the proposed mediating hypotheses were not supported.</w:t>
      </w:r>
    </w:p>
    <w:p w14:paraId="561769AC" w14:textId="77777777" w:rsidR="000C163F" w:rsidRPr="00A46B49" w:rsidRDefault="000C163F" w:rsidP="000C163F">
      <w:pPr>
        <w:autoSpaceDE w:val="0"/>
        <w:autoSpaceDN w:val="0"/>
        <w:adjustRightInd w:val="0"/>
        <w:spacing w:line="240" w:lineRule="auto"/>
      </w:pPr>
    </w:p>
    <w:p w14:paraId="5B3DCA44" w14:textId="5662B489" w:rsidR="000C163F" w:rsidRPr="00A46B49" w:rsidRDefault="000C163F" w:rsidP="000C163F">
      <w:pPr>
        <w:pBdr>
          <w:top w:val="nil"/>
          <w:left w:val="nil"/>
          <w:bottom w:val="nil"/>
          <w:right w:val="nil"/>
          <w:between w:val="nil"/>
        </w:pBdr>
        <w:spacing w:line="240" w:lineRule="auto"/>
        <w:rPr>
          <w:lang w:val="en-MY"/>
        </w:rPr>
      </w:pPr>
      <w:r w:rsidRPr="00A46B49">
        <w:rPr>
          <w:b/>
          <w:bCs/>
          <w:lang w:val="en-MY"/>
        </w:rPr>
        <w:t>Conclusion, Recommendations</w:t>
      </w:r>
      <w:r w:rsidR="00345ED0">
        <w:rPr>
          <w:b/>
          <w:bCs/>
          <w:lang w:val="en-MY"/>
        </w:rPr>
        <w:t>,</w:t>
      </w:r>
      <w:r w:rsidRPr="00A46B49">
        <w:rPr>
          <w:b/>
          <w:bCs/>
          <w:lang w:val="en-MY"/>
        </w:rPr>
        <w:t xml:space="preserve"> and Future Research</w:t>
      </w:r>
    </w:p>
    <w:p w14:paraId="6C858A49" w14:textId="77777777" w:rsidR="000C163F" w:rsidRPr="00A46B49" w:rsidRDefault="000C163F" w:rsidP="000C163F">
      <w:pPr>
        <w:spacing w:line="240" w:lineRule="auto"/>
        <w:ind w:firstLine="720"/>
        <w:jc w:val="left"/>
        <w:rPr>
          <w:rFonts w:eastAsia="SimSun"/>
          <w:lang w:val="en-MY" w:eastAsia="zh-CN"/>
        </w:rPr>
      </w:pPr>
    </w:p>
    <w:p w14:paraId="5A170ED3" w14:textId="58786815" w:rsidR="000C163F" w:rsidRPr="00A46B49" w:rsidRDefault="000C163F" w:rsidP="000C163F">
      <w:pPr>
        <w:spacing w:line="240" w:lineRule="auto"/>
      </w:pPr>
      <w:r w:rsidRPr="00A46B49">
        <w:t>This study contributes to the literature by empirically examining the effects of workload and role conflict on stress and exploring the mediating role of religiosity. The findings of this study show that workload and role conflict have significant positive effects on stress. This indicates that employees experiencing higher job demands and incompatible role expectations are more likely to report increased stress levels. These results are consistent with prior studies suggesting that excessive workload and conflicting role demands are major sources of occupational stress, particularly in organisational settings where job expectations are unclear</w:t>
      </w:r>
      <w:r w:rsidR="00345ED0">
        <w:t>,</w:t>
      </w:r>
      <w:r w:rsidRPr="00A46B49">
        <w:t xml:space="preserve"> or resources are limited (</w:t>
      </w:r>
      <w:proofErr w:type="spellStart"/>
      <w:r w:rsidR="00345ED0" w:rsidRPr="00A46B49">
        <w:t>Dodanwala</w:t>
      </w:r>
      <w:proofErr w:type="spellEnd"/>
      <w:r w:rsidR="00345ED0" w:rsidRPr="00A46B49">
        <w:t xml:space="preserve"> et al., 2022; </w:t>
      </w:r>
      <w:r w:rsidRPr="00A46B49">
        <w:t xml:space="preserve">McNeill &amp; </w:t>
      </w:r>
      <w:proofErr w:type="spellStart"/>
      <w:r w:rsidRPr="00A46B49">
        <w:t>Culington</w:t>
      </w:r>
      <w:proofErr w:type="spellEnd"/>
      <w:r w:rsidRPr="00A46B49">
        <w:t xml:space="preserve">, 2025; Qasim et al., 2025; Sadiq, 2022; Tran, 2023). </w:t>
      </w:r>
    </w:p>
    <w:p w14:paraId="41A09BAE" w14:textId="77777777" w:rsidR="000C163F" w:rsidRPr="00A46B49" w:rsidRDefault="000C163F" w:rsidP="000C163F">
      <w:pPr>
        <w:spacing w:line="240" w:lineRule="auto"/>
      </w:pPr>
    </w:p>
    <w:p w14:paraId="498132AF" w14:textId="095CB0E4" w:rsidR="000C163F" w:rsidRPr="00A46B49" w:rsidRDefault="000C163F" w:rsidP="000C163F">
      <w:pPr>
        <w:spacing w:line="240" w:lineRule="auto"/>
      </w:pPr>
      <w:r w:rsidRPr="00A46B49">
        <w:t>However, the results revealed that religiosity did not mediate the relationships between workload and stress or between role conflict and stress. Although religiosity is often associated with positive coping mechanisms and emotional regulation, the non-significant mediation effects suggest that religiosity does not serve as an explanatory mechanism through which work-related stressors influence stress in this context. One possible explanation is that stress arising from workload and role conflict is predominantly shaped by organisational and job-related factors, which may outweigh the influence of personal religious beliefs or practices (</w:t>
      </w:r>
      <w:r w:rsidR="003E268A" w:rsidRPr="00A46B49">
        <w:t xml:space="preserve">Chen et al., </w:t>
      </w:r>
      <w:r w:rsidR="003E268A">
        <w:t>2026; Kazan &amp; Kocamış, 2025; McNeill &amp; Cullington, 2025; Wei et al., 2025</w:t>
      </w:r>
      <w:r w:rsidRPr="00A46B49">
        <w:t>). Consequently, employees may rely more on structural or problem-focused coping strategies rather than religious coping when facing work stressors. Additionally, the absence of mediation may be attributed to limited variability in religiosity among respondents or contextual factors related to the nature of the work environment. This finding suggests that while religiosity may be personally meaningful, its role in the stress process may be more complex and context-dependent than initially hypothesised.</w:t>
      </w:r>
    </w:p>
    <w:p w14:paraId="7C82408F" w14:textId="77777777" w:rsidR="000C163F" w:rsidRPr="00A46B49" w:rsidRDefault="000C163F" w:rsidP="000C163F">
      <w:pPr>
        <w:spacing w:line="240" w:lineRule="auto"/>
      </w:pPr>
    </w:p>
    <w:p w14:paraId="2BF397C0" w14:textId="415E92A2" w:rsidR="000C163F" w:rsidRPr="00A46B49" w:rsidRDefault="000C163F" w:rsidP="000C163F">
      <w:pPr>
        <w:spacing w:line="240" w:lineRule="auto"/>
      </w:pPr>
      <w:r w:rsidRPr="00A46B49">
        <w:t xml:space="preserve">For </w:t>
      </w:r>
      <w:r w:rsidR="003E268A">
        <w:t>recommendations</w:t>
      </w:r>
      <w:r w:rsidRPr="00A46B49">
        <w:t xml:space="preserve">, organisations should focus on reducing excessive workload by ensuring reasonable task allocation, adequate staffing, and realistic performance expectations. As </w:t>
      </w:r>
      <w:proofErr w:type="spellStart"/>
      <w:r w:rsidR="003E268A">
        <w:t>Mwakyusa</w:t>
      </w:r>
      <w:proofErr w:type="spellEnd"/>
      <w:r w:rsidR="003E268A">
        <w:t xml:space="preserve"> and </w:t>
      </w:r>
      <w:proofErr w:type="spellStart"/>
      <w:r w:rsidR="003E268A">
        <w:t>Mcharo</w:t>
      </w:r>
      <w:proofErr w:type="spellEnd"/>
      <w:r w:rsidR="003E268A">
        <w:t xml:space="preserve"> (2024) agree</w:t>
      </w:r>
      <w:r w:rsidRPr="00A46B49">
        <w:t>, clear role definitions and effective communication can help minimise role conflict and prevent ambiguity that contributes to stress. Additionally, organisations may consider implementing stress management programmes, such as employee assistance programmes, counselling services, or work–life balance initiatives, to support employees in managing work-related stress, as proposed by the recent studies (</w:t>
      </w:r>
      <w:r w:rsidR="003E268A" w:rsidRPr="00A46B49">
        <w:t xml:space="preserve">Abdul Aziz &amp; Ong, </w:t>
      </w:r>
      <w:r w:rsidR="003E268A">
        <w:t>2025; Birhanu et al., 2026</w:t>
      </w:r>
      <w:r w:rsidRPr="00A46B49">
        <w:t>). Although religiosity did not act as a mediator, organisations can still respect and support employees’ spiritual well-being by providing a supportive and inclusive work environment, such as allowing flexibility for religious practices, which may contribute indirectly to employee well-being.</w:t>
      </w:r>
    </w:p>
    <w:p w14:paraId="3B116682" w14:textId="77777777" w:rsidR="000C163F" w:rsidRPr="00A46B49" w:rsidRDefault="000C163F" w:rsidP="000C163F">
      <w:pPr>
        <w:spacing w:line="240" w:lineRule="auto"/>
      </w:pPr>
    </w:p>
    <w:p w14:paraId="25966730" w14:textId="4028108A" w:rsidR="000C163F" w:rsidRPr="00A46B49" w:rsidRDefault="000C163F" w:rsidP="000C163F">
      <w:pPr>
        <w:spacing w:line="240" w:lineRule="auto"/>
      </w:pPr>
      <w:r w:rsidRPr="00A46B49">
        <w:t xml:space="preserve">Future studies may explore religiosity as a moderating variable rather than a mediating factor to examine whether it </w:t>
      </w:r>
      <w:r w:rsidR="003E268A">
        <w:t>attenuates</w:t>
      </w:r>
      <w:r w:rsidRPr="00A46B49">
        <w:t xml:space="preserve"> the relationship between work stressors and stress. Researchers are also encouraged to include additional mediators or predictors, such as social support, coping strategies, emotional intelligence, or organisational support, to provide a more comprehensive understanding of the stress mechanism. As urged by WHO (2022), effective policies and </w:t>
      </w:r>
      <w:r w:rsidR="003E268A">
        <w:t>actions</w:t>
      </w:r>
      <w:r w:rsidRPr="00A46B49">
        <w:t xml:space="preserve"> to improve </w:t>
      </w:r>
      <w:r w:rsidR="003E268A">
        <w:t>employees’ mental health in the workplace are crucial to upholding the human right to good health and achieving</w:t>
      </w:r>
      <w:r w:rsidRPr="00A46B49">
        <w:t xml:space="preserve"> the SDGs, especially SDG 3 on health and SDG 8 on decent work for all.  Longitudinal or mixed-method approaches may further enhance causal interpretation and deepen insights into how stress develops over time.</w:t>
      </w:r>
    </w:p>
    <w:p w14:paraId="16016DBD" w14:textId="77777777" w:rsidR="000C163F" w:rsidRPr="00A46B49" w:rsidRDefault="000C163F" w:rsidP="000C163F">
      <w:pPr>
        <w:spacing w:line="278" w:lineRule="auto"/>
        <w:rPr>
          <w:b/>
          <w:bCs/>
          <w:kern w:val="2"/>
        </w:rPr>
      </w:pPr>
    </w:p>
    <w:p w14:paraId="4FDBA235" w14:textId="77777777" w:rsidR="000C163F" w:rsidRPr="00A46B49" w:rsidRDefault="000C163F" w:rsidP="000C163F">
      <w:pPr>
        <w:spacing w:line="278" w:lineRule="auto"/>
        <w:rPr>
          <w:b/>
          <w:bCs/>
          <w:kern w:val="2"/>
        </w:rPr>
      </w:pPr>
      <w:r w:rsidRPr="00A46B49">
        <w:rPr>
          <w:b/>
          <w:bCs/>
          <w:kern w:val="2"/>
        </w:rPr>
        <w:t>Acknowledgement</w:t>
      </w:r>
    </w:p>
    <w:p w14:paraId="37EAAE16" w14:textId="77777777" w:rsidR="000C163F" w:rsidRPr="00A46B49" w:rsidRDefault="000C163F" w:rsidP="000C163F">
      <w:pPr>
        <w:spacing w:line="240" w:lineRule="auto"/>
      </w:pPr>
    </w:p>
    <w:p w14:paraId="41254BDF" w14:textId="6BFC6916" w:rsidR="000C163F" w:rsidRPr="00A46B49" w:rsidRDefault="000C163F" w:rsidP="000C163F">
      <w:pPr>
        <w:spacing w:line="240" w:lineRule="auto"/>
      </w:pPr>
      <w:r w:rsidRPr="00A46B49">
        <w:t xml:space="preserve">We would like to express our sincere gratitude to </w:t>
      </w:r>
      <w:proofErr w:type="spellStart"/>
      <w:r w:rsidRPr="00A46B49">
        <w:t>Universiti</w:t>
      </w:r>
      <w:proofErr w:type="spellEnd"/>
      <w:r w:rsidRPr="00A46B49">
        <w:t xml:space="preserve"> </w:t>
      </w:r>
      <w:proofErr w:type="spellStart"/>
      <w:r w:rsidRPr="00A46B49">
        <w:t>Teknologi</w:t>
      </w:r>
      <w:proofErr w:type="spellEnd"/>
      <w:r w:rsidRPr="00A46B49">
        <w:t xml:space="preserve"> MARA, especially </w:t>
      </w:r>
      <w:r w:rsidR="003E268A">
        <w:t>the Kelantan and Selangor branches, for their consistent support, which</w:t>
      </w:r>
      <w:r w:rsidRPr="00A46B49">
        <w:t xml:space="preserve"> made this study possible. We also sincerely thank the authors for their commitment and contributions, without which this project would not have been feasible.</w:t>
      </w:r>
    </w:p>
    <w:p w14:paraId="4EDC8799" w14:textId="77777777" w:rsidR="000C163F" w:rsidRPr="00A46B49" w:rsidRDefault="000C163F" w:rsidP="000C163F"/>
    <w:p w14:paraId="7D4ACD66" w14:textId="77777777" w:rsidR="000C163F" w:rsidRPr="00A46B49" w:rsidRDefault="000C163F" w:rsidP="000C163F">
      <w:pPr>
        <w:spacing w:line="240" w:lineRule="auto"/>
        <w:rPr>
          <w:b/>
          <w:bCs/>
        </w:rPr>
      </w:pPr>
      <w:r w:rsidRPr="00A46B49">
        <w:rPr>
          <w:b/>
          <w:bCs/>
        </w:rPr>
        <w:t>References</w:t>
      </w:r>
    </w:p>
    <w:p w14:paraId="2E74C3F4" w14:textId="77777777" w:rsidR="0099135F" w:rsidRDefault="0099135F" w:rsidP="0099135F">
      <w:pPr>
        <w:autoSpaceDE w:val="0"/>
        <w:autoSpaceDN w:val="0"/>
        <w:adjustRightInd w:val="0"/>
        <w:spacing w:line="240" w:lineRule="auto"/>
        <w:rPr>
          <w:shd w:val="clear" w:color="auto" w:fill="FFFFFF"/>
        </w:rPr>
      </w:pPr>
    </w:p>
    <w:p w14:paraId="508E2767" w14:textId="41AB6FB9" w:rsidR="0099135F" w:rsidRPr="00A46B49" w:rsidRDefault="0099135F" w:rsidP="000C163F">
      <w:pPr>
        <w:autoSpaceDE w:val="0"/>
        <w:autoSpaceDN w:val="0"/>
        <w:adjustRightInd w:val="0"/>
        <w:spacing w:line="240" w:lineRule="auto"/>
        <w:ind w:left="720" w:hanging="720"/>
        <w:rPr>
          <w:shd w:val="clear" w:color="auto" w:fill="FFFFFF"/>
        </w:rPr>
      </w:pPr>
      <w:r w:rsidRPr="00A46B49">
        <w:rPr>
          <w:shd w:val="clear" w:color="auto" w:fill="FFFFFF"/>
        </w:rPr>
        <w:t xml:space="preserve">Abdallah, A., &amp; Alkaabi, A. M. (2023). Role of </w:t>
      </w:r>
      <w:r w:rsidR="003E268A" w:rsidRPr="00A46B49">
        <w:rPr>
          <w:shd w:val="clear" w:color="auto" w:fill="FFFFFF"/>
        </w:rPr>
        <w:t xml:space="preserve">teachers in reinforcing </w:t>
      </w:r>
      <w:r w:rsidR="003E268A">
        <w:rPr>
          <w:shd w:val="clear" w:color="auto" w:fill="FFFFFF"/>
        </w:rPr>
        <w:t>students' cultural and heritage awareness in</w:t>
      </w:r>
      <w:r w:rsidR="003E268A" w:rsidRPr="00A46B49">
        <w:rPr>
          <w:shd w:val="clear" w:color="auto" w:fill="FFFFFF"/>
        </w:rPr>
        <w:t xml:space="preserve"> </w:t>
      </w:r>
      <w:r w:rsidRPr="00A46B49">
        <w:rPr>
          <w:shd w:val="clear" w:color="auto" w:fill="FFFFFF"/>
        </w:rPr>
        <w:t xml:space="preserve">Abu Dhabi </w:t>
      </w:r>
      <w:r w:rsidR="003E268A">
        <w:rPr>
          <w:shd w:val="clear" w:color="auto" w:fill="FFFFFF"/>
        </w:rPr>
        <w:t>s</w:t>
      </w:r>
      <w:r w:rsidRPr="00A46B49">
        <w:rPr>
          <w:shd w:val="clear" w:color="auto" w:fill="FFFFFF"/>
        </w:rPr>
        <w:t xml:space="preserve">chools </w:t>
      </w:r>
      <w:r>
        <w:rPr>
          <w:shd w:val="clear" w:color="auto" w:fill="FFFFFF"/>
        </w:rPr>
        <w:t>t</w:t>
      </w:r>
      <w:r w:rsidRPr="00A46B49">
        <w:rPr>
          <w:shd w:val="clear" w:color="auto" w:fill="FFFFFF"/>
        </w:rPr>
        <w:t xml:space="preserve">o </w:t>
      </w:r>
      <w:r w:rsidR="003E268A">
        <w:rPr>
          <w:shd w:val="clear" w:color="auto" w:fill="FFFFFF"/>
        </w:rPr>
        <w:t>meet the global challenge</w:t>
      </w:r>
      <w:r w:rsidRPr="00A46B49">
        <w:rPr>
          <w:shd w:val="clear" w:color="auto" w:fill="FFFFFF"/>
        </w:rPr>
        <w:t xml:space="preserve">. </w:t>
      </w:r>
      <w:r w:rsidRPr="00A46B49">
        <w:rPr>
          <w:i/>
          <w:iCs/>
          <w:shd w:val="clear" w:color="auto" w:fill="FFFFFF"/>
        </w:rPr>
        <w:t>Cogent Social Sciences, 9</w:t>
      </w:r>
      <w:r w:rsidRPr="00A46B49">
        <w:rPr>
          <w:shd w:val="clear" w:color="auto" w:fill="FFFFFF"/>
        </w:rPr>
        <w:t xml:space="preserve">(1). </w:t>
      </w:r>
      <w:r w:rsidR="006A3ED4">
        <w:rPr>
          <w:shd w:val="clear" w:color="auto" w:fill="FFFFFF"/>
        </w:rPr>
        <w:t>h</w:t>
      </w:r>
      <w:r w:rsidRPr="00A46B49">
        <w:rPr>
          <w:shd w:val="clear" w:color="auto" w:fill="FFFFFF"/>
        </w:rPr>
        <w:t>ttps://</w:t>
      </w:r>
      <w:r w:rsidR="006A3ED4" w:rsidRPr="00A46B49">
        <w:rPr>
          <w:shd w:val="clear" w:color="auto" w:fill="FFFFFF"/>
        </w:rPr>
        <w:t>doi.org</w:t>
      </w:r>
      <w:r w:rsidRPr="00A46B49">
        <w:rPr>
          <w:shd w:val="clear" w:color="auto" w:fill="FFFFFF"/>
        </w:rPr>
        <w:t>/10.1080/23311886.2023.2194734.</w:t>
      </w:r>
    </w:p>
    <w:p w14:paraId="788A8A5C" w14:textId="45DF779B" w:rsidR="0099135F" w:rsidRPr="00A46B49" w:rsidRDefault="0099135F" w:rsidP="000C163F">
      <w:pPr>
        <w:spacing w:line="240" w:lineRule="auto"/>
        <w:ind w:left="720" w:hanging="720"/>
      </w:pPr>
      <w:r w:rsidRPr="00A46B49">
        <w:t xml:space="preserve">Abdul Aziz, A. F., &amp; Ong, T. (2025). Access to employee assistance programs and employee </w:t>
      </w:r>
      <w:r w:rsidR="00D222E3">
        <w:t>well-being</w:t>
      </w:r>
      <w:r w:rsidRPr="00A46B49">
        <w:t xml:space="preserve">: </w:t>
      </w:r>
      <w:r w:rsidR="00D222E3">
        <w:t>A</w:t>
      </w:r>
      <w:r w:rsidRPr="00A46B49">
        <w:t xml:space="preserve"> cross-sectional study of employees in Southeast Asia. </w:t>
      </w:r>
      <w:r w:rsidRPr="00A46B49">
        <w:rPr>
          <w:i/>
          <w:iCs/>
        </w:rPr>
        <w:t>BMC Public Health</w:t>
      </w:r>
      <w:r w:rsidRPr="00A46B49">
        <w:t>, </w:t>
      </w:r>
      <w:r w:rsidRPr="00A46B49">
        <w:rPr>
          <w:i/>
          <w:iCs/>
        </w:rPr>
        <w:t>25</w:t>
      </w:r>
      <w:r w:rsidRPr="00A46B49">
        <w:t>(1), 398.</w:t>
      </w:r>
    </w:p>
    <w:p w14:paraId="75EAD37F" w14:textId="77777777" w:rsidR="0099135F" w:rsidRPr="00A46B49" w:rsidRDefault="0099135F" w:rsidP="000C163F">
      <w:pPr>
        <w:spacing w:line="240" w:lineRule="auto"/>
        <w:ind w:left="720" w:hanging="720"/>
        <w:rPr>
          <w:rFonts w:eastAsia="SimSun"/>
          <w:lang w:eastAsia="zh-CN"/>
        </w:rPr>
      </w:pPr>
      <w:r w:rsidRPr="00A46B49">
        <w:rPr>
          <w:rFonts w:eastAsia="SimSun"/>
          <w:lang w:eastAsia="zh-CN"/>
        </w:rPr>
        <w:t>Abraham, V., Meyer, J. C., Mokwena, K. E., Duncan, E., Luu, X., &amp; Hinsliff-Smith, K. (2025). Effectiveness and feasibility of workplace-based mental health interventions for university academic staff: A systematic review. </w:t>
      </w:r>
      <w:r w:rsidRPr="00A46B49">
        <w:rPr>
          <w:rFonts w:eastAsia="SimSun"/>
          <w:i/>
          <w:iCs/>
          <w:lang w:eastAsia="zh-CN"/>
        </w:rPr>
        <w:t>International Journal of Environmental Research and Public Health</w:t>
      </w:r>
      <w:r w:rsidRPr="00A46B49">
        <w:rPr>
          <w:rFonts w:eastAsia="SimSun"/>
          <w:lang w:eastAsia="zh-CN"/>
        </w:rPr>
        <w:t>, </w:t>
      </w:r>
      <w:r w:rsidRPr="00A46B49">
        <w:rPr>
          <w:rFonts w:eastAsia="SimSun"/>
          <w:i/>
          <w:iCs/>
          <w:lang w:eastAsia="zh-CN"/>
        </w:rPr>
        <w:t>22</w:t>
      </w:r>
      <w:r w:rsidRPr="00A46B49">
        <w:rPr>
          <w:rFonts w:eastAsia="SimSun"/>
          <w:lang w:eastAsia="zh-CN"/>
        </w:rPr>
        <w:t>(12), 1787.</w:t>
      </w:r>
    </w:p>
    <w:p w14:paraId="4CC09484" w14:textId="7E41BAF3" w:rsidR="0099135F" w:rsidRPr="00BE7083" w:rsidRDefault="0099135F" w:rsidP="0099135F">
      <w:pPr>
        <w:autoSpaceDE w:val="0"/>
        <w:autoSpaceDN w:val="0"/>
        <w:adjustRightInd w:val="0"/>
        <w:spacing w:line="240" w:lineRule="auto"/>
        <w:ind w:left="720" w:hanging="720"/>
        <w:rPr>
          <w:shd w:val="clear" w:color="auto" w:fill="FFFFFF"/>
          <w:lang w:val="nl-NL"/>
        </w:rPr>
      </w:pPr>
      <w:r w:rsidRPr="0099135F">
        <w:rPr>
          <w:shd w:val="clear" w:color="auto" w:fill="FFFFFF"/>
        </w:rPr>
        <w:t xml:space="preserve">Ahad, A. A., </w:t>
      </w:r>
      <w:r w:rsidR="003E268A">
        <w:rPr>
          <w:shd w:val="clear" w:color="auto" w:fill="FFFFFF"/>
        </w:rPr>
        <w:t>Sánchez-González</w:t>
      </w:r>
      <w:r w:rsidRPr="0099135F">
        <w:rPr>
          <w:shd w:val="clear" w:color="auto" w:fill="FFFFFF"/>
        </w:rPr>
        <w:t xml:space="preserve">, M., &amp; Junquera, P. (2023). Understanding and </w:t>
      </w:r>
      <w:r w:rsidR="003E268A" w:rsidRPr="0099135F">
        <w:rPr>
          <w:shd w:val="clear" w:color="auto" w:fill="FFFFFF"/>
        </w:rPr>
        <w:t>addressing mental health stigma across cultures for improving psychiatric care</w:t>
      </w:r>
      <w:r w:rsidRPr="0099135F">
        <w:rPr>
          <w:shd w:val="clear" w:color="auto" w:fill="FFFFFF"/>
        </w:rPr>
        <w:t xml:space="preserve">: A </w:t>
      </w:r>
      <w:r w:rsidR="003E268A" w:rsidRPr="0099135F">
        <w:rPr>
          <w:shd w:val="clear" w:color="auto" w:fill="FFFFFF"/>
        </w:rPr>
        <w:t>narrative review</w:t>
      </w:r>
      <w:r w:rsidRPr="0099135F">
        <w:rPr>
          <w:shd w:val="clear" w:color="auto" w:fill="FFFFFF"/>
        </w:rPr>
        <w:t xml:space="preserve">. </w:t>
      </w:r>
      <w:r w:rsidRPr="00BE7083">
        <w:rPr>
          <w:i/>
          <w:iCs/>
          <w:shd w:val="clear" w:color="auto" w:fill="FFFFFF"/>
          <w:lang w:val="nl-NL"/>
        </w:rPr>
        <w:t>Cureus, 15</w:t>
      </w:r>
      <w:r w:rsidRPr="00BE7083">
        <w:rPr>
          <w:shd w:val="clear" w:color="auto" w:fill="FFFFFF"/>
          <w:lang w:val="nl-NL"/>
        </w:rPr>
        <w:t>(5), e39549. https://doi.org/10.7759/cureus.39549</w:t>
      </w:r>
    </w:p>
    <w:p w14:paraId="130E5CA7" w14:textId="39242D54" w:rsidR="0099135F" w:rsidRPr="0099135F" w:rsidRDefault="0099135F" w:rsidP="0099135F">
      <w:pPr>
        <w:autoSpaceDE w:val="0"/>
        <w:autoSpaceDN w:val="0"/>
        <w:adjustRightInd w:val="0"/>
        <w:spacing w:line="240" w:lineRule="auto"/>
        <w:ind w:left="720" w:hanging="720"/>
        <w:rPr>
          <w:shd w:val="clear" w:color="auto" w:fill="FFFFFF"/>
        </w:rPr>
      </w:pPr>
      <w:r w:rsidRPr="00BE7083">
        <w:rPr>
          <w:shd w:val="clear" w:color="auto" w:fill="FFFFFF"/>
          <w:lang w:val="nl-NL"/>
        </w:rPr>
        <w:t xml:space="preserve">AthinarayananRao, K., Gang, G. C. C. A., &amp; Ading, C. (2025). </w:t>
      </w:r>
      <w:r w:rsidRPr="0099135F">
        <w:rPr>
          <w:shd w:val="clear" w:color="auto" w:fill="FFFFFF"/>
        </w:rPr>
        <w:t>Mental health stigma among international university students in Malaysia. </w:t>
      </w:r>
      <w:r w:rsidR="006A3ED4" w:rsidRPr="006A3ED4">
        <w:rPr>
          <w:i/>
          <w:iCs/>
          <w:shd w:val="clear" w:color="auto" w:fill="FFFFFF"/>
        </w:rPr>
        <w:t>International Journal of Academic Research in Business and Social Sciences</w:t>
      </w:r>
      <w:r w:rsidRPr="0099135F">
        <w:rPr>
          <w:shd w:val="clear" w:color="auto" w:fill="FFFFFF"/>
        </w:rPr>
        <w:t>, </w:t>
      </w:r>
      <w:r w:rsidRPr="0099135F">
        <w:rPr>
          <w:i/>
          <w:iCs/>
          <w:shd w:val="clear" w:color="auto" w:fill="FFFFFF"/>
        </w:rPr>
        <w:t>15</w:t>
      </w:r>
      <w:r w:rsidRPr="0099135F">
        <w:rPr>
          <w:shd w:val="clear" w:color="auto" w:fill="FFFFFF"/>
        </w:rPr>
        <w:t>, 851</w:t>
      </w:r>
      <w:r w:rsidR="00B466CC">
        <w:rPr>
          <w:shd w:val="clear" w:color="auto" w:fill="FFFFFF"/>
        </w:rPr>
        <w:t>–</w:t>
      </w:r>
      <w:r w:rsidRPr="0099135F">
        <w:rPr>
          <w:shd w:val="clear" w:color="auto" w:fill="FFFFFF"/>
        </w:rPr>
        <w:t>867.</w:t>
      </w:r>
    </w:p>
    <w:p w14:paraId="29053E33" w14:textId="6AE49968" w:rsidR="0099135F" w:rsidRPr="00A46B49" w:rsidRDefault="0099135F" w:rsidP="000C163F">
      <w:pPr>
        <w:spacing w:line="240" w:lineRule="auto"/>
        <w:ind w:left="720" w:hanging="720"/>
        <w:rPr>
          <w:rFonts w:eastAsia="SimSun"/>
          <w:lang w:val="en-MY" w:eastAsia="zh-CN"/>
        </w:rPr>
      </w:pPr>
      <w:r w:rsidRPr="00A46B49">
        <w:rPr>
          <w:rFonts w:eastAsia="SimSun"/>
          <w:lang w:val="en-MY" w:eastAsia="zh-CN"/>
        </w:rPr>
        <w:t xml:space="preserve">Babatunde, S. I., Adebimpe, O. A., &amp; Aliu, S. I. (2025). Psychological </w:t>
      </w:r>
      <w:r w:rsidR="00B466CC">
        <w:rPr>
          <w:rFonts w:eastAsia="SimSun"/>
          <w:lang w:val="en-MY" w:eastAsia="zh-CN"/>
        </w:rPr>
        <w:t>well-being</w:t>
      </w:r>
      <w:r w:rsidR="00B466CC" w:rsidRPr="00A46B49">
        <w:rPr>
          <w:rFonts w:eastAsia="SimSun"/>
          <w:lang w:val="en-MY" w:eastAsia="zh-CN"/>
        </w:rPr>
        <w:t xml:space="preserve"> of university academics: </w:t>
      </w:r>
      <w:r w:rsidR="00B466CC">
        <w:rPr>
          <w:rFonts w:eastAsia="SimSun"/>
          <w:lang w:val="en-MY" w:eastAsia="zh-CN"/>
        </w:rPr>
        <w:t>T</w:t>
      </w:r>
      <w:r w:rsidR="00B466CC" w:rsidRPr="00A46B49">
        <w:rPr>
          <w:rFonts w:eastAsia="SimSun"/>
          <w:lang w:val="en-MY" w:eastAsia="zh-CN"/>
        </w:rPr>
        <w:t>he role of personality traits and perceived occupational stress</w:t>
      </w:r>
      <w:r w:rsidRPr="00A46B49">
        <w:rPr>
          <w:rFonts w:eastAsia="SimSun"/>
          <w:lang w:val="en-MY" w:eastAsia="zh-CN"/>
        </w:rPr>
        <w:t xml:space="preserve">. </w:t>
      </w:r>
      <w:r w:rsidRPr="00B466CC">
        <w:rPr>
          <w:rFonts w:eastAsia="SimSun"/>
          <w:i/>
          <w:iCs/>
          <w:lang w:val="en-MY" w:eastAsia="zh-CN"/>
        </w:rPr>
        <w:t>Nigerian Journal of Clinical Psychology, 15</w:t>
      </w:r>
      <w:r w:rsidRPr="00A46B49">
        <w:rPr>
          <w:rFonts w:eastAsia="SimSun"/>
          <w:lang w:val="en-MY" w:eastAsia="zh-CN"/>
        </w:rPr>
        <w:t>(1)</w:t>
      </w:r>
      <w:r w:rsidR="00D222E3">
        <w:rPr>
          <w:rFonts w:eastAsia="SimSun"/>
          <w:lang w:val="en-MY" w:eastAsia="zh-CN"/>
        </w:rPr>
        <w:t>, 155–178</w:t>
      </w:r>
      <w:r w:rsidRPr="00A46B49">
        <w:rPr>
          <w:rFonts w:eastAsia="SimSun"/>
          <w:lang w:val="en-MY" w:eastAsia="zh-CN"/>
        </w:rPr>
        <w:t>.</w:t>
      </w:r>
    </w:p>
    <w:p w14:paraId="492FE199" w14:textId="42505F9B" w:rsidR="0099135F" w:rsidRPr="00A46B49" w:rsidRDefault="0099135F" w:rsidP="000C163F">
      <w:pPr>
        <w:spacing w:line="240" w:lineRule="auto"/>
        <w:ind w:left="720" w:hanging="720"/>
        <w:rPr>
          <w:rFonts w:eastAsia="SimSun"/>
          <w:lang w:eastAsia="zh-CN"/>
        </w:rPr>
      </w:pPr>
      <w:r w:rsidRPr="00A46B49">
        <w:rPr>
          <w:rFonts w:eastAsia="SimSun"/>
          <w:lang w:eastAsia="zh-CN"/>
        </w:rPr>
        <w:t xml:space="preserve">Beta, R. M. D. M., Thani, A. K. A., Rosely, N. H., Sakarji, S. R., &amp; Ahmad, N. (2024). Burnout </w:t>
      </w:r>
      <w:r w:rsidR="00B466CC">
        <w:rPr>
          <w:rFonts w:eastAsia="SimSun"/>
          <w:lang w:eastAsia="zh-CN"/>
        </w:rPr>
        <w:t>b</w:t>
      </w:r>
      <w:r w:rsidRPr="00A46B49">
        <w:rPr>
          <w:rFonts w:eastAsia="SimSun"/>
          <w:lang w:eastAsia="zh-CN"/>
        </w:rPr>
        <w:t xml:space="preserve">reakdown: </w:t>
      </w:r>
      <w:proofErr w:type="spellStart"/>
      <w:r w:rsidRPr="00A46B49">
        <w:rPr>
          <w:rFonts w:eastAsia="SimSun"/>
          <w:lang w:eastAsia="zh-CN"/>
        </w:rPr>
        <w:t>Unraveling</w:t>
      </w:r>
      <w:proofErr w:type="spellEnd"/>
      <w:r w:rsidRPr="00A46B49">
        <w:rPr>
          <w:rFonts w:eastAsia="SimSun"/>
          <w:lang w:eastAsia="zh-CN"/>
        </w:rPr>
        <w:t xml:space="preserve"> </w:t>
      </w:r>
      <w:r w:rsidR="00B466CC" w:rsidRPr="00A46B49">
        <w:rPr>
          <w:rFonts w:eastAsia="SimSun"/>
          <w:lang w:eastAsia="zh-CN"/>
        </w:rPr>
        <w:t xml:space="preserve">influences on academic performance in </w:t>
      </w:r>
      <w:r w:rsidR="00B466CC">
        <w:rPr>
          <w:rFonts w:eastAsia="SimSun"/>
          <w:lang w:eastAsia="zh-CN"/>
        </w:rPr>
        <w:t>Malaysian</w:t>
      </w:r>
      <w:r w:rsidR="00B466CC" w:rsidRPr="00A46B49">
        <w:rPr>
          <w:rFonts w:eastAsia="SimSun"/>
          <w:lang w:eastAsia="zh-CN"/>
        </w:rPr>
        <w:t xml:space="preserve"> public universities.</w:t>
      </w:r>
      <w:r w:rsidRPr="00A46B49">
        <w:rPr>
          <w:rFonts w:eastAsia="SimSun"/>
          <w:lang w:eastAsia="zh-CN"/>
        </w:rPr>
        <w:t> </w:t>
      </w:r>
      <w:r w:rsidRPr="00A46B49">
        <w:rPr>
          <w:rFonts w:eastAsia="SimSun"/>
          <w:i/>
          <w:iCs/>
          <w:lang w:eastAsia="zh-CN"/>
        </w:rPr>
        <w:t>Global Business and Management Research</w:t>
      </w:r>
      <w:r w:rsidRPr="00A46B49">
        <w:rPr>
          <w:rFonts w:eastAsia="SimSun"/>
          <w:lang w:eastAsia="zh-CN"/>
        </w:rPr>
        <w:t>, </w:t>
      </w:r>
      <w:r w:rsidRPr="00A46B49">
        <w:rPr>
          <w:rFonts w:eastAsia="SimSun"/>
          <w:i/>
          <w:iCs/>
          <w:lang w:eastAsia="zh-CN"/>
        </w:rPr>
        <w:t>16</w:t>
      </w:r>
      <w:r w:rsidRPr="00A46B49">
        <w:rPr>
          <w:rFonts w:eastAsia="SimSun"/>
          <w:lang w:eastAsia="zh-CN"/>
        </w:rPr>
        <w:t>(2s), 367-374.</w:t>
      </w:r>
    </w:p>
    <w:p w14:paraId="4CEE97D4" w14:textId="7CBF4B40" w:rsidR="0099135F" w:rsidRPr="00A46B49" w:rsidRDefault="0099135F" w:rsidP="000C163F">
      <w:pPr>
        <w:spacing w:line="240" w:lineRule="auto"/>
        <w:ind w:left="720" w:hanging="720"/>
      </w:pPr>
      <w:r w:rsidRPr="00BE7083">
        <w:rPr>
          <w:lang w:val="en-MY"/>
        </w:rPr>
        <w:t xml:space="preserve">Birhanu, Z., Mekonen, H., </w:t>
      </w:r>
      <w:proofErr w:type="spellStart"/>
      <w:r w:rsidRPr="00BE7083">
        <w:rPr>
          <w:lang w:val="en-MY"/>
        </w:rPr>
        <w:t>Kavishe</w:t>
      </w:r>
      <w:proofErr w:type="spellEnd"/>
      <w:r w:rsidRPr="00BE7083">
        <w:rPr>
          <w:lang w:val="en-MY"/>
        </w:rPr>
        <w:t xml:space="preserve">, R. A., Lien, L., Andersen, L. S., Mushi, D. L., ... </w:t>
      </w:r>
      <w:r w:rsidRPr="00A46B49">
        <w:t xml:space="preserve">&amp; </w:t>
      </w:r>
      <w:proofErr w:type="spellStart"/>
      <w:r w:rsidRPr="00A46B49">
        <w:t>Tucho</w:t>
      </w:r>
      <w:proofErr w:type="spellEnd"/>
      <w:r w:rsidRPr="00A46B49">
        <w:t>, G. T. (2026). Workplace stress, support</w:t>
      </w:r>
      <w:r w:rsidR="00B466CC">
        <w:t>,</w:t>
      </w:r>
      <w:r w:rsidRPr="00A46B49">
        <w:t xml:space="preserve"> and stress management strategies for healthier lifestyles among healthcare workers in Ethiopia. </w:t>
      </w:r>
      <w:proofErr w:type="spellStart"/>
      <w:r w:rsidRPr="00A46B49">
        <w:rPr>
          <w:i/>
          <w:iCs/>
        </w:rPr>
        <w:t>PLoS</w:t>
      </w:r>
      <w:proofErr w:type="spellEnd"/>
      <w:r w:rsidRPr="00A46B49">
        <w:rPr>
          <w:i/>
          <w:iCs/>
        </w:rPr>
        <w:t xml:space="preserve"> One</w:t>
      </w:r>
      <w:r w:rsidRPr="00A46B49">
        <w:t>, </w:t>
      </w:r>
      <w:r w:rsidRPr="00A46B49">
        <w:rPr>
          <w:i/>
          <w:iCs/>
        </w:rPr>
        <w:t>21</w:t>
      </w:r>
      <w:r w:rsidRPr="00A46B49">
        <w:t>(1), e0341226.</w:t>
      </w:r>
    </w:p>
    <w:p w14:paraId="78437368" w14:textId="77777777" w:rsidR="0099135F" w:rsidRPr="000C163F" w:rsidRDefault="0099135F" w:rsidP="000C163F">
      <w:pPr>
        <w:spacing w:line="240" w:lineRule="auto"/>
        <w:ind w:left="720" w:hanging="720"/>
        <w:rPr>
          <w:rFonts w:eastAsia="SimSun"/>
          <w:lang w:val="en-MY" w:eastAsia="zh-CN"/>
        </w:rPr>
      </w:pPr>
      <w:r w:rsidRPr="000C163F">
        <w:rPr>
          <w:rFonts w:eastAsia="SimSun"/>
          <w:lang w:eastAsia="zh-CN"/>
        </w:rPr>
        <w:t xml:space="preserve">Chen, Y. C., Wu, J. Y., &amp; Chu, H. C. (2026). Correlations of workload with personality traits, perceived negative and positive </w:t>
      </w:r>
      <w:proofErr w:type="spellStart"/>
      <w:r w:rsidRPr="000C163F">
        <w:rPr>
          <w:rFonts w:eastAsia="SimSun"/>
          <w:lang w:eastAsia="zh-CN"/>
        </w:rPr>
        <w:t>behaviors</w:t>
      </w:r>
      <w:proofErr w:type="spellEnd"/>
      <w:r w:rsidRPr="000C163F">
        <w:rPr>
          <w:rFonts w:eastAsia="SimSun"/>
          <w:lang w:eastAsia="zh-CN"/>
        </w:rPr>
        <w:t>, and organizational factors: A meta-analysis. </w:t>
      </w:r>
      <w:r w:rsidRPr="000C163F">
        <w:rPr>
          <w:rFonts w:eastAsia="SimSun"/>
          <w:i/>
          <w:iCs/>
          <w:lang w:eastAsia="zh-CN"/>
        </w:rPr>
        <w:t>Work</w:t>
      </w:r>
      <w:r w:rsidRPr="000C163F">
        <w:rPr>
          <w:rFonts w:eastAsia="SimSun"/>
          <w:lang w:eastAsia="zh-CN"/>
        </w:rPr>
        <w:t>, 10519815251365103.</w:t>
      </w:r>
    </w:p>
    <w:p w14:paraId="4EAF635A" w14:textId="062BF0D6" w:rsidR="0099135F" w:rsidRPr="00574A66" w:rsidRDefault="0099135F" w:rsidP="000C163F">
      <w:pPr>
        <w:spacing w:line="240" w:lineRule="auto"/>
        <w:ind w:left="720" w:hanging="720"/>
        <w:rPr>
          <w:rFonts w:eastAsia="SimSun"/>
          <w:lang w:eastAsia="zh-CN"/>
        </w:rPr>
      </w:pPr>
      <w:proofErr w:type="spellStart"/>
      <w:r w:rsidRPr="00574A66">
        <w:rPr>
          <w:rFonts w:eastAsia="SimSun"/>
          <w:lang w:eastAsia="zh-CN"/>
        </w:rPr>
        <w:lastRenderedPageBreak/>
        <w:t>Dodanwala</w:t>
      </w:r>
      <w:proofErr w:type="spellEnd"/>
      <w:r w:rsidRPr="00574A66">
        <w:rPr>
          <w:rFonts w:eastAsia="SimSun"/>
          <w:lang w:eastAsia="zh-CN"/>
        </w:rPr>
        <w:t>, T. C., Santoso, D. S., &amp; Shrestha, P. (2022). The mediating role of work–family conflict on role overload and job stress linkage. </w:t>
      </w:r>
      <w:r w:rsidRPr="00574A66">
        <w:rPr>
          <w:rFonts w:eastAsia="SimSun"/>
          <w:i/>
          <w:iCs/>
          <w:lang w:eastAsia="zh-CN"/>
        </w:rPr>
        <w:t>Built Environment Project and Asset Management</w:t>
      </w:r>
      <w:r w:rsidRPr="00574A66">
        <w:rPr>
          <w:rFonts w:eastAsia="SimSun"/>
          <w:lang w:eastAsia="zh-CN"/>
        </w:rPr>
        <w:t>, </w:t>
      </w:r>
      <w:r w:rsidRPr="00574A66">
        <w:rPr>
          <w:rFonts w:eastAsia="SimSun"/>
          <w:i/>
          <w:iCs/>
          <w:lang w:eastAsia="zh-CN"/>
        </w:rPr>
        <w:t>12</w:t>
      </w:r>
      <w:r w:rsidRPr="00574A66">
        <w:rPr>
          <w:rFonts w:eastAsia="SimSun"/>
          <w:lang w:eastAsia="zh-CN"/>
        </w:rPr>
        <w:t>(6), 924</w:t>
      </w:r>
      <w:r w:rsidR="00B466CC">
        <w:rPr>
          <w:rFonts w:eastAsia="SimSun"/>
          <w:lang w:eastAsia="zh-CN"/>
        </w:rPr>
        <w:t>–</w:t>
      </w:r>
      <w:r w:rsidRPr="00574A66">
        <w:rPr>
          <w:rFonts w:eastAsia="SimSun"/>
          <w:lang w:eastAsia="zh-CN"/>
        </w:rPr>
        <w:t>939.</w:t>
      </w:r>
    </w:p>
    <w:p w14:paraId="027B905D" w14:textId="28E914F2" w:rsidR="000E5776" w:rsidRDefault="000E5776" w:rsidP="000C163F">
      <w:pPr>
        <w:spacing w:line="240" w:lineRule="auto"/>
        <w:ind w:left="720" w:hanging="720"/>
        <w:rPr>
          <w:rFonts w:eastAsia="SimSun"/>
          <w:lang w:val="en-MY" w:eastAsia="zh-CN"/>
        </w:rPr>
      </w:pPr>
      <w:r w:rsidRPr="000E5776">
        <w:rPr>
          <w:rFonts w:eastAsia="SimSun"/>
          <w:lang w:eastAsia="zh-CN"/>
        </w:rPr>
        <w:t>Fincham, G. W., Strauss, C., Montero-Marin, J., &amp; Cavanagh, K. (2023). Effect of breathwork on stress and mental health: A meta-analysis of randomised-controlled trials. </w:t>
      </w:r>
      <w:r w:rsidRPr="000E5776">
        <w:rPr>
          <w:rFonts w:eastAsia="SimSun"/>
          <w:i/>
          <w:iCs/>
          <w:lang w:eastAsia="zh-CN"/>
        </w:rPr>
        <w:t>Scientific reports</w:t>
      </w:r>
      <w:r w:rsidRPr="000E5776">
        <w:rPr>
          <w:rFonts w:eastAsia="SimSun"/>
          <w:lang w:eastAsia="zh-CN"/>
        </w:rPr>
        <w:t>, </w:t>
      </w:r>
      <w:r w:rsidRPr="000E5776">
        <w:rPr>
          <w:rFonts w:eastAsia="SimSun"/>
          <w:i/>
          <w:iCs/>
          <w:lang w:eastAsia="zh-CN"/>
        </w:rPr>
        <w:t>13</w:t>
      </w:r>
      <w:r w:rsidRPr="000E5776">
        <w:rPr>
          <w:rFonts w:eastAsia="SimSun"/>
          <w:lang w:eastAsia="zh-CN"/>
        </w:rPr>
        <w:t>(1), 432.</w:t>
      </w:r>
    </w:p>
    <w:p w14:paraId="3983563A" w14:textId="22D28D18" w:rsidR="0099135F" w:rsidRPr="00A46B49" w:rsidRDefault="0099135F" w:rsidP="000C163F">
      <w:pPr>
        <w:spacing w:line="240" w:lineRule="auto"/>
        <w:ind w:left="720" w:hanging="720"/>
        <w:rPr>
          <w:rFonts w:eastAsia="SimSun"/>
          <w:lang w:eastAsia="zh-CN"/>
        </w:rPr>
      </w:pPr>
      <w:r w:rsidRPr="000E5776">
        <w:rPr>
          <w:rFonts w:eastAsia="SimSun"/>
          <w:lang w:val="nl-NL" w:eastAsia="zh-CN"/>
        </w:rPr>
        <w:t xml:space="preserve">Gan, K. H., &amp; Kee, D. M. H. (2024). </w:t>
      </w:r>
      <w:r w:rsidRPr="00A46B49">
        <w:rPr>
          <w:rFonts w:eastAsia="SimSun"/>
          <w:lang w:eastAsia="zh-CN"/>
        </w:rPr>
        <w:t>Unlocking the influence of psychosocial safety climate on work engagement and job satisfaction: exploring the mediating role of job demands. </w:t>
      </w:r>
      <w:r w:rsidR="00B466CC">
        <w:rPr>
          <w:rFonts w:eastAsia="SimSun"/>
          <w:i/>
          <w:iCs/>
          <w:lang w:eastAsia="zh-CN"/>
        </w:rPr>
        <w:t>F</w:t>
      </w:r>
      <w:r w:rsidRPr="00A46B49">
        <w:rPr>
          <w:rFonts w:eastAsia="SimSun"/>
          <w:i/>
          <w:iCs/>
          <w:lang w:eastAsia="zh-CN"/>
        </w:rPr>
        <w:t>oresight</w:t>
      </w:r>
      <w:r w:rsidRPr="00A46B49">
        <w:rPr>
          <w:rFonts w:eastAsia="SimSun"/>
          <w:lang w:eastAsia="zh-CN"/>
        </w:rPr>
        <w:t>, </w:t>
      </w:r>
      <w:r w:rsidRPr="00A46B49">
        <w:rPr>
          <w:rFonts w:eastAsia="SimSun"/>
          <w:i/>
          <w:iCs/>
          <w:lang w:eastAsia="zh-CN"/>
        </w:rPr>
        <w:t>26</w:t>
      </w:r>
      <w:r w:rsidRPr="00A46B49">
        <w:rPr>
          <w:rFonts w:eastAsia="SimSun"/>
          <w:lang w:eastAsia="zh-CN"/>
        </w:rPr>
        <w:t>(5), 948</w:t>
      </w:r>
      <w:r w:rsidR="00B466CC">
        <w:rPr>
          <w:rFonts w:eastAsia="SimSun"/>
          <w:lang w:eastAsia="zh-CN"/>
        </w:rPr>
        <w:t>–</w:t>
      </w:r>
      <w:r w:rsidRPr="00A46B49">
        <w:rPr>
          <w:rFonts w:eastAsia="SimSun"/>
          <w:lang w:eastAsia="zh-CN"/>
        </w:rPr>
        <w:t>965.</w:t>
      </w:r>
    </w:p>
    <w:p w14:paraId="7E8FC370" w14:textId="79BC6020" w:rsidR="0099135F" w:rsidRPr="00A46B49" w:rsidRDefault="0099135F" w:rsidP="000C163F">
      <w:pPr>
        <w:spacing w:line="240" w:lineRule="auto"/>
        <w:ind w:left="720" w:hanging="720"/>
        <w:rPr>
          <w:rFonts w:eastAsia="SimSun"/>
          <w:lang w:eastAsia="zh-CN"/>
        </w:rPr>
      </w:pPr>
      <w:r w:rsidRPr="00A46B49">
        <w:rPr>
          <w:rFonts w:eastAsia="SimSun"/>
          <w:lang w:eastAsia="zh-CN"/>
        </w:rPr>
        <w:t xml:space="preserve">Hasanudin, S. F., Mohd Safar, F., </w:t>
      </w:r>
      <w:proofErr w:type="spellStart"/>
      <w:r w:rsidRPr="00A46B49">
        <w:rPr>
          <w:rFonts w:eastAsia="SimSun"/>
          <w:lang w:eastAsia="zh-CN"/>
        </w:rPr>
        <w:t>Saaidun</w:t>
      </w:r>
      <w:proofErr w:type="spellEnd"/>
      <w:r w:rsidRPr="00A46B49">
        <w:rPr>
          <w:rFonts w:eastAsia="SimSun"/>
          <w:lang w:eastAsia="zh-CN"/>
        </w:rPr>
        <w:t xml:space="preserve">, N. S. N., &amp; Nik Abdullah, N. A. (2022). A survey on occupational mental health at a private college in </w:t>
      </w:r>
      <w:r w:rsidR="00B466CC">
        <w:rPr>
          <w:rFonts w:eastAsia="SimSun"/>
          <w:lang w:eastAsia="zh-CN"/>
        </w:rPr>
        <w:t xml:space="preserve">the </w:t>
      </w:r>
      <w:r w:rsidRPr="00A46B49">
        <w:rPr>
          <w:rFonts w:eastAsia="SimSun"/>
          <w:lang w:eastAsia="zh-CN"/>
        </w:rPr>
        <w:t>northern region of Peninsular Malaysia. </w:t>
      </w:r>
      <w:r w:rsidRPr="00A46B49">
        <w:rPr>
          <w:rFonts w:eastAsia="SimSun"/>
          <w:i/>
          <w:iCs/>
          <w:lang w:eastAsia="zh-CN"/>
        </w:rPr>
        <w:t>Advances in Business Research International Journal (ABRIJ)</w:t>
      </w:r>
      <w:r w:rsidRPr="00A46B49">
        <w:rPr>
          <w:rFonts w:eastAsia="SimSun"/>
          <w:lang w:eastAsia="zh-CN"/>
        </w:rPr>
        <w:t>, </w:t>
      </w:r>
      <w:r w:rsidRPr="00A46B49">
        <w:rPr>
          <w:rFonts w:eastAsia="SimSun"/>
          <w:i/>
          <w:iCs/>
          <w:lang w:eastAsia="zh-CN"/>
        </w:rPr>
        <w:t>8</w:t>
      </w:r>
      <w:r w:rsidRPr="00A46B49">
        <w:rPr>
          <w:rFonts w:eastAsia="SimSun"/>
          <w:lang w:eastAsia="zh-CN"/>
        </w:rPr>
        <w:t>(1), 1</w:t>
      </w:r>
      <w:r w:rsidR="00B466CC">
        <w:rPr>
          <w:rFonts w:eastAsia="SimSun"/>
          <w:lang w:eastAsia="zh-CN"/>
        </w:rPr>
        <w:t>–</w:t>
      </w:r>
      <w:r w:rsidRPr="00A46B49">
        <w:rPr>
          <w:rFonts w:eastAsia="SimSun"/>
          <w:lang w:eastAsia="zh-CN"/>
        </w:rPr>
        <w:t>9.</w:t>
      </w:r>
    </w:p>
    <w:p w14:paraId="5DFFD5DF" w14:textId="5AB658C4" w:rsidR="007806AC" w:rsidRDefault="007806AC" w:rsidP="000C163F">
      <w:pPr>
        <w:spacing w:line="240" w:lineRule="auto"/>
        <w:ind w:left="720" w:hanging="720"/>
        <w:rPr>
          <w:rFonts w:eastAsia="SimSun"/>
          <w:lang w:eastAsia="zh-CN"/>
        </w:rPr>
      </w:pPr>
      <w:proofErr w:type="spellStart"/>
      <w:r w:rsidRPr="007806AC">
        <w:rPr>
          <w:rFonts w:eastAsia="SimSun"/>
          <w:lang w:eastAsia="zh-CN"/>
        </w:rPr>
        <w:t>Hobfoll</w:t>
      </w:r>
      <w:proofErr w:type="spellEnd"/>
      <w:r w:rsidRPr="007806AC">
        <w:rPr>
          <w:rFonts w:eastAsia="SimSun"/>
          <w:lang w:eastAsia="zh-CN"/>
        </w:rPr>
        <w:t>, S. E. (1998) Stress, Culture, and Community: The Psychology and Philosophy of Stress, NY, Plenum Press.</w:t>
      </w:r>
    </w:p>
    <w:p w14:paraId="6C498DC1" w14:textId="58D42798" w:rsidR="0099135F" w:rsidRPr="00A46B49" w:rsidRDefault="0099135F" w:rsidP="000C163F">
      <w:pPr>
        <w:spacing w:line="240" w:lineRule="auto"/>
        <w:ind w:left="720" w:hanging="720"/>
        <w:rPr>
          <w:rFonts w:eastAsia="SimSun"/>
          <w:lang w:eastAsia="zh-CN"/>
        </w:rPr>
      </w:pPr>
      <w:r w:rsidRPr="00A46B49">
        <w:rPr>
          <w:rFonts w:eastAsia="SimSun"/>
          <w:lang w:eastAsia="zh-CN"/>
        </w:rPr>
        <w:t xml:space="preserve">Jayman, M., </w:t>
      </w:r>
      <w:proofErr w:type="spellStart"/>
      <w:r w:rsidRPr="00A46B49">
        <w:rPr>
          <w:rFonts w:eastAsia="SimSun"/>
          <w:lang w:eastAsia="zh-CN"/>
        </w:rPr>
        <w:t>Glazzard</w:t>
      </w:r>
      <w:proofErr w:type="spellEnd"/>
      <w:r w:rsidRPr="00A46B49">
        <w:rPr>
          <w:rFonts w:eastAsia="SimSun"/>
          <w:lang w:eastAsia="zh-CN"/>
        </w:rPr>
        <w:t xml:space="preserve">, J., &amp; Rose, A. (2022, August). Tipping point: The staff wellbeing crisis in higher education. In </w:t>
      </w:r>
      <w:r w:rsidRPr="00D222E3">
        <w:rPr>
          <w:rFonts w:eastAsia="SimSun"/>
          <w:i/>
          <w:iCs/>
          <w:lang w:eastAsia="zh-CN"/>
        </w:rPr>
        <w:t>Frontiers in Education</w:t>
      </w:r>
      <w:r w:rsidRPr="00A46B49">
        <w:rPr>
          <w:rFonts w:eastAsia="SimSun"/>
          <w:lang w:eastAsia="zh-CN"/>
        </w:rPr>
        <w:t xml:space="preserve"> (Vol. 7, p. 929335). Frontiers Media SA. </w:t>
      </w:r>
      <w:hyperlink r:id="rId7" w:history="1">
        <w:r w:rsidRPr="00A46B49">
          <w:rPr>
            <w:rStyle w:val="Hyperlink"/>
            <w:rFonts w:eastAsia="SimSun"/>
            <w:color w:val="auto"/>
            <w:lang w:eastAsia="zh-CN"/>
          </w:rPr>
          <w:t>https://doi:10.3389/feduc.2022.929335</w:t>
        </w:r>
      </w:hyperlink>
      <w:r w:rsidRPr="00A46B49">
        <w:rPr>
          <w:rFonts w:eastAsia="SimSun"/>
          <w:lang w:eastAsia="zh-CN"/>
        </w:rPr>
        <w:t xml:space="preserve"> </w:t>
      </w:r>
    </w:p>
    <w:p w14:paraId="5CD01EDF" w14:textId="225F44A8" w:rsidR="0099135F" w:rsidRPr="000C163F" w:rsidRDefault="0099135F" w:rsidP="000C163F">
      <w:pPr>
        <w:spacing w:line="240" w:lineRule="auto"/>
        <w:ind w:left="720" w:hanging="720"/>
        <w:rPr>
          <w:rFonts w:eastAsia="SimSun"/>
          <w:lang w:eastAsia="zh-CN"/>
        </w:rPr>
      </w:pPr>
      <w:r w:rsidRPr="00BE7083">
        <w:rPr>
          <w:rFonts w:eastAsia="SimSun"/>
          <w:lang w:val="en-MY" w:eastAsia="zh-CN"/>
        </w:rPr>
        <w:t xml:space="preserve">Kazan, G., &amp; Kocamış, T. U. (2025). </w:t>
      </w:r>
      <w:r w:rsidRPr="000C163F">
        <w:rPr>
          <w:rFonts w:eastAsia="SimSun"/>
          <w:lang w:eastAsia="zh-CN"/>
        </w:rPr>
        <w:t>Impact of accountants’ workload on job satisfaction: The mediating role of job stress. </w:t>
      </w:r>
      <w:r w:rsidRPr="000C163F">
        <w:rPr>
          <w:rFonts w:eastAsia="SimSun"/>
          <w:i/>
          <w:iCs/>
          <w:lang w:eastAsia="zh-CN"/>
        </w:rPr>
        <w:t>Work</w:t>
      </w:r>
      <w:r w:rsidRPr="000C163F">
        <w:rPr>
          <w:rFonts w:eastAsia="SimSun"/>
          <w:lang w:eastAsia="zh-CN"/>
        </w:rPr>
        <w:t>, </w:t>
      </w:r>
      <w:r w:rsidRPr="000C163F">
        <w:rPr>
          <w:rFonts w:eastAsia="SimSun"/>
          <w:i/>
          <w:iCs/>
          <w:lang w:eastAsia="zh-CN"/>
        </w:rPr>
        <w:t>82</w:t>
      </w:r>
      <w:r w:rsidRPr="000C163F">
        <w:rPr>
          <w:rFonts w:eastAsia="SimSun"/>
          <w:lang w:eastAsia="zh-CN"/>
        </w:rPr>
        <w:t>(1), 144</w:t>
      </w:r>
      <w:r w:rsidR="00B466CC">
        <w:rPr>
          <w:rFonts w:eastAsia="SimSun"/>
          <w:lang w:eastAsia="zh-CN"/>
        </w:rPr>
        <w:t>–</w:t>
      </w:r>
      <w:r w:rsidRPr="000C163F">
        <w:rPr>
          <w:rFonts w:eastAsia="SimSun"/>
          <w:lang w:eastAsia="zh-CN"/>
        </w:rPr>
        <w:t>153.</w:t>
      </w:r>
    </w:p>
    <w:p w14:paraId="373D314C" w14:textId="6B08D9F2" w:rsidR="0099135F" w:rsidRPr="00A46B49" w:rsidRDefault="0099135F" w:rsidP="000C163F">
      <w:pPr>
        <w:spacing w:line="240" w:lineRule="auto"/>
        <w:ind w:left="720" w:hanging="720"/>
        <w:rPr>
          <w:rFonts w:eastAsia="SimSun"/>
          <w:lang w:eastAsia="zh-CN"/>
        </w:rPr>
      </w:pPr>
      <w:proofErr w:type="spellStart"/>
      <w:r w:rsidRPr="00A46B49">
        <w:rPr>
          <w:rFonts w:eastAsia="SimSun"/>
          <w:lang w:eastAsia="zh-CN"/>
        </w:rPr>
        <w:t>Kazdin</w:t>
      </w:r>
      <w:proofErr w:type="spellEnd"/>
      <w:r w:rsidRPr="00A46B49">
        <w:rPr>
          <w:rFonts w:eastAsia="SimSun"/>
          <w:lang w:eastAsia="zh-CN"/>
        </w:rPr>
        <w:t>, A. E., Wu, C. S., Hwang, I., Puac-Polanco, V., Sampson, N. A., Al-</w:t>
      </w:r>
      <w:proofErr w:type="spellStart"/>
      <w:r w:rsidRPr="00A46B49">
        <w:rPr>
          <w:rFonts w:eastAsia="SimSun"/>
          <w:lang w:eastAsia="zh-CN"/>
        </w:rPr>
        <w:t>Hamzawi</w:t>
      </w:r>
      <w:proofErr w:type="spellEnd"/>
      <w:r w:rsidRPr="00A46B49">
        <w:rPr>
          <w:rFonts w:eastAsia="SimSun"/>
          <w:lang w:eastAsia="zh-CN"/>
        </w:rPr>
        <w:t xml:space="preserve">, A., ... &amp; Kessler, R. C. (2023). Antidepressant use in low-middle-and high-income countries: a World Mental Health Surveys report. </w:t>
      </w:r>
      <w:r w:rsidRPr="00B466CC">
        <w:rPr>
          <w:rFonts w:eastAsia="SimSun"/>
          <w:i/>
          <w:iCs/>
          <w:lang w:eastAsia="zh-CN"/>
        </w:rPr>
        <w:t>Psychological Medicine, 53</w:t>
      </w:r>
      <w:r w:rsidRPr="00A46B49">
        <w:rPr>
          <w:rFonts w:eastAsia="SimSun"/>
          <w:lang w:eastAsia="zh-CN"/>
        </w:rPr>
        <w:t>(4), 1583</w:t>
      </w:r>
      <w:r w:rsidR="00B466CC">
        <w:rPr>
          <w:rFonts w:eastAsia="SimSun"/>
          <w:lang w:eastAsia="zh-CN"/>
        </w:rPr>
        <w:t>–</w:t>
      </w:r>
      <w:r w:rsidRPr="00A46B49">
        <w:rPr>
          <w:rFonts w:eastAsia="SimSun"/>
          <w:lang w:eastAsia="zh-CN"/>
        </w:rPr>
        <w:t>1591.</w:t>
      </w:r>
    </w:p>
    <w:p w14:paraId="4198F3BF" w14:textId="02C6FFD3" w:rsidR="0099135F" w:rsidRPr="00A46B49" w:rsidRDefault="0099135F" w:rsidP="000C163F">
      <w:pPr>
        <w:spacing w:line="240" w:lineRule="auto"/>
        <w:ind w:left="720" w:hanging="720"/>
        <w:rPr>
          <w:rFonts w:eastAsia="SimSun"/>
          <w:lang w:eastAsia="zh-CN"/>
        </w:rPr>
      </w:pPr>
      <w:r w:rsidRPr="00BE7083">
        <w:rPr>
          <w:rFonts w:eastAsia="SimSun"/>
          <w:lang w:val="en-MY" w:eastAsia="zh-CN"/>
        </w:rPr>
        <w:t xml:space="preserve">Kok, B. T., &amp; Nik Yaacob, N. R. (2023). </w:t>
      </w:r>
      <w:r w:rsidRPr="00A46B49">
        <w:rPr>
          <w:rFonts w:eastAsia="SimSun"/>
          <w:lang w:eastAsia="zh-CN"/>
        </w:rPr>
        <w:t xml:space="preserve">How </w:t>
      </w:r>
      <w:r w:rsidR="00CC37E7" w:rsidRPr="00A46B49">
        <w:rPr>
          <w:rFonts w:eastAsia="SimSun"/>
          <w:lang w:eastAsia="zh-CN"/>
        </w:rPr>
        <w:t xml:space="preserve">does acceptance and commitment therapy reduce burnout among academicians from </w:t>
      </w:r>
      <w:r w:rsidR="00CC37E7">
        <w:rPr>
          <w:rFonts w:eastAsia="SimSun"/>
          <w:lang w:eastAsia="zh-CN"/>
        </w:rPr>
        <w:t>Malaysian</w:t>
      </w:r>
      <w:r w:rsidR="00CC37E7" w:rsidRPr="00A46B49">
        <w:rPr>
          <w:rFonts w:eastAsia="SimSun"/>
          <w:lang w:eastAsia="zh-CN"/>
        </w:rPr>
        <w:t xml:space="preserve"> research universities? </w:t>
      </w:r>
      <w:r w:rsidR="00CC37E7">
        <w:rPr>
          <w:rFonts w:eastAsia="SimSun"/>
          <w:lang w:eastAsia="zh-CN"/>
        </w:rPr>
        <w:t>A</w:t>
      </w:r>
      <w:r w:rsidR="00CC37E7" w:rsidRPr="00A46B49">
        <w:rPr>
          <w:rFonts w:eastAsia="SimSun"/>
          <w:lang w:eastAsia="zh-CN"/>
        </w:rPr>
        <w:t xml:space="preserve"> systematic review</w:t>
      </w:r>
      <w:r w:rsidRPr="00A46B49">
        <w:rPr>
          <w:rFonts w:eastAsia="SimSun"/>
          <w:lang w:eastAsia="zh-CN"/>
        </w:rPr>
        <w:t>. </w:t>
      </w:r>
      <w:proofErr w:type="spellStart"/>
      <w:r w:rsidRPr="00A46B49">
        <w:rPr>
          <w:rFonts w:eastAsia="SimSun"/>
          <w:i/>
          <w:iCs/>
          <w:lang w:eastAsia="zh-CN"/>
        </w:rPr>
        <w:t>Jurnal</w:t>
      </w:r>
      <w:proofErr w:type="spellEnd"/>
      <w:r w:rsidRPr="00A46B49">
        <w:rPr>
          <w:rFonts w:eastAsia="SimSun"/>
          <w:i/>
          <w:iCs/>
          <w:lang w:eastAsia="zh-CN"/>
        </w:rPr>
        <w:t xml:space="preserve"> Pembangunan Sosial (JPS)</w:t>
      </w:r>
      <w:r w:rsidRPr="00A46B49">
        <w:rPr>
          <w:rFonts w:eastAsia="SimSun"/>
          <w:lang w:eastAsia="zh-CN"/>
        </w:rPr>
        <w:t>, </w:t>
      </w:r>
      <w:r w:rsidRPr="00A46B49">
        <w:rPr>
          <w:rFonts w:eastAsia="SimSun"/>
          <w:i/>
          <w:iCs/>
          <w:lang w:eastAsia="zh-CN"/>
        </w:rPr>
        <w:t>26</w:t>
      </w:r>
      <w:r w:rsidRPr="00A46B49">
        <w:rPr>
          <w:rFonts w:eastAsia="SimSun"/>
          <w:lang w:eastAsia="zh-CN"/>
        </w:rPr>
        <w:t>, 25</w:t>
      </w:r>
      <w:r w:rsidR="00B466CC">
        <w:rPr>
          <w:rFonts w:eastAsia="SimSun"/>
          <w:lang w:eastAsia="zh-CN"/>
        </w:rPr>
        <w:t>–</w:t>
      </w:r>
      <w:r w:rsidRPr="00A46B49">
        <w:rPr>
          <w:rFonts w:eastAsia="SimSun"/>
          <w:lang w:eastAsia="zh-CN"/>
        </w:rPr>
        <w:t>48.</w:t>
      </w:r>
    </w:p>
    <w:p w14:paraId="128C6835" w14:textId="16582D21" w:rsidR="007806AC" w:rsidRDefault="007806AC" w:rsidP="000C163F">
      <w:pPr>
        <w:spacing w:line="240" w:lineRule="auto"/>
        <w:ind w:left="720" w:hanging="720"/>
        <w:rPr>
          <w:rFonts w:eastAsia="SimSun"/>
          <w:lang w:eastAsia="zh-CN"/>
        </w:rPr>
      </w:pPr>
      <w:r w:rsidRPr="007806AC">
        <w:rPr>
          <w:rFonts w:eastAsia="SimSun"/>
          <w:lang w:eastAsia="zh-CN"/>
        </w:rPr>
        <w:t>Lazarus, R. S. and Folkman, S. (1984) Stress, appraisal and coping, NY, Springer.</w:t>
      </w:r>
    </w:p>
    <w:p w14:paraId="29BE65C5" w14:textId="41B68801" w:rsidR="00D222E3" w:rsidRPr="00D222E3" w:rsidRDefault="00D222E3" w:rsidP="000C163F">
      <w:pPr>
        <w:spacing w:line="240" w:lineRule="auto"/>
        <w:ind w:left="720" w:hanging="720"/>
        <w:rPr>
          <w:rFonts w:eastAsia="SimSun"/>
          <w:lang w:eastAsia="zh-CN"/>
        </w:rPr>
      </w:pPr>
      <w:r w:rsidRPr="007806AC">
        <w:rPr>
          <w:rFonts w:eastAsia="SimSun"/>
          <w:lang w:val="nl-NL" w:eastAsia="zh-CN"/>
        </w:rPr>
        <w:t xml:space="preserve">Lei, W., Li, J., Li, Y., Castaño, G., Yang, M., &amp; Zou, B. (2021). </w:t>
      </w:r>
      <w:r w:rsidRPr="00D222E3">
        <w:rPr>
          <w:rFonts w:eastAsia="SimSun"/>
          <w:lang w:eastAsia="zh-CN"/>
        </w:rPr>
        <w:t>The boundary conditions under which teaching–research conflict leads to university teachers’ job burnout. </w:t>
      </w:r>
      <w:r w:rsidRPr="00D222E3">
        <w:rPr>
          <w:rFonts w:eastAsia="SimSun"/>
          <w:i/>
          <w:iCs/>
          <w:lang w:eastAsia="zh-CN"/>
        </w:rPr>
        <w:t>Studies in Higher Education</w:t>
      </w:r>
      <w:r w:rsidRPr="00D222E3">
        <w:rPr>
          <w:rFonts w:eastAsia="SimSun"/>
          <w:lang w:eastAsia="zh-CN"/>
        </w:rPr>
        <w:t>, </w:t>
      </w:r>
      <w:r w:rsidRPr="00D222E3">
        <w:rPr>
          <w:rFonts w:eastAsia="SimSun"/>
          <w:i/>
          <w:iCs/>
          <w:lang w:eastAsia="zh-CN"/>
        </w:rPr>
        <w:t>46</w:t>
      </w:r>
      <w:r w:rsidRPr="00D222E3">
        <w:rPr>
          <w:rFonts w:eastAsia="SimSun"/>
          <w:lang w:eastAsia="zh-CN"/>
        </w:rPr>
        <w:t>(2), 406–422.</w:t>
      </w:r>
    </w:p>
    <w:p w14:paraId="592A534B" w14:textId="1D9CF70D" w:rsidR="0099135F" w:rsidRPr="00A46B49" w:rsidRDefault="0099135F" w:rsidP="000C163F">
      <w:pPr>
        <w:spacing w:line="240" w:lineRule="auto"/>
        <w:ind w:left="720" w:hanging="720"/>
        <w:rPr>
          <w:rFonts w:eastAsia="SimSun"/>
          <w:lang w:eastAsia="zh-CN"/>
        </w:rPr>
      </w:pPr>
      <w:r w:rsidRPr="00D222E3">
        <w:rPr>
          <w:rFonts w:eastAsia="SimSun"/>
          <w:lang w:eastAsia="zh-CN"/>
        </w:rPr>
        <w:t>Lei, M., Alam, G. M., Bashir, K., &amp; Pingping, G. (2024). Does the job performance of</w:t>
      </w:r>
      <w:r w:rsidRPr="00A46B49">
        <w:rPr>
          <w:rFonts w:eastAsia="SimSun"/>
          <w:lang w:eastAsia="zh-CN"/>
        </w:rPr>
        <w:t xml:space="preserve"> </w:t>
      </w:r>
      <w:r w:rsidR="00CC37E7">
        <w:rPr>
          <w:rFonts w:eastAsia="SimSun"/>
          <w:lang w:eastAsia="zh-CN"/>
        </w:rPr>
        <w:t>academics</w:t>
      </w:r>
      <w:r w:rsidRPr="00A46B49">
        <w:rPr>
          <w:rFonts w:eastAsia="SimSun"/>
          <w:lang w:eastAsia="zh-CN"/>
        </w:rPr>
        <w:t xml:space="preserve"> influence burnout and psychological counselling? A comparative analysis amongst high-, average-, low-, and non-performers. </w:t>
      </w:r>
      <w:r w:rsidRPr="00A46B49">
        <w:rPr>
          <w:rFonts w:eastAsia="SimSun"/>
          <w:i/>
          <w:iCs/>
          <w:lang w:eastAsia="zh-CN"/>
        </w:rPr>
        <w:t>BMC Public Health</w:t>
      </w:r>
      <w:r w:rsidRPr="00A46B49">
        <w:rPr>
          <w:rFonts w:eastAsia="SimSun"/>
          <w:lang w:eastAsia="zh-CN"/>
        </w:rPr>
        <w:t>, </w:t>
      </w:r>
      <w:r w:rsidRPr="00A46B49">
        <w:rPr>
          <w:rFonts w:eastAsia="SimSun"/>
          <w:i/>
          <w:iCs/>
          <w:lang w:eastAsia="zh-CN"/>
        </w:rPr>
        <w:t>24</w:t>
      </w:r>
      <w:r w:rsidRPr="00A46B49">
        <w:rPr>
          <w:rFonts w:eastAsia="SimSun"/>
          <w:lang w:eastAsia="zh-CN"/>
        </w:rPr>
        <w:t>(1), 1708.</w:t>
      </w:r>
    </w:p>
    <w:p w14:paraId="47CA5A68" w14:textId="2374E119" w:rsidR="0099135F" w:rsidRPr="00A46B49" w:rsidRDefault="0099135F" w:rsidP="000C163F">
      <w:pPr>
        <w:spacing w:line="240" w:lineRule="auto"/>
        <w:ind w:left="720" w:hanging="720"/>
      </w:pPr>
      <w:r w:rsidRPr="00A46B49">
        <w:t>Leiter</w:t>
      </w:r>
      <w:r w:rsidR="00CC37E7">
        <w:t>,</w:t>
      </w:r>
      <w:r w:rsidRPr="00A46B49">
        <w:t xml:space="preserve"> </w:t>
      </w:r>
      <w:r w:rsidR="00CC37E7">
        <w:t>M. P., &amp; Maslach,</w:t>
      </w:r>
      <w:r w:rsidRPr="00A46B49">
        <w:t xml:space="preserve"> C.</w:t>
      </w:r>
      <w:r w:rsidR="00CC37E7">
        <w:t xml:space="preserve"> (2017).</w:t>
      </w:r>
      <w:r w:rsidRPr="00A46B49">
        <w:t xml:space="preserve"> Motivation, competence, and job burnout. In: Elliot AJ, Dweck CS, Yeager DS, editors. </w:t>
      </w:r>
      <w:r w:rsidRPr="00D222E3">
        <w:rPr>
          <w:i/>
          <w:iCs/>
        </w:rPr>
        <w:t>Handbook of competence and motivation: Theory and application (2nd ed., pp. 370–384)</w:t>
      </w:r>
      <w:r w:rsidRPr="00A46B49">
        <w:t xml:space="preserve">. New York: The Guilford Press. </w:t>
      </w:r>
    </w:p>
    <w:p w14:paraId="1670D078" w14:textId="3CB661A4" w:rsidR="00021A72" w:rsidRDefault="00021A72" w:rsidP="000C163F">
      <w:pPr>
        <w:spacing w:line="240" w:lineRule="auto"/>
        <w:ind w:left="720" w:hanging="720"/>
        <w:rPr>
          <w:rFonts w:eastAsia="SimSun"/>
          <w:lang w:eastAsia="zh-CN"/>
        </w:rPr>
      </w:pPr>
      <w:r w:rsidRPr="00021A72">
        <w:rPr>
          <w:rFonts w:eastAsia="SimSun"/>
          <w:lang w:eastAsia="zh-CN"/>
        </w:rPr>
        <w:t>Maddock, A. (2024). The relationships between stress, burnout, mental health and well-being in social workers. </w:t>
      </w:r>
      <w:r w:rsidRPr="00021A72">
        <w:rPr>
          <w:rFonts w:eastAsia="SimSun"/>
          <w:i/>
          <w:iCs/>
          <w:lang w:eastAsia="zh-CN"/>
        </w:rPr>
        <w:t>The British Journal of Social Work</w:t>
      </w:r>
      <w:r w:rsidRPr="00021A72">
        <w:rPr>
          <w:rFonts w:eastAsia="SimSun"/>
          <w:lang w:eastAsia="zh-CN"/>
        </w:rPr>
        <w:t>, </w:t>
      </w:r>
      <w:r w:rsidRPr="00021A72">
        <w:rPr>
          <w:rFonts w:eastAsia="SimSun"/>
          <w:i/>
          <w:iCs/>
          <w:lang w:eastAsia="zh-CN"/>
        </w:rPr>
        <w:t>54</w:t>
      </w:r>
      <w:r w:rsidRPr="00021A72">
        <w:rPr>
          <w:rFonts w:eastAsia="SimSun"/>
          <w:lang w:eastAsia="zh-CN"/>
        </w:rPr>
        <w:t>(2), 668-686.</w:t>
      </w:r>
    </w:p>
    <w:p w14:paraId="38FB32C8" w14:textId="392D35AC" w:rsidR="0099135F" w:rsidRPr="00574A66" w:rsidRDefault="0099135F" w:rsidP="000C163F">
      <w:pPr>
        <w:spacing w:line="240" w:lineRule="auto"/>
        <w:ind w:left="720" w:hanging="720"/>
        <w:rPr>
          <w:rFonts w:eastAsia="SimSun"/>
          <w:lang w:eastAsia="zh-CN"/>
        </w:rPr>
      </w:pPr>
      <w:r w:rsidRPr="00574A66">
        <w:rPr>
          <w:rFonts w:eastAsia="SimSun"/>
          <w:lang w:eastAsia="zh-CN"/>
        </w:rPr>
        <w:t xml:space="preserve">McNeill, I. M., &amp; Cullington, E. (2025). Workload, </w:t>
      </w:r>
      <w:r w:rsidR="00CC37E7" w:rsidRPr="00574A66">
        <w:rPr>
          <w:rFonts w:eastAsia="SimSun" w:hint="eastAsia"/>
          <w:lang w:eastAsia="zh-CN"/>
        </w:rPr>
        <w:t>work</w:t>
      </w:r>
      <w:r w:rsidR="00CC37E7" w:rsidRPr="00574A66">
        <w:rPr>
          <w:rFonts w:eastAsia="SimSun" w:hint="eastAsia"/>
          <w:lang w:eastAsia="zh-CN"/>
        </w:rPr>
        <w:t>‐</w:t>
      </w:r>
      <w:r w:rsidR="00CC37E7" w:rsidRPr="00574A66">
        <w:rPr>
          <w:rFonts w:eastAsia="SimSun" w:hint="eastAsia"/>
          <w:lang w:eastAsia="zh-CN"/>
        </w:rPr>
        <w:t>life conflict, and stress amongst mental health professionals: the moderating role of segmentation preference</w:t>
      </w:r>
      <w:r w:rsidRPr="00574A66">
        <w:rPr>
          <w:rFonts w:eastAsia="SimSun"/>
          <w:lang w:eastAsia="zh-CN"/>
        </w:rPr>
        <w:t>. </w:t>
      </w:r>
      <w:r w:rsidRPr="00574A66">
        <w:rPr>
          <w:rFonts w:eastAsia="SimSun"/>
          <w:i/>
          <w:iCs/>
          <w:lang w:eastAsia="zh-CN"/>
        </w:rPr>
        <w:t>Stress and Health</w:t>
      </w:r>
      <w:r w:rsidRPr="00574A66">
        <w:rPr>
          <w:rFonts w:eastAsia="SimSun"/>
          <w:lang w:eastAsia="zh-CN"/>
        </w:rPr>
        <w:t>, </w:t>
      </w:r>
      <w:r w:rsidRPr="00574A66">
        <w:rPr>
          <w:rFonts w:eastAsia="SimSun"/>
          <w:i/>
          <w:iCs/>
          <w:lang w:eastAsia="zh-CN"/>
        </w:rPr>
        <w:t>41</w:t>
      </w:r>
      <w:r w:rsidRPr="00574A66">
        <w:rPr>
          <w:rFonts w:eastAsia="SimSun"/>
          <w:lang w:eastAsia="zh-CN"/>
        </w:rPr>
        <w:t>(4), e70095.</w:t>
      </w:r>
    </w:p>
    <w:p w14:paraId="50720EAD" w14:textId="43A7446D" w:rsidR="0099135F" w:rsidRPr="00A46B49" w:rsidRDefault="0099135F" w:rsidP="000C163F">
      <w:pPr>
        <w:spacing w:line="240" w:lineRule="auto"/>
        <w:ind w:left="720" w:hanging="720"/>
        <w:rPr>
          <w:rFonts w:eastAsia="SimSun"/>
          <w:lang w:val="en-MY" w:eastAsia="zh-CN"/>
        </w:rPr>
      </w:pPr>
      <w:r w:rsidRPr="00BE7083">
        <w:rPr>
          <w:rFonts w:eastAsia="SimSun"/>
          <w:lang w:val="en-MY" w:eastAsia="zh-CN"/>
        </w:rPr>
        <w:t xml:space="preserve">Mohammad, N. H., Zamri, N. A. K., &amp; Hadi, S. N. I. A. (2025). </w:t>
      </w:r>
      <w:r w:rsidRPr="00A46B49">
        <w:rPr>
          <w:rFonts w:eastAsia="SimSun"/>
          <w:lang w:val="en-MY" w:eastAsia="zh-CN"/>
        </w:rPr>
        <w:t xml:space="preserve">Cultivating </w:t>
      </w:r>
      <w:r w:rsidR="00CC37E7">
        <w:rPr>
          <w:rFonts w:eastAsia="SimSun"/>
          <w:lang w:val="en-MY" w:eastAsia="zh-CN"/>
        </w:rPr>
        <w:t>c</w:t>
      </w:r>
      <w:r w:rsidRPr="00A46B49">
        <w:rPr>
          <w:rFonts w:eastAsia="SimSun"/>
          <w:lang w:val="en-MY" w:eastAsia="zh-CN"/>
        </w:rPr>
        <w:t xml:space="preserve">alm: A </w:t>
      </w:r>
      <w:r w:rsidR="00CC37E7" w:rsidRPr="00A46B49">
        <w:rPr>
          <w:rFonts w:eastAsia="SimSun"/>
          <w:lang w:val="en-MY" w:eastAsia="zh-CN"/>
        </w:rPr>
        <w:t xml:space="preserve">conceptual framework for kaizen-based stress management in </w:t>
      </w:r>
      <w:r w:rsidR="00CC37E7">
        <w:rPr>
          <w:rFonts w:eastAsia="SimSun"/>
          <w:lang w:val="en-MY" w:eastAsia="zh-CN"/>
        </w:rPr>
        <w:t>Malaysian</w:t>
      </w:r>
      <w:r w:rsidR="00CC37E7" w:rsidRPr="00A46B49">
        <w:rPr>
          <w:rFonts w:eastAsia="SimSun"/>
          <w:lang w:val="en-MY" w:eastAsia="zh-CN"/>
        </w:rPr>
        <w:t xml:space="preserve"> academia</w:t>
      </w:r>
      <w:r w:rsidRPr="00A46B49">
        <w:rPr>
          <w:rFonts w:eastAsia="SimSun"/>
          <w:lang w:val="en-MY" w:eastAsia="zh-CN"/>
        </w:rPr>
        <w:t xml:space="preserve">. </w:t>
      </w:r>
      <w:r w:rsidRPr="00CC37E7">
        <w:rPr>
          <w:rFonts w:eastAsia="SimSun"/>
          <w:i/>
          <w:iCs/>
          <w:lang w:val="en-MY" w:eastAsia="zh-CN"/>
        </w:rPr>
        <w:t>International Journal of Research and Innovation in Social Science, IX</w:t>
      </w:r>
      <w:r w:rsidRPr="00A46B49">
        <w:rPr>
          <w:rFonts w:eastAsia="SimSun"/>
          <w:lang w:val="en-MY" w:eastAsia="zh-CN"/>
        </w:rPr>
        <w:t>(IV), 44</w:t>
      </w:r>
      <w:r w:rsidR="00CC37E7">
        <w:rPr>
          <w:rFonts w:eastAsia="SimSun"/>
          <w:lang w:val="en-MY" w:eastAsia="zh-CN"/>
        </w:rPr>
        <w:t>–</w:t>
      </w:r>
      <w:r w:rsidRPr="00A46B49">
        <w:rPr>
          <w:rFonts w:eastAsia="SimSun"/>
          <w:lang w:val="en-MY" w:eastAsia="zh-CN"/>
        </w:rPr>
        <w:t>54.</w:t>
      </w:r>
    </w:p>
    <w:p w14:paraId="42A9DA24" w14:textId="76BE75E8" w:rsidR="0099135F" w:rsidRPr="0099135F" w:rsidRDefault="0099135F" w:rsidP="0099135F">
      <w:pPr>
        <w:autoSpaceDE w:val="0"/>
        <w:autoSpaceDN w:val="0"/>
        <w:adjustRightInd w:val="0"/>
        <w:spacing w:line="240" w:lineRule="auto"/>
        <w:ind w:left="720" w:hanging="720"/>
        <w:rPr>
          <w:shd w:val="clear" w:color="auto" w:fill="FFFFFF"/>
          <w:lang w:val="en-MY"/>
        </w:rPr>
      </w:pPr>
      <w:r w:rsidRPr="0099135F">
        <w:rPr>
          <w:shd w:val="clear" w:color="auto" w:fill="FFFFFF"/>
        </w:rPr>
        <w:t xml:space="preserve">Mok, S. L., Chuah, J. Y., Lee, K. J., Lim, Y. D., </w:t>
      </w:r>
      <w:proofErr w:type="spellStart"/>
      <w:r w:rsidRPr="0099135F">
        <w:rPr>
          <w:shd w:val="clear" w:color="auto" w:fill="FFFFFF"/>
        </w:rPr>
        <w:t>Appalasamy</w:t>
      </w:r>
      <w:proofErr w:type="spellEnd"/>
      <w:r w:rsidRPr="0099135F">
        <w:rPr>
          <w:shd w:val="clear" w:color="auto" w:fill="FFFFFF"/>
        </w:rPr>
        <w:t>, J. R., Saw, P. S., &amp; Selvaraj, A. (2025). Community pharmacists’ views on their roles in mental health screening and management in Malaysia. </w:t>
      </w:r>
      <w:r w:rsidRPr="0099135F">
        <w:rPr>
          <w:i/>
          <w:iCs/>
          <w:shd w:val="clear" w:color="auto" w:fill="FFFFFF"/>
        </w:rPr>
        <w:t xml:space="preserve">Community </w:t>
      </w:r>
      <w:r w:rsidR="00CC37E7">
        <w:rPr>
          <w:i/>
          <w:iCs/>
          <w:shd w:val="clear" w:color="auto" w:fill="FFFFFF"/>
        </w:rPr>
        <w:t>Mental Health Journal</w:t>
      </w:r>
      <w:r w:rsidRPr="0099135F">
        <w:rPr>
          <w:shd w:val="clear" w:color="auto" w:fill="FFFFFF"/>
        </w:rPr>
        <w:t>, </w:t>
      </w:r>
      <w:r w:rsidRPr="0099135F">
        <w:rPr>
          <w:i/>
          <w:iCs/>
          <w:shd w:val="clear" w:color="auto" w:fill="FFFFFF"/>
        </w:rPr>
        <w:t>61</w:t>
      </w:r>
      <w:r w:rsidRPr="0099135F">
        <w:rPr>
          <w:shd w:val="clear" w:color="auto" w:fill="FFFFFF"/>
        </w:rPr>
        <w:t>(1), 158</w:t>
      </w:r>
      <w:r w:rsidR="00CC37E7">
        <w:rPr>
          <w:shd w:val="clear" w:color="auto" w:fill="FFFFFF"/>
        </w:rPr>
        <w:t>–</w:t>
      </w:r>
      <w:r w:rsidRPr="0099135F">
        <w:rPr>
          <w:shd w:val="clear" w:color="auto" w:fill="FFFFFF"/>
        </w:rPr>
        <w:t>166.</w:t>
      </w:r>
    </w:p>
    <w:p w14:paraId="09226203" w14:textId="77777777" w:rsidR="0099135F" w:rsidRPr="00A46B49" w:rsidRDefault="0099135F" w:rsidP="000C163F">
      <w:pPr>
        <w:spacing w:line="240" w:lineRule="auto"/>
        <w:ind w:left="720" w:hanging="720"/>
      </w:pPr>
      <w:proofErr w:type="spellStart"/>
      <w:r w:rsidRPr="00A46B49">
        <w:t>Mwakyusa</w:t>
      </w:r>
      <w:proofErr w:type="spellEnd"/>
      <w:r w:rsidRPr="00A46B49">
        <w:t xml:space="preserve">, J. R., &amp; </w:t>
      </w:r>
      <w:proofErr w:type="spellStart"/>
      <w:r w:rsidRPr="00A46B49">
        <w:t>Mcharo</w:t>
      </w:r>
      <w:proofErr w:type="spellEnd"/>
      <w:r w:rsidRPr="00A46B49">
        <w:t>, E. W. (2024). Role ambiguity and role conflict effects on employees’ emotional exhaustion in healthcare services in Tanzania. </w:t>
      </w:r>
      <w:r w:rsidRPr="00A46B49">
        <w:rPr>
          <w:i/>
          <w:iCs/>
        </w:rPr>
        <w:t>Cogent Business &amp; Management</w:t>
      </w:r>
      <w:r w:rsidRPr="00A46B49">
        <w:t>, </w:t>
      </w:r>
      <w:r w:rsidRPr="00A46B49">
        <w:rPr>
          <w:i/>
          <w:iCs/>
        </w:rPr>
        <w:t>11</w:t>
      </w:r>
      <w:r w:rsidRPr="00A46B49">
        <w:t>(1), 2326237.</w:t>
      </w:r>
    </w:p>
    <w:p w14:paraId="0CD56426" w14:textId="77777777" w:rsidR="0099135F" w:rsidRPr="00A46B49" w:rsidRDefault="0099135F" w:rsidP="000C163F">
      <w:pPr>
        <w:spacing w:line="240" w:lineRule="auto"/>
        <w:ind w:left="720" w:hanging="720"/>
        <w:rPr>
          <w:rFonts w:eastAsia="SimSun"/>
          <w:lang w:val="en-MY" w:eastAsia="zh-CN"/>
        </w:rPr>
      </w:pPr>
      <w:r w:rsidRPr="00A46B49">
        <w:rPr>
          <w:rFonts w:eastAsia="SimSun"/>
          <w:lang w:val="en-MY" w:eastAsia="zh-CN"/>
        </w:rPr>
        <w:lastRenderedPageBreak/>
        <w:t xml:space="preserve">Nicholls, H., Nicholls, M., Tekin, S., Lamb, D., &amp; Billings, J. (2022). The impact of working in academia on researchers’ mental health and well-being: A systematic review and qualitative meta-synthesis. </w:t>
      </w:r>
      <w:proofErr w:type="spellStart"/>
      <w:r w:rsidRPr="00CC37E7">
        <w:rPr>
          <w:rFonts w:eastAsia="SimSun"/>
          <w:i/>
          <w:iCs/>
          <w:lang w:val="en-MY" w:eastAsia="zh-CN"/>
        </w:rPr>
        <w:t>PloS</w:t>
      </w:r>
      <w:proofErr w:type="spellEnd"/>
      <w:r w:rsidRPr="00CC37E7">
        <w:rPr>
          <w:rFonts w:eastAsia="SimSun"/>
          <w:i/>
          <w:iCs/>
          <w:lang w:val="en-MY" w:eastAsia="zh-CN"/>
        </w:rPr>
        <w:t xml:space="preserve"> one, 17</w:t>
      </w:r>
      <w:r w:rsidRPr="00A46B49">
        <w:rPr>
          <w:rFonts w:eastAsia="SimSun"/>
          <w:lang w:val="en-MY" w:eastAsia="zh-CN"/>
        </w:rPr>
        <w:t>(5), e0268890.</w:t>
      </w:r>
    </w:p>
    <w:p w14:paraId="716FAFD6" w14:textId="1C939647" w:rsidR="0099135F" w:rsidRPr="00A46B49" w:rsidRDefault="0099135F" w:rsidP="000C163F">
      <w:pPr>
        <w:spacing w:line="240" w:lineRule="auto"/>
        <w:ind w:left="720" w:hanging="720"/>
        <w:rPr>
          <w:rFonts w:eastAsia="SimSun"/>
          <w:lang w:eastAsia="zh-CN"/>
        </w:rPr>
      </w:pPr>
      <w:r w:rsidRPr="00A46B49">
        <w:rPr>
          <w:rFonts w:eastAsia="SimSun"/>
          <w:lang w:eastAsia="zh-CN"/>
        </w:rPr>
        <w:t xml:space="preserve">Othman, A. K., Rashid, M. A. A., Othman, M. N. A., Yusop, Z. M., Anuar, A., &amp; Abdullah, M. Z. (2023). Moderating effect of religiosity as </w:t>
      </w:r>
      <w:r w:rsidR="00CC37E7">
        <w:rPr>
          <w:rFonts w:eastAsia="SimSun"/>
          <w:lang w:eastAsia="zh-CN"/>
        </w:rPr>
        <w:t>a</w:t>
      </w:r>
      <w:r w:rsidRPr="00A46B49">
        <w:rPr>
          <w:rFonts w:eastAsia="SimSun"/>
          <w:lang w:eastAsia="zh-CN"/>
        </w:rPr>
        <w:t xml:space="preserve"> coping strategy on the relationship between stressors and mental health. </w:t>
      </w:r>
      <w:r w:rsidRPr="00A46B49">
        <w:rPr>
          <w:rFonts w:eastAsia="SimSun"/>
          <w:i/>
          <w:iCs/>
          <w:lang w:eastAsia="zh-CN"/>
        </w:rPr>
        <w:t>Central European Management Journal</w:t>
      </w:r>
      <w:r w:rsidRPr="00A46B49">
        <w:rPr>
          <w:rFonts w:eastAsia="SimSun"/>
          <w:lang w:eastAsia="zh-CN"/>
        </w:rPr>
        <w:t>, </w:t>
      </w:r>
      <w:r w:rsidRPr="00A46B49">
        <w:rPr>
          <w:rFonts w:eastAsia="SimSun"/>
          <w:i/>
          <w:iCs/>
          <w:lang w:eastAsia="zh-CN"/>
        </w:rPr>
        <w:t>31</w:t>
      </w:r>
      <w:r w:rsidRPr="00A46B49">
        <w:rPr>
          <w:rFonts w:eastAsia="SimSun"/>
          <w:lang w:eastAsia="zh-CN"/>
        </w:rPr>
        <w:t>(1), 550</w:t>
      </w:r>
      <w:r w:rsidR="00CC37E7">
        <w:rPr>
          <w:rFonts w:eastAsia="SimSun"/>
          <w:lang w:eastAsia="zh-CN"/>
        </w:rPr>
        <w:t>–</w:t>
      </w:r>
      <w:r w:rsidRPr="00A46B49">
        <w:rPr>
          <w:rFonts w:eastAsia="SimSun"/>
          <w:lang w:eastAsia="zh-CN"/>
        </w:rPr>
        <w:t>562.</w:t>
      </w:r>
    </w:p>
    <w:p w14:paraId="64B9A11F" w14:textId="38964FB0" w:rsidR="0099135F" w:rsidRPr="00C40742" w:rsidRDefault="0099135F" w:rsidP="000C163F">
      <w:pPr>
        <w:spacing w:line="240" w:lineRule="auto"/>
        <w:ind w:left="720" w:hanging="720"/>
        <w:rPr>
          <w:rFonts w:eastAsia="SimSun"/>
          <w:lang w:val="en-MY" w:eastAsia="zh-CN"/>
        </w:rPr>
      </w:pPr>
      <w:r w:rsidRPr="00A46B49">
        <w:rPr>
          <w:rFonts w:eastAsia="SimSun"/>
          <w:lang w:eastAsia="zh-CN"/>
        </w:rPr>
        <w:t xml:space="preserve">Patel, V., Saxena, S., Lund, C., Thornicroft, G., Baingana, F., Bolton, P., ... &amp; </w:t>
      </w:r>
      <w:proofErr w:type="spellStart"/>
      <w:r w:rsidRPr="00A46B49">
        <w:rPr>
          <w:rFonts w:eastAsia="SimSun"/>
          <w:lang w:eastAsia="zh-CN"/>
        </w:rPr>
        <w:t>Unützer</w:t>
      </w:r>
      <w:proofErr w:type="spellEnd"/>
      <w:r w:rsidRPr="00A46B49">
        <w:rPr>
          <w:rFonts w:eastAsia="SimSun"/>
          <w:lang w:eastAsia="zh-CN"/>
        </w:rPr>
        <w:t xml:space="preserve">, J. (2018). The Lancet Commission on global mental health and sustainable development. </w:t>
      </w:r>
      <w:r w:rsidRPr="00A10D3D">
        <w:rPr>
          <w:rFonts w:eastAsia="SimSun"/>
          <w:i/>
          <w:iCs/>
          <w:lang w:val="en-MY" w:eastAsia="zh-CN"/>
        </w:rPr>
        <w:t>The Lancet, 392</w:t>
      </w:r>
      <w:r w:rsidRPr="00C40742">
        <w:rPr>
          <w:rFonts w:eastAsia="SimSun"/>
          <w:lang w:val="en-MY" w:eastAsia="zh-CN"/>
        </w:rPr>
        <w:t>(10157), 1553</w:t>
      </w:r>
      <w:r w:rsidR="00CC37E7">
        <w:rPr>
          <w:rFonts w:eastAsia="SimSun"/>
          <w:lang w:val="en-MY" w:eastAsia="zh-CN"/>
        </w:rPr>
        <w:t>–</w:t>
      </w:r>
      <w:r w:rsidRPr="00C40742">
        <w:rPr>
          <w:rFonts w:eastAsia="SimSun"/>
          <w:lang w:val="en-MY" w:eastAsia="zh-CN"/>
        </w:rPr>
        <w:t xml:space="preserve">1598. </w:t>
      </w:r>
      <w:hyperlink r:id="rId8" w:history="1">
        <w:r w:rsidRPr="00C40742">
          <w:rPr>
            <w:rStyle w:val="Hyperlink"/>
            <w:rFonts w:eastAsia="SimSun"/>
            <w:color w:val="auto"/>
            <w:lang w:val="en-MY" w:eastAsia="zh-CN"/>
          </w:rPr>
          <w:t>https://doi:10.1016/S0140-6736(18)31</w:t>
        </w:r>
      </w:hyperlink>
      <w:r w:rsidRPr="00C40742">
        <w:rPr>
          <w:rFonts w:eastAsia="SimSun"/>
          <w:lang w:val="en-MY" w:eastAsia="zh-CN"/>
        </w:rPr>
        <w:t xml:space="preserve"> </w:t>
      </w:r>
    </w:p>
    <w:p w14:paraId="4067102F" w14:textId="3A5969C5" w:rsidR="0099135F" w:rsidRPr="00D222E3" w:rsidRDefault="0099135F" w:rsidP="000C163F">
      <w:pPr>
        <w:spacing w:line="240" w:lineRule="auto"/>
        <w:ind w:left="720" w:hanging="720"/>
        <w:rPr>
          <w:rFonts w:eastAsia="SimSun"/>
          <w:lang w:eastAsia="zh-CN"/>
        </w:rPr>
      </w:pPr>
      <w:r w:rsidRPr="00CC37E7">
        <w:rPr>
          <w:rFonts w:eastAsia="SimSun"/>
          <w:lang w:eastAsia="zh-CN"/>
        </w:rPr>
        <w:t xml:space="preserve">Qasim, S., Raza, M., Ilyas, M. A., Ansari, H. W. A., &amp; Khalid, R. (2025). Do not take every workplace problem home: </w:t>
      </w:r>
      <w:r w:rsidR="00CC37E7" w:rsidRPr="00CC37E7">
        <w:rPr>
          <w:rFonts w:eastAsia="SimSun"/>
          <w:lang w:eastAsia="zh-CN"/>
        </w:rPr>
        <w:t>A</w:t>
      </w:r>
      <w:r w:rsidRPr="00CC37E7">
        <w:rPr>
          <w:rFonts w:eastAsia="SimSun"/>
          <w:lang w:eastAsia="zh-CN"/>
        </w:rPr>
        <w:t xml:space="preserve"> role of social support to manage employees’ work stressors and conflicts with family. </w:t>
      </w:r>
      <w:r w:rsidRPr="00CC37E7">
        <w:rPr>
          <w:rFonts w:eastAsia="SimSun"/>
          <w:i/>
          <w:iCs/>
          <w:lang w:eastAsia="zh-CN"/>
        </w:rPr>
        <w:t>Global Knowledge, Memory</w:t>
      </w:r>
      <w:r w:rsidR="00CC37E7" w:rsidRPr="00CC37E7">
        <w:rPr>
          <w:rFonts w:eastAsia="SimSun"/>
          <w:i/>
          <w:iCs/>
          <w:lang w:eastAsia="zh-CN"/>
        </w:rPr>
        <w:t>,</w:t>
      </w:r>
      <w:r w:rsidRPr="00CC37E7">
        <w:rPr>
          <w:rFonts w:eastAsia="SimSun"/>
          <w:i/>
          <w:iCs/>
          <w:lang w:eastAsia="zh-CN"/>
        </w:rPr>
        <w:t xml:space="preserve"> and Communication.</w:t>
      </w:r>
      <w:r w:rsidR="00D222E3">
        <w:rPr>
          <w:rFonts w:eastAsia="SimSun"/>
          <w:i/>
          <w:iCs/>
          <w:lang w:eastAsia="zh-CN"/>
        </w:rPr>
        <w:t xml:space="preserve"> </w:t>
      </w:r>
      <w:r w:rsidR="00D222E3" w:rsidRPr="00D222E3">
        <w:rPr>
          <w:rFonts w:eastAsia="SimSun"/>
          <w:lang w:eastAsia="zh-CN"/>
        </w:rPr>
        <w:t>https://doi.org/10.1108/GKMC-09-2024-0606</w:t>
      </w:r>
    </w:p>
    <w:p w14:paraId="4C26DA1D" w14:textId="16321BCE" w:rsidR="00086316" w:rsidRDefault="00086316" w:rsidP="000C163F">
      <w:pPr>
        <w:spacing w:line="240" w:lineRule="auto"/>
        <w:ind w:left="720" w:hanging="720"/>
        <w:rPr>
          <w:rFonts w:eastAsia="SimSun"/>
          <w:lang w:val="en-MY" w:eastAsia="zh-CN"/>
        </w:rPr>
      </w:pPr>
      <w:r w:rsidRPr="00086316">
        <w:rPr>
          <w:rFonts w:eastAsia="SimSun"/>
          <w:lang w:val="nl-NL" w:eastAsia="zh-CN"/>
        </w:rPr>
        <w:t xml:space="preserve">Riepenhausen, A., Wackerhagen, C., Reppmann, Z. C., Deter, H. C., Kalisch, R., Veer, I. M., &amp; Walter, H. (2022). </w:t>
      </w:r>
      <w:r w:rsidRPr="00086316">
        <w:rPr>
          <w:rFonts w:eastAsia="SimSun"/>
          <w:lang w:eastAsia="zh-CN"/>
        </w:rPr>
        <w:t>Positive cognitive reappraisal in stress resilience, mental health, and well-being: A comprehensive systematic review. </w:t>
      </w:r>
      <w:r w:rsidRPr="00086316">
        <w:rPr>
          <w:rFonts w:eastAsia="SimSun"/>
          <w:i/>
          <w:iCs/>
          <w:lang w:eastAsia="zh-CN"/>
        </w:rPr>
        <w:t>Emotion Review</w:t>
      </w:r>
      <w:r w:rsidRPr="00086316">
        <w:rPr>
          <w:rFonts w:eastAsia="SimSun"/>
          <w:lang w:eastAsia="zh-CN"/>
        </w:rPr>
        <w:t>, </w:t>
      </w:r>
      <w:r w:rsidRPr="00086316">
        <w:rPr>
          <w:rFonts w:eastAsia="SimSun"/>
          <w:i/>
          <w:iCs/>
          <w:lang w:eastAsia="zh-CN"/>
        </w:rPr>
        <w:t>14</w:t>
      </w:r>
      <w:r w:rsidRPr="00086316">
        <w:rPr>
          <w:rFonts w:eastAsia="SimSun"/>
          <w:lang w:eastAsia="zh-CN"/>
        </w:rPr>
        <w:t>(4), 310-331.</w:t>
      </w:r>
    </w:p>
    <w:p w14:paraId="4CE4A075" w14:textId="2B64914C" w:rsidR="0099135F" w:rsidRPr="00A46B49" w:rsidRDefault="0099135F" w:rsidP="000C163F">
      <w:pPr>
        <w:spacing w:line="240" w:lineRule="auto"/>
        <w:ind w:left="720" w:hanging="720"/>
        <w:rPr>
          <w:rFonts w:eastAsia="SimSun"/>
          <w:lang w:eastAsia="zh-CN"/>
        </w:rPr>
      </w:pPr>
      <w:r w:rsidRPr="00086316">
        <w:rPr>
          <w:rFonts w:eastAsia="SimSun"/>
          <w:lang w:val="nl-NL" w:eastAsia="zh-CN"/>
        </w:rPr>
        <w:t xml:space="preserve">Röbken, H., Geier, N., Behrens, D., &amp; Mertens, A. (2025). </w:t>
      </w:r>
      <w:r w:rsidRPr="00A46B49">
        <w:rPr>
          <w:rFonts w:eastAsia="SimSun"/>
          <w:lang w:eastAsia="zh-CN"/>
        </w:rPr>
        <w:t xml:space="preserve">Gendered </w:t>
      </w:r>
      <w:r w:rsidR="00CC37E7" w:rsidRPr="00A46B49">
        <w:rPr>
          <w:rFonts w:eastAsia="SimSun"/>
          <w:lang w:eastAsia="zh-CN"/>
        </w:rPr>
        <w:t xml:space="preserve">challenges in academia: </w:t>
      </w:r>
      <w:r w:rsidR="00CC37E7">
        <w:rPr>
          <w:rFonts w:eastAsia="SimSun"/>
          <w:lang w:eastAsia="zh-CN"/>
        </w:rPr>
        <w:t>E</w:t>
      </w:r>
      <w:r w:rsidR="00CC37E7" w:rsidRPr="00A46B49">
        <w:rPr>
          <w:rFonts w:eastAsia="SimSun"/>
          <w:lang w:eastAsia="zh-CN"/>
        </w:rPr>
        <w:t xml:space="preserve">xploring the impact of working hours, stress, and job satisfaction among mid-level university staff </w:t>
      </w:r>
      <w:r w:rsidRPr="00A46B49">
        <w:rPr>
          <w:rFonts w:eastAsia="SimSun"/>
          <w:lang w:eastAsia="zh-CN"/>
        </w:rPr>
        <w:t>in Germany. </w:t>
      </w:r>
      <w:r w:rsidRPr="00A46B49">
        <w:rPr>
          <w:rFonts w:eastAsia="SimSun"/>
          <w:i/>
          <w:iCs/>
          <w:lang w:eastAsia="zh-CN"/>
        </w:rPr>
        <w:t>Education Sciences</w:t>
      </w:r>
      <w:r w:rsidRPr="00A46B49">
        <w:rPr>
          <w:rFonts w:eastAsia="SimSun"/>
          <w:lang w:eastAsia="zh-CN"/>
        </w:rPr>
        <w:t>, </w:t>
      </w:r>
      <w:r w:rsidRPr="00A46B49">
        <w:rPr>
          <w:rFonts w:eastAsia="SimSun"/>
          <w:i/>
          <w:iCs/>
          <w:lang w:eastAsia="zh-CN"/>
        </w:rPr>
        <w:t>15</w:t>
      </w:r>
      <w:r w:rsidRPr="00A46B49">
        <w:rPr>
          <w:rFonts w:eastAsia="SimSun"/>
          <w:lang w:eastAsia="zh-CN"/>
        </w:rPr>
        <w:t>(8), 990.</w:t>
      </w:r>
    </w:p>
    <w:p w14:paraId="79EC89FB" w14:textId="3C0F70CA" w:rsidR="0099135F" w:rsidRPr="00574A66" w:rsidRDefault="0099135F" w:rsidP="000C163F">
      <w:pPr>
        <w:spacing w:line="240" w:lineRule="auto"/>
        <w:ind w:left="720" w:hanging="720"/>
        <w:rPr>
          <w:rFonts w:eastAsia="SimSun"/>
          <w:lang w:eastAsia="zh-CN"/>
        </w:rPr>
      </w:pPr>
      <w:r w:rsidRPr="00574A66">
        <w:rPr>
          <w:rFonts w:eastAsia="SimSun"/>
          <w:lang w:eastAsia="zh-CN"/>
        </w:rPr>
        <w:t>Sadiq, M. (2022). Policing in pandemic: is perception of workload causing work–family conflict, job dissatisfaction</w:t>
      </w:r>
      <w:r w:rsidR="00CC37E7">
        <w:rPr>
          <w:rFonts w:eastAsia="SimSun"/>
          <w:lang w:eastAsia="zh-CN"/>
        </w:rPr>
        <w:t>,</w:t>
      </w:r>
      <w:r w:rsidRPr="00574A66">
        <w:rPr>
          <w:rFonts w:eastAsia="SimSun"/>
          <w:lang w:eastAsia="zh-CN"/>
        </w:rPr>
        <w:t xml:space="preserve"> and job </w:t>
      </w:r>
      <w:proofErr w:type="gramStart"/>
      <w:r w:rsidRPr="00574A66">
        <w:rPr>
          <w:rFonts w:eastAsia="SimSun"/>
          <w:lang w:eastAsia="zh-CN"/>
        </w:rPr>
        <w:t>stress?.</w:t>
      </w:r>
      <w:proofErr w:type="gramEnd"/>
      <w:r w:rsidRPr="00574A66">
        <w:rPr>
          <w:rFonts w:eastAsia="SimSun"/>
          <w:lang w:eastAsia="zh-CN"/>
        </w:rPr>
        <w:t> </w:t>
      </w:r>
      <w:r w:rsidRPr="00574A66">
        <w:rPr>
          <w:rFonts w:eastAsia="SimSun"/>
          <w:i/>
          <w:iCs/>
          <w:lang w:eastAsia="zh-CN"/>
        </w:rPr>
        <w:t>Journal of Public Affairs</w:t>
      </w:r>
      <w:r w:rsidRPr="00574A66">
        <w:rPr>
          <w:rFonts w:eastAsia="SimSun"/>
          <w:lang w:eastAsia="zh-CN"/>
        </w:rPr>
        <w:t>, </w:t>
      </w:r>
      <w:r w:rsidRPr="00574A66">
        <w:rPr>
          <w:rFonts w:eastAsia="SimSun"/>
          <w:i/>
          <w:iCs/>
          <w:lang w:eastAsia="zh-CN"/>
        </w:rPr>
        <w:t>22</w:t>
      </w:r>
      <w:r w:rsidRPr="00574A66">
        <w:rPr>
          <w:rFonts w:eastAsia="SimSun"/>
          <w:lang w:eastAsia="zh-CN"/>
        </w:rPr>
        <w:t>(2), e2486.</w:t>
      </w:r>
    </w:p>
    <w:p w14:paraId="02766E74" w14:textId="3636769D" w:rsidR="0099135F" w:rsidRPr="00A46B49" w:rsidRDefault="0099135F" w:rsidP="000C163F">
      <w:pPr>
        <w:spacing w:line="240" w:lineRule="auto"/>
        <w:ind w:left="720" w:hanging="720"/>
        <w:rPr>
          <w:rFonts w:eastAsia="SimSun"/>
          <w:lang w:eastAsia="zh-CN"/>
        </w:rPr>
      </w:pPr>
      <w:r w:rsidRPr="00A46B49">
        <w:rPr>
          <w:rFonts w:eastAsia="SimSun"/>
          <w:lang w:eastAsia="zh-CN"/>
        </w:rPr>
        <w:t>Sakarji, S. R., Othman, A. K., &amp; Mohamad Tobi, S. N. (2024). A bibliometric analysis of mental health trends among academicians in tertiary education. </w:t>
      </w:r>
      <w:r w:rsidRPr="00A46B49">
        <w:rPr>
          <w:rFonts w:eastAsia="SimSun"/>
          <w:i/>
          <w:iCs/>
          <w:lang w:eastAsia="zh-CN"/>
        </w:rPr>
        <w:t>ESTEEM Journal of Social Sciences and Humanities</w:t>
      </w:r>
      <w:r w:rsidRPr="00A46B49">
        <w:rPr>
          <w:rFonts w:eastAsia="SimSun"/>
          <w:lang w:eastAsia="zh-CN"/>
        </w:rPr>
        <w:t>, </w:t>
      </w:r>
      <w:r w:rsidRPr="00A46B49">
        <w:rPr>
          <w:rFonts w:eastAsia="SimSun"/>
          <w:i/>
          <w:iCs/>
          <w:lang w:eastAsia="zh-CN"/>
        </w:rPr>
        <w:t>8</w:t>
      </w:r>
      <w:r w:rsidRPr="00A46B49">
        <w:rPr>
          <w:rFonts w:eastAsia="SimSun"/>
          <w:lang w:eastAsia="zh-CN"/>
        </w:rPr>
        <w:t>(2), 141</w:t>
      </w:r>
      <w:r w:rsidR="00CC37E7">
        <w:rPr>
          <w:rFonts w:eastAsia="SimSun"/>
          <w:lang w:eastAsia="zh-CN"/>
        </w:rPr>
        <w:t>–</w:t>
      </w:r>
      <w:r w:rsidRPr="00A46B49">
        <w:rPr>
          <w:rFonts w:eastAsia="SimSun"/>
          <w:lang w:eastAsia="zh-CN"/>
        </w:rPr>
        <w:t>160.</w:t>
      </w:r>
    </w:p>
    <w:p w14:paraId="14780CD1" w14:textId="73152D93" w:rsidR="0099135F" w:rsidRPr="00A46B49" w:rsidRDefault="0099135F" w:rsidP="000C163F">
      <w:pPr>
        <w:spacing w:line="240" w:lineRule="auto"/>
        <w:ind w:left="720" w:hanging="720"/>
        <w:rPr>
          <w:rFonts w:eastAsia="SimSun"/>
          <w:lang w:val="en-MY" w:eastAsia="zh-CN"/>
        </w:rPr>
      </w:pPr>
      <w:r w:rsidRPr="00A46B49">
        <w:rPr>
          <w:rFonts w:eastAsia="SimSun"/>
          <w:lang w:val="en-MY" w:eastAsia="zh-CN"/>
        </w:rPr>
        <w:t xml:space="preserve">Sanders, J., Johnson, E., Mirabelli, J., Kunze, A., Vohra, S., &amp; Jensen, K. (2025). Engineering professor perceptions of undergraduate engineering student stress. </w:t>
      </w:r>
      <w:r w:rsidRPr="00CC37E7">
        <w:rPr>
          <w:rFonts w:eastAsia="SimSun"/>
          <w:i/>
          <w:iCs/>
          <w:lang w:val="en-MY" w:eastAsia="zh-CN"/>
        </w:rPr>
        <w:t>European Journal of Engineering Education, 50</w:t>
      </w:r>
      <w:r w:rsidRPr="00A46B49">
        <w:rPr>
          <w:rFonts w:eastAsia="SimSun"/>
          <w:lang w:val="en-MY" w:eastAsia="zh-CN"/>
        </w:rPr>
        <w:t>(1), 143</w:t>
      </w:r>
      <w:r w:rsidR="00CC37E7">
        <w:rPr>
          <w:rFonts w:eastAsia="SimSun"/>
          <w:lang w:val="en-MY" w:eastAsia="zh-CN"/>
        </w:rPr>
        <w:t>–</w:t>
      </w:r>
      <w:r w:rsidRPr="00A46B49">
        <w:rPr>
          <w:rFonts w:eastAsia="SimSun"/>
          <w:lang w:val="en-MY" w:eastAsia="zh-CN"/>
        </w:rPr>
        <w:t>163.</w:t>
      </w:r>
    </w:p>
    <w:p w14:paraId="5C907C01" w14:textId="12DD1B40" w:rsidR="0099135F" w:rsidRPr="00A46B49" w:rsidRDefault="0099135F" w:rsidP="000C163F">
      <w:pPr>
        <w:spacing w:line="240" w:lineRule="auto"/>
        <w:ind w:left="720" w:hanging="720"/>
        <w:rPr>
          <w:rFonts w:eastAsia="SimSun"/>
          <w:lang w:eastAsia="zh-CN"/>
        </w:rPr>
      </w:pPr>
      <w:r w:rsidRPr="00A46B49">
        <w:rPr>
          <w:rFonts w:eastAsia="SimSun"/>
          <w:lang w:eastAsia="zh-CN"/>
        </w:rPr>
        <w:t>Sharma, P. K., &amp; Kumra, R. (2020). Relationship between workplace spirituality, organizational justice</w:t>
      </w:r>
      <w:r w:rsidR="00CC37E7">
        <w:rPr>
          <w:rFonts w:eastAsia="SimSun"/>
          <w:lang w:eastAsia="zh-CN"/>
        </w:rPr>
        <w:t>,</w:t>
      </w:r>
      <w:r w:rsidRPr="00A46B49">
        <w:rPr>
          <w:rFonts w:eastAsia="SimSun"/>
          <w:lang w:eastAsia="zh-CN"/>
        </w:rPr>
        <w:t xml:space="preserve"> and mental health: </w:t>
      </w:r>
      <w:r w:rsidR="00CC37E7">
        <w:rPr>
          <w:rFonts w:eastAsia="SimSun"/>
          <w:lang w:eastAsia="zh-CN"/>
        </w:rPr>
        <w:t>M</w:t>
      </w:r>
      <w:r w:rsidRPr="00A46B49">
        <w:rPr>
          <w:rFonts w:eastAsia="SimSun"/>
          <w:lang w:eastAsia="zh-CN"/>
        </w:rPr>
        <w:t xml:space="preserve">ediation role of employee engagement. </w:t>
      </w:r>
      <w:r w:rsidRPr="00CC37E7">
        <w:rPr>
          <w:rFonts w:eastAsia="SimSun"/>
          <w:i/>
          <w:iCs/>
          <w:lang w:eastAsia="zh-CN"/>
        </w:rPr>
        <w:t>Journal of Advances in Management Research, 17</w:t>
      </w:r>
      <w:r w:rsidRPr="00A46B49">
        <w:rPr>
          <w:rFonts w:eastAsia="SimSun"/>
          <w:lang w:eastAsia="zh-CN"/>
        </w:rPr>
        <w:t>(5), 627</w:t>
      </w:r>
      <w:r w:rsidR="00CC37E7">
        <w:rPr>
          <w:rFonts w:eastAsia="SimSun"/>
          <w:lang w:eastAsia="zh-CN"/>
        </w:rPr>
        <w:t>–</w:t>
      </w:r>
      <w:r w:rsidRPr="00A46B49">
        <w:rPr>
          <w:rFonts w:eastAsia="SimSun"/>
          <w:lang w:eastAsia="zh-CN"/>
        </w:rPr>
        <w:t xml:space="preserve">650. </w:t>
      </w:r>
      <w:hyperlink r:id="rId9" w:history="1">
        <w:r w:rsidRPr="00A46B49">
          <w:rPr>
            <w:rStyle w:val="Hyperlink"/>
            <w:rFonts w:eastAsia="SimSun"/>
            <w:color w:val="auto"/>
            <w:lang w:eastAsia="zh-CN"/>
          </w:rPr>
          <w:t>https://doi:10.1108/JAMR-01-2020-0007</w:t>
        </w:r>
      </w:hyperlink>
      <w:r w:rsidRPr="00A46B49">
        <w:rPr>
          <w:rFonts w:eastAsia="SimSun"/>
          <w:lang w:eastAsia="zh-CN"/>
        </w:rPr>
        <w:t xml:space="preserve"> </w:t>
      </w:r>
    </w:p>
    <w:p w14:paraId="1979D390" w14:textId="77777777" w:rsidR="00D222E3" w:rsidRDefault="00D222E3" w:rsidP="000C163F">
      <w:pPr>
        <w:spacing w:line="240" w:lineRule="auto"/>
        <w:ind w:left="720" w:hanging="720"/>
        <w:rPr>
          <w:rFonts w:eastAsia="SimSun"/>
          <w:lang w:eastAsia="zh-CN"/>
        </w:rPr>
      </w:pPr>
      <w:r w:rsidRPr="00D222E3">
        <w:rPr>
          <w:rFonts w:eastAsia="SimSun"/>
          <w:lang w:eastAsia="zh-CN"/>
        </w:rPr>
        <w:t xml:space="preserve">Stankovic, M., Papp, L., </w:t>
      </w:r>
      <w:proofErr w:type="spellStart"/>
      <w:r w:rsidRPr="00D222E3">
        <w:rPr>
          <w:rFonts w:eastAsia="SimSun"/>
          <w:lang w:eastAsia="zh-CN"/>
        </w:rPr>
        <w:t>Ivankovits</w:t>
      </w:r>
      <w:proofErr w:type="spellEnd"/>
      <w:r w:rsidRPr="00D222E3">
        <w:rPr>
          <w:rFonts w:eastAsia="SimSun"/>
          <w:lang w:eastAsia="zh-CN"/>
        </w:rPr>
        <w:t>, L., Lázár, G., Pető, Z., &amp; Töreki, A. (2022). Psychological immune competency predicts burnout syndrome among the high-risk healthcare staff: A cross-sectional study. </w:t>
      </w:r>
      <w:r w:rsidRPr="00D222E3">
        <w:rPr>
          <w:rFonts w:eastAsia="SimSun"/>
          <w:i/>
          <w:iCs/>
          <w:lang w:eastAsia="zh-CN"/>
        </w:rPr>
        <w:t>International Emergency Nursing</w:t>
      </w:r>
      <w:r w:rsidRPr="00D222E3">
        <w:rPr>
          <w:rFonts w:eastAsia="SimSun"/>
          <w:lang w:eastAsia="zh-CN"/>
        </w:rPr>
        <w:t>, </w:t>
      </w:r>
      <w:r w:rsidRPr="00D222E3">
        <w:rPr>
          <w:rFonts w:eastAsia="SimSun"/>
          <w:i/>
          <w:iCs/>
          <w:lang w:eastAsia="zh-CN"/>
        </w:rPr>
        <w:t>60</w:t>
      </w:r>
      <w:r w:rsidRPr="00D222E3">
        <w:rPr>
          <w:rFonts w:eastAsia="SimSun"/>
          <w:lang w:eastAsia="zh-CN"/>
        </w:rPr>
        <w:t>, 101114.</w:t>
      </w:r>
    </w:p>
    <w:p w14:paraId="5E40CF07" w14:textId="5B88488D" w:rsidR="0099135F" w:rsidRPr="00A46B49" w:rsidRDefault="00D222E3" w:rsidP="000C163F">
      <w:pPr>
        <w:spacing w:line="240" w:lineRule="auto"/>
        <w:ind w:left="720" w:hanging="720"/>
        <w:rPr>
          <w:rFonts w:eastAsia="SimSun"/>
          <w:lang w:eastAsia="zh-CN"/>
        </w:rPr>
      </w:pPr>
      <w:r w:rsidRPr="00D222E3">
        <w:rPr>
          <w:rFonts w:eastAsia="SimSun"/>
          <w:lang w:eastAsia="zh-CN"/>
        </w:rPr>
        <w:t xml:space="preserve">Stein, D. J., Ruscio, A. M., </w:t>
      </w:r>
      <w:proofErr w:type="spellStart"/>
      <w:r w:rsidRPr="00D222E3">
        <w:rPr>
          <w:rFonts w:eastAsia="SimSun"/>
          <w:lang w:eastAsia="zh-CN"/>
        </w:rPr>
        <w:t>Altwaijri</w:t>
      </w:r>
      <w:proofErr w:type="spellEnd"/>
      <w:r w:rsidRPr="00D222E3">
        <w:rPr>
          <w:rFonts w:eastAsia="SimSun"/>
          <w:lang w:eastAsia="zh-CN"/>
        </w:rPr>
        <w:t>, Y., Chiu, W. T., Sampson, N. A., Aguilar-Gaxiola, S., ... &amp; Kessler, R. C. (2025). Obsessive-compulsive disorder in the World Mental Health surveys. </w:t>
      </w:r>
      <w:r w:rsidRPr="00D222E3">
        <w:rPr>
          <w:rFonts w:eastAsia="SimSun"/>
          <w:i/>
          <w:iCs/>
          <w:lang w:eastAsia="zh-CN"/>
        </w:rPr>
        <w:t xml:space="preserve">BMC </w:t>
      </w:r>
      <w:r>
        <w:rPr>
          <w:rFonts w:eastAsia="SimSun"/>
          <w:i/>
          <w:iCs/>
          <w:lang w:eastAsia="zh-CN"/>
        </w:rPr>
        <w:t>M</w:t>
      </w:r>
      <w:r w:rsidRPr="00D222E3">
        <w:rPr>
          <w:rFonts w:eastAsia="SimSun"/>
          <w:i/>
          <w:iCs/>
          <w:lang w:eastAsia="zh-CN"/>
        </w:rPr>
        <w:t>edicine</w:t>
      </w:r>
      <w:r w:rsidRPr="00D222E3">
        <w:rPr>
          <w:rFonts w:eastAsia="SimSun"/>
          <w:lang w:eastAsia="zh-CN"/>
        </w:rPr>
        <w:t>, </w:t>
      </w:r>
      <w:r w:rsidRPr="00D222E3">
        <w:rPr>
          <w:rFonts w:eastAsia="SimSun"/>
          <w:i/>
          <w:iCs/>
          <w:lang w:eastAsia="zh-CN"/>
        </w:rPr>
        <w:t>23</w:t>
      </w:r>
      <w:r w:rsidRPr="00D222E3">
        <w:rPr>
          <w:rFonts w:eastAsia="SimSun"/>
          <w:lang w:eastAsia="zh-CN"/>
        </w:rPr>
        <w:t>(1), 416.</w:t>
      </w:r>
    </w:p>
    <w:p w14:paraId="77531B07" w14:textId="230EDB34" w:rsidR="0099135F" w:rsidRPr="00A46B49" w:rsidRDefault="0099135F" w:rsidP="000C163F">
      <w:pPr>
        <w:spacing w:line="240" w:lineRule="auto"/>
        <w:ind w:left="720" w:hanging="720"/>
        <w:rPr>
          <w:rFonts w:eastAsia="SimSun"/>
          <w:lang w:eastAsia="zh-CN"/>
        </w:rPr>
      </w:pPr>
      <w:r w:rsidRPr="00A46B49">
        <w:rPr>
          <w:rFonts w:eastAsia="SimSun"/>
          <w:lang w:eastAsia="zh-CN"/>
        </w:rPr>
        <w:t>Teoh, K. B., &amp; Kee, D. M. H. (2022). Psychosocial safety climate and burnout among Malaysian research university academicians: the mediating roles of job demands and work engagement. </w:t>
      </w:r>
      <w:r w:rsidRPr="00A46B49">
        <w:rPr>
          <w:rFonts w:eastAsia="SimSun"/>
          <w:i/>
          <w:iCs/>
          <w:lang w:eastAsia="zh-CN"/>
        </w:rPr>
        <w:t>International Journal of Trade and Global Markets</w:t>
      </w:r>
      <w:r w:rsidRPr="00A46B49">
        <w:rPr>
          <w:rFonts w:eastAsia="SimSun"/>
          <w:lang w:eastAsia="zh-CN"/>
        </w:rPr>
        <w:t>, </w:t>
      </w:r>
      <w:r w:rsidRPr="00A46B49">
        <w:rPr>
          <w:rFonts w:eastAsia="SimSun"/>
          <w:i/>
          <w:iCs/>
          <w:lang w:eastAsia="zh-CN"/>
        </w:rPr>
        <w:t>15</w:t>
      </w:r>
      <w:r w:rsidRPr="00A46B49">
        <w:rPr>
          <w:rFonts w:eastAsia="SimSun"/>
          <w:lang w:eastAsia="zh-CN"/>
        </w:rPr>
        <w:t>(4), 471</w:t>
      </w:r>
      <w:r w:rsidR="00CC37E7">
        <w:rPr>
          <w:rFonts w:eastAsia="SimSun"/>
          <w:lang w:eastAsia="zh-CN"/>
        </w:rPr>
        <w:t>–</w:t>
      </w:r>
      <w:r w:rsidRPr="00A46B49">
        <w:rPr>
          <w:rFonts w:eastAsia="SimSun"/>
          <w:lang w:eastAsia="zh-CN"/>
        </w:rPr>
        <w:t>496.</w:t>
      </w:r>
    </w:p>
    <w:p w14:paraId="4A40D36E" w14:textId="68033F22" w:rsidR="0099135F" w:rsidRPr="00A46B49" w:rsidRDefault="0099135F" w:rsidP="000C163F">
      <w:pPr>
        <w:spacing w:line="240" w:lineRule="auto"/>
        <w:ind w:left="720" w:hanging="720"/>
        <w:rPr>
          <w:rFonts w:eastAsia="SimSun"/>
          <w:lang w:eastAsia="zh-CN"/>
        </w:rPr>
      </w:pPr>
      <w:r w:rsidRPr="00574A66">
        <w:rPr>
          <w:rFonts w:eastAsia="SimSun"/>
          <w:lang w:eastAsia="zh-CN"/>
        </w:rPr>
        <w:t>Tran, Q. H. N. (2023). Exploring relationships among overload stress, work-family conflict, job satisfaction, person–organisation fit</w:t>
      </w:r>
      <w:r w:rsidR="00CC37E7">
        <w:rPr>
          <w:rFonts w:eastAsia="SimSun"/>
          <w:lang w:eastAsia="zh-CN"/>
        </w:rPr>
        <w:t>,</w:t>
      </w:r>
      <w:r w:rsidRPr="00574A66">
        <w:rPr>
          <w:rFonts w:eastAsia="SimSun"/>
          <w:lang w:eastAsia="zh-CN"/>
        </w:rPr>
        <w:t xml:space="preserve"> and organisational commitment in public organizations. </w:t>
      </w:r>
      <w:r w:rsidRPr="00574A66">
        <w:rPr>
          <w:rFonts w:eastAsia="SimSun"/>
          <w:i/>
          <w:iCs/>
          <w:lang w:eastAsia="zh-CN"/>
        </w:rPr>
        <w:t>Public Organization Review</w:t>
      </w:r>
      <w:r w:rsidRPr="00574A66">
        <w:rPr>
          <w:rFonts w:eastAsia="SimSun"/>
          <w:lang w:eastAsia="zh-CN"/>
        </w:rPr>
        <w:t>, </w:t>
      </w:r>
      <w:r w:rsidRPr="00574A66">
        <w:rPr>
          <w:rFonts w:eastAsia="SimSun"/>
          <w:i/>
          <w:iCs/>
          <w:lang w:eastAsia="zh-CN"/>
        </w:rPr>
        <w:t>23</w:t>
      </w:r>
      <w:r w:rsidRPr="00574A66">
        <w:rPr>
          <w:rFonts w:eastAsia="SimSun"/>
          <w:lang w:eastAsia="zh-CN"/>
        </w:rPr>
        <w:t>(2), 759</w:t>
      </w:r>
      <w:r w:rsidR="00CC37E7">
        <w:rPr>
          <w:rFonts w:eastAsia="SimSun"/>
          <w:lang w:eastAsia="zh-CN"/>
        </w:rPr>
        <w:t>–</w:t>
      </w:r>
      <w:r w:rsidRPr="00574A66">
        <w:rPr>
          <w:rFonts w:eastAsia="SimSun"/>
          <w:lang w:eastAsia="zh-CN"/>
        </w:rPr>
        <w:t>775.</w:t>
      </w:r>
    </w:p>
    <w:p w14:paraId="33FBEE6A" w14:textId="4DF514C6" w:rsidR="0099135F" w:rsidRPr="00A46B49" w:rsidRDefault="0099135F" w:rsidP="000C163F">
      <w:pPr>
        <w:spacing w:line="240" w:lineRule="auto"/>
        <w:ind w:left="720" w:hanging="720"/>
        <w:rPr>
          <w:rFonts w:eastAsia="SimSun"/>
          <w:lang w:eastAsia="zh-CN"/>
        </w:rPr>
      </w:pPr>
      <w:proofErr w:type="spellStart"/>
      <w:r w:rsidRPr="00A46B49">
        <w:rPr>
          <w:rFonts w:eastAsia="SimSun"/>
          <w:lang w:eastAsia="zh-CN"/>
        </w:rPr>
        <w:t>Tutun</w:t>
      </w:r>
      <w:proofErr w:type="spellEnd"/>
      <w:r w:rsidRPr="00A46B49">
        <w:rPr>
          <w:rFonts w:eastAsia="SimSun"/>
          <w:lang w:eastAsia="zh-CN"/>
        </w:rPr>
        <w:t xml:space="preserve">, S., Johnson, M. E., Ahmed, A., </w:t>
      </w:r>
      <w:proofErr w:type="spellStart"/>
      <w:r w:rsidRPr="00A46B49">
        <w:rPr>
          <w:rFonts w:eastAsia="SimSun"/>
          <w:lang w:eastAsia="zh-CN"/>
        </w:rPr>
        <w:t>Albizri</w:t>
      </w:r>
      <w:proofErr w:type="spellEnd"/>
      <w:r w:rsidRPr="00A46B49">
        <w:rPr>
          <w:rFonts w:eastAsia="SimSun"/>
          <w:lang w:eastAsia="zh-CN"/>
        </w:rPr>
        <w:t xml:space="preserve">, A., </w:t>
      </w:r>
      <w:proofErr w:type="spellStart"/>
      <w:r w:rsidRPr="00A46B49">
        <w:rPr>
          <w:rFonts w:eastAsia="SimSun"/>
          <w:lang w:eastAsia="zh-CN"/>
        </w:rPr>
        <w:t>Irgil</w:t>
      </w:r>
      <w:proofErr w:type="spellEnd"/>
      <w:r w:rsidRPr="00A46B49">
        <w:rPr>
          <w:rFonts w:eastAsia="SimSun"/>
          <w:lang w:eastAsia="zh-CN"/>
        </w:rPr>
        <w:t xml:space="preserve">, S., </w:t>
      </w:r>
      <w:proofErr w:type="spellStart"/>
      <w:r w:rsidRPr="00A46B49">
        <w:rPr>
          <w:rFonts w:eastAsia="SimSun"/>
          <w:lang w:eastAsia="zh-CN"/>
        </w:rPr>
        <w:t>Yesilkaya</w:t>
      </w:r>
      <w:proofErr w:type="spellEnd"/>
      <w:r w:rsidRPr="00A46B49">
        <w:rPr>
          <w:rFonts w:eastAsia="SimSun"/>
          <w:lang w:eastAsia="zh-CN"/>
        </w:rPr>
        <w:t xml:space="preserve">, I., ... &amp; </w:t>
      </w:r>
      <w:proofErr w:type="spellStart"/>
      <w:r w:rsidRPr="00A46B49">
        <w:rPr>
          <w:rFonts w:eastAsia="SimSun"/>
          <w:lang w:eastAsia="zh-CN"/>
        </w:rPr>
        <w:t>Harfouche</w:t>
      </w:r>
      <w:proofErr w:type="spellEnd"/>
      <w:r w:rsidRPr="00A46B49">
        <w:rPr>
          <w:rFonts w:eastAsia="SimSun"/>
          <w:lang w:eastAsia="zh-CN"/>
        </w:rPr>
        <w:t>, A. (2023). An AI-based decision support system for predicting mental health disorders. </w:t>
      </w:r>
      <w:r w:rsidRPr="00A46B49">
        <w:rPr>
          <w:rFonts w:eastAsia="SimSun"/>
          <w:i/>
          <w:iCs/>
          <w:lang w:eastAsia="zh-CN"/>
        </w:rPr>
        <w:t>Information Systems Frontiers</w:t>
      </w:r>
      <w:r w:rsidRPr="00A46B49">
        <w:rPr>
          <w:rFonts w:eastAsia="SimSun"/>
          <w:lang w:eastAsia="zh-CN"/>
        </w:rPr>
        <w:t>, </w:t>
      </w:r>
      <w:r w:rsidRPr="00A46B49">
        <w:rPr>
          <w:rFonts w:eastAsia="SimSun"/>
          <w:i/>
          <w:iCs/>
          <w:lang w:eastAsia="zh-CN"/>
        </w:rPr>
        <w:t>25</w:t>
      </w:r>
      <w:r w:rsidRPr="00A46B49">
        <w:rPr>
          <w:rFonts w:eastAsia="SimSun"/>
          <w:lang w:eastAsia="zh-CN"/>
        </w:rPr>
        <w:t>(3), 1261</w:t>
      </w:r>
      <w:r w:rsidR="00CC37E7">
        <w:rPr>
          <w:rFonts w:eastAsia="SimSun"/>
          <w:lang w:eastAsia="zh-CN"/>
        </w:rPr>
        <w:t>–</w:t>
      </w:r>
      <w:r w:rsidRPr="00A46B49">
        <w:rPr>
          <w:rFonts w:eastAsia="SimSun"/>
          <w:lang w:eastAsia="zh-CN"/>
        </w:rPr>
        <w:t>1276.</w:t>
      </w:r>
    </w:p>
    <w:p w14:paraId="62F62EF9" w14:textId="081949BE" w:rsidR="0099135F" w:rsidRPr="00A46B49" w:rsidRDefault="0099135F" w:rsidP="000C163F">
      <w:pPr>
        <w:spacing w:line="240" w:lineRule="auto"/>
        <w:ind w:left="720" w:hanging="720"/>
        <w:rPr>
          <w:rFonts w:eastAsia="SimSun"/>
          <w:lang w:val="en-MY" w:eastAsia="zh-CN"/>
        </w:rPr>
      </w:pPr>
      <w:r w:rsidRPr="00A46B49">
        <w:rPr>
          <w:rFonts w:eastAsia="SimSun"/>
          <w:lang w:val="en-MY" w:eastAsia="zh-CN"/>
        </w:rPr>
        <w:lastRenderedPageBreak/>
        <w:t xml:space="preserve">Ueno, A., Yu, C., Curtis, L., &amp; Dennis, C. (2025). Job demands-resources theory extended: stress, loneliness, and care responsibilities impacting UK doctoral students’ and academics’ mental health. </w:t>
      </w:r>
      <w:r w:rsidRPr="00CC37E7">
        <w:rPr>
          <w:rFonts w:eastAsia="SimSun"/>
          <w:i/>
          <w:iCs/>
          <w:lang w:val="en-MY" w:eastAsia="zh-CN"/>
        </w:rPr>
        <w:t>Studies in Higher Education, 50</w:t>
      </w:r>
      <w:r w:rsidRPr="00A46B49">
        <w:rPr>
          <w:rFonts w:eastAsia="SimSun"/>
          <w:lang w:val="en-MY" w:eastAsia="zh-CN"/>
        </w:rPr>
        <w:t>(4), 808</w:t>
      </w:r>
      <w:r w:rsidR="00CC37E7">
        <w:rPr>
          <w:rFonts w:eastAsia="SimSun"/>
          <w:lang w:val="en-MY" w:eastAsia="zh-CN"/>
        </w:rPr>
        <w:t>–</w:t>
      </w:r>
      <w:r w:rsidRPr="00A46B49">
        <w:rPr>
          <w:rFonts w:eastAsia="SimSun"/>
          <w:lang w:val="en-MY" w:eastAsia="zh-CN"/>
        </w:rPr>
        <w:t>823.</w:t>
      </w:r>
    </w:p>
    <w:p w14:paraId="37542CAC" w14:textId="4E748819" w:rsidR="0099135F" w:rsidRPr="000C163F" w:rsidRDefault="0099135F" w:rsidP="000C163F">
      <w:pPr>
        <w:spacing w:line="240" w:lineRule="auto"/>
        <w:ind w:left="720" w:hanging="720"/>
        <w:rPr>
          <w:rFonts w:eastAsia="SimSun"/>
          <w:lang w:eastAsia="zh-CN"/>
        </w:rPr>
      </w:pPr>
      <w:r w:rsidRPr="000C163F">
        <w:rPr>
          <w:rFonts w:eastAsia="SimSun"/>
          <w:lang w:eastAsia="zh-CN"/>
        </w:rPr>
        <w:t>Wei, L., Aun, N. S. M., Ibrahim, F., &amp; Rajaratnam, S. (2025). Role conflict, role overload, and burnout among Chinese social workers: the moderating role of organisational support and perceived social recognition. </w:t>
      </w:r>
      <w:r w:rsidRPr="000C163F">
        <w:rPr>
          <w:rFonts w:eastAsia="SimSun"/>
          <w:i/>
          <w:iCs/>
          <w:lang w:eastAsia="zh-CN"/>
        </w:rPr>
        <w:t>Asia Pacific Journal of Social Work and Development</w:t>
      </w:r>
      <w:r w:rsidRPr="000C163F">
        <w:rPr>
          <w:rFonts w:eastAsia="SimSun"/>
          <w:lang w:eastAsia="zh-CN"/>
        </w:rPr>
        <w:t>, 1</w:t>
      </w:r>
      <w:r w:rsidR="00CC37E7">
        <w:rPr>
          <w:rFonts w:eastAsia="SimSun"/>
          <w:lang w:eastAsia="zh-CN"/>
        </w:rPr>
        <w:t>–</w:t>
      </w:r>
      <w:r w:rsidRPr="000C163F">
        <w:rPr>
          <w:rFonts w:eastAsia="SimSun"/>
          <w:lang w:eastAsia="zh-CN"/>
        </w:rPr>
        <w:t>21.</w:t>
      </w:r>
    </w:p>
    <w:p w14:paraId="1EEF5CC1" w14:textId="77777777" w:rsidR="0099135F" w:rsidRPr="00A46B49" w:rsidRDefault="0099135F" w:rsidP="000C163F">
      <w:pPr>
        <w:spacing w:line="240" w:lineRule="auto"/>
        <w:ind w:left="720" w:hanging="720"/>
        <w:rPr>
          <w:rFonts w:eastAsia="SimSun"/>
          <w:lang w:eastAsia="zh-CN"/>
        </w:rPr>
      </w:pPr>
      <w:proofErr w:type="spellStart"/>
      <w:r w:rsidRPr="00A46B49">
        <w:rPr>
          <w:rFonts w:eastAsia="SimSun"/>
          <w:lang w:eastAsia="zh-CN"/>
        </w:rPr>
        <w:t>Whitsed</w:t>
      </w:r>
      <w:proofErr w:type="spellEnd"/>
      <w:r w:rsidRPr="00A46B49">
        <w:rPr>
          <w:rFonts w:eastAsia="SimSun"/>
          <w:lang w:eastAsia="zh-CN"/>
        </w:rPr>
        <w:t>, C., Girardi, A., Fitzgerald, S., &amp; Williams, J. (2025). Exploring academic staff engagement in a time of crisis and change through the lens of a multilevel job demand-resources analysis. </w:t>
      </w:r>
      <w:r w:rsidRPr="00A46B49">
        <w:rPr>
          <w:rFonts w:eastAsia="SimSun"/>
          <w:i/>
          <w:iCs/>
          <w:lang w:eastAsia="zh-CN"/>
        </w:rPr>
        <w:t>Journal of Higher Education Policy and Management</w:t>
      </w:r>
      <w:r w:rsidRPr="00A46B49">
        <w:rPr>
          <w:rFonts w:eastAsia="SimSun"/>
          <w:lang w:eastAsia="zh-CN"/>
        </w:rPr>
        <w:t>, </w:t>
      </w:r>
      <w:r w:rsidRPr="00A46B49">
        <w:rPr>
          <w:rFonts w:eastAsia="SimSun"/>
          <w:i/>
          <w:iCs/>
          <w:lang w:eastAsia="zh-CN"/>
        </w:rPr>
        <w:t>47</w:t>
      </w:r>
      <w:r w:rsidRPr="00A46B49">
        <w:rPr>
          <w:rFonts w:eastAsia="SimSun"/>
          <w:lang w:eastAsia="zh-CN"/>
        </w:rPr>
        <w:t>(1), 1-19.</w:t>
      </w:r>
    </w:p>
    <w:p w14:paraId="5FC62A9C" w14:textId="77777777" w:rsidR="0099135F" w:rsidRPr="00A46B49" w:rsidRDefault="0099135F" w:rsidP="000C163F">
      <w:pPr>
        <w:spacing w:line="240" w:lineRule="auto"/>
        <w:ind w:left="720" w:hanging="720"/>
        <w:rPr>
          <w:rFonts w:eastAsia="SimSun"/>
          <w:lang w:eastAsia="zh-CN"/>
        </w:rPr>
      </w:pPr>
      <w:r w:rsidRPr="00A46B49">
        <w:rPr>
          <w:rFonts w:eastAsia="SimSun"/>
          <w:lang w:eastAsia="zh-CN"/>
        </w:rPr>
        <w:t>World Health Organization. (2022). </w:t>
      </w:r>
      <w:r w:rsidRPr="00A46B49">
        <w:rPr>
          <w:rFonts w:eastAsia="SimSun"/>
          <w:i/>
          <w:iCs/>
          <w:lang w:eastAsia="zh-CN"/>
        </w:rPr>
        <w:t>World mental health report: Transforming mental health for all</w:t>
      </w:r>
      <w:r w:rsidRPr="00A46B49">
        <w:rPr>
          <w:rFonts w:eastAsia="SimSun"/>
          <w:lang w:eastAsia="zh-CN"/>
        </w:rPr>
        <w:t>. World Health Organization.</w:t>
      </w:r>
    </w:p>
    <w:p w14:paraId="37A25DF3" w14:textId="6DB7756F" w:rsidR="000C163F" w:rsidRPr="00A46B49" w:rsidRDefault="00D222E3" w:rsidP="00D222E3">
      <w:pPr>
        <w:spacing w:line="240" w:lineRule="auto"/>
        <w:ind w:left="720" w:hanging="720"/>
        <w:rPr>
          <w:rFonts w:eastAsia="SimSun"/>
          <w:lang w:val="en-MY" w:eastAsia="zh-CN"/>
        </w:rPr>
      </w:pPr>
      <w:r w:rsidRPr="00BE7083">
        <w:rPr>
          <w:rFonts w:eastAsia="SimSun"/>
          <w:lang w:val="en-MY" w:eastAsia="zh-CN"/>
        </w:rPr>
        <w:t xml:space="preserve">Yau, E. K. B., Pang, N. T. P., Mohd Kassim, M. A., &amp; Wong, R. S. K. (2025). Sports and mental health in Malaysia: An emerging focus. </w:t>
      </w:r>
      <w:r w:rsidRPr="00BE7083">
        <w:rPr>
          <w:rFonts w:eastAsia="SimSun"/>
          <w:i/>
          <w:iCs/>
          <w:lang w:val="en-MY" w:eastAsia="zh-CN"/>
        </w:rPr>
        <w:t xml:space="preserve">Sports Psychiatry: Journal of Sports and Exercise Psychiatry. </w:t>
      </w:r>
      <w:r w:rsidRPr="00D222E3">
        <w:rPr>
          <w:rFonts w:eastAsia="SimSun"/>
          <w:i/>
          <w:iCs/>
          <w:lang w:val="nl-NL" w:eastAsia="zh-CN"/>
        </w:rPr>
        <w:t>Advance online publication</w:t>
      </w:r>
      <w:r w:rsidRPr="00D222E3">
        <w:rPr>
          <w:rFonts w:eastAsia="SimSun"/>
          <w:lang w:val="nl-NL" w:eastAsia="zh-CN"/>
        </w:rPr>
        <w:t xml:space="preserve">. https://dx.doi.org/10.1024/2674-0052/a000103 </w:t>
      </w:r>
    </w:p>
    <w:p w14:paraId="69895745" w14:textId="77777777" w:rsidR="000C163F" w:rsidRPr="00A46B49" w:rsidRDefault="000C163F"/>
    <w:p w14:paraId="04F1C3C9" w14:textId="77777777" w:rsidR="000C163F" w:rsidRPr="00A46B49" w:rsidRDefault="000C163F">
      <w:pPr>
        <w:rPr>
          <w:lang w:val="en-US"/>
        </w:rPr>
      </w:pPr>
    </w:p>
    <w:p w14:paraId="5D907476" w14:textId="77777777" w:rsidR="000C163F" w:rsidRPr="00A46B49" w:rsidRDefault="000C163F">
      <w:pPr>
        <w:rPr>
          <w:lang w:val="en-US"/>
        </w:rPr>
      </w:pPr>
    </w:p>
    <w:sectPr w:rsidR="000C163F" w:rsidRPr="00A4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3F"/>
    <w:rsid w:val="00002E2B"/>
    <w:rsid w:val="00021A72"/>
    <w:rsid w:val="000861CC"/>
    <w:rsid w:val="00086316"/>
    <w:rsid w:val="00092235"/>
    <w:rsid w:val="000C163F"/>
    <w:rsid w:val="000E5776"/>
    <w:rsid w:val="00244B4C"/>
    <w:rsid w:val="002D6A98"/>
    <w:rsid w:val="00345ED0"/>
    <w:rsid w:val="003C19EC"/>
    <w:rsid w:val="003E268A"/>
    <w:rsid w:val="004F425C"/>
    <w:rsid w:val="00504C7A"/>
    <w:rsid w:val="006A3ED4"/>
    <w:rsid w:val="006E7B07"/>
    <w:rsid w:val="007806AC"/>
    <w:rsid w:val="007942AE"/>
    <w:rsid w:val="007B0CD2"/>
    <w:rsid w:val="0084047E"/>
    <w:rsid w:val="008C71D3"/>
    <w:rsid w:val="00942F4E"/>
    <w:rsid w:val="00956ECE"/>
    <w:rsid w:val="0099135F"/>
    <w:rsid w:val="009A19D0"/>
    <w:rsid w:val="009D6608"/>
    <w:rsid w:val="00A10D3D"/>
    <w:rsid w:val="00A3626F"/>
    <w:rsid w:val="00A46B49"/>
    <w:rsid w:val="00AD23DC"/>
    <w:rsid w:val="00B007E1"/>
    <w:rsid w:val="00B466CC"/>
    <w:rsid w:val="00B61E75"/>
    <w:rsid w:val="00B91ED2"/>
    <w:rsid w:val="00BB307F"/>
    <w:rsid w:val="00BE7083"/>
    <w:rsid w:val="00C40742"/>
    <w:rsid w:val="00CC37E7"/>
    <w:rsid w:val="00CF7C7D"/>
    <w:rsid w:val="00D222E3"/>
    <w:rsid w:val="00D92A83"/>
    <w:rsid w:val="00DA12F3"/>
    <w:rsid w:val="00E54B11"/>
    <w:rsid w:val="00EC5AA4"/>
    <w:rsid w:val="00EC614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9FA7"/>
  <w15:chartTrackingRefBased/>
  <w15:docId w15:val="{AE265260-868E-4DA6-BCAE-0ADC1163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3F"/>
    <w:pPr>
      <w:spacing w:after="0" w:line="360" w:lineRule="auto"/>
      <w:jc w:val="both"/>
    </w:pPr>
    <w:rPr>
      <w:rFonts w:ascii="Times New Roman" w:eastAsia="Times New Roman" w:hAnsi="Times New Roman" w:cs="Times New Roman"/>
      <w:kern w:val="0"/>
      <w:lang w:val="en-GB" w:eastAsia="en-MY"/>
      <w14:ligatures w14:val="none"/>
    </w:rPr>
  </w:style>
  <w:style w:type="paragraph" w:styleId="Heading1">
    <w:name w:val="heading 1"/>
    <w:basedOn w:val="Normal"/>
    <w:next w:val="Normal"/>
    <w:link w:val="Heading1Char"/>
    <w:uiPriority w:val="9"/>
    <w:qFormat/>
    <w:rsid w:val="000C163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MY" w:eastAsia="en-US"/>
      <w14:ligatures w14:val="standardContextual"/>
    </w:rPr>
  </w:style>
  <w:style w:type="paragraph" w:styleId="Heading2">
    <w:name w:val="heading 2"/>
    <w:basedOn w:val="Normal"/>
    <w:next w:val="Normal"/>
    <w:link w:val="Heading2Char"/>
    <w:uiPriority w:val="9"/>
    <w:semiHidden/>
    <w:unhideWhenUsed/>
    <w:qFormat/>
    <w:rsid w:val="000C163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MY" w:eastAsia="en-US"/>
      <w14:ligatures w14:val="standardContextual"/>
    </w:rPr>
  </w:style>
  <w:style w:type="paragraph" w:styleId="Heading3">
    <w:name w:val="heading 3"/>
    <w:basedOn w:val="Normal"/>
    <w:next w:val="Normal"/>
    <w:link w:val="Heading3Char"/>
    <w:uiPriority w:val="9"/>
    <w:semiHidden/>
    <w:unhideWhenUsed/>
    <w:qFormat/>
    <w:rsid w:val="000C163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MY" w:eastAsia="en-US"/>
      <w14:ligatures w14:val="standardContextual"/>
    </w:rPr>
  </w:style>
  <w:style w:type="paragraph" w:styleId="Heading4">
    <w:name w:val="heading 4"/>
    <w:basedOn w:val="Normal"/>
    <w:next w:val="Normal"/>
    <w:link w:val="Heading4Char"/>
    <w:uiPriority w:val="9"/>
    <w:semiHidden/>
    <w:unhideWhenUsed/>
    <w:qFormat/>
    <w:rsid w:val="000C163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lang w:val="en-MY" w:eastAsia="en-US"/>
      <w14:ligatures w14:val="standardContextual"/>
    </w:rPr>
  </w:style>
  <w:style w:type="paragraph" w:styleId="Heading5">
    <w:name w:val="heading 5"/>
    <w:basedOn w:val="Normal"/>
    <w:next w:val="Normal"/>
    <w:link w:val="Heading5Char"/>
    <w:uiPriority w:val="9"/>
    <w:semiHidden/>
    <w:unhideWhenUsed/>
    <w:qFormat/>
    <w:rsid w:val="000C163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lang w:val="en-MY" w:eastAsia="en-US"/>
      <w14:ligatures w14:val="standardContextual"/>
    </w:rPr>
  </w:style>
  <w:style w:type="paragraph" w:styleId="Heading6">
    <w:name w:val="heading 6"/>
    <w:basedOn w:val="Normal"/>
    <w:next w:val="Normal"/>
    <w:link w:val="Heading6Char"/>
    <w:uiPriority w:val="9"/>
    <w:semiHidden/>
    <w:unhideWhenUsed/>
    <w:qFormat/>
    <w:rsid w:val="000C163F"/>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val="en-MY" w:eastAsia="en-US"/>
      <w14:ligatures w14:val="standardContextual"/>
    </w:rPr>
  </w:style>
  <w:style w:type="paragraph" w:styleId="Heading7">
    <w:name w:val="heading 7"/>
    <w:basedOn w:val="Normal"/>
    <w:next w:val="Normal"/>
    <w:link w:val="Heading7Char"/>
    <w:uiPriority w:val="9"/>
    <w:semiHidden/>
    <w:unhideWhenUsed/>
    <w:qFormat/>
    <w:rsid w:val="000C163F"/>
    <w:pPr>
      <w:keepNext/>
      <w:keepLines/>
      <w:spacing w:before="40" w:line="278" w:lineRule="auto"/>
      <w:jc w:val="left"/>
      <w:outlineLvl w:val="6"/>
    </w:pPr>
    <w:rPr>
      <w:rFonts w:asciiTheme="minorHAnsi" w:eastAsiaTheme="majorEastAsia" w:hAnsiTheme="minorHAnsi" w:cstheme="majorBidi"/>
      <w:color w:val="595959" w:themeColor="text1" w:themeTint="A6"/>
      <w:kern w:val="2"/>
      <w:lang w:val="en-MY" w:eastAsia="en-US"/>
      <w14:ligatures w14:val="standardContextual"/>
    </w:rPr>
  </w:style>
  <w:style w:type="paragraph" w:styleId="Heading8">
    <w:name w:val="heading 8"/>
    <w:basedOn w:val="Normal"/>
    <w:next w:val="Normal"/>
    <w:link w:val="Heading8Char"/>
    <w:uiPriority w:val="9"/>
    <w:semiHidden/>
    <w:unhideWhenUsed/>
    <w:qFormat/>
    <w:rsid w:val="000C163F"/>
    <w:pPr>
      <w:keepNext/>
      <w:keepLines/>
      <w:spacing w:line="278" w:lineRule="auto"/>
      <w:jc w:val="left"/>
      <w:outlineLvl w:val="7"/>
    </w:pPr>
    <w:rPr>
      <w:rFonts w:asciiTheme="minorHAnsi" w:eastAsiaTheme="majorEastAsia" w:hAnsiTheme="minorHAnsi" w:cstheme="majorBidi"/>
      <w:i/>
      <w:iCs/>
      <w:color w:val="272727" w:themeColor="text1" w:themeTint="D8"/>
      <w:kern w:val="2"/>
      <w:lang w:val="en-MY" w:eastAsia="en-US"/>
      <w14:ligatures w14:val="standardContextual"/>
    </w:rPr>
  </w:style>
  <w:style w:type="paragraph" w:styleId="Heading9">
    <w:name w:val="heading 9"/>
    <w:basedOn w:val="Normal"/>
    <w:next w:val="Normal"/>
    <w:link w:val="Heading9Char"/>
    <w:uiPriority w:val="9"/>
    <w:semiHidden/>
    <w:unhideWhenUsed/>
    <w:qFormat/>
    <w:rsid w:val="000C163F"/>
    <w:pPr>
      <w:keepNext/>
      <w:keepLines/>
      <w:spacing w:line="278" w:lineRule="auto"/>
      <w:jc w:val="left"/>
      <w:outlineLvl w:val="8"/>
    </w:pPr>
    <w:rPr>
      <w:rFonts w:asciiTheme="minorHAnsi" w:eastAsiaTheme="majorEastAsia" w:hAnsiTheme="minorHAnsi" w:cstheme="majorBidi"/>
      <w:color w:val="272727" w:themeColor="text1" w:themeTint="D8"/>
      <w:kern w:val="2"/>
      <w:lang w:val="en-MY"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3F"/>
    <w:rPr>
      <w:rFonts w:eastAsiaTheme="majorEastAsia" w:cstheme="majorBidi"/>
      <w:color w:val="272727" w:themeColor="text1" w:themeTint="D8"/>
    </w:rPr>
  </w:style>
  <w:style w:type="paragraph" w:styleId="Title">
    <w:name w:val="Title"/>
    <w:basedOn w:val="Normal"/>
    <w:next w:val="Normal"/>
    <w:link w:val="TitleChar"/>
    <w:uiPriority w:val="10"/>
    <w:qFormat/>
    <w:rsid w:val="000C163F"/>
    <w:pPr>
      <w:spacing w:after="80" w:line="240" w:lineRule="auto"/>
      <w:contextualSpacing/>
      <w:jc w:val="left"/>
    </w:pPr>
    <w:rPr>
      <w:rFonts w:asciiTheme="majorHAnsi" w:eastAsiaTheme="majorEastAsia" w:hAnsiTheme="majorHAnsi" w:cstheme="majorBidi"/>
      <w:spacing w:val="-10"/>
      <w:kern w:val="28"/>
      <w:sz w:val="56"/>
      <w:szCs w:val="56"/>
      <w:lang w:val="en-MY" w:eastAsia="en-US"/>
      <w14:ligatures w14:val="standardContextual"/>
    </w:rPr>
  </w:style>
  <w:style w:type="character" w:customStyle="1" w:styleId="TitleChar">
    <w:name w:val="Title Char"/>
    <w:basedOn w:val="DefaultParagraphFont"/>
    <w:link w:val="Title"/>
    <w:uiPriority w:val="10"/>
    <w:rsid w:val="000C1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63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MY" w:eastAsia="en-US"/>
      <w14:ligatures w14:val="standardContextual"/>
    </w:rPr>
  </w:style>
  <w:style w:type="character" w:customStyle="1" w:styleId="SubtitleChar">
    <w:name w:val="Subtitle Char"/>
    <w:basedOn w:val="DefaultParagraphFont"/>
    <w:link w:val="Subtitle"/>
    <w:uiPriority w:val="11"/>
    <w:rsid w:val="000C1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63F"/>
    <w:pPr>
      <w:spacing w:before="160" w:after="160" w:line="278" w:lineRule="auto"/>
      <w:jc w:val="center"/>
    </w:pPr>
    <w:rPr>
      <w:rFonts w:asciiTheme="minorHAnsi" w:eastAsiaTheme="minorHAnsi" w:hAnsiTheme="minorHAnsi" w:cstheme="minorBidi"/>
      <w:i/>
      <w:iCs/>
      <w:color w:val="404040" w:themeColor="text1" w:themeTint="BF"/>
      <w:kern w:val="2"/>
      <w:lang w:val="en-MY" w:eastAsia="en-US"/>
      <w14:ligatures w14:val="standardContextual"/>
    </w:rPr>
  </w:style>
  <w:style w:type="character" w:customStyle="1" w:styleId="QuoteChar">
    <w:name w:val="Quote Char"/>
    <w:basedOn w:val="DefaultParagraphFont"/>
    <w:link w:val="Quote"/>
    <w:uiPriority w:val="29"/>
    <w:rsid w:val="000C163F"/>
    <w:rPr>
      <w:i/>
      <w:iCs/>
      <w:color w:val="404040" w:themeColor="text1" w:themeTint="BF"/>
    </w:rPr>
  </w:style>
  <w:style w:type="paragraph" w:styleId="ListParagraph">
    <w:name w:val="List Paragraph"/>
    <w:basedOn w:val="Normal"/>
    <w:uiPriority w:val="34"/>
    <w:qFormat/>
    <w:rsid w:val="000C163F"/>
    <w:pPr>
      <w:spacing w:after="160" w:line="278" w:lineRule="auto"/>
      <w:ind w:left="720"/>
      <w:contextualSpacing/>
      <w:jc w:val="left"/>
    </w:pPr>
    <w:rPr>
      <w:rFonts w:asciiTheme="minorHAnsi" w:eastAsiaTheme="minorHAnsi" w:hAnsiTheme="minorHAnsi" w:cstheme="minorBidi"/>
      <w:kern w:val="2"/>
      <w:lang w:val="en-MY" w:eastAsia="en-US"/>
      <w14:ligatures w14:val="standardContextual"/>
    </w:rPr>
  </w:style>
  <w:style w:type="character" w:styleId="IntenseEmphasis">
    <w:name w:val="Intense Emphasis"/>
    <w:basedOn w:val="DefaultParagraphFont"/>
    <w:uiPriority w:val="21"/>
    <w:qFormat/>
    <w:rsid w:val="000C163F"/>
    <w:rPr>
      <w:i/>
      <w:iCs/>
      <w:color w:val="0F4761" w:themeColor="accent1" w:themeShade="BF"/>
    </w:rPr>
  </w:style>
  <w:style w:type="paragraph" w:styleId="IntenseQuote">
    <w:name w:val="Intense Quote"/>
    <w:basedOn w:val="Normal"/>
    <w:next w:val="Normal"/>
    <w:link w:val="IntenseQuoteChar"/>
    <w:uiPriority w:val="30"/>
    <w:qFormat/>
    <w:rsid w:val="000C16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MY" w:eastAsia="en-US"/>
      <w14:ligatures w14:val="standardContextual"/>
    </w:rPr>
  </w:style>
  <w:style w:type="character" w:customStyle="1" w:styleId="IntenseQuoteChar">
    <w:name w:val="Intense Quote Char"/>
    <w:basedOn w:val="DefaultParagraphFont"/>
    <w:link w:val="IntenseQuote"/>
    <w:uiPriority w:val="30"/>
    <w:rsid w:val="000C163F"/>
    <w:rPr>
      <w:i/>
      <w:iCs/>
      <w:color w:val="0F4761" w:themeColor="accent1" w:themeShade="BF"/>
    </w:rPr>
  </w:style>
  <w:style w:type="character" w:styleId="IntenseReference">
    <w:name w:val="Intense Reference"/>
    <w:basedOn w:val="DefaultParagraphFont"/>
    <w:uiPriority w:val="32"/>
    <w:qFormat/>
    <w:rsid w:val="000C163F"/>
    <w:rPr>
      <w:b/>
      <w:bCs/>
      <w:smallCaps/>
      <w:color w:val="0F4761" w:themeColor="accent1" w:themeShade="BF"/>
      <w:spacing w:val="5"/>
    </w:rPr>
  </w:style>
  <w:style w:type="character" w:styleId="Hyperlink">
    <w:name w:val="Hyperlink"/>
    <w:basedOn w:val="DefaultParagraphFont"/>
    <w:uiPriority w:val="99"/>
    <w:unhideWhenUsed/>
    <w:rsid w:val="000C163F"/>
    <w:rPr>
      <w:color w:val="467886" w:themeColor="hyperlink"/>
      <w:u w:val="single"/>
    </w:rPr>
  </w:style>
  <w:style w:type="paragraph" w:styleId="NormalWeb">
    <w:name w:val="Normal (Web)"/>
    <w:basedOn w:val="Normal"/>
    <w:uiPriority w:val="99"/>
    <w:unhideWhenUsed/>
    <w:rsid w:val="004F425C"/>
    <w:pPr>
      <w:spacing w:before="100" w:beforeAutospacing="1" w:after="100" w:afterAutospacing="1" w:line="240" w:lineRule="auto"/>
      <w:jc w:val="left"/>
    </w:pPr>
    <w:rPr>
      <w:lang w:val="en-MY"/>
    </w:rPr>
  </w:style>
  <w:style w:type="character" w:styleId="UnresolvedMention">
    <w:name w:val="Unresolved Mention"/>
    <w:basedOn w:val="DefaultParagraphFont"/>
    <w:uiPriority w:val="99"/>
    <w:semiHidden/>
    <w:unhideWhenUsed/>
    <w:rsid w:val="00DA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10.1016/S0140-6736(18)31" TargetMode="External"/><Relationship Id="rId3" Type="http://schemas.openxmlformats.org/officeDocument/2006/relationships/webSettings" Target="webSettings.xml"/><Relationship Id="rId7" Type="http://schemas.openxmlformats.org/officeDocument/2006/relationships/hyperlink" Target="https://doi:10.3389/feduc.2022.929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javascript:;" TargetMode="External"/><Relationship Id="rId9" Type="http://schemas.openxmlformats.org/officeDocument/2006/relationships/hyperlink" Target="https://doi:10.1108/JAMR-01-2020-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6379</Words>
  <Characters>37251</Characters>
  <Application>Microsoft Office Word</Application>
  <DocSecurity>0</DocSecurity>
  <Lines>725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ROSNITA BINTI SAKARJI</dc:creator>
  <cp:keywords/>
  <dc:description/>
  <cp:lastModifiedBy>SITI ROSNITA BINTI SAKARJI</cp:lastModifiedBy>
  <cp:revision>14</cp:revision>
  <cp:lastPrinted>2026-03-17T06:45:00Z</cp:lastPrinted>
  <dcterms:created xsi:type="dcterms:W3CDTF">2026-03-18T15:37:00Z</dcterms:created>
  <dcterms:modified xsi:type="dcterms:W3CDTF">2026-03-18T17:24:00Z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7602c304-f23a-4969-bd32-59e8f0024c67</vt:lpwstr>
  </property>
</Properties>
</file>