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0DB" w:rsidRDefault="007F3A9B">
      <w:pPr>
        <w:spacing w:before="1440" w:after="320"/>
        <w:jc w:val="center"/>
      </w:pPr>
      <w:r>
        <w:rPr>
          <w:b/>
          <w:bCs/>
          <w:sz w:val="28"/>
          <w:szCs w:val="28"/>
        </w:rPr>
        <w:t>Enhancing Expository Essay Writing Skills of Class X Students Through Targeted Teacher Feedback</w:t>
      </w:r>
    </w:p>
    <w:p w:rsidR="002670DB" w:rsidRDefault="007F3A9B">
      <w:pPr>
        <w:spacing w:after="80"/>
        <w:jc w:val="center"/>
      </w:pPr>
      <w:r>
        <w:rPr>
          <w:b/>
          <w:bCs/>
        </w:rPr>
        <w:t/>
      </w:r>
    </w:p>
    <w:p w:rsidR="002670DB" w:rsidRDefault="007F3A9B">
      <w:pPr>
        <w:spacing w:after="80"/>
        <w:jc w:val="center"/>
      </w:pPr>
      <w:r>
        <w:t/>
      </w:r>
    </w:p>
    <w:p w:rsidR="002670DB" w:rsidRDefault="007F3A9B">
      <w:pPr>
        <w:spacing w:after="80"/>
        <w:jc w:val="center"/>
      </w:pPr>
      <w:r>
        <w:rPr>
          <w:sz w:val="22"/>
          <w:szCs w:val="22"/>
        </w:rPr>
        <w:t/>
      </w:r>
    </w:p>
    <w:p w:rsidR="002670DB" w:rsidRDefault="00C46185">
      <w:pPr>
        <w:spacing w:after="80"/>
        <w:jc w:val="center"/>
      </w:pPr>
      <w:r>
        <w:rPr>
          <w:i/>
          <w:iCs/>
          <w:sz w:val="22"/>
          <w:szCs w:val="22"/>
        </w:rPr>
        <w:t/>
      </w:r>
      <w:r w:rsidR="007F3A9B">
        <w:rPr>
          <w:i/>
          <w:iCs/>
          <w:sz w:val="22"/>
          <w:szCs w:val="22"/>
        </w:rPr>
        <w:t/>
      </w:r>
    </w:p>
    <w:p w:rsidR="002670DB" w:rsidRDefault="007F3A9B">
      <w:pPr>
        <w:spacing w:after="480"/>
        <w:jc w:val="center"/>
      </w:pPr>
      <w:r>
        <w:rPr>
          <w:i/>
          <w:iCs/>
          <w:sz w:val="22"/>
          <w:szCs w:val="22"/>
        </w:rPr>
        <w:t/>
      </w:r>
      <w:r w:rsidR="00C46185">
        <w:rPr>
          <w:i/>
          <w:iCs/>
          <w:sz w:val="22"/>
          <w:szCs w:val="22"/>
        </w:rPr>
        <w:t/>
      </w:r>
      <w:r>
        <w:rPr>
          <w:i/>
          <w:iCs/>
          <w:sz w:val="22"/>
          <w:szCs w:val="22"/>
        </w:rPr>
        <w:t/>
      </w:r>
      <w:bookmarkStart w:id="0" w:name="_GoBack"/>
      <w:bookmarkEnd w:id="0"/>
    </w:p>
    <w:p w:rsidR="002670DB" w:rsidRDefault="007F3A9B">
      <w:pPr>
        <w:spacing w:after="80"/>
        <w:jc w:val="center"/>
      </w:pPr>
      <w:r>
        <w:rPr>
          <w:i/>
          <w:iCs/>
          <w:sz w:val="22"/>
          <w:szCs w:val="22"/>
        </w:rPr>
        <w:t/>
      </w:r>
    </w:p>
    <w:p w:rsidR="002670DB" w:rsidRDefault="002670DB">
      <w:pPr>
        <w:sectPr w:rsidR="002670DB">
          <w:pgSz w:w="12240" w:h="15840"/>
          <w:pgMar w:top="1440" w:right="1440" w:bottom="1440" w:left="1440" w:header="708" w:footer="708" w:gutter="0"/>
          <w:cols w:space="720"/>
          <w:docGrid w:linePitch="360"/>
        </w:sectPr>
      </w:pPr>
    </w:p>
    <w:p w:rsidR="002670DB" w:rsidRDefault="007F3A9B">
      <w:pPr>
        <w:spacing w:after="200"/>
        <w:jc w:val="right"/>
      </w:pPr>
      <w:r>
        <w:rPr>
          <w:i/>
          <w:iCs/>
          <w:sz w:val="20"/>
          <w:szCs w:val="20"/>
        </w:rPr>
        <w:lastRenderedPageBreak/>
        <w:t/>
      </w:r>
    </w:p>
    <w:p w:rsidR="002670DB" w:rsidRDefault="007F3A9B">
      <w:pPr>
        <w:spacing w:before="120" w:after="280"/>
        <w:jc w:val="center"/>
      </w:pPr>
      <w:r>
        <w:rPr>
          <w:b/>
          <w:bCs/>
          <w:sz w:val="28"/>
          <w:szCs w:val="28"/>
        </w:rPr>
        <w:t/>
      </w:r>
    </w:p>
    <w:p w:rsidR="002670DB" w:rsidRDefault="007F3A9B">
      <w:pPr>
        <w:spacing w:before="80" w:after="80"/>
        <w:jc w:val="center"/>
      </w:pPr>
      <w:r>
        <w:rPr>
          <w:b/>
          <w:bCs/>
        </w:rPr>
        <w:t>Abstract</w:t>
      </w:r>
    </w:p>
    <w:p w:rsidR="002670DB" w:rsidRDefault="007F3A9B">
      <w:pPr>
        <w:spacing w:after="160"/>
        <w:ind w:left="720" w:right="720"/>
        <w:jc w:val="both"/>
      </w:pPr>
      <w:r>
        <w:t>This action r</w:t>
      </w:r>
      <w:r>
        <w:t>esearch investigated whether targeted teacher feedback improves expository essay writing skills among Class X students at Zilukha Middle Secondary School, Thimphu, Bhutan. Grounded in Vygotsky's (1978) socio-constructivist theory and Hattie and Timperley's</w:t>
      </w:r>
      <w:r>
        <w:t xml:space="preserve"> (2007) feedback model, the study employed a convergent parallel mixed-methods design with 34 students (17 male, 17 female). A six-week intervention integrated specific, actionable written feedback within a scaffolded instructional framework of graphic org</w:t>
      </w:r>
      <w:r>
        <w:t>anizers, model essays, individual conferences, and two drafting-revision cycles. Essays were scored using a validated 25-point rubric. Quantitative results showed statistically significant improvement across all writing components (p &lt; .001), with the mean</w:t>
      </w:r>
      <w:r>
        <w:t xml:space="preserve"> score rising from 16.44/25 to 19.12/25 (Cohen's d = 0.75). The proportion of struggling writers fell from 23.5% to 5.9%. A gender confidence-competence paradox was identified and partially resolved following the intervention. Findings confirm that targete</w:t>
      </w:r>
      <w:r>
        <w:t>d teacher feedback, embedded within scaffolded instruction, constitutes an effective and replicable approach for improving secondary writing outcomes in Bhutanese EFL contexts.</w:t>
      </w:r>
    </w:p>
    <w:p w:rsidR="002670DB" w:rsidRDefault="007F3A9B">
      <w:pPr>
        <w:spacing w:before="80" w:after="240"/>
        <w:ind w:left="720" w:right="720"/>
      </w:pPr>
      <w:r>
        <w:rPr>
          <w:b/>
          <w:bCs/>
        </w:rPr>
        <w:t xml:space="preserve">Keywords: </w:t>
      </w:r>
      <w:r>
        <w:rPr>
          <w:i/>
          <w:iCs/>
        </w:rPr>
        <w:t>targeted feedback, expository writing, action research, formative ass</w:t>
      </w:r>
      <w:r>
        <w:rPr>
          <w:i/>
          <w:iCs/>
        </w:rPr>
        <w:t>essment, EFL writing, Bhutan</w:t>
      </w:r>
    </w:p>
    <w:p w:rsidR="002670DB" w:rsidRDefault="007F3A9B">
      <w:pPr>
        <w:spacing w:before="240" w:after="100"/>
      </w:pPr>
      <w:r>
        <w:rPr>
          <w:b/>
          <w:bCs/>
        </w:rPr>
        <w:t>Introduction</w:t>
      </w:r>
    </w:p>
    <w:p w:rsidR="002670DB" w:rsidRDefault="007F3A9B">
      <w:pPr>
        <w:spacing w:after="160"/>
        <w:ind w:firstLine="720"/>
        <w:jc w:val="both"/>
      </w:pPr>
      <w:r>
        <w:t>Expository essay writing is a core academic requirement at the secondary level, demanding that students produce clear, coherent, and evidence-based compositions across multiple genres. In Bhutan, the Centre for Sch</w:t>
      </w:r>
      <w:r>
        <w:t xml:space="preserve">ool Curriculum Development (CSCD, 2022) specifies demanding writing outcomes for Class X: producing clear and coherent text; using a range of appropriate grammatical structures and vocabulary; writing for a variety of purposes and audiences; and deploying </w:t>
      </w:r>
      <w:r>
        <w:t>precise, domain-specific vocabulary. Yet these standards frequently remain unmet. Pre-intervention baseline assessment at Zilukha Middle Secondary School, Thimphu (N = 34) confirmed a mean total score of 16.44 out of 25 (65.8%), with 23.5% of students scor</w:t>
      </w:r>
      <w:r>
        <w:t>ing below 15 — indicating significant writing difficulties in nearly a quarter of the class.</w:t>
      </w:r>
    </w:p>
    <w:p w:rsidR="002670DB" w:rsidRDefault="007F3A9B">
      <w:pPr>
        <w:spacing w:after="160"/>
        <w:ind w:firstLine="720"/>
        <w:jc w:val="both"/>
      </w:pPr>
      <w:r>
        <w:t>A critical instructional gap compounded these performance deficits. Student surveys revealed that only 26% felt they received adequate step-by-step guidance during</w:t>
      </w:r>
      <w:r>
        <w:t xml:space="preserve"> writing lessons, and 47% actively disagreed that their teacher provided structured, process-focused support. Prevailing practice emphasised the final product and delivered summative, general commentary rather than timely, formative feedback capable of gui</w:t>
      </w:r>
      <w:r>
        <w:t>ding active revision. These challenges are further compounded by the multilingual reality of Bhutanese students, who learn in English as a second or third language and face documented difficulties with idea development, logical flow, and academic vocabular</w:t>
      </w:r>
      <w:r>
        <w:t>y (Lhadon &amp; Wangmo, 2022).</w:t>
      </w:r>
    </w:p>
    <w:p w:rsidR="002670DB" w:rsidRDefault="007F3A9B">
      <w:pPr>
        <w:spacing w:after="160"/>
        <w:ind w:firstLine="720"/>
        <w:jc w:val="both"/>
      </w:pPr>
      <w:r>
        <w:lastRenderedPageBreak/>
        <w:t>This study responds to that gap by designing, implementing, and evaluating a targeted teacher feedback intervention — specific, actionable, and timely written responses to student writing — embedded within a scaffolded instructio</w:t>
      </w:r>
      <w:r>
        <w:t>nal environment. The central research question was: How does targeted teacher feedback improve the expository essay writing skills of Class X students at Zilukha Middle Secondary School? The study aimed to improve writing skills, evaluate the impact of tar</w:t>
      </w:r>
      <w:r>
        <w:t>geted feedback on essay quality, and explore students' perceptions of feedback use.</w:t>
      </w:r>
    </w:p>
    <w:p w:rsidR="002670DB" w:rsidRDefault="007F3A9B">
      <w:pPr>
        <w:spacing w:before="240" w:after="100"/>
      </w:pPr>
      <w:r>
        <w:rPr>
          <w:b/>
          <w:bCs/>
        </w:rPr>
        <w:t>Theoretical Framework and Related Literature</w:t>
      </w:r>
    </w:p>
    <w:p w:rsidR="002670DB" w:rsidRDefault="007F3A9B">
      <w:pPr>
        <w:spacing w:after="160"/>
        <w:ind w:firstLine="720"/>
        <w:jc w:val="both"/>
      </w:pPr>
      <w:r>
        <w:t>Feedback is widely recognized as one of the most powerful influences on student learning (Hattie &amp;</w:t>
      </w:r>
      <w:r>
        <w:t xml:space="preserve"> Timperley, 2007). Hattie and Timperley's (2007) influential model argues that the most impactful feedback operates at the task and process levels, providing clear, specific, and actionable guidance. Brookhart (2008) defines specific feedback as focused, i</w:t>
      </w:r>
      <w:r>
        <w:t>ndividualized responses that identify particular areas for improvement and direct learners toward concrete revision actions — in contrast to vague commentary such as 'improve your grammar.' Sadler (1989) established that formative feedback given during the</w:t>
      </w:r>
      <w:r>
        <w:t xml:space="preserve"> drafting process enables students to close the gap between current and desired performance, a principle directly operationalized in this study.</w:t>
      </w:r>
    </w:p>
    <w:p w:rsidR="002670DB" w:rsidRDefault="007F3A9B">
      <w:pPr>
        <w:spacing w:after="160"/>
        <w:ind w:firstLine="720"/>
        <w:jc w:val="both"/>
      </w:pPr>
      <w:r>
        <w:t>Recent empirical evidence in secondary EFL contexts directly supports these foundations. Razmi and Ghane (2024)</w:t>
      </w:r>
      <w:r>
        <w:t xml:space="preserve"> found that direct written corrective feedback simultaneously improved writing performance, self-efficacy, and anxiety among EFL learners. In a randomized controlled trial with 202 secondary EFL students, Peltzer et al. (2025) demonstrated that formative f</w:t>
      </w:r>
      <w:r>
        <w:t>eedback combining rubric criteria with in-text comments had its most pronounced benefits for at-risk writers. Li et al. (2025) established that feedback perception positively predicted writing achievement through the mediating roles of writing self-efficac</w:t>
      </w:r>
      <w:r>
        <w:t>y and self-regulated learning strategies. Busse et al. (2023) further showed that limiting feedback to 2–3 priorities per draft prevents the self-efficacy reduction associated with excessive feed-forward commentary. In the Bhutanese context, Lhadon and Wan</w:t>
      </w:r>
      <w:r>
        <w:t>gmo (2022) and Dorji (2021) confirm that structured, process-focused feedback produces stronger student revisions and greater awareness of audience and purpose.</w:t>
      </w:r>
    </w:p>
    <w:p w:rsidR="002670DB" w:rsidRDefault="007F3A9B">
      <w:pPr>
        <w:spacing w:after="160"/>
        <w:ind w:firstLine="720"/>
        <w:jc w:val="both"/>
      </w:pPr>
      <w:r>
        <w:t>Vygotsky's (1978) Zone of Proximal Development (ZPD) provides the theoretical cornerstone for t</w:t>
      </w:r>
      <w:r>
        <w:t>his study: within the ZPD, learners can achieve with appropriate support what they cannot yet do independently, and feedback functions as a primary form of scaffolding enabling students to internalize writing strategies. Recent research confirms that scaff</w:t>
      </w:r>
      <w:r>
        <w:t>olding and feedback are most powerful in combination: Chairinkam and Yawiloeng (2024) demonstrated that systematic scaffolding during writing produces significant EFL improvements, while Nguyen and Truong (2024) found that scaffolded genre-based instructio</w:t>
      </w:r>
      <w:r>
        <w:t>n enhanced EFL learners' organizational clarity and text quality. Research consistently documents a gender confidence-competence paradox at the secondary level: female students frequently outperform male students in writing assessments while reporting lowe</w:t>
      </w:r>
      <w:r>
        <w:t>r confidence (Pajares &amp; Valiante, 2001), a pattern this study documents and addresses in the Bhutanese context.</w:t>
      </w:r>
    </w:p>
    <w:p w:rsidR="002670DB" w:rsidRDefault="007F3A9B">
      <w:pPr>
        <w:spacing w:before="240" w:after="100"/>
      </w:pPr>
      <w:r>
        <w:rPr>
          <w:b/>
          <w:bCs/>
        </w:rPr>
        <w:t>Methodology</w:t>
      </w:r>
    </w:p>
    <w:p w:rsidR="002670DB" w:rsidRDefault="007F3A9B">
      <w:pPr>
        <w:spacing w:before="180" w:after="80"/>
      </w:pPr>
      <w:r>
        <w:rPr>
          <w:b/>
          <w:bCs/>
          <w:i/>
          <w:iCs/>
        </w:rPr>
        <w:t>Research Design and Participants</w:t>
      </w:r>
    </w:p>
    <w:p w:rsidR="002670DB" w:rsidRDefault="007F3A9B">
      <w:pPr>
        <w:spacing w:after="160"/>
        <w:ind w:firstLine="720"/>
        <w:jc w:val="both"/>
      </w:pPr>
      <w:r>
        <w:lastRenderedPageBreak/>
        <w:t>This study employed a convergent parallel mixed-methods action research design (Creswell &amp; Plano Cl</w:t>
      </w:r>
      <w:r>
        <w:t>ark, 2017) following Kemmis and McTaggart's (2005) Plan–Act–Observe–Reflect spiral. Quantitative and qualitative data were collected simultaneously, analyzed independently, and integrated during interpretation. The study was conducted at Zilukha Middle Sec</w:t>
      </w:r>
      <w:r>
        <w:t>ondary School, Thimphu, with 34 Class X students (17 males, 17 females, aged 15–16) selected through convenience sampling as the class directly taught by the lead researcher. First language backgrounds were diverse: approximately 60% Dzongkha, 25% Sharchok</w:t>
      </w:r>
      <w:r>
        <w:t>pa, 10% Lhotshamkha, and 5% other dialects. A critical friend — an MEd-qualified colleague — provided external oversight and challenged interpretations throughout.</w:t>
      </w:r>
    </w:p>
    <w:p w:rsidR="002670DB" w:rsidRDefault="007F3A9B">
      <w:pPr>
        <w:spacing w:before="180" w:after="80"/>
      </w:pPr>
      <w:r>
        <w:rPr>
          <w:b/>
          <w:bCs/>
          <w:i/>
          <w:iCs/>
        </w:rPr>
        <w:t>Data Collection Instruments</w:t>
      </w:r>
    </w:p>
    <w:p w:rsidR="002670DB" w:rsidRDefault="007F3A9B">
      <w:pPr>
        <w:spacing w:after="160"/>
        <w:ind w:firstLine="720"/>
        <w:jc w:val="both"/>
      </w:pPr>
      <w:r>
        <w:t>Essays were assessed using a validated rubric grounded in Brown'</w:t>
      </w:r>
      <w:r>
        <w:t xml:space="preserve">s (2004) analytic framework for writing assessment, mapped onto three scorable components aligned with the CSCD's (2022) Class X marking scheme: Layout/Organization (5 marks), Content/Ideas (12 marks), and Language/Mechanics (8 marks), totalling 25 marks. </w:t>
      </w:r>
      <w:r>
        <w:t xml:space="preserve">The pre-test prompt asked students to explain the health hazards of eating junk food; the post-test prompt asked students to explain how regular exercise prevents chronic diseases — both drawn from the health and wellness domain to maintain comparability. </w:t>
      </w:r>
      <w:r>
        <w:t>Pre-test and post-test essays were scored in separate sittings to reduce recency bias. Supplementary data were collected through pre- and post-intervention surveys (five-point Likert scale), student reflective journals completed at four points during the i</w:t>
      </w:r>
      <w:r>
        <w:t>ntervention, and teacher observation notes.</w:t>
      </w:r>
    </w:p>
    <w:p w:rsidR="002670DB" w:rsidRDefault="007F3A9B">
      <w:pPr>
        <w:spacing w:before="180" w:after="80"/>
      </w:pPr>
      <w:r>
        <w:rPr>
          <w:b/>
          <w:bCs/>
          <w:i/>
          <w:iCs/>
        </w:rPr>
        <w:t>Intervention</w:t>
      </w:r>
    </w:p>
    <w:p w:rsidR="002670DB" w:rsidRDefault="007F3A9B">
      <w:pPr>
        <w:spacing w:after="160"/>
        <w:ind w:firstLine="720"/>
        <w:jc w:val="both"/>
      </w:pPr>
      <w:r>
        <w:t>The six-week intervention integrated targeted teacher feedback within a comprehensive scaffolding framework. Weeks 1–2 established baseline data and provided explicit instruction in expository essay structure using graphic organizers and model essays. Week</w:t>
      </w:r>
      <w:r>
        <w:t>s 3–4 and 5–6 constituted two complete writing cycles in which students drafted, received targeted written feedback, participated in individual 10–15 minute conferences, and revised their essays. Feedback followed a consistent protocol: 2–3 margin comments</w:t>
      </w:r>
      <w:r>
        <w:t xml:space="preserve"> identifying precise issues with concrete revision guidance, plus an end comment acknowledging one genuine strength, identifying 2–3 revision priorities, and concluding with a forward-looking self-regulation prompt. All feedback was returned within three t</w:t>
      </w:r>
      <w:r>
        <w:t>o four school days.</w:t>
      </w:r>
    </w:p>
    <w:p w:rsidR="002670DB" w:rsidRDefault="007F3A9B">
      <w:pPr>
        <w:spacing w:before="180" w:after="80"/>
      </w:pPr>
      <w:r>
        <w:rPr>
          <w:b/>
          <w:bCs/>
          <w:i/>
          <w:iCs/>
        </w:rPr>
        <w:t>Data Analysis</w:t>
      </w:r>
    </w:p>
    <w:p w:rsidR="002670DB" w:rsidRDefault="007F3A9B">
      <w:pPr>
        <w:spacing w:after="160"/>
        <w:ind w:firstLine="720"/>
        <w:jc w:val="both"/>
      </w:pPr>
      <w:r>
        <w:t>Quantitative analysis used IBM SPSS Statistics, including paired samples t-tests, Cohen's d effect sizes, and independent samples t-tests for gender comparisons. Qualitative journal and survey data were analyzed using Brau</w:t>
      </w:r>
      <w:r>
        <w:t>n and Clarke's (2006) six-phase thematic analysis framework. Mixed-methods integration occurred through joint displays and triangulation of convergent and divergent findings. Written informed consent and assent were obtained from parents/guardians and stud</w:t>
      </w:r>
      <w:r>
        <w:t>ents respectively, with written approval from the school Principal and Thimphu Thromde Education Office.</w:t>
      </w:r>
    </w:p>
    <w:p w:rsidR="002670DB" w:rsidRDefault="007F3A9B">
      <w:pPr>
        <w:spacing w:before="240" w:after="100"/>
      </w:pPr>
      <w:r>
        <w:rPr>
          <w:b/>
          <w:bCs/>
        </w:rPr>
        <w:t>Findings</w:t>
      </w:r>
    </w:p>
    <w:p w:rsidR="002670DB" w:rsidRDefault="007F3A9B">
      <w:pPr>
        <w:spacing w:before="180" w:after="80"/>
      </w:pPr>
      <w:r>
        <w:rPr>
          <w:b/>
          <w:bCs/>
          <w:i/>
          <w:iCs/>
        </w:rPr>
        <w:t>Writing Performance: Pre- and Post-Intervention Comparison</w:t>
      </w:r>
    </w:p>
    <w:p w:rsidR="002670DB" w:rsidRDefault="007F3A9B">
      <w:pPr>
        <w:spacing w:after="160"/>
        <w:ind w:firstLine="720"/>
        <w:jc w:val="both"/>
      </w:pPr>
      <w:r>
        <w:t>Post-intervention assessment demonstrated statistically significant improvement acr</w:t>
      </w:r>
      <w:r>
        <w:t xml:space="preserve">oss all writing components (Table 1). The overall mean score increased from 16.44/25 (65.8%) to </w:t>
      </w:r>
      <w:r>
        <w:lastRenderedPageBreak/>
        <w:t>19.12/25 (76.5%), a gain of 2.68 points (p &lt; .001, Cohen's d = 0.75 — a medium-to-large effect). Language scores showed the greatest proportional improvement (+</w:t>
      </w:r>
      <w:r>
        <w:t>23.2%), directly addressing the area of greatest pre-intervention weakness. Layout scores, already strong, demonstrated further growth with substantially reduced variance (SD decreased from 0.58 to 0.44), indicating more consistent mastery across the class</w:t>
      </w:r>
      <w:r>
        <w:t>.</w:t>
      </w:r>
    </w:p>
    <w:p w:rsidR="002670DB" w:rsidRDefault="002670DB">
      <w:pPr>
        <w:spacing w:after="80"/>
      </w:pPr>
    </w:p>
    <w:p w:rsidR="002670DB" w:rsidRDefault="007F3A9B">
      <w:pPr>
        <w:spacing w:before="160" w:after="60"/>
      </w:pPr>
      <w:r>
        <w:rPr>
          <w:b/>
          <w:bCs/>
          <w:sz w:val="22"/>
          <w:szCs w:val="22"/>
        </w:rPr>
        <w:t>Table 1</w:t>
      </w:r>
      <w:r>
        <w:rPr>
          <w:sz w:val="22"/>
          <w:szCs w:val="22"/>
        </w:rPr>
        <w:t xml:space="preserve"> </w:t>
      </w:r>
      <w:r>
        <w:rPr>
          <w:i/>
          <w:iCs/>
          <w:sz w:val="22"/>
          <w:szCs w:val="22"/>
        </w:rPr>
        <w:t>Pre-Test and Post-Test Performance Comparison (N = 34)</w:t>
      </w:r>
    </w:p>
    <w:tbl>
      <w:tblPr>
        <w:tblW w:w="8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00"/>
        <w:gridCol w:w="1400"/>
        <w:gridCol w:w="1400"/>
        <w:gridCol w:w="850"/>
        <w:gridCol w:w="1000"/>
        <w:gridCol w:w="1150"/>
        <w:gridCol w:w="800"/>
      </w:tblGrid>
      <w:tr w:rsidR="002670DB">
        <w:tblPrEx>
          <w:tblCellMar>
            <w:top w:w="0" w:type="dxa"/>
            <w:bottom w:w="0" w:type="dxa"/>
          </w:tblCellMar>
        </w:tblPrEx>
        <w:tc>
          <w:tcPr>
            <w:tcW w:w="2300" w:type="dxa"/>
            <w:tcBorders>
              <w:top w:val="single" w:sz="1" w:space="0" w:color="888888"/>
              <w:left w:val="single" w:sz="1" w:space="0" w:color="888888"/>
              <w:bottom w:val="single" w:sz="1" w:space="0" w:color="888888"/>
              <w:right w:val="single" w:sz="1" w:space="0" w:color="888888"/>
            </w:tcBorders>
            <w:shd w:val="clear" w:color="auto" w:fill="EBEBEB"/>
            <w:tcMar>
              <w:top w:w="60" w:type="dxa"/>
              <w:left w:w="100" w:type="dxa"/>
              <w:bottom w:w="60" w:type="dxa"/>
              <w:right w:w="100" w:type="dxa"/>
            </w:tcMar>
          </w:tcPr>
          <w:p w:rsidR="002670DB" w:rsidRDefault="007F3A9B">
            <w:pPr>
              <w:jc w:val="center"/>
            </w:pPr>
            <w:r>
              <w:rPr>
                <w:b/>
                <w:bCs/>
                <w:sz w:val="20"/>
                <w:szCs w:val="20"/>
              </w:rPr>
              <w:t>Component</w:t>
            </w:r>
          </w:p>
        </w:tc>
        <w:tc>
          <w:tcPr>
            <w:tcW w:w="1400" w:type="dxa"/>
            <w:tcBorders>
              <w:top w:val="single" w:sz="1" w:space="0" w:color="888888"/>
              <w:left w:val="single" w:sz="1" w:space="0" w:color="888888"/>
              <w:bottom w:val="single" w:sz="1" w:space="0" w:color="888888"/>
              <w:right w:val="single" w:sz="1" w:space="0" w:color="888888"/>
            </w:tcBorders>
            <w:shd w:val="clear" w:color="auto" w:fill="EBEBEB"/>
            <w:tcMar>
              <w:top w:w="60" w:type="dxa"/>
              <w:left w:w="100" w:type="dxa"/>
              <w:bottom w:w="60" w:type="dxa"/>
              <w:right w:w="100" w:type="dxa"/>
            </w:tcMar>
          </w:tcPr>
          <w:p w:rsidR="002670DB" w:rsidRDefault="007F3A9B">
            <w:pPr>
              <w:jc w:val="center"/>
            </w:pPr>
            <w:r>
              <w:rPr>
                <w:b/>
                <w:bCs/>
                <w:sz w:val="20"/>
                <w:szCs w:val="20"/>
              </w:rPr>
              <w:t>Pre M (SD)</w:t>
            </w:r>
          </w:p>
        </w:tc>
        <w:tc>
          <w:tcPr>
            <w:tcW w:w="1400" w:type="dxa"/>
            <w:tcBorders>
              <w:top w:val="single" w:sz="1" w:space="0" w:color="888888"/>
              <w:left w:val="single" w:sz="1" w:space="0" w:color="888888"/>
              <w:bottom w:val="single" w:sz="1" w:space="0" w:color="888888"/>
              <w:right w:val="single" w:sz="1" w:space="0" w:color="888888"/>
            </w:tcBorders>
            <w:shd w:val="clear" w:color="auto" w:fill="EBEBEB"/>
            <w:tcMar>
              <w:top w:w="60" w:type="dxa"/>
              <w:left w:w="100" w:type="dxa"/>
              <w:bottom w:w="60" w:type="dxa"/>
              <w:right w:w="100" w:type="dxa"/>
            </w:tcMar>
          </w:tcPr>
          <w:p w:rsidR="002670DB" w:rsidRDefault="007F3A9B">
            <w:pPr>
              <w:jc w:val="center"/>
            </w:pPr>
            <w:r>
              <w:rPr>
                <w:b/>
                <w:bCs/>
                <w:sz w:val="20"/>
                <w:szCs w:val="20"/>
              </w:rPr>
              <w:t>Post M (SD)</w:t>
            </w:r>
          </w:p>
        </w:tc>
        <w:tc>
          <w:tcPr>
            <w:tcW w:w="850" w:type="dxa"/>
            <w:tcBorders>
              <w:top w:val="single" w:sz="1" w:space="0" w:color="888888"/>
              <w:left w:val="single" w:sz="1" w:space="0" w:color="888888"/>
              <w:bottom w:val="single" w:sz="1" w:space="0" w:color="888888"/>
              <w:right w:val="single" w:sz="1" w:space="0" w:color="888888"/>
            </w:tcBorders>
            <w:shd w:val="clear" w:color="auto" w:fill="EBEBEB"/>
            <w:tcMar>
              <w:top w:w="60" w:type="dxa"/>
              <w:left w:w="100" w:type="dxa"/>
              <w:bottom w:w="60" w:type="dxa"/>
              <w:right w:w="100" w:type="dxa"/>
            </w:tcMar>
          </w:tcPr>
          <w:p w:rsidR="002670DB" w:rsidRDefault="007F3A9B">
            <w:pPr>
              <w:jc w:val="center"/>
            </w:pPr>
            <w:r>
              <w:rPr>
                <w:b/>
                <w:bCs/>
                <w:sz w:val="20"/>
                <w:szCs w:val="20"/>
              </w:rPr>
              <w:t>Gain</w:t>
            </w:r>
          </w:p>
        </w:tc>
        <w:tc>
          <w:tcPr>
            <w:tcW w:w="1000" w:type="dxa"/>
            <w:tcBorders>
              <w:top w:val="single" w:sz="1" w:space="0" w:color="888888"/>
              <w:left w:val="single" w:sz="1" w:space="0" w:color="888888"/>
              <w:bottom w:val="single" w:sz="1" w:space="0" w:color="888888"/>
              <w:right w:val="single" w:sz="1" w:space="0" w:color="888888"/>
            </w:tcBorders>
            <w:shd w:val="clear" w:color="auto" w:fill="EBEBEB"/>
            <w:tcMar>
              <w:top w:w="60" w:type="dxa"/>
              <w:left w:w="100" w:type="dxa"/>
              <w:bottom w:w="60" w:type="dxa"/>
              <w:right w:w="100" w:type="dxa"/>
            </w:tcMar>
          </w:tcPr>
          <w:p w:rsidR="002670DB" w:rsidRDefault="007F3A9B">
            <w:pPr>
              <w:jc w:val="center"/>
            </w:pPr>
            <w:r>
              <w:rPr>
                <w:b/>
                <w:bCs/>
                <w:sz w:val="20"/>
                <w:szCs w:val="20"/>
              </w:rPr>
              <w:t>% Gain</w:t>
            </w:r>
          </w:p>
        </w:tc>
        <w:tc>
          <w:tcPr>
            <w:tcW w:w="1150" w:type="dxa"/>
            <w:tcBorders>
              <w:top w:val="single" w:sz="1" w:space="0" w:color="888888"/>
              <w:left w:val="single" w:sz="1" w:space="0" w:color="888888"/>
              <w:bottom w:val="single" w:sz="1" w:space="0" w:color="888888"/>
              <w:right w:val="single" w:sz="1" w:space="0" w:color="888888"/>
            </w:tcBorders>
            <w:shd w:val="clear" w:color="auto" w:fill="EBEBEB"/>
            <w:tcMar>
              <w:top w:w="60" w:type="dxa"/>
              <w:left w:w="100" w:type="dxa"/>
              <w:bottom w:w="60" w:type="dxa"/>
              <w:right w:w="100" w:type="dxa"/>
            </w:tcMar>
          </w:tcPr>
          <w:p w:rsidR="002670DB" w:rsidRDefault="007F3A9B">
            <w:pPr>
              <w:jc w:val="center"/>
            </w:pPr>
            <w:r>
              <w:rPr>
                <w:b/>
                <w:bCs/>
                <w:sz w:val="20"/>
                <w:szCs w:val="20"/>
              </w:rPr>
              <w:t>t (df=33)</w:t>
            </w:r>
          </w:p>
        </w:tc>
        <w:tc>
          <w:tcPr>
            <w:tcW w:w="800" w:type="dxa"/>
            <w:tcBorders>
              <w:top w:val="single" w:sz="1" w:space="0" w:color="888888"/>
              <w:left w:val="single" w:sz="1" w:space="0" w:color="888888"/>
              <w:bottom w:val="single" w:sz="1" w:space="0" w:color="888888"/>
              <w:right w:val="single" w:sz="1" w:space="0" w:color="888888"/>
            </w:tcBorders>
            <w:shd w:val="clear" w:color="auto" w:fill="EBEBEB"/>
            <w:tcMar>
              <w:top w:w="60" w:type="dxa"/>
              <w:left w:w="100" w:type="dxa"/>
              <w:bottom w:w="60" w:type="dxa"/>
              <w:right w:w="100" w:type="dxa"/>
            </w:tcMar>
          </w:tcPr>
          <w:p w:rsidR="002670DB" w:rsidRDefault="007F3A9B">
            <w:pPr>
              <w:jc w:val="center"/>
            </w:pPr>
            <w:r>
              <w:rPr>
                <w:b/>
                <w:bCs/>
                <w:sz w:val="20"/>
                <w:szCs w:val="20"/>
              </w:rPr>
              <w:t>d</w:t>
            </w:r>
          </w:p>
        </w:tc>
      </w:tr>
      <w:tr w:rsidR="002670DB">
        <w:tblPrEx>
          <w:tblCellMar>
            <w:top w:w="0" w:type="dxa"/>
            <w:bottom w:w="0" w:type="dxa"/>
          </w:tblCellMar>
        </w:tblPrEx>
        <w:tc>
          <w:tcPr>
            <w:tcW w:w="2300" w:type="dxa"/>
            <w:tcBorders>
              <w:top w:val="single" w:sz="1" w:space="0" w:color="888888"/>
              <w:left w:val="single" w:sz="1" w:space="0" w:color="888888"/>
              <w:bottom w:val="single" w:sz="1" w:space="0" w:color="888888"/>
              <w:right w:val="single" w:sz="1" w:space="0" w:color="888888"/>
            </w:tcBorders>
            <w:tcMar>
              <w:top w:w="50" w:type="dxa"/>
              <w:left w:w="100" w:type="dxa"/>
              <w:bottom w:w="50" w:type="dxa"/>
              <w:right w:w="100" w:type="dxa"/>
            </w:tcMar>
          </w:tcPr>
          <w:p w:rsidR="002670DB" w:rsidRDefault="007F3A9B">
            <w:r>
              <w:rPr>
                <w:sz w:val="20"/>
                <w:szCs w:val="20"/>
              </w:rPr>
              <w:t>Layout / Organization (5)</w:t>
            </w:r>
          </w:p>
        </w:tc>
        <w:tc>
          <w:tcPr>
            <w:tcW w:w="1400" w:type="dxa"/>
            <w:tcBorders>
              <w:top w:val="single" w:sz="1" w:space="0" w:color="888888"/>
              <w:left w:val="single" w:sz="1" w:space="0" w:color="888888"/>
              <w:bottom w:val="single" w:sz="1" w:space="0" w:color="888888"/>
              <w:right w:val="single" w:sz="1" w:space="0" w:color="888888"/>
            </w:tcBorders>
            <w:tcMar>
              <w:top w:w="50" w:type="dxa"/>
              <w:left w:w="100" w:type="dxa"/>
              <w:bottom w:w="50" w:type="dxa"/>
              <w:right w:w="100" w:type="dxa"/>
            </w:tcMar>
          </w:tcPr>
          <w:p w:rsidR="002670DB" w:rsidRDefault="007F3A9B">
            <w:pPr>
              <w:jc w:val="center"/>
            </w:pPr>
            <w:r>
              <w:rPr>
                <w:sz w:val="20"/>
                <w:szCs w:val="20"/>
              </w:rPr>
              <w:t>4.38 (0.58)</w:t>
            </w:r>
          </w:p>
        </w:tc>
        <w:tc>
          <w:tcPr>
            <w:tcW w:w="1400" w:type="dxa"/>
            <w:tcBorders>
              <w:top w:val="single" w:sz="1" w:space="0" w:color="888888"/>
              <w:left w:val="single" w:sz="1" w:space="0" w:color="888888"/>
              <w:bottom w:val="single" w:sz="1" w:space="0" w:color="888888"/>
              <w:right w:val="single" w:sz="1" w:space="0" w:color="888888"/>
            </w:tcBorders>
            <w:tcMar>
              <w:top w:w="50" w:type="dxa"/>
              <w:left w:w="100" w:type="dxa"/>
              <w:bottom w:w="50" w:type="dxa"/>
              <w:right w:w="100" w:type="dxa"/>
            </w:tcMar>
          </w:tcPr>
          <w:p w:rsidR="002670DB" w:rsidRDefault="007F3A9B">
            <w:pPr>
              <w:jc w:val="center"/>
            </w:pPr>
            <w:r>
              <w:rPr>
                <w:sz w:val="20"/>
                <w:szCs w:val="20"/>
              </w:rPr>
              <w:t>4.76 (0.44)</w:t>
            </w:r>
          </w:p>
        </w:tc>
        <w:tc>
          <w:tcPr>
            <w:tcW w:w="850" w:type="dxa"/>
            <w:tcBorders>
              <w:top w:val="single" w:sz="1" w:space="0" w:color="888888"/>
              <w:left w:val="single" w:sz="1" w:space="0" w:color="888888"/>
              <w:bottom w:val="single" w:sz="1" w:space="0" w:color="888888"/>
              <w:right w:val="single" w:sz="1" w:space="0" w:color="888888"/>
            </w:tcBorders>
            <w:tcMar>
              <w:top w:w="50" w:type="dxa"/>
              <w:left w:w="100" w:type="dxa"/>
              <w:bottom w:w="50" w:type="dxa"/>
              <w:right w:w="100" w:type="dxa"/>
            </w:tcMar>
          </w:tcPr>
          <w:p w:rsidR="002670DB" w:rsidRDefault="007F3A9B">
            <w:pPr>
              <w:jc w:val="center"/>
            </w:pPr>
            <w:r>
              <w:rPr>
                <w:sz w:val="20"/>
                <w:szCs w:val="20"/>
              </w:rPr>
              <w:t>+0.38</w:t>
            </w:r>
          </w:p>
        </w:tc>
        <w:tc>
          <w:tcPr>
            <w:tcW w:w="1000" w:type="dxa"/>
            <w:tcBorders>
              <w:top w:val="single" w:sz="1" w:space="0" w:color="888888"/>
              <w:left w:val="single" w:sz="1" w:space="0" w:color="888888"/>
              <w:bottom w:val="single" w:sz="1" w:space="0" w:color="888888"/>
              <w:right w:val="single" w:sz="1" w:space="0" w:color="888888"/>
            </w:tcBorders>
            <w:tcMar>
              <w:top w:w="50" w:type="dxa"/>
              <w:left w:w="100" w:type="dxa"/>
              <w:bottom w:w="50" w:type="dxa"/>
              <w:right w:w="100" w:type="dxa"/>
            </w:tcMar>
          </w:tcPr>
          <w:p w:rsidR="002670DB" w:rsidRDefault="007F3A9B">
            <w:pPr>
              <w:jc w:val="center"/>
            </w:pPr>
            <w:r>
              <w:rPr>
                <w:sz w:val="20"/>
                <w:szCs w:val="20"/>
              </w:rPr>
              <w:t>+8.7%</w:t>
            </w:r>
          </w:p>
        </w:tc>
        <w:tc>
          <w:tcPr>
            <w:tcW w:w="1150" w:type="dxa"/>
            <w:tcBorders>
              <w:top w:val="single" w:sz="1" w:space="0" w:color="888888"/>
              <w:left w:val="single" w:sz="1" w:space="0" w:color="888888"/>
              <w:bottom w:val="single" w:sz="1" w:space="0" w:color="888888"/>
              <w:right w:val="single" w:sz="1" w:space="0" w:color="888888"/>
            </w:tcBorders>
            <w:tcMar>
              <w:top w:w="50" w:type="dxa"/>
              <w:left w:w="100" w:type="dxa"/>
              <w:bottom w:w="50" w:type="dxa"/>
              <w:right w:w="100" w:type="dxa"/>
            </w:tcMar>
          </w:tcPr>
          <w:p w:rsidR="002670DB" w:rsidRDefault="007F3A9B">
            <w:pPr>
              <w:jc w:val="center"/>
            </w:pPr>
            <w:r>
              <w:rPr>
                <w:sz w:val="20"/>
                <w:szCs w:val="20"/>
              </w:rPr>
              <w:t>4.21**</w:t>
            </w:r>
          </w:p>
        </w:tc>
        <w:tc>
          <w:tcPr>
            <w:tcW w:w="800" w:type="dxa"/>
            <w:tcBorders>
              <w:top w:val="single" w:sz="1" w:space="0" w:color="888888"/>
              <w:left w:val="single" w:sz="1" w:space="0" w:color="888888"/>
              <w:bottom w:val="single" w:sz="1" w:space="0" w:color="888888"/>
              <w:right w:val="single" w:sz="1" w:space="0" w:color="888888"/>
            </w:tcBorders>
            <w:tcMar>
              <w:top w:w="50" w:type="dxa"/>
              <w:left w:w="100" w:type="dxa"/>
              <w:bottom w:w="50" w:type="dxa"/>
              <w:right w:w="100" w:type="dxa"/>
            </w:tcMar>
          </w:tcPr>
          <w:p w:rsidR="002670DB" w:rsidRDefault="007F3A9B">
            <w:pPr>
              <w:jc w:val="center"/>
            </w:pPr>
            <w:r>
              <w:rPr>
                <w:sz w:val="20"/>
                <w:szCs w:val="20"/>
              </w:rPr>
              <w:t>0.72</w:t>
            </w:r>
          </w:p>
        </w:tc>
      </w:tr>
      <w:tr w:rsidR="002670DB">
        <w:tblPrEx>
          <w:tblCellMar>
            <w:top w:w="0" w:type="dxa"/>
            <w:bottom w:w="0" w:type="dxa"/>
          </w:tblCellMar>
        </w:tblPrEx>
        <w:tc>
          <w:tcPr>
            <w:tcW w:w="2300" w:type="dxa"/>
            <w:tcBorders>
              <w:top w:val="single" w:sz="1" w:space="0" w:color="888888"/>
              <w:left w:val="single" w:sz="1" w:space="0" w:color="888888"/>
              <w:bottom w:val="single" w:sz="1" w:space="0" w:color="888888"/>
              <w:right w:val="single" w:sz="1" w:space="0" w:color="888888"/>
            </w:tcBorders>
            <w:tcMar>
              <w:top w:w="50" w:type="dxa"/>
              <w:left w:w="100" w:type="dxa"/>
              <w:bottom w:w="50" w:type="dxa"/>
              <w:right w:w="100" w:type="dxa"/>
            </w:tcMar>
          </w:tcPr>
          <w:p w:rsidR="002670DB" w:rsidRDefault="007F3A9B">
            <w:r>
              <w:rPr>
                <w:sz w:val="20"/>
                <w:szCs w:val="20"/>
              </w:rPr>
              <w:t>Content / Ideas (12)</w:t>
            </w:r>
          </w:p>
        </w:tc>
        <w:tc>
          <w:tcPr>
            <w:tcW w:w="1400" w:type="dxa"/>
            <w:tcBorders>
              <w:top w:val="single" w:sz="1" w:space="0" w:color="888888"/>
              <w:left w:val="single" w:sz="1" w:space="0" w:color="888888"/>
              <w:bottom w:val="single" w:sz="1" w:space="0" w:color="888888"/>
              <w:right w:val="single" w:sz="1" w:space="0" w:color="888888"/>
            </w:tcBorders>
            <w:tcMar>
              <w:top w:w="50" w:type="dxa"/>
              <w:left w:w="100" w:type="dxa"/>
              <w:bottom w:w="50" w:type="dxa"/>
              <w:right w:w="100" w:type="dxa"/>
            </w:tcMar>
          </w:tcPr>
          <w:p w:rsidR="002670DB" w:rsidRDefault="007F3A9B">
            <w:pPr>
              <w:jc w:val="center"/>
            </w:pPr>
            <w:r>
              <w:rPr>
                <w:sz w:val="20"/>
                <w:szCs w:val="20"/>
              </w:rPr>
              <w:t>7.62 (2.18)</w:t>
            </w:r>
          </w:p>
        </w:tc>
        <w:tc>
          <w:tcPr>
            <w:tcW w:w="1400" w:type="dxa"/>
            <w:tcBorders>
              <w:top w:val="single" w:sz="1" w:space="0" w:color="888888"/>
              <w:left w:val="single" w:sz="1" w:space="0" w:color="888888"/>
              <w:bottom w:val="single" w:sz="1" w:space="0" w:color="888888"/>
              <w:right w:val="single" w:sz="1" w:space="0" w:color="888888"/>
            </w:tcBorders>
            <w:tcMar>
              <w:top w:w="50" w:type="dxa"/>
              <w:left w:w="100" w:type="dxa"/>
              <w:bottom w:w="50" w:type="dxa"/>
              <w:right w:w="100" w:type="dxa"/>
            </w:tcMar>
          </w:tcPr>
          <w:p w:rsidR="002670DB" w:rsidRDefault="007F3A9B">
            <w:pPr>
              <w:jc w:val="center"/>
            </w:pPr>
            <w:r>
              <w:rPr>
                <w:sz w:val="20"/>
                <w:szCs w:val="20"/>
              </w:rPr>
              <w:t>8.88 (2.09)</w:t>
            </w:r>
          </w:p>
        </w:tc>
        <w:tc>
          <w:tcPr>
            <w:tcW w:w="850" w:type="dxa"/>
            <w:tcBorders>
              <w:top w:val="single" w:sz="1" w:space="0" w:color="888888"/>
              <w:left w:val="single" w:sz="1" w:space="0" w:color="888888"/>
              <w:bottom w:val="single" w:sz="1" w:space="0" w:color="888888"/>
              <w:right w:val="single" w:sz="1" w:space="0" w:color="888888"/>
            </w:tcBorders>
            <w:tcMar>
              <w:top w:w="50" w:type="dxa"/>
              <w:left w:w="100" w:type="dxa"/>
              <w:bottom w:w="50" w:type="dxa"/>
              <w:right w:w="100" w:type="dxa"/>
            </w:tcMar>
          </w:tcPr>
          <w:p w:rsidR="002670DB" w:rsidRDefault="007F3A9B">
            <w:pPr>
              <w:jc w:val="center"/>
            </w:pPr>
            <w:r>
              <w:rPr>
                <w:sz w:val="20"/>
                <w:szCs w:val="20"/>
              </w:rPr>
              <w:t>+1.26</w:t>
            </w:r>
          </w:p>
        </w:tc>
        <w:tc>
          <w:tcPr>
            <w:tcW w:w="1000" w:type="dxa"/>
            <w:tcBorders>
              <w:top w:val="single" w:sz="1" w:space="0" w:color="888888"/>
              <w:left w:val="single" w:sz="1" w:space="0" w:color="888888"/>
              <w:bottom w:val="single" w:sz="1" w:space="0" w:color="888888"/>
              <w:right w:val="single" w:sz="1" w:space="0" w:color="888888"/>
            </w:tcBorders>
            <w:tcMar>
              <w:top w:w="50" w:type="dxa"/>
              <w:left w:w="100" w:type="dxa"/>
              <w:bottom w:w="50" w:type="dxa"/>
              <w:right w:w="100" w:type="dxa"/>
            </w:tcMar>
          </w:tcPr>
          <w:p w:rsidR="002670DB" w:rsidRDefault="007F3A9B">
            <w:pPr>
              <w:jc w:val="center"/>
            </w:pPr>
            <w:r>
              <w:rPr>
                <w:sz w:val="20"/>
                <w:szCs w:val="20"/>
              </w:rPr>
              <w:t>+16.5%</w:t>
            </w:r>
          </w:p>
        </w:tc>
        <w:tc>
          <w:tcPr>
            <w:tcW w:w="1150" w:type="dxa"/>
            <w:tcBorders>
              <w:top w:val="single" w:sz="1" w:space="0" w:color="888888"/>
              <w:left w:val="single" w:sz="1" w:space="0" w:color="888888"/>
              <w:bottom w:val="single" w:sz="1" w:space="0" w:color="888888"/>
              <w:right w:val="single" w:sz="1" w:space="0" w:color="888888"/>
            </w:tcBorders>
            <w:tcMar>
              <w:top w:w="50" w:type="dxa"/>
              <w:left w:w="100" w:type="dxa"/>
              <w:bottom w:w="50" w:type="dxa"/>
              <w:right w:w="100" w:type="dxa"/>
            </w:tcMar>
          </w:tcPr>
          <w:p w:rsidR="002670DB" w:rsidRDefault="007F3A9B">
            <w:pPr>
              <w:jc w:val="center"/>
            </w:pPr>
            <w:r>
              <w:rPr>
                <w:sz w:val="20"/>
                <w:szCs w:val="20"/>
              </w:rPr>
              <w:t>5.34**</w:t>
            </w:r>
          </w:p>
        </w:tc>
        <w:tc>
          <w:tcPr>
            <w:tcW w:w="800" w:type="dxa"/>
            <w:tcBorders>
              <w:top w:val="single" w:sz="1" w:space="0" w:color="888888"/>
              <w:left w:val="single" w:sz="1" w:space="0" w:color="888888"/>
              <w:bottom w:val="single" w:sz="1" w:space="0" w:color="888888"/>
              <w:right w:val="single" w:sz="1" w:space="0" w:color="888888"/>
            </w:tcBorders>
            <w:tcMar>
              <w:top w:w="50" w:type="dxa"/>
              <w:left w:w="100" w:type="dxa"/>
              <w:bottom w:w="50" w:type="dxa"/>
              <w:right w:w="100" w:type="dxa"/>
            </w:tcMar>
          </w:tcPr>
          <w:p w:rsidR="002670DB" w:rsidRDefault="007F3A9B">
            <w:pPr>
              <w:jc w:val="center"/>
            </w:pPr>
            <w:r>
              <w:rPr>
                <w:sz w:val="20"/>
                <w:szCs w:val="20"/>
              </w:rPr>
              <w:t>0.62</w:t>
            </w:r>
          </w:p>
        </w:tc>
      </w:tr>
      <w:tr w:rsidR="002670DB">
        <w:tblPrEx>
          <w:tblCellMar>
            <w:top w:w="0" w:type="dxa"/>
            <w:bottom w:w="0" w:type="dxa"/>
          </w:tblCellMar>
        </w:tblPrEx>
        <w:tc>
          <w:tcPr>
            <w:tcW w:w="2300" w:type="dxa"/>
            <w:tcBorders>
              <w:top w:val="single" w:sz="1" w:space="0" w:color="888888"/>
              <w:left w:val="single" w:sz="1" w:space="0" w:color="888888"/>
              <w:bottom w:val="single" w:sz="1" w:space="0" w:color="888888"/>
              <w:right w:val="single" w:sz="1" w:space="0" w:color="888888"/>
            </w:tcBorders>
            <w:tcMar>
              <w:top w:w="50" w:type="dxa"/>
              <w:left w:w="100" w:type="dxa"/>
              <w:bottom w:w="50" w:type="dxa"/>
              <w:right w:w="100" w:type="dxa"/>
            </w:tcMar>
          </w:tcPr>
          <w:p w:rsidR="002670DB" w:rsidRDefault="007F3A9B">
            <w:r>
              <w:rPr>
                <w:sz w:val="20"/>
                <w:szCs w:val="20"/>
              </w:rPr>
              <w:t>Language / Mechanics (8)</w:t>
            </w:r>
          </w:p>
        </w:tc>
        <w:tc>
          <w:tcPr>
            <w:tcW w:w="1400" w:type="dxa"/>
            <w:tcBorders>
              <w:top w:val="single" w:sz="1" w:space="0" w:color="888888"/>
              <w:left w:val="single" w:sz="1" w:space="0" w:color="888888"/>
              <w:bottom w:val="single" w:sz="1" w:space="0" w:color="888888"/>
              <w:right w:val="single" w:sz="1" w:space="0" w:color="888888"/>
            </w:tcBorders>
            <w:tcMar>
              <w:top w:w="50" w:type="dxa"/>
              <w:left w:w="100" w:type="dxa"/>
              <w:bottom w:w="50" w:type="dxa"/>
              <w:right w:w="100" w:type="dxa"/>
            </w:tcMar>
          </w:tcPr>
          <w:p w:rsidR="002670DB" w:rsidRDefault="007F3A9B">
            <w:pPr>
              <w:jc w:val="center"/>
            </w:pPr>
            <w:r>
              <w:rPr>
                <w:sz w:val="20"/>
                <w:szCs w:val="20"/>
              </w:rPr>
              <w:t>4.44 (1.57)</w:t>
            </w:r>
          </w:p>
        </w:tc>
        <w:tc>
          <w:tcPr>
            <w:tcW w:w="1400" w:type="dxa"/>
            <w:tcBorders>
              <w:top w:val="single" w:sz="1" w:space="0" w:color="888888"/>
              <w:left w:val="single" w:sz="1" w:space="0" w:color="888888"/>
              <w:bottom w:val="single" w:sz="1" w:space="0" w:color="888888"/>
              <w:right w:val="single" w:sz="1" w:space="0" w:color="888888"/>
            </w:tcBorders>
            <w:tcMar>
              <w:top w:w="50" w:type="dxa"/>
              <w:left w:w="100" w:type="dxa"/>
              <w:bottom w:w="50" w:type="dxa"/>
              <w:right w:w="100" w:type="dxa"/>
            </w:tcMar>
          </w:tcPr>
          <w:p w:rsidR="002670DB" w:rsidRDefault="007F3A9B">
            <w:pPr>
              <w:jc w:val="center"/>
            </w:pPr>
            <w:r>
              <w:rPr>
                <w:sz w:val="20"/>
                <w:szCs w:val="20"/>
              </w:rPr>
              <w:t>5.47 (1.39)</w:t>
            </w:r>
          </w:p>
        </w:tc>
        <w:tc>
          <w:tcPr>
            <w:tcW w:w="850" w:type="dxa"/>
            <w:tcBorders>
              <w:top w:val="single" w:sz="1" w:space="0" w:color="888888"/>
              <w:left w:val="single" w:sz="1" w:space="0" w:color="888888"/>
              <w:bottom w:val="single" w:sz="1" w:space="0" w:color="888888"/>
              <w:right w:val="single" w:sz="1" w:space="0" w:color="888888"/>
            </w:tcBorders>
            <w:tcMar>
              <w:top w:w="50" w:type="dxa"/>
              <w:left w:w="100" w:type="dxa"/>
              <w:bottom w:w="50" w:type="dxa"/>
              <w:right w:w="100" w:type="dxa"/>
            </w:tcMar>
          </w:tcPr>
          <w:p w:rsidR="002670DB" w:rsidRDefault="007F3A9B">
            <w:pPr>
              <w:jc w:val="center"/>
            </w:pPr>
            <w:r>
              <w:rPr>
                <w:sz w:val="20"/>
                <w:szCs w:val="20"/>
              </w:rPr>
              <w:t>+1.03</w:t>
            </w:r>
          </w:p>
        </w:tc>
        <w:tc>
          <w:tcPr>
            <w:tcW w:w="1000" w:type="dxa"/>
            <w:tcBorders>
              <w:top w:val="single" w:sz="1" w:space="0" w:color="888888"/>
              <w:left w:val="single" w:sz="1" w:space="0" w:color="888888"/>
              <w:bottom w:val="single" w:sz="1" w:space="0" w:color="888888"/>
              <w:right w:val="single" w:sz="1" w:space="0" w:color="888888"/>
            </w:tcBorders>
            <w:tcMar>
              <w:top w:w="50" w:type="dxa"/>
              <w:left w:w="100" w:type="dxa"/>
              <w:bottom w:w="50" w:type="dxa"/>
              <w:right w:w="100" w:type="dxa"/>
            </w:tcMar>
          </w:tcPr>
          <w:p w:rsidR="002670DB" w:rsidRDefault="007F3A9B">
            <w:pPr>
              <w:jc w:val="center"/>
            </w:pPr>
            <w:r>
              <w:rPr>
                <w:sz w:val="20"/>
                <w:szCs w:val="20"/>
              </w:rPr>
              <w:t>+23.2%</w:t>
            </w:r>
          </w:p>
        </w:tc>
        <w:tc>
          <w:tcPr>
            <w:tcW w:w="1150" w:type="dxa"/>
            <w:tcBorders>
              <w:top w:val="single" w:sz="1" w:space="0" w:color="888888"/>
              <w:left w:val="single" w:sz="1" w:space="0" w:color="888888"/>
              <w:bottom w:val="single" w:sz="1" w:space="0" w:color="888888"/>
              <w:right w:val="single" w:sz="1" w:space="0" w:color="888888"/>
            </w:tcBorders>
            <w:tcMar>
              <w:top w:w="50" w:type="dxa"/>
              <w:left w:w="100" w:type="dxa"/>
              <w:bottom w:w="50" w:type="dxa"/>
              <w:right w:w="100" w:type="dxa"/>
            </w:tcMar>
          </w:tcPr>
          <w:p w:rsidR="002670DB" w:rsidRDefault="007F3A9B">
            <w:pPr>
              <w:jc w:val="center"/>
            </w:pPr>
            <w:r>
              <w:rPr>
                <w:sz w:val="20"/>
                <w:szCs w:val="20"/>
              </w:rPr>
              <w:t>5.89**</w:t>
            </w:r>
          </w:p>
        </w:tc>
        <w:tc>
          <w:tcPr>
            <w:tcW w:w="800" w:type="dxa"/>
            <w:tcBorders>
              <w:top w:val="single" w:sz="1" w:space="0" w:color="888888"/>
              <w:left w:val="single" w:sz="1" w:space="0" w:color="888888"/>
              <w:bottom w:val="single" w:sz="1" w:space="0" w:color="888888"/>
              <w:right w:val="single" w:sz="1" w:space="0" w:color="888888"/>
            </w:tcBorders>
            <w:tcMar>
              <w:top w:w="50" w:type="dxa"/>
              <w:left w:w="100" w:type="dxa"/>
              <w:bottom w:w="50" w:type="dxa"/>
              <w:right w:w="100" w:type="dxa"/>
            </w:tcMar>
          </w:tcPr>
          <w:p w:rsidR="002670DB" w:rsidRDefault="007F3A9B">
            <w:pPr>
              <w:jc w:val="center"/>
            </w:pPr>
            <w:r>
              <w:rPr>
                <w:sz w:val="20"/>
                <w:szCs w:val="20"/>
              </w:rPr>
              <w:t>0.75</w:t>
            </w:r>
          </w:p>
        </w:tc>
      </w:tr>
      <w:tr w:rsidR="002670DB">
        <w:tblPrEx>
          <w:tblCellMar>
            <w:top w:w="0" w:type="dxa"/>
            <w:bottom w:w="0" w:type="dxa"/>
          </w:tblCellMar>
        </w:tblPrEx>
        <w:tc>
          <w:tcPr>
            <w:tcW w:w="2300" w:type="dxa"/>
            <w:tcBorders>
              <w:top w:val="single" w:sz="1" w:space="0" w:color="888888"/>
              <w:left w:val="single" w:sz="1" w:space="0" w:color="888888"/>
              <w:bottom w:val="single" w:sz="1" w:space="0" w:color="888888"/>
              <w:right w:val="single" w:sz="1" w:space="0" w:color="888888"/>
            </w:tcBorders>
            <w:tcMar>
              <w:top w:w="50" w:type="dxa"/>
              <w:left w:w="100" w:type="dxa"/>
              <w:bottom w:w="50" w:type="dxa"/>
              <w:right w:w="100" w:type="dxa"/>
            </w:tcMar>
          </w:tcPr>
          <w:p w:rsidR="002670DB" w:rsidRDefault="007F3A9B">
            <w:r>
              <w:rPr>
                <w:sz w:val="20"/>
                <w:szCs w:val="20"/>
              </w:rPr>
              <w:t>Total (25)</w:t>
            </w:r>
          </w:p>
        </w:tc>
        <w:tc>
          <w:tcPr>
            <w:tcW w:w="1400" w:type="dxa"/>
            <w:tcBorders>
              <w:top w:val="single" w:sz="1" w:space="0" w:color="888888"/>
              <w:left w:val="single" w:sz="1" w:space="0" w:color="888888"/>
              <w:bottom w:val="single" w:sz="1" w:space="0" w:color="888888"/>
              <w:right w:val="single" w:sz="1" w:space="0" w:color="888888"/>
            </w:tcBorders>
            <w:tcMar>
              <w:top w:w="50" w:type="dxa"/>
              <w:left w:w="100" w:type="dxa"/>
              <w:bottom w:w="50" w:type="dxa"/>
              <w:right w:w="100" w:type="dxa"/>
            </w:tcMar>
          </w:tcPr>
          <w:p w:rsidR="002670DB" w:rsidRDefault="007F3A9B">
            <w:pPr>
              <w:jc w:val="center"/>
            </w:pPr>
            <w:r>
              <w:rPr>
                <w:sz w:val="20"/>
                <w:szCs w:val="20"/>
              </w:rPr>
              <w:t>16.44 (3.20)</w:t>
            </w:r>
          </w:p>
        </w:tc>
        <w:tc>
          <w:tcPr>
            <w:tcW w:w="1400" w:type="dxa"/>
            <w:tcBorders>
              <w:top w:val="single" w:sz="1" w:space="0" w:color="888888"/>
              <w:left w:val="single" w:sz="1" w:space="0" w:color="888888"/>
              <w:bottom w:val="single" w:sz="1" w:space="0" w:color="888888"/>
              <w:right w:val="single" w:sz="1" w:space="0" w:color="888888"/>
            </w:tcBorders>
            <w:tcMar>
              <w:top w:w="50" w:type="dxa"/>
              <w:left w:w="100" w:type="dxa"/>
              <w:bottom w:w="50" w:type="dxa"/>
              <w:right w:w="100" w:type="dxa"/>
            </w:tcMar>
          </w:tcPr>
          <w:p w:rsidR="002670DB" w:rsidRDefault="007F3A9B">
            <w:pPr>
              <w:jc w:val="center"/>
            </w:pPr>
            <w:r>
              <w:rPr>
                <w:sz w:val="20"/>
                <w:szCs w:val="20"/>
              </w:rPr>
              <w:t>19.12 (2.87)</w:t>
            </w:r>
          </w:p>
        </w:tc>
        <w:tc>
          <w:tcPr>
            <w:tcW w:w="850" w:type="dxa"/>
            <w:tcBorders>
              <w:top w:val="single" w:sz="1" w:space="0" w:color="888888"/>
              <w:left w:val="single" w:sz="1" w:space="0" w:color="888888"/>
              <w:bottom w:val="single" w:sz="1" w:space="0" w:color="888888"/>
              <w:right w:val="single" w:sz="1" w:space="0" w:color="888888"/>
            </w:tcBorders>
            <w:tcMar>
              <w:top w:w="50" w:type="dxa"/>
              <w:left w:w="100" w:type="dxa"/>
              <w:bottom w:w="50" w:type="dxa"/>
              <w:right w:w="100" w:type="dxa"/>
            </w:tcMar>
          </w:tcPr>
          <w:p w:rsidR="002670DB" w:rsidRDefault="007F3A9B">
            <w:pPr>
              <w:jc w:val="center"/>
            </w:pPr>
            <w:r>
              <w:rPr>
                <w:sz w:val="20"/>
                <w:szCs w:val="20"/>
              </w:rPr>
              <w:t>+2.68</w:t>
            </w:r>
          </w:p>
        </w:tc>
        <w:tc>
          <w:tcPr>
            <w:tcW w:w="1000" w:type="dxa"/>
            <w:tcBorders>
              <w:top w:val="single" w:sz="1" w:space="0" w:color="888888"/>
              <w:left w:val="single" w:sz="1" w:space="0" w:color="888888"/>
              <w:bottom w:val="single" w:sz="1" w:space="0" w:color="888888"/>
              <w:right w:val="single" w:sz="1" w:space="0" w:color="888888"/>
            </w:tcBorders>
            <w:tcMar>
              <w:top w:w="50" w:type="dxa"/>
              <w:left w:w="100" w:type="dxa"/>
              <w:bottom w:w="50" w:type="dxa"/>
              <w:right w:w="100" w:type="dxa"/>
            </w:tcMar>
          </w:tcPr>
          <w:p w:rsidR="002670DB" w:rsidRDefault="007F3A9B">
            <w:pPr>
              <w:jc w:val="center"/>
            </w:pPr>
            <w:r>
              <w:rPr>
                <w:sz w:val="20"/>
                <w:szCs w:val="20"/>
              </w:rPr>
              <w:t>+16.3%</w:t>
            </w:r>
          </w:p>
        </w:tc>
        <w:tc>
          <w:tcPr>
            <w:tcW w:w="1150" w:type="dxa"/>
            <w:tcBorders>
              <w:top w:val="single" w:sz="1" w:space="0" w:color="888888"/>
              <w:left w:val="single" w:sz="1" w:space="0" w:color="888888"/>
              <w:bottom w:val="single" w:sz="1" w:space="0" w:color="888888"/>
              <w:right w:val="single" w:sz="1" w:space="0" w:color="888888"/>
            </w:tcBorders>
            <w:tcMar>
              <w:top w:w="50" w:type="dxa"/>
              <w:left w:w="100" w:type="dxa"/>
              <w:bottom w:w="50" w:type="dxa"/>
              <w:right w:w="100" w:type="dxa"/>
            </w:tcMar>
          </w:tcPr>
          <w:p w:rsidR="002670DB" w:rsidRDefault="007F3A9B">
            <w:pPr>
              <w:jc w:val="center"/>
            </w:pPr>
            <w:r>
              <w:rPr>
                <w:sz w:val="20"/>
                <w:szCs w:val="20"/>
              </w:rPr>
              <w:t>6.12**</w:t>
            </w:r>
          </w:p>
        </w:tc>
        <w:tc>
          <w:tcPr>
            <w:tcW w:w="800" w:type="dxa"/>
            <w:tcBorders>
              <w:top w:val="single" w:sz="1" w:space="0" w:color="888888"/>
              <w:left w:val="single" w:sz="1" w:space="0" w:color="888888"/>
              <w:bottom w:val="single" w:sz="1" w:space="0" w:color="888888"/>
              <w:right w:val="single" w:sz="1" w:space="0" w:color="888888"/>
            </w:tcBorders>
            <w:tcMar>
              <w:top w:w="50" w:type="dxa"/>
              <w:left w:w="100" w:type="dxa"/>
              <w:bottom w:w="50" w:type="dxa"/>
              <w:right w:w="100" w:type="dxa"/>
            </w:tcMar>
          </w:tcPr>
          <w:p w:rsidR="002670DB" w:rsidRDefault="007F3A9B">
            <w:pPr>
              <w:jc w:val="center"/>
            </w:pPr>
            <w:r>
              <w:rPr>
                <w:sz w:val="20"/>
                <w:szCs w:val="20"/>
              </w:rPr>
              <w:t>0.75</w:t>
            </w:r>
          </w:p>
        </w:tc>
      </w:tr>
    </w:tbl>
    <w:p w:rsidR="002670DB" w:rsidRDefault="007F3A9B">
      <w:pPr>
        <w:spacing w:before="40" w:after="160"/>
      </w:pPr>
      <w:r>
        <w:rPr>
          <w:i/>
          <w:iCs/>
          <w:sz w:val="20"/>
          <w:szCs w:val="20"/>
        </w:rPr>
        <w:t xml:space="preserve">Note. </w:t>
      </w:r>
      <w:r>
        <w:rPr>
          <w:sz w:val="20"/>
          <w:szCs w:val="20"/>
        </w:rPr>
        <w:t>** p &lt; .001 (two-tailed paired samples t-test).</w:t>
      </w:r>
    </w:p>
    <w:p w:rsidR="002670DB" w:rsidRDefault="007F3A9B">
      <w:pPr>
        <w:spacing w:after="160"/>
        <w:ind w:firstLine="720"/>
        <w:jc w:val="both"/>
      </w:pPr>
      <w:r>
        <w:t>The practical significance of these gains is evident in the score distribution shifts. The proportion of students scoring below 15/25 (Struggling band) fell from 23.5% to 5.9% — a 75% reduction. The proportion scoring in the Proficient range (18–21) nearly</w:t>
      </w:r>
      <w:r>
        <w:t xml:space="preserve"> tripled, from 17.6% to 47.1%. These distribution shifts demonstrate the intervention's capacity to benefit students across all performance levels, not only the weakest writers.</w:t>
      </w:r>
    </w:p>
    <w:p w:rsidR="002670DB" w:rsidRDefault="007F3A9B">
      <w:pPr>
        <w:spacing w:before="180" w:after="80"/>
      </w:pPr>
      <w:r>
        <w:rPr>
          <w:b/>
          <w:bCs/>
          <w:i/>
          <w:iCs/>
        </w:rPr>
        <w:t>Gender-Based Performance Changes</w:t>
      </w:r>
    </w:p>
    <w:p w:rsidR="002670DB" w:rsidRDefault="007F3A9B">
      <w:pPr>
        <w:spacing w:after="160"/>
        <w:ind w:firstLine="720"/>
        <w:jc w:val="both"/>
      </w:pPr>
      <w:r>
        <w:t>Gender-disaggregated analysis revealed that m</w:t>
      </w:r>
      <w:r>
        <w:t>ale students made greater absolute gains (+3.03 points, 19.4% improvement) compared to female students (+2.32 points, 13.5%), substantially narrowing the pre-intervention gender performance gap from 1.59 points to 0.88 points (Table 2). Language improvemen</w:t>
      </w:r>
      <w:r>
        <w:t>t was particularly pronounced for males (+28%), largely closing the initial language gap with females.</w:t>
      </w:r>
    </w:p>
    <w:p w:rsidR="002670DB" w:rsidRDefault="002670DB">
      <w:pPr>
        <w:spacing w:after="80"/>
      </w:pPr>
    </w:p>
    <w:p w:rsidR="002670DB" w:rsidRDefault="007F3A9B">
      <w:pPr>
        <w:spacing w:before="160" w:after="60"/>
      </w:pPr>
      <w:r>
        <w:rPr>
          <w:b/>
          <w:bCs/>
          <w:sz w:val="22"/>
          <w:szCs w:val="22"/>
        </w:rPr>
        <w:t>Table 2</w:t>
      </w:r>
      <w:r>
        <w:rPr>
          <w:sz w:val="22"/>
          <w:szCs w:val="22"/>
        </w:rPr>
        <w:t xml:space="preserve"> </w:t>
      </w:r>
      <w:r>
        <w:rPr>
          <w:i/>
          <w:iCs/>
          <w:sz w:val="22"/>
          <w:szCs w:val="22"/>
        </w:rPr>
        <w:t>Pre- and Post-Intervention Gender Comparison</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1500"/>
        <w:gridCol w:w="1500"/>
        <w:gridCol w:w="1500"/>
        <w:gridCol w:w="2000"/>
      </w:tblGrid>
      <w:tr w:rsidR="002670DB">
        <w:tblPrEx>
          <w:tblCellMar>
            <w:top w:w="0" w:type="dxa"/>
            <w:bottom w:w="0" w:type="dxa"/>
          </w:tblCellMar>
        </w:tblPrEx>
        <w:tc>
          <w:tcPr>
            <w:tcW w:w="2000" w:type="dxa"/>
            <w:tcBorders>
              <w:top w:val="single" w:sz="1" w:space="0" w:color="888888"/>
              <w:left w:val="single" w:sz="1" w:space="0" w:color="888888"/>
              <w:bottom w:val="single" w:sz="1" w:space="0" w:color="888888"/>
              <w:right w:val="single" w:sz="1" w:space="0" w:color="888888"/>
            </w:tcBorders>
            <w:shd w:val="clear" w:color="auto" w:fill="EBEBEB"/>
            <w:tcMar>
              <w:top w:w="60" w:type="dxa"/>
              <w:left w:w="100" w:type="dxa"/>
              <w:bottom w:w="60" w:type="dxa"/>
              <w:right w:w="100" w:type="dxa"/>
            </w:tcMar>
          </w:tcPr>
          <w:p w:rsidR="002670DB" w:rsidRDefault="007F3A9B">
            <w:pPr>
              <w:jc w:val="center"/>
            </w:pPr>
            <w:r>
              <w:rPr>
                <w:b/>
                <w:bCs/>
                <w:sz w:val="20"/>
                <w:szCs w:val="20"/>
              </w:rPr>
              <w:t>Group</w:t>
            </w:r>
          </w:p>
        </w:tc>
        <w:tc>
          <w:tcPr>
            <w:tcW w:w="1500" w:type="dxa"/>
            <w:tcBorders>
              <w:top w:val="single" w:sz="1" w:space="0" w:color="888888"/>
              <w:left w:val="single" w:sz="1" w:space="0" w:color="888888"/>
              <w:bottom w:val="single" w:sz="1" w:space="0" w:color="888888"/>
              <w:right w:val="single" w:sz="1" w:space="0" w:color="888888"/>
            </w:tcBorders>
            <w:shd w:val="clear" w:color="auto" w:fill="EBEBEB"/>
            <w:tcMar>
              <w:top w:w="60" w:type="dxa"/>
              <w:left w:w="100" w:type="dxa"/>
              <w:bottom w:w="60" w:type="dxa"/>
              <w:right w:w="100" w:type="dxa"/>
            </w:tcMar>
          </w:tcPr>
          <w:p w:rsidR="002670DB" w:rsidRDefault="007F3A9B">
            <w:pPr>
              <w:jc w:val="center"/>
            </w:pPr>
            <w:r>
              <w:rPr>
                <w:b/>
                <w:bCs/>
                <w:sz w:val="20"/>
                <w:szCs w:val="20"/>
              </w:rPr>
              <w:t>Pre Mean</w:t>
            </w:r>
          </w:p>
        </w:tc>
        <w:tc>
          <w:tcPr>
            <w:tcW w:w="1500" w:type="dxa"/>
            <w:tcBorders>
              <w:top w:val="single" w:sz="1" w:space="0" w:color="888888"/>
              <w:left w:val="single" w:sz="1" w:space="0" w:color="888888"/>
              <w:bottom w:val="single" w:sz="1" w:space="0" w:color="888888"/>
              <w:right w:val="single" w:sz="1" w:space="0" w:color="888888"/>
            </w:tcBorders>
            <w:shd w:val="clear" w:color="auto" w:fill="EBEBEB"/>
            <w:tcMar>
              <w:top w:w="60" w:type="dxa"/>
              <w:left w:w="100" w:type="dxa"/>
              <w:bottom w:w="60" w:type="dxa"/>
              <w:right w:w="100" w:type="dxa"/>
            </w:tcMar>
          </w:tcPr>
          <w:p w:rsidR="002670DB" w:rsidRDefault="007F3A9B">
            <w:pPr>
              <w:jc w:val="center"/>
            </w:pPr>
            <w:r>
              <w:rPr>
                <w:b/>
                <w:bCs/>
                <w:sz w:val="20"/>
                <w:szCs w:val="20"/>
              </w:rPr>
              <w:t>Post Mean</w:t>
            </w:r>
          </w:p>
        </w:tc>
        <w:tc>
          <w:tcPr>
            <w:tcW w:w="1500" w:type="dxa"/>
            <w:tcBorders>
              <w:top w:val="single" w:sz="1" w:space="0" w:color="888888"/>
              <w:left w:val="single" w:sz="1" w:space="0" w:color="888888"/>
              <w:bottom w:val="single" w:sz="1" w:space="0" w:color="888888"/>
              <w:right w:val="single" w:sz="1" w:space="0" w:color="888888"/>
            </w:tcBorders>
            <w:shd w:val="clear" w:color="auto" w:fill="EBEBEB"/>
            <w:tcMar>
              <w:top w:w="60" w:type="dxa"/>
              <w:left w:w="100" w:type="dxa"/>
              <w:bottom w:w="60" w:type="dxa"/>
              <w:right w:w="100" w:type="dxa"/>
            </w:tcMar>
          </w:tcPr>
          <w:p w:rsidR="002670DB" w:rsidRDefault="007F3A9B">
            <w:pPr>
              <w:jc w:val="center"/>
            </w:pPr>
            <w:r>
              <w:rPr>
                <w:b/>
                <w:bCs/>
                <w:sz w:val="20"/>
                <w:szCs w:val="20"/>
              </w:rPr>
              <w:t>Gain</w:t>
            </w:r>
          </w:p>
        </w:tc>
        <w:tc>
          <w:tcPr>
            <w:tcW w:w="2000" w:type="dxa"/>
            <w:tcBorders>
              <w:top w:val="single" w:sz="1" w:space="0" w:color="888888"/>
              <w:left w:val="single" w:sz="1" w:space="0" w:color="888888"/>
              <w:bottom w:val="single" w:sz="1" w:space="0" w:color="888888"/>
              <w:right w:val="single" w:sz="1" w:space="0" w:color="888888"/>
            </w:tcBorders>
            <w:shd w:val="clear" w:color="auto" w:fill="EBEBEB"/>
            <w:tcMar>
              <w:top w:w="60" w:type="dxa"/>
              <w:left w:w="100" w:type="dxa"/>
              <w:bottom w:w="60" w:type="dxa"/>
              <w:right w:w="100" w:type="dxa"/>
            </w:tcMar>
          </w:tcPr>
          <w:p w:rsidR="002670DB" w:rsidRDefault="007F3A9B">
            <w:pPr>
              <w:jc w:val="center"/>
            </w:pPr>
            <w:r>
              <w:rPr>
                <w:b/>
                <w:bCs/>
                <w:sz w:val="20"/>
                <w:szCs w:val="20"/>
              </w:rPr>
              <w:t>% Improvement</w:t>
            </w:r>
          </w:p>
        </w:tc>
      </w:tr>
      <w:tr w:rsidR="002670DB">
        <w:tblPrEx>
          <w:tblCellMar>
            <w:top w:w="0" w:type="dxa"/>
            <w:bottom w:w="0" w:type="dxa"/>
          </w:tblCellMar>
        </w:tblPrEx>
        <w:tc>
          <w:tcPr>
            <w:tcW w:w="2000" w:type="dxa"/>
            <w:tcBorders>
              <w:top w:val="single" w:sz="1" w:space="0" w:color="888888"/>
              <w:left w:val="single" w:sz="1" w:space="0" w:color="888888"/>
              <w:bottom w:val="single" w:sz="1" w:space="0" w:color="888888"/>
              <w:right w:val="single" w:sz="1" w:space="0" w:color="888888"/>
            </w:tcBorders>
            <w:tcMar>
              <w:top w:w="50" w:type="dxa"/>
              <w:left w:w="100" w:type="dxa"/>
              <w:bottom w:w="50" w:type="dxa"/>
              <w:right w:w="100" w:type="dxa"/>
            </w:tcMar>
          </w:tcPr>
          <w:p w:rsidR="002670DB" w:rsidRDefault="007F3A9B">
            <w:r>
              <w:rPr>
                <w:sz w:val="20"/>
                <w:szCs w:val="20"/>
              </w:rPr>
              <w:t>Male (n = 17)</w:t>
            </w:r>
          </w:p>
        </w:tc>
        <w:tc>
          <w:tcPr>
            <w:tcW w:w="1500" w:type="dxa"/>
            <w:tcBorders>
              <w:top w:val="single" w:sz="1" w:space="0" w:color="888888"/>
              <w:left w:val="single" w:sz="1" w:space="0" w:color="888888"/>
              <w:bottom w:val="single" w:sz="1" w:space="0" w:color="888888"/>
              <w:right w:val="single" w:sz="1" w:space="0" w:color="888888"/>
            </w:tcBorders>
            <w:tcMar>
              <w:top w:w="50" w:type="dxa"/>
              <w:left w:w="100" w:type="dxa"/>
              <w:bottom w:w="50" w:type="dxa"/>
              <w:right w:w="100" w:type="dxa"/>
            </w:tcMar>
          </w:tcPr>
          <w:p w:rsidR="002670DB" w:rsidRDefault="007F3A9B">
            <w:pPr>
              <w:jc w:val="center"/>
            </w:pPr>
            <w:r>
              <w:rPr>
                <w:sz w:val="20"/>
                <w:szCs w:val="20"/>
              </w:rPr>
              <w:t>15.65</w:t>
            </w:r>
          </w:p>
        </w:tc>
        <w:tc>
          <w:tcPr>
            <w:tcW w:w="1500" w:type="dxa"/>
            <w:tcBorders>
              <w:top w:val="single" w:sz="1" w:space="0" w:color="888888"/>
              <w:left w:val="single" w:sz="1" w:space="0" w:color="888888"/>
              <w:bottom w:val="single" w:sz="1" w:space="0" w:color="888888"/>
              <w:right w:val="single" w:sz="1" w:space="0" w:color="888888"/>
            </w:tcBorders>
            <w:tcMar>
              <w:top w:w="50" w:type="dxa"/>
              <w:left w:w="100" w:type="dxa"/>
              <w:bottom w:w="50" w:type="dxa"/>
              <w:right w:w="100" w:type="dxa"/>
            </w:tcMar>
          </w:tcPr>
          <w:p w:rsidR="002670DB" w:rsidRDefault="007F3A9B">
            <w:pPr>
              <w:jc w:val="center"/>
            </w:pPr>
            <w:r>
              <w:rPr>
                <w:sz w:val="20"/>
                <w:szCs w:val="20"/>
              </w:rPr>
              <w:t>18.68</w:t>
            </w:r>
          </w:p>
        </w:tc>
        <w:tc>
          <w:tcPr>
            <w:tcW w:w="1500" w:type="dxa"/>
            <w:tcBorders>
              <w:top w:val="single" w:sz="1" w:space="0" w:color="888888"/>
              <w:left w:val="single" w:sz="1" w:space="0" w:color="888888"/>
              <w:bottom w:val="single" w:sz="1" w:space="0" w:color="888888"/>
              <w:right w:val="single" w:sz="1" w:space="0" w:color="888888"/>
            </w:tcBorders>
            <w:tcMar>
              <w:top w:w="50" w:type="dxa"/>
              <w:left w:w="100" w:type="dxa"/>
              <w:bottom w:w="50" w:type="dxa"/>
              <w:right w:w="100" w:type="dxa"/>
            </w:tcMar>
          </w:tcPr>
          <w:p w:rsidR="002670DB" w:rsidRDefault="007F3A9B">
            <w:pPr>
              <w:jc w:val="center"/>
            </w:pPr>
            <w:r>
              <w:rPr>
                <w:sz w:val="20"/>
                <w:szCs w:val="20"/>
              </w:rPr>
              <w:t>+3.03</w:t>
            </w:r>
          </w:p>
        </w:tc>
        <w:tc>
          <w:tcPr>
            <w:tcW w:w="2000" w:type="dxa"/>
            <w:tcBorders>
              <w:top w:val="single" w:sz="1" w:space="0" w:color="888888"/>
              <w:left w:val="single" w:sz="1" w:space="0" w:color="888888"/>
              <w:bottom w:val="single" w:sz="1" w:space="0" w:color="888888"/>
              <w:right w:val="single" w:sz="1" w:space="0" w:color="888888"/>
            </w:tcBorders>
            <w:tcMar>
              <w:top w:w="50" w:type="dxa"/>
              <w:left w:w="100" w:type="dxa"/>
              <w:bottom w:w="50" w:type="dxa"/>
              <w:right w:w="100" w:type="dxa"/>
            </w:tcMar>
          </w:tcPr>
          <w:p w:rsidR="002670DB" w:rsidRDefault="007F3A9B">
            <w:pPr>
              <w:jc w:val="center"/>
            </w:pPr>
            <w:r>
              <w:rPr>
                <w:sz w:val="20"/>
                <w:szCs w:val="20"/>
              </w:rPr>
              <w:t>+19.4%</w:t>
            </w:r>
          </w:p>
        </w:tc>
      </w:tr>
      <w:tr w:rsidR="002670DB">
        <w:tblPrEx>
          <w:tblCellMar>
            <w:top w:w="0" w:type="dxa"/>
            <w:bottom w:w="0" w:type="dxa"/>
          </w:tblCellMar>
        </w:tblPrEx>
        <w:tc>
          <w:tcPr>
            <w:tcW w:w="2000" w:type="dxa"/>
            <w:tcBorders>
              <w:top w:val="single" w:sz="1" w:space="0" w:color="888888"/>
              <w:left w:val="single" w:sz="1" w:space="0" w:color="888888"/>
              <w:bottom w:val="single" w:sz="1" w:space="0" w:color="888888"/>
              <w:right w:val="single" w:sz="1" w:space="0" w:color="888888"/>
            </w:tcBorders>
            <w:tcMar>
              <w:top w:w="50" w:type="dxa"/>
              <w:left w:w="100" w:type="dxa"/>
              <w:bottom w:w="50" w:type="dxa"/>
              <w:right w:w="100" w:type="dxa"/>
            </w:tcMar>
          </w:tcPr>
          <w:p w:rsidR="002670DB" w:rsidRDefault="007F3A9B">
            <w:r>
              <w:rPr>
                <w:sz w:val="20"/>
                <w:szCs w:val="20"/>
              </w:rPr>
              <w:t>Female (n = 17)</w:t>
            </w:r>
          </w:p>
        </w:tc>
        <w:tc>
          <w:tcPr>
            <w:tcW w:w="1500" w:type="dxa"/>
            <w:tcBorders>
              <w:top w:val="single" w:sz="1" w:space="0" w:color="888888"/>
              <w:left w:val="single" w:sz="1" w:space="0" w:color="888888"/>
              <w:bottom w:val="single" w:sz="1" w:space="0" w:color="888888"/>
              <w:right w:val="single" w:sz="1" w:space="0" w:color="888888"/>
            </w:tcBorders>
            <w:tcMar>
              <w:top w:w="50" w:type="dxa"/>
              <w:left w:w="100" w:type="dxa"/>
              <w:bottom w:w="50" w:type="dxa"/>
              <w:right w:w="100" w:type="dxa"/>
            </w:tcMar>
          </w:tcPr>
          <w:p w:rsidR="002670DB" w:rsidRDefault="007F3A9B">
            <w:pPr>
              <w:jc w:val="center"/>
            </w:pPr>
            <w:r>
              <w:rPr>
                <w:sz w:val="20"/>
                <w:szCs w:val="20"/>
              </w:rPr>
              <w:t>17.24</w:t>
            </w:r>
          </w:p>
        </w:tc>
        <w:tc>
          <w:tcPr>
            <w:tcW w:w="1500" w:type="dxa"/>
            <w:tcBorders>
              <w:top w:val="single" w:sz="1" w:space="0" w:color="888888"/>
              <w:left w:val="single" w:sz="1" w:space="0" w:color="888888"/>
              <w:bottom w:val="single" w:sz="1" w:space="0" w:color="888888"/>
              <w:right w:val="single" w:sz="1" w:space="0" w:color="888888"/>
            </w:tcBorders>
            <w:tcMar>
              <w:top w:w="50" w:type="dxa"/>
              <w:left w:w="100" w:type="dxa"/>
              <w:bottom w:w="50" w:type="dxa"/>
              <w:right w:w="100" w:type="dxa"/>
            </w:tcMar>
          </w:tcPr>
          <w:p w:rsidR="002670DB" w:rsidRDefault="007F3A9B">
            <w:pPr>
              <w:jc w:val="center"/>
            </w:pPr>
            <w:r>
              <w:rPr>
                <w:sz w:val="20"/>
                <w:szCs w:val="20"/>
              </w:rPr>
              <w:t>19.56</w:t>
            </w:r>
          </w:p>
        </w:tc>
        <w:tc>
          <w:tcPr>
            <w:tcW w:w="1500" w:type="dxa"/>
            <w:tcBorders>
              <w:top w:val="single" w:sz="1" w:space="0" w:color="888888"/>
              <w:left w:val="single" w:sz="1" w:space="0" w:color="888888"/>
              <w:bottom w:val="single" w:sz="1" w:space="0" w:color="888888"/>
              <w:right w:val="single" w:sz="1" w:space="0" w:color="888888"/>
            </w:tcBorders>
            <w:tcMar>
              <w:top w:w="50" w:type="dxa"/>
              <w:left w:w="100" w:type="dxa"/>
              <w:bottom w:w="50" w:type="dxa"/>
              <w:right w:w="100" w:type="dxa"/>
            </w:tcMar>
          </w:tcPr>
          <w:p w:rsidR="002670DB" w:rsidRDefault="007F3A9B">
            <w:pPr>
              <w:jc w:val="center"/>
            </w:pPr>
            <w:r>
              <w:rPr>
                <w:sz w:val="20"/>
                <w:szCs w:val="20"/>
              </w:rPr>
              <w:t>+2.32</w:t>
            </w:r>
          </w:p>
        </w:tc>
        <w:tc>
          <w:tcPr>
            <w:tcW w:w="2000" w:type="dxa"/>
            <w:tcBorders>
              <w:top w:val="single" w:sz="1" w:space="0" w:color="888888"/>
              <w:left w:val="single" w:sz="1" w:space="0" w:color="888888"/>
              <w:bottom w:val="single" w:sz="1" w:space="0" w:color="888888"/>
              <w:right w:val="single" w:sz="1" w:space="0" w:color="888888"/>
            </w:tcBorders>
            <w:tcMar>
              <w:top w:w="50" w:type="dxa"/>
              <w:left w:w="100" w:type="dxa"/>
              <w:bottom w:w="50" w:type="dxa"/>
              <w:right w:w="100" w:type="dxa"/>
            </w:tcMar>
          </w:tcPr>
          <w:p w:rsidR="002670DB" w:rsidRDefault="007F3A9B">
            <w:pPr>
              <w:jc w:val="center"/>
            </w:pPr>
            <w:r>
              <w:rPr>
                <w:sz w:val="20"/>
                <w:szCs w:val="20"/>
              </w:rPr>
              <w:t>+13.5%</w:t>
            </w:r>
          </w:p>
        </w:tc>
      </w:tr>
      <w:tr w:rsidR="002670DB">
        <w:tblPrEx>
          <w:tblCellMar>
            <w:top w:w="0" w:type="dxa"/>
            <w:bottom w:w="0" w:type="dxa"/>
          </w:tblCellMar>
        </w:tblPrEx>
        <w:tc>
          <w:tcPr>
            <w:tcW w:w="2000" w:type="dxa"/>
            <w:tcBorders>
              <w:top w:val="single" w:sz="1" w:space="0" w:color="888888"/>
              <w:left w:val="single" w:sz="1" w:space="0" w:color="888888"/>
              <w:bottom w:val="single" w:sz="1" w:space="0" w:color="888888"/>
              <w:right w:val="single" w:sz="1" w:space="0" w:color="888888"/>
            </w:tcBorders>
            <w:tcMar>
              <w:top w:w="50" w:type="dxa"/>
              <w:left w:w="100" w:type="dxa"/>
              <w:bottom w:w="50" w:type="dxa"/>
              <w:right w:w="100" w:type="dxa"/>
            </w:tcMar>
          </w:tcPr>
          <w:p w:rsidR="002670DB" w:rsidRDefault="007F3A9B">
            <w:r>
              <w:rPr>
                <w:sz w:val="20"/>
                <w:szCs w:val="20"/>
              </w:rPr>
              <w:t>Gap (F−M)</w:t>
            </w:r>
          </w:p>
        </w:tc>
        <w:tc>
          <w:tcPr>
            <w:tcW w:w="1500" w:type="dxa"/>
            <w:tcBorders>
              <w:top w:val="single" w:sz="1" w:space="0" w:color="888888"/>
              <w:left w:val="single" w:sz="1" w:space="0" w:color="888888"/>
              <w:bottom w:val="single" w:sz="1" w:space="0" w:color="888888"/>
              <w:right w:val="single" w:sz="1" w:space="0" w:color="888888"/>
            </w:tcBorders>
            <w:tcMar>
              <w:top w:w="50" w:type="dxa"/>
              <w:left w:w="100" w:type="dxa"/>
              <w:bottom w:w="50" w:type="dxa"/>
              <w:right w:w="100" w:type="dxa"/>
            </w:tcMar>
          </w:tcPr>
          <w:p w:rsidR="002670DB" w:rsidRDefault="007F3A9B">
            <w:pPr>
              <w:jc w:val="center"/>
            </w:pPr>
            <w:r>
              <w:rPr>
                <w:sz w:val="20"/>
                <w:szCs w:val="20"/>
              </w:rPr>
              <w:t>1.59 pts</w:t>
            </w:r>
          </w:p>
        </w:tc>
        <w:tc>
          <w:tcPr>
            <w:tcW w:w="1500" w:type="dxa"/>
            <w:tcBorders>
              <w:top w:val="single" w:sz="1" w:space="0" w:color="888888"/>
              <w:left w:val="single" w:sz="1" w:space="0" w:color="888888"/>
              <w:bottom w:val="single" w:sz="1" w:space="0" w:color="888888"/>
              <w:right w:val="single" w:sz="1" w:space="0" w:color="888888"/>
            </w:tcBorders>
            <w:tcMar>
              <w:top w:w="50" w:type="dxa"/>
              <w:left w:w="100" w:type="dxa"/>
              <w:bottom w:w="50" w:type="dxa"/>
              <w:right w:w="100" w:type="dxa"/>
            </w:tcMar>
          </w:tcPr>
          <w:p w:rsidR="002670DB" w:rsidRDefault="007F3A9B">
            <w:pPr>
              <w:jc w:val="center"/>
            </w:pPr>
            <w:r>
              <w:rPr>
                <w:sz w:val="20"/>
                <w:szCs w:val="20"/>
              </w:rPr>
              <w:t>0.88 pts</w:t>
            </w:r>
          </w:p>
        </w:tc>
        <w:tc>
          <w:tcPr>
            <w:tcW w:w="1500" w:type="dxa"/>
            <w:tcBorders>
              <w:top w:val="single" w:sz="1" w:space="0" w:color="888888"/>
              <w:left w:val="single" w:sz="1" w:space="0" w:color="888888"/>
              <w:bottom w:val="single" w:sz="1" w:space="0" w:color="888888"/>
              <w:right w:val="single" w:sz="1" w:space="0" w:color="888888"/>
            </w:tcBorders>
            <w:tcMar>
              <w:top w:w="50" w:type="dxa"/>
              <w:left w:w="100" w:type="dxa"/>
              <w:bottom w:w="50" w:type="dxa"/>
              <w:right w:w="100" w:type="dxa"/>
            </w:tcMar>
          </w:tcPr>
          <w:p w:rsidR="002670DB" w:rsidRDefault="007F3A9B">
            <w:pPr>
              <w:jc w:val="center"/>
            </w:pPr>
            <w:r>
              <w:rPr>
                <w:sz w:val="20"/>
                <w:szCs w:val="20"/>
              </w:rPr>
              <w:t>−0.71</w:t>
            </w:r>
          </w:p>
        </w:tc>
        <w:tc>
          <w:tcPr>
            <w:tcW w:w="2000" w:type="dxa"/>
            <w:tcBorders>
              <w:top w:val="single" w:sz="1" w:space="0" w:color="888888"/>
              <w:left w:val="single" w:sz="1" w:space="0" w:color="888888"/>
              <w:bottom w:val="single" w:sz="1" w:space="0" w:color="888888"/>
              <w:right w:val="single" w:sz="1" w:space="0" w:color="888888"/>
            </w:tcBorders>
            <w:tcMar>
              <w:top w:w="50" w:type="dxa"/>
              <w:left w:w="100" w:type="dxa"/>
              <w:bottom w:w="50" w:type="dxa"/>
              <w:right w:w="100" w:type="dxa"/>
            </w:tcMar>
          </w:tcPr>
          <w:p w:rsidR="002670DB" w:rsidRDefault="007F3A9B">
            <w:pPr>
              <w:jc w:val="center"/>
            </w:pPr>
            <w:r>
              <w:rPr>
                <w:sz w:val="20"/>
                <w:szCs w:val="20"/>
              </w:rPr>
              <w:t>Narrowed 45%</w:t>
            </w:r>
          </w:p>
        </w:tc>
      </w:tr>
    </w:tbl>
    <w:p w:rsidR="002670DB" w:rsidRDefault="002670DB">
      <w:pPr>
        <w:spacing w:after="80"/>
      </w:pPr>
    </w:p>
    <w:p w:rsidR="002670DB" w:rsidRDefault="007F3A9B">
      <w:pPr>
        <w:spacing w:after="160"/>
        <w:ind w:firstLine="720"/>
        <w:jc w:val="both"/>
      </w:pPr>
      <w:r>
        <w:t>A notable confidence-competence paradox was identified at baseline: male students reported higher writing confidence (59% agreeing they felt confident) yet consistently underperformed female students, while female students reported substantially lower conf</w:t>
      </w:r>
      <w:r>
        <w:t>idence (35% agreement) despite outperforming males in all assessment areas. This paradox partially resolved following the intervention: female students' confidence increased from 35% to 59% agreement, while male students developed more accurate self-assess</w:t>
      </w:r>
      <w:r>
        <w:t>ments aligned with their improved performance.</w:t>
      </w:r>
    </w:p>
    <w:p w:rsidR="002670DB" w:rsidRDefault="007F3A9B">
      <w:pPr>
        <w:spacing w:before="180" w:after="80"/>
      </w:pPr>
      <w:r>
        <w:rPr>
          <w:b/>
          <w:bCs/>
          <w:i/>
          <w:iCs/>
        </w:rPr>
        <w:t>Student Perceptions of Feedback and Learning</w:t>
      </w:r>
    </w:p>
    <w:p w:rsidR="002670DB" w:rsidRDefault="007F3A9B">
      <w:pPr>
        <w:spacing w:after="160"/>
        <w:ind w:firstLine="720"/>
        <w:jc w:val="both"/>
      </w:pPr>
      <w:r>
        <w:lastRenderedPageBreak/>
        <w:t>Post-intervention survey data documented transformative shifts in student perceptions (Table 3). The most striking change was in perceived instructional support: th</w:t>
      </w:r>
      <w:r>
        <w:t>e proportion agreeing that step-by-step guidance makes writing easier rose from 26% to 100% — a complete resolution of the most significant instructional gap identified at baseline. Planning tool adoption tripled (from 29% to 88%), and overall writing conf</w:t>
      </w:r>
      <w:r>
        <w:t>idence increased by 27 percentage points.</w:t>
      </w:r>
    </w:p>
    <w:p w:rsidR="002670DB" w:rsidRDefault="002670DB">
      <w:pPr>
        <w:spacing w:after="80"/>
      </w:pPr>
    </w:p>
    <w:p w:rsidR="002670DB" w:rsidRDefault="007F3A9B">
      <w:pPr>
        <w:spacing w:before="160" w:after="60"/>
      </w:pPr>
      <w:r>
        <w:rPr>
          <w:b/>
          <w:bCs/>
          <w:sz w:val="22"/>
          <w:szCs w:val="22"/>
        </w:rPr>
        <w:t>Table 3</w:t>
      </w:r>
      <w:r>
        <w:rPr>
          <w:sz w:val="22"/>
          <w:szCs w:val="22"/>
        </w:rPr>
        <w:t xml:space="preserve"> </w:t>
      </w:r>
      <w:r>
        <w:rPr>
          <w:i/>
          <w:iCs/>
          <w:sz w:val="22"/>
          <w:szCs w:val="22"/>
        </w:rPr>
        <w:t>Key Pre- and Post-Intervention Perception Changes (N = 34)</w:t>
      </w:r>
    </w:p>
    <w:tbl>
      <w:tblPr>
        <w:tblW w:w="7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1500"/>
        <w:gridCol w:w="1500"/>
        <w:gridCol w:w="1700"/>
      </w:tblGrid>
      <w:tr w:rsidR="002670DB">
        <w:tblPrEx>
          <w:tblCellMar>
            <w:top w:w="0" w:type="dxa"/>
            <w:bottom w:w="0" w:type="dxa"/>
          </w:tblCellMar>
        </w:tblPrEx>
        <w:tc>
          <w:tcPr>
            <w:tcW w:w="3200" w:type="dxa"/>
            <w:tcBorders>
              <w:top w:val="single" w:sz="1" w:space="0" w:color="888888"/>
              <w:left w:val="single" w:sz="1" w:space="0" w:color="888888"/>
              <w:bottom w:val="single" w:sz="1" w:space="0" w:color="888888"/>
              <w:right w:val="single" w:sz="1" w:space="0" w:color="888888"/>
            </w:tcBorders>
            <w:shd w:val="clear" w:color="auto" w:fill="EBEBEB"/>
            <w:tcMar>
              <w:top w:w="60" w:type="dxa"/>
              <w:left w:w="100" w:type="dxa"/>
              <w:bottom w:w="60" w:type="dxa"/>
              <w:right w:w="100" w:type="dxa"/>
            </w:tcMar>
          </w:tcPr>
          <w:p w:rsidR="002670DB" w:rsidRDefault="007F3A9B">
            <w:pPr>
              <w:jc w:val="center"/>
            </w:pPr>
            <w:r>
              <w:rPr>
                <w:b/>
                <w:bCs/>
                <w:sz w:val="20"/>
                <w:szCs w:val="20"/>
              </w:rPr>
              <w:t>Perception Item</w:t>
            </w:r>
          </w:p>
        </w:tc>
        <w:tc>
          <w:tcPr>
            <w:tcW w:w="1500" w:type="dxa"/>
            <w:tcBorders>
              <w:top w:val="single" w:sz="1" w:space="0" w:color="888888"/>
              <w:left w:val="single" w:sz="1" w:space="0" w:color="888888"/>
              <w:bottom w:val="single" w:sz="1" w:space="0" w:color="888888"/>
              <w:right w:val="single" w:sz="1" w:space="0" w:color="888888"/>
            </w:tcBorders>
            <w:shd w:val="clear" w:color="auto" w:fill="EBEBEB"/>
            <w:tcMar>
              <w:top w:w="60" w:type="dxa"/>
              <w:left w:w="100" w:type="dxa"/>
              <w:bottom w:w="60" w:type="dxa"/>
              <w:right w:w="100" w:type="dxa"/>
            </w:tcMar>
          </w:tcPr>
          <w:p w:rsidR="002670DB" w:rsidRDefault="007F3A9B">
            <w:pPr>
              <w:jc w:val="center"/>
            </w:pPr>
            <w:r>
              <w:rPr>
                <w:b/>
                <w:bCs/>
                <w:sz w:val="20"/>
                <w:szCs w:val="20"/>
              </w:rPr>
              <w:t>Pre (% agree)</w:t>
            </w:r>
          </w:p>
        </w:tc>
        <w:tc>
          <w:tcPr>
            <w:tcW w:w="1500" w:type="dxa"/>
            <w:tcBorders>
              <w:top w:val="single" w:sz="1" w:space="0" w:color="888888"/>
              <w:left w:val="single" w:sz="1" w:space="0" w:color="888888"/>
              <w:bottom w:val="single" w:sz="1" w:space="0" w:color="888888"/>
              <w:right w:val="single" w:sz="1" w:space="0" w:color="888888"/>
            </w:tcBorders>
            <w:shd w:val="clear" w:color="auto" w:fill="EBEBEB"/>
            <w:tcMar>
              <w:top w:w="60" w:type="dxa"/>
              <w:left w:w="100" w:type="dxa"/>
              <w:bottom w:w="60" w:type="dxa"/>
              <w:right w:w="100" w:type="dxa"/>
            </w:tcMar>
          </w:tcPr>
          <w:p w:rsidR="002670DB" w:rsidRDefault="007F3A9B">
            <w:pPr>
              <w:jc w:val="center"/>
            </w:pPr>
            <w:r>
              <w:rPr>
                <w:b/>
                <w:bCs/>
                <w:sz w:val="20"/>
                <w:szCs w:val="20"/>
              </w:rPr>
              <w:t>Post (% agree)</w:t>
            </w:r>
          </w:p>
        </w:tc>
        <w:tc>
          <w:tcPr>
            <w:tcW w:w="1700" w:type="dxa"/>
            <w:tcBorders>
              <w:top w:val="single" w:sz="1" w:space="0" w:color="888888"/>
              <w:left w:val="single" w:sz="1" w:space="0" w:color="888888"/>
              <w:bottom w:val="single" w:sz="1" w:space="0" w:color="888888"/>
              <w:right w:val="single" w:sz="1" w:space="0" w:color="888888"/>
            </w:tcBorders>
            <w:shd w:val="clear" w:color="auto" w:fill="EBEBEB"/>
            <w:tcMar>
              <w:top w:w="60" w:type="dxa"/>
              <w:left w:w="100" w:type="dxa"/>
              <w:bottom w:w="60" w:type="dxa"/>
              <w:right w:w="100" w:type="dxa"/>
            </w:tcMar>
          </w:tcPr>
          <w:p w:rsidR="002670DB" w:rsidRDefault="007F3A9B">
            <w:pPr>
              <w:jc w:val="center"/>
            </w:pPr>
            <w:r>
              <w:rPr>
                <w:b/>
                <w:bCs/>
                <w:sz w:val="20"/>
                <w:szCs w:val="20"/>
              </w:rPr>
              <w:t>Change</w:t>
            </w:r>
          </w:p>
        </w:tc>
      </w:tr>
      <w:tr w:rsidR="002670DB">
        <w:tblPrEx>
          <w:tblCellMar>
            <w:top w:w="0" w:type="dxa"/>
            <w:bottom w:w="0" w:type="dxa"/>
          </w:tblCellMar>
        </w:tblPrEx>
        <w:tc>
          <w:tcPr>
            <w:tcW w:w="3200" w:type="dxa"/>
            <w:tcBorders>
              <w:top w:val="single" w:sz="1" w:space="0" w:color="888888"/>
              <w:left w:val="single" w:sz="1" w:space="0" w:color="888888"/>
              <w:bottom w:val="single" w:sz="1" w:space="0" w:color="888888"/>
              <w:right w:val="single" w:sz="1" w:space="0" w:color="888888"/>
            </w:tcBorders>
            <w:tcMar>
              <w:top w:w="50" w:type="dxa"/>
              <w:left w:w="100" w:type="dxa"/>
              <w:bottom w:w="50" w:type="dxa"/>
              <w:right w:w="100" w:type="dxa"/>
            </w:tcMar>
          </w:tcPr>
          <w:p w:rsidR="002670DB" w:rsidRDefault="007F3A9B">
            <w:r>
              <w:rPr>
                <w:sz w:val="20"/>
                <w:szCs w:val="20"/>
              </w:rPr>
              <w:t>Step-by-step support makes writing easier</w:t>
            </w:r>
          </w:p>
        </w:tc>
        <w:tc>
          <w:tcPr>
            <w:tcW w:w="1500" w:type="dxa"/>
            <w:tcBorders>
              <w:top w:val="single" w:sz="1" w:space="0" w:color="888888"/>
              <w:left w:val="single" w:sz="1" w:space="0" w:color="888888"/>
              <w:bottom w:val="single" w:sz="1" w:space="0" w:color="888888"/>
              <w:right w:val="single" w:sz="1" w:space="0" w:color="888888"/>
            </w:tcBorders>
            <w:tcMar>
              <w:top w:w="50" w:type="dxa"/>
              <w:left w:w="100" w:type="dxa"/>
              <w:bottom w:w="50" w:type="dxa"/>
              <w:right w:w="100" w:type="dxa"/>
            </w:tcMar>
          </w:tcPr>
          <w:p w:rsidR="002670DB" w:rsidRDefault="007F3A9B">
            <w:pPr>
              <w:jc w:val="center"/>
            </w:pPr>
            <w:r>
              <w:rPr>
                <w:sz w:val="20"/>
                <w:szCs w:val="20"/>
              </w:rPr>
              <w:t>26%</w:t>
            </w:r>
          </w:p>
        </w:tc>
        <w:tc>
          <w:tcPr>
            <w:tcW w:w="1500" w:type="dxa"/>
            <w:tcBorders>
              <w:top w:val="single" w:sz="1" w:space="0" w:color="888888"/>
              <w:left w:val="single" w:sz="1" w:space="0" w:color="888888"/>
              <w:bottom w:val="single" w:sz="1" w:space="0" w:color="888888"/>
              <w:right w:val="single" w:sz="1" w:space="0" w:color="888888"/>
            </w:tcBorders>
            <w:tcMar>
              <w:top w:w="50" w:type="dxa"/>
              <w:left w:w="100" w:type="dxa"/>
              <w:bottom w:w="50" w:type="dxa"/>
              <w:right w:w="100" w:type="dxa"/>
            </w:tcMar>
          </w:tcPr>
          <w:p w:rsidR="002670DB" w:rsidRDefault="007F3A9B">
            <w:pPr>
              <w:jc w:val="center"/>
            </w:pPr>
            <w:r>
              <w:rPr>
                <w:sz w:val="20"/>
                <w:szCs w:val="20"/>
              </w:rPr>
              <w:t>100%</w:t>
            </w:r>
          </w:p>
        </w:tc>
        <w:tc>
          <w:tcPr>
            <w:tcW w:w="1700" w:type="dxa"/>
            <w:tcBorders>
              <w:top w:val="single" w:sz="1" w:space="0" w:color="888888"/>
              <w:left w:val="single" w:sz="1" w:space="0" w:color="888888"/>
              <w:bottom w:val="single" w:sz="1" w:space="0" w:color="888888"/>
              <w:right w:val="single" w:sz="1" w:space="0" w:color="888888"/>
            </w:tcBorders>
            <w:tcMar>
              <w:top w:w="50" w:type="dxa"/>
              <w:left w:w="100" w:type="dxa"/>
              <w:bottom w:w="50" w:type="dxa"/>
              <w:right w:w="100" w:type="dxa"/>
            </w:tcMar>
          </w:tcPr>
          <w:p w:rsidR="002670DB" w:rsidRDefault="007F3A9B">
            <w:pPr>
              <w:jc w:val="center"/>
            </w:pPr>
            <w:r>
              <w:rPr>
                <w:sz w:val="20"/>
                <w:szCs w:val="20"/>
              </w:rPr>
              <w:t>+74 pts</w:t>
            </w:r>
          </w:p>
        </w:tc>
      </w:tr>
      <w:tr w:rsidR="002670DB">
        <w:tblPrEx>
          <w:tblCellMar>
            <w:top w:w="0" w:type="dxa"/>
            <w:bottom w:w="0" w:type="dxa"/>
          </w:tblCellMar>
        </w:tblPrEx>
        <w:tc>
          <w:tcPr>
            <w:tcW w:w="3200" w:type="dxa"/>
            <w:tcBorders>
              <w:top w:val="single" w:sz="1" w:space="0" w:color="888888"/>
              <w:left w:val="single" w:sz="1" w:space="0" w:color="888888"/>
              <w:bottom w:val="single" w:sz="1" w:space="0" w:color="888888"/>
              <w:right w:val="single" w:sz="1" w:space="0" w:color="888888"/>
            </w:tcBorders>
            <w:tcMar>
              <w:top w:w="50" w:type="dxa"/>
              <w:left w:w="100" w:type="dxa"/>
              <w:bottom w:w="50" w:type="dxa"/>
              <w:right w:w="100" w:type="dxa"/>
            </w:tcMar>
          </w:tcPr>
          <w:p w:rsidR="002670DB" w:rsidRDefault="007F3A9B">
            <w:r>
              <w:rPr>
                <w:sz w:val="20"/>
                <w:szCs w:val="20"/>
              </w:rPr>
              <w:t>I use planning tools (e.g., graphic organizers)</w:t>
            </w:r>
          </w:p>
        </w:tc>
        <w:tc>
          <w:tcPr>
            <w:tcW w:w="1500" w:type="dxa"/>
            <w:tcBorders>
              <w:top w:val="single" w:sz="1" w:space="0" w:color="888888"/>
              <w:left w:val="single" w:sz="1" w:space="0" w:color="888888"/>
              <w:bottom w:val="single" w:sz="1" w:space="0" w:color="888888"/>
              <w:right w:val="single" w:sz="1" w:space="0" w:color="888888"/>
            </w:tcBorders>
            <w:tcMar>
              <w:top w:w="50" w:type="dxa"/>
              <w:left w:w="100" w:type="dxa"/>
              <w:bottom w:w="50" w:type="dxa"/>
              <w:right w:w="100" w:type="dxa"/>
            </w:tcMar>
          </w:tcPr>
          <w:p w:rsidR="002670DB" w:rsidRDefault="007F3A9B">
            <w:pPr>
              <w:jc w:val="center"/>
            </w:pPr>
            <w:r>
              <w:rPr>
                <w:sz w:val="20"/>
                <w:szCs w:val="20"/>
              </w:rPr>
              <w:t>29%</w:t>
            </w:r>
          </w:p>
        </w:tc>
        <w:tc>
          <w:tcPr>
            <w:tcW w:w="1500" w:type="dxa"/>
            <w:tcBorders>
              <w:top w:val="single" w:sz="1" w:space="0" w:color="888888"/>
              <w:left w:val="single" w:sz="1" w:space="0" w:color="888888"/>
              <w:bottom w:val="single" w:sz="1" w:space="0" w:color="888888"/>
              <w:right w:val="single" w:sz="1" w:space="0" w:color="888888"/>
            </w:tcBorders>
            <w:tcMar>
              <w:top w:w="50" w:type="dxa"/>
              <w:left w:w="100" w:type="dxa"/>
              <w:bottom w:w="50" w:type="dxa"/>
              <w:right w:w="100" w:type="dxa"/>
            </w:tcMar>
          </w:tcPr>
          <w:p w:rsidR="002670DB" w:rsidRDefault="007F3A9B">
            <w:pPr>
              <w:jc w:val="center"/>
            </w:pPr>
            <w:r>
              <w:rPr>
                <w:sz w:val="20"/>
                <w:szCs w:val="20"/>
              </w:rPr>
              <w:t>88%</w:t>
            </w:r>
          </w:p>
        </w:tc>
        <w:tc>
          <w:tcPr>
            <w:tcW w:w="1700" w:type="dxa"/>
            <w:tcBorders>
              <w:top w:val="single" w:sz="1" w:space="0" w:color="888888"/>
              <w:left w:val="single" w:sz="1" w:space="0" w:color="888888"/>
              <w:bottom w:val="single" w:sz="1" w:space="0" w:color="888888"/>
              <w:right w:val="single" w:sz="1" w:space="0" w:color="888888"/>
            </w:tcBorders>
            <w:tcMar>
              <w:top w:w="50" w:type="dxa"/>
              <w:left w:w="100" w:type="dxa"/>
              <w:bottom w:w="50" w:type="dxa"/>
              <w:right w:w="100" w:type="dxa"/>
            </w:tcMar>
          </w:tcPr>
          <w:p w:rsidR="002670DB" w:rsidRDefault="007F3A9B">
            <w:pPr>
              <w:jc w:val="center"/>
            </w:pPr>
            <w:r>
              <w:rPr>
                <w:sz w:val="20"/>
                <w:szCs w:val="20"/>
              </w:rPr>
              <w:t>+59 pts</w:t>
            </w:r>
          </w:p>
        </w:tc>
      </w:tr>
      <w:tr w:rsidR="002670DB">
        <w:tblPrEx>
          <w:tblCellMar>
            <w:top w:w="0" w:type="dxa"/>
            <w:bottom w:w="0" w:type="dxa"/>
          </w:tblCellMar>
        </w:tblPrEx>
        <w:tc>
          <w:tcPr>
            <w:tcW w:w="3200" w:type="dxa"/>
            <w:tcBorders>
              <w:top w:val="single" w:sz="1" w:space="0" w:color="888888"/>
              <w:left w:val="single" w:sz="1" w:space="0" w:color="888888"/>
              <w:bottom w:val="single" w:sz="1" w:space="0" w:color="888888"/>
              <w:right w:val="single" w:sz="1" w:space="0" w:color="888888"/>
            </w:tcBorders>
            <w:tcMar>
              <w:top w:w="50" w:type="dxa"/>
              <w:left w:w="100" w:type="dxa"/>
              <w:bottom w:w="50" w:type="dxa"/>
              <w:right w:w="100" w:type="dxa"/>
            </w:tcMar>
          </w:tcPr>
          <w:p w:rsidR="002670DB" w:rsidRDefault="007F3A9B">
            <w:r>
              <w:rPr>
                <w:sz w:val="20"/>
                <w:szCs w:val="20"/>
              </w:rPr>
              <w:t>I feel confident writing an essay</w:t>
            </w:r>
          </w:p>
        </w:tc>
        <w:tc>
          <w:tcPr>
            <w:tcW w:w="1500" w:type="dxa"/>
            <w:tcBorders>
              <w:top w:val="single" w:sz="1" w:space="0" w:color="888888"/>
              <w:left w:val="single" w:sz="1" w:space="0" w:color="888888"/>
              <w:bottom w:val="single" w:sz="1" w:space="0" w:color="888888"/>
              <w:right w:val="single" w:sz="1" w:space="0" w:color="888888"/>
            </w:tcBorders>
            <w:tcMar>
              <w:top w:w="50" w:type="dxa"/>
              <w:left w:w="100" w:type="dxa"/>
              <w:bottom w:w="50" w:type="dxa"/>
              <w:right w:w="100" w:type="dxa"/>
            </w:tcMar>
          </w:tcPr>
          <w:p w:rsidR="002670DB" w:rsidRDefault="007F3A9B">
            <w:pPr>
              <w:jc w:val="center"/>
            </w:pPr>
            <w:r>
              <w:rPr>
                <w:sz w:val="20"/>
                <w:szCs w:val="20"/>
              </w:rPr>
              <w:t>47%</w:t>
            </w:r>
          </w:p>
        </w:tc>
        <w:tc>
          <w:tcPr>
            <w:tcW w:w="1500" w:type="dxa"/>
            <w:tcBorders>
              <w:top w:val="single" w:sz="1" w:space="0" w:color="888888"/>
              <w:left w:val="single" w:sz="1" w:space="0" w:color="888888"/>
              <w:bottom w:val="single" w:sz="1" w:space="0" w:color="888888"/>
              <w:right w:val="single" w:sz="1" w:space="0" w:color="888888"/>
            </w:tcBorders>
            <w:tcMar>
              <w:top w:w="50" w:type="dxa"/>
              <w:left w:w="100" w:type="dxa"/>
              <w:bottom w:w="50" w:type="dxa"/>
              <w:right w:w="100" w:type="dxa"/>
            </w:tcMar>
          </w:tcPr>
          <w:p w:rsidR="002670DB" w:rsidRDefault="007F3A9B">
            <w:pPr>
              <w:jc w:val="center"/>
            </w:pPr>
            <w:r>
              <w:rPr>
                <w:sz w:val="20"/>
                <w:szCs w:val="20"/>
              </w:rPr>
              <w:t>74%</w:t>
            </w:r>
          </w:p>
        </w:tc>
        <w:tc>
          <w:tcPr>
            <w:tcW w:w="1700" w:type="dxa"/>
            <w:tcBorders>
              <w:top w:val="single" w:sz="1" w:space="0" w:color="888888"/>
              <w:left w:val="single" w:sz="1" w:space="0" w:color="888888"/>
              <w:bottom w:val="single" w:sz="1" w:space="0" w:color="888888"/>
              <w:right w:val="single" w:sz="1" w:space="0" w:color="888888"/>
            </w:tcBorders>
            <w:tcMar>
              <w:top w:w="50" w:type="dxa"/>
              <w:left w:w="100" w:type="dxa"/>
              <w:bottom w:w="50" w:type="dxa"/>
              <w:right w:w="100" w:type="dxa"/>
            </w:tcMar>
          </w:tcPr>
          <w:p w:rsidR="002670DB" w:rsidRDefault="007F3A9B">
            <w:pPr>
              <w:jc w:val="center"/>
            </w:pPr>
            <w:r>
              <w:rPr>
                <w:sz w:val="20"/>
                <w:szCs w:val="20"/>
              </w:rPr>
              <w:t>+27 pts</w:t>
            </w:r>
          </w:p>
        </w:tc>
      </w:tr>
      <w:tr w:rsidR="002670DB">
        <w:tblPrEx>
          <w:tblCellMar>
            <w:top w:w="0" w:type="dxa"/>
            <w:bottom w:w="0" w:type="dxa"/>
          </w:tblCellMar>
        </w:tblPrEx>
        <w:tc>
          <w:tcPr>
            <w:tcW w:w="3200" w:type="dxa"/>
            <w:tcBorders>
              <w:top w:val="single" w:sz="1" w:space="0" w:color="888888"/>
              <w:left w:val="single" w:sz="1" w:space="0" w:color="888888"/>
              <w:bottom w:val="single" w:sz="1" w:space="0" w:color="888888"/>
              <w:right w:val="single" w:sz="1" w:space="0" w:color="888888"/>
            </w:tcBorders>
            <w:tcMar>
              <w:top w:w="50" w:type="dxa"/>
              <w:left w:w="100" w:type="dxa"/>
              <w:bottom w:w="50" w:type="dxa"/>
              <w:right w:w="100" w:type="dxa"/>
            </w:tcMar>
          </w:tcPr>
          <w:p w:rsidR="002670DB" w:rsidRDefault="007F3A9B">
            <w:r>
              <w:rPr>
                <w:sz w:val="20"/>
                <w:szCs w:val="20"/>
              </w:rPr>
              <w:t>Targeted feedback is helpful</w:t>
            </w:r>
          </w:p>
        </w:tc>
        <w:tc>
          <w:tcPr>
            <w:tcW w:w="1500" w:type="dxa"/>
            <w:tcBorders>
              <w:top w:val="single" w:sz="1" w:space="0" w:color="888888"/>
              <w:left w:val="single" w:sz="1" w:space="0" w:color="888888"/>
              <w:bottom w:val="single" w:sz="1" w:space="0" w:color="888888"/>
              <w:right w:val="single" w:sz="1" w:space="0" w:color="888888"/>
            </w:tcBorders>
            <w:tcMar>
              <w:top w:w="50" w:type="dxa"/>
              <w:left w:w="100" w:type="dxa"/>
              <w:bottom w:w="50" w:type="dxa"/>
              <w:right w:w="100" w:type="dxa"/>
            </w:tcMar>
          </w:tcPr>
          <w:p w:rsidR="002670DB" w:rsidRDefault="007F3A9B">
            <w:pPr>
              <w:jc w:val="center"/>
            </w:pPr>
            <w:r>
              <w:rPr>
                <w:sz w:val="20"/>
                <w:szCs w:val="20"/>
              </w:rPr>
              <w:t>—</w:t>
            </w:r>
          </w:p>
        </w:tc>
        <w:tc>
          <w:tcPr>
            <w:tcW w:w="1500" w:type="dxa"/>
            <w:tcBorders>
              <w:top w:val="single" w:sz="1" w:space="0" w:color="888888"/>
              <w:left w:val="single" w:sz="1" w:space="0" w:color="888888"/>
              <w:bottom w:val="single" w:sz="1" w:space="0" w:color="888888"/>
              <w:right w:val="single" w:sz="1" w:space="0" w:color="888888"/>
            </w:tcBorders>
            <w:tcMar>
              <w:top w:w="50" w:type="dxa"/>
              <w:left w:w="100" w:type="dxa"/>
              <w:bottom w:w="50" w:type="dxa"/>
              <w:right w:w="100" w:type="dxa"/>
            </w:tcMar>
          </w:tcPr>
          <w:p w:rsidR="002670DB" w:rsidRDefault="007F3A9B">
            <w:pPr>
              <w:jc w:val="center"/>
            </w:pPr>
            <w:r>
              <w:rPr>
                <w:sz w:val="20"/>
                <w:szCs w:val="20"/>
              </w:rPr>
              <w:t>100%</w:t>
            </w:r>
          </w:p>
        </w:tc>
        <w:tc>
          <w:tcPr>
            <w:tcW w:w="1700" w:type="dxa"/>
            <w:tcBorders>
              <w:top w:val="single" w:sz="1" w:space="0" w:color="888888"/>
              <w:left w:val="single" w:sz="1" w:space="0" w:color="888888"/>
              <w:bottom w:val="single" w:sz="1" w:space="0" w:color="888888"/>
              <w:right w:val="single" w:sz="1" w:space="0" w:color="888888"/>
            </w:tcBorders>
            <w:tcMar>
              <w:top w:w="50" w:type="dxa"/>
              <w:left w:w="100" w:type="dxa"/>
              <w:bottom w:w="50" w:type="dxa"/>
              <w:right w:w="100" w:type="dxa"/>
            </w:tcMar>
          </w:tcPr>
          <w:p w:rsidR="002670DB" w:rsidRDefault="007F3A9B">
            <w:pPr>
              <w:jc w:val="center"/>
            </w:pPr>
            <w:r>
              <w:rPr>
                <w:sz w:val="20"/>
                <w:szCs w:val="20"/>
              </w:rPr>
              <w:t>Universal</w:t>
            </w:r>
          </w:p>
        </w:tc>
      </w:tr>
      <w:tr w:rsidR="002670DB">
        <w:tblPrEx>
          <w:tblCellMar>
            <w:top w:w="0" w:type="dxa"/>
            <w:bottom w:w="0" w:type="dxa"/>
          </w:tblCellMar>
        </w:tblPrEx>
        <w:tc>
          <w:tcPr>
            <w:tcW w:w="3200" w:type="dxa"/>
            <w:tcBorders>
              <w:top w:val="single" w:sz="1" w:space="0" w:color="888888"/>
              <w:left w:val="single" w:sz="1" w:space="0" w:color="888888"/>
              <w:bottom w:val="single" w:sz="1" w:space="0" w:color="888888"/>
              <w:right w:val="single" w:sz="1" w:space="0" w:color="888888"/>
            </w:tcBorders>
            <w:tcMar>
              <w:top w:w="50" w:type="dxa"/>
              <w:left w:w="100" w:type="dxa"/>
              <w:bottom w:w="50" w:type="dxa"/>
              <w:right w:w="100" w:type="dxa"/>
            </w:tcMar>
          </w:tcPr>
          <w:p w:rsidR="002670DB" w:rsidRDefault="007F3A9B">
            <w:r>
              <w:rPr>
                <w:sz w:val="20"/>
                <w:szCs w:val="20"/>
              </w:rPr>
              <w:t>I will continue using these strategies</w:t>
            </w:r>
          </w:p>
        </w:tc>
        <w:tc>
          <w:tcPr>
            <w:tcW w:w="1500" w:type="dxa"/>
            <w:tcBorders>
              <w:top w:val="single" w:sz="1" w:space="0" w:color="888888"/>
              <w:left w:val="single" w:sz="1" w:space="0" w:color="888888"/>
              <w:bottom w:val="single" w:sz="1" w:space="0" w:color="888888"/>
              <w:right w:val="single" w:sz="1" w:space="0" w:color="888888"/>
            </w:tcBorders>
            <w:tcMar>
              <w:top w:w="50" w:type="dxa"/>
              <w:left w:w="100" w:type="dxa"/>
              <w:bottom w:w="50" w:type="dxa"/>
              <w:right w:w="100" w:type="dxa"/>
            </w:tcMar>
          </w:tcPr>
          <w:p w:rsidR="002670DB" w:rsidRDefault="007F3A9B">
            <w:pPr>
              <w:jc w:val="center"/>
            </w:pPr>
            <w:r>
              <w:rPr>
                <w:sz w:val="20"/>
                <w:szCs w:val="20"/>
              </w:rPr>
              <w:t>—</w:t>
            </w:r>
          </w:p>
        </w:tc>
        <w:tc>
          <w:tcPr>
            <w:tcW w:w="1500" w:type="dxa"/>
            <w:tcBorders>
              <w:top w:val="single" w:sz="1" w:space="0" w:color="888888"/>
              <w:left w:val="single" w:sz="1" w:space="0" w:color="888888"/>
              <w:bottom w:val="single" w:sz="1" w:space="0" w:color="888888"/>
              <w:right w:val="single" w:sz="1" w:space="0" w:color="888888"/>
            </w:tcBorders>
            <w:tcMar>
              <w:top w:w="50" w:type="dxa"/>
              <w:left w:w="100" w:type="dxa"/>
              <w:bottom w:w="50" w:type="dxa"/>
              <w:right w:w="100" w:type="dxa"/>
            </w:tcMar>
          </w:tcPr>
          <w:p w:rsidR="002670DB" w:rsidRDefault="007F3A9B">
            <w:pPr>
              <w:jc w:val="center"/>
            </w:pPr>
            <w:r>
              <w:rPr>
                <w:sz w:val="20"/>
                <w:szCs w:val="20"/>
              </w:rPr>
              <w:t>88%</w:t>
            </w:r>
          </w:p>
        </w:tc>
        <w:tc>
          <w:tcPr>
            <w:tcW w:w="1700" w:type="dxa"/>
            <w:tcBorders>
              <w:top w:val="single" w:sz="1" w:space="0" w:color="888888"/>
              <w:left w:val="single" w:sz="1" w:space="0" w:color="888888"/>
              <w:bottom w:val="single" w:sz="1" w:space="0" w:color="888888"/>
              <w:right w:val="single" w:sz="1" w:space="0" w:color="888888"/>
            </w:tcBorders>
            <w:tcMar>
              <w:top w:w="50" w:type="dxa"/>
              <w:left w:w="100" w:type="dxa"/>
              <w:bottom w:w="50" w:type="dxa"/>
              <w:right w:w="100" w:type="dxa"/>
            </w:tcMar>
          </w:tcPr>
          <w:p w:rsidR="002670DB" w:rsidRDefault="007F3A9B">
            <w:pPr>
              <w:jc w:val="center"/>
            </w:pPr>
            <w:r>
              <w:rPr>
                <w:sz w:val="20"/>
                <w:szCs w:val="20"/>
              </w:rPr>
              <w:t>Strong majority</w:t>
            </w:r>
          </w:p>
        </w:tc>
      </w:tr>
    </w:tbl>
    <w:p w:rsidR="002670DB" w:rsidRDefault="002670DB">
      <w:pPr>
        <w:spacing w:after="80"/>
      </w:pPr>
    </w:p>
    <w:p w:rsidR="002670DB" w:rsidRDefault="007F3A9B">
      <w:pPr>
        <w:spacing w:after="160"/>
        <w:ind w:firstLine="720"/>
        <w:jc w:val="both"/>
      </w:pPr>
      <w:r>
        <w:t xml:space="preserve">Thematic analysis of post-intervention journals identified a marked shift from deficit-focused to strategy-focused reflection. Students consistently described using feedback to identify specific revision targets and monitor their own progress. Correlation </w:t>
      </w:r>
      <w:r>
        <w:t>analysis revealed a significant positive relationship between feedback use and writing confidence (r = 0.566, p &lt; .001), suggesting that the act of engaging with and applying specific feedback itself generates confidence. Student 16, who had initially stru</w:t>
      </w:r>
      <w:r>
        <w:t>ggled to develop thesis statements, wrote post-intervention: 'The feedback helped me understand exactly what was missing and how to fix it — now I can plan my paragraphs before I write.' This metacognitive shift was representative of a broader pattern acro</w:t>
      </w:r>
      <w:r>
        <w:t>ss journals.</w:t>
      </w:r>
    </w:p>
    <w:p w:rsidR="002670DB" w:rsidRDefault="007F3A9B">
      <w:pPr>
        <w:spacing w:before="240" w:after="100"/>
      </w:pPr>
      <w:r>
        <w:rPr>
          <w:b/>
          <w:bCs/>
        </w:rPr>
        <w:t>Discussion</w:t>
      </w:r>
    </w:p>
    <w:p w:rsidR="002670DB" w:rsidRDefault="007F3A9B">
      <w:pPr>
        <w:spacing w:after="160"/>
        <w:ind w:firstLine="720"/>
        <w:jc w:val="both"/>
      </w:pPr>
      <w:r>
        <w:t>The central finding — that targeted teacher feedback, embedded within systematic scaffolded instruction, produces statistically significant and educationally meaningful improvements in Class X expository writing — is consistent with and extends established</w:t>
      </w:r>
      <w:r>
        <w:t xml:space="preserve"> research in EFL writing contexts (Hattie &amp; Timperley, 2007; Razmi &amp; Ghane, 2024; Peltzer et al., 2025). The medium-to-large effect sizes (Cohen's d = 0.62–0.75) confirm that gains are practically important, not merely statistically significant. Most notab</w:t>
      </w:r>
      <w:r>
        <w:t>ly, the 75% reduction in struggling writers — from 23.5% to 5.9% — aligns with Peltzer et al.'s (2025) finding that explicit in-text commentary has its greatest impact on at-risk writers, and with Vygotsky's (1978) ZPD framework: students who appeared pers</w:t>
      </w:r>
      <w:r>
        <w:t>istently weak were, in many cases, responding to an instructional environment that lacked the specific, timely guidance they needed. What appeared to be a learning deficit was, in important respects, an instructional deficit.</w:t>
      </w:r>
    </w:p>
    <w:p w:rsidR="002670DB" w:rsidRDefault="007F3A9B">
      <w:pPr>
        <w:spacing w:after="160"/>
        <w:ind w:firstLine="720"/>
        <w:jc w:val="both"/>
      </w:pPr>
      <w:r>
        <w:t>The pre-intervention confidenc</w:t>
      </w:r>
      <w:r>
        <w:t>e-competence paradox — female students outperforming male students while reporting substantially lower confidence — is consistent with Pajares and Valiante (2001) and represents a rare empirical documentation of this phenomenon in a Bhutanese secondary con</w:t>
      </w:r>
      <w:r>
        <w:t>text. Its partial resolution post-intervention supports Nicol and Macfarlane-Dick's (2006) argument that effective feedback develops self-regulatory capacity: by providing clear, rubric-referenced evidence of what is working and what requires attention, ta</w:t>
      </w:r>
      <w:r>
        <w:t xml:space="preserve">rgeted feedback helps </w:t>
      </w:r>
      <w:r>
        <w:lastRenderedPageBreak/>
        <w:t>students develop more accurate, evidence-based self-assessments. The persistence of a gender confidence gap even after performance gaps narrow underscores that high achievement does not automatically generate proportionate self-effica</w:t>
      </w:r>
      <w:r>
        <w:t>cy, and that explicit affirmation of female students' strong performance must be a deliberate element of feedback practice.</w:t>
      </w:r>
    </w:p>
    <w:p w:rsidR="002670DB" w:rsidRDefault="007F3A9B">
      <w:pPr>
        <w:spacing w:after="160"/>
        <w:ind w:firstLine="720"/>
        <w:jc w:val="both"/>
      </w:pPr>
      <w:r>
        <w:t>The feedback-confidence correlation (r = 0.566) suggests a reinforcing loop: engaging with specific feedback generates evidence of i</w:t>
      </w:r>
      <w:r>
        <w:t xml:space="preserve">mprovement, which builds confidence, which promotes further engagement. The tripling of planning tool adoption (29% to 88%) further indicates that structured feedback protocols encourage broader transfer of effective writing strategies beyond the feedback </w:t>
      </w:r>
      <w:r>
        <w:t>itself — a positive washback effect (Brown, 2004). Together, these findings support a reconceptualization of writing difficulties in Bhutanese secondary schools: where students appear to struggle, the first diagnostic question should concern the quality an</w:t>
      </w:r>
      <w:r>
        <w:t>d specificity of the instructional support they have received.</w:t>
      </w:r>
    </w:p>
    <w:p w:rsidR="002670DB" w:rsidRDefault="007F3A9B">
      <w:pPr>
        <w:spacing w:before="240" w:after="100"/>
      </w:pPr>
      <w:r>
        <w:rPr>
          <w:b/>
          <w:bCs/>
        </w:rPr>
        <w:t>Conclusion</w:t>
      </w:r>
    </w:p>
    <w:p w:rsidR="002670DB" w:rsidRDefault="007F3A9B">
      <w:pPr>
        <w:spacing w:after="160"/>
        <w:ind w:firstLine="720"/>
        <w:jc w:val="both"/>
      </w:pPr>
      <w:r>
        <w:t>This action research provides robust, multi-method evidence that targeted teacher feedback — specific, actionable, and timely written commentary within a scaffolded instructional seq</w:t>
      </w:r>
      <w:r>
        <w:t xml:space="preserve">uence — significantly improves expository writing skills among Class X students in Bhutan. The intervention reduced struggling writers by 75%, partially resolved a gender confidence-competence paradox, and transformed students' perception of instructional </w:t>
      </w:r>
      <w:r>
        <w:t>adequacy from critically lacking to universally affirming. These outcomes were achieved through low-resource, practice-intensive strategies accessible to any secondary teacher: targeted written feedback, multiple revision cycles, individual conferences, an</w:t>
      </w:r>
      <w:r>
        <w:t>d explicit teaching of planning tools.</w:t>
      </w:r>
    </w:p>
    <w:p w:rsidR="002670DB" w:rsidRDefault="007F3A9B">
      <w:pPr>
        <w:spacing w:after="160"/>
        <w:ind w:firstLine="720"/>
        <w:jc w:val="both"/>
      </w:pPr>
      <w:r>
        <w:t>For classroom teachers, findings support implementing 2–3 draft revision cycles with feedback limited to 2–3 actionable priorities per essay, scheduling brief individual conferences during revision, and explicitly aff</w:t>
      </w:r>
      <w:r>
        <w:t>irming female students' strong performance to address the confidence gap. For school administrators, allocating sufficient time for process-based writing instruction and providing professional development on feedback protocols are key priorities. Limitatio</w:t>
      </w:r>
      <w:r>
        <w:t>ns of this study — including the absence of a control group, single-class sampling, and a six-week timeframe — point toward future research priorities: controlled studies with larger, more diverse samples; longitudinal investigation of long-term retention;</w:t>
      </w:r>
      <w:r>
        <w:t xml:space="preserve"> and examination of whether these benefits extend to other writing genres increasingly demanded by the Bhutanese curriculum.</w:t>
      </w:r>
    </w:p>
    <w:p w:rsidR="002670DB" w:rsidRDefault="007F3A9B">
      <w:pPr>
        <w:spacing w:before="240" w:after="100"/>
      </w:pPr>
      <w:r>
        <w:rPr>
          <w:b/>
          <w:bCs/>
        </w:rPr>
        <w:t>References</w:t>
      </w:r>
    </w:p>
    <w:p w:rsidR="002670DB" w:rsidRDefault="007F3A9B">
      <w:pPr>
        <w:spacing w:after="100"/>
        <w:ind w:left="720" w:hanging="720"/>
        <w:jc w:val="both"/>
      </w:pPr>
      <w:r>
        <w:rPr>
          <w:sz w:val="22"/>
          <w:szCs w:val="22"/>
        </w:rPr>
        <w:t>Braun, V., &amp; Clarke, V. (2006). Using thematic analysis in psychology. Qualitative Research in Psychology, 3(2), 77–101.</w:t>
      </w:r>
    </w:p>
    <w:p w:rsidR="002670DB" w:rsidRDefault="007F3A9B">
      <w:pPr>
        <w:spacing w:after="100"/>
        <w:ind w:left="720" w:hanging="720"/>
        <w:jc w:val="both"/>
      </w:pPr>
      <w:r>
        <w:rPr>
          <w:sz w:val="22"/>
          <w:szCs w:val="22"/>
        </w:rPr>
        <w:t>Brookhart, S. M. (2008). How to give effective feedback to your students. ASCD.</w:t>
      </w:r>
    </w:p>
    <w:p w:rsidR="002670DB" w:rsidRDefault="007F3A9B">
      <w:pPr>
        <w:spacing w:after="100"/>
        <w:ind w:left="720" w:hanging="720"/>
        <w:jc w:val="both"/>
      </w:pPr>
      <w:r>
        <w:rPr>
          <w:sz w:val="22"/>
          <w:szCs w:val="22"/>
        </w:rPr>
        <w:t>Brown, H. D. (2004). Language assessment: Principles and classroom practices. Pearson Education.</w:t>
      </w:r>
    </w:p>
    <w:p w:rsidR="002670DB" w:rsidRDefault="007F3A9B">
      <w:pPr>
        <w:spacing w:after="100"/>
        <w:ind w:left="720" w:hanging="720"/>
        <w:jc w:val="both"/>
      </w:pPr>
      <w:r>
        <w:rPr>
          <w:sz w:val="22"/>
          <w:szCs w:val="22"/>
        </w:rPr>
        <w:t>Busse, V., Riegler, P., &amp; Peltzer, A. (2023). Text quality and changing percep</w:t>
      </w:r>
      <w:r>
        <w:rPr>
          <w:sz w:val="22"/>
          <w:szCs w:val="22"/>
        </w:rPr>
        <w:t>tions of teacher feedback and affective-motivational variables. Frontiers in Education, 8, 1171914. https://doi.org/10.3389/feduc.2023.1171914</w:t>
      </w:r>
    </w:p>
    <w:p w:rsidR="002670DB" w:rsidRDefault="007F3A9B">
      <w:pPr>
        <w:spacing w:after="100"/>
        <w:ind w:left="720" w:hanging="720"/>
        <w:jc w:val="both"/>
      </w:pPr>
      <w:r>
        <w:rPr>
          <w:sz w:val="22"/>
          <w:szCs w:val="22"/>
        </w:rPr>
        <w:t>Centre for School Curriculum Development [CSCD]. (2022). Class X English curriculum framework. Royal Education Co</w:t>
      </w:r>
      <w:r>
        <w:rPr>
          <w:sz w:val="22"/>
          <w:szCs w:val="22"/>
        </w:rPr>
        <w:t>uncil.</w:t>
      </w:r>
    </w:p>
    <w:p w:rsidR="002670DB" w:rsidRDefault="007F3A9B">
      <w:pPr>
        <w:spacing w:after="100"/>
        <w:ind w:left="720" w:hanging="720"/>
        <w:jc w:val="both"/>
      </w:pPr>
      <w:r>
        <w:rPr>
          <w:sz w:val="22"/>
          <w:szCs w:val="22"/>
        </w:rPr>
        <w:t>Chairinkam, N., &amp; Yawiloeng, R. (2024). The use of scaffolding strategies to enhance the writing development of EFL students. Theory and Practice in Language Studies, 14(9), 2718–2726.</w:t>
      </w:r>
    </w:p>
    <w:p w:rsidR="002670DB" w:rsidRDefault="007F3A9B">
      <w:pPr>
        <w:spacing w:after="100"/>
        <w:ind w:left="720" w:hanging="720"/>
        <w:jc w:val="both"/>
      </w:pPr>
      <w:r>
        <w:rPr>
          <w:sz w:val="22"/>
          <w:szCs w:val="22"/>
        </w:rPr>
        <w:lastRenderedPageBreak/>
        <w:t>Creswell, J. W., &amp; Plano Clark, V. L. (2017). Designing and cond</w:t>
      </w:r>
      <w:r>
        <w:rPr>
          <w:sz w:val="22"/>
          <w:szCs w:val="22"/>
        </w:rPr>
        <w:t>ucting mixed methods research (3rd ed.). SAGE.</w:t>
      </w:r>
    </w:p>
    <w:p w:rsidR="002670DB" w:rsidRDefault="007F3A9B">
      <w:pPr>
        <w:spacing w:after="100"/>
        <w:ind w:left="720" w:hanging="720"/>
        <w:jc w:val="both"/>
      </w:pPr>
      <w:r>
        <w:rPr>
          <w:sz w:val="22"/>
          <w:szCs w:val="22"/>
        </w:rPr>
        <w:t>Dorji, T. (2021). Improving expository writing through feedback in Bhutanese secondary schools. Bhutan Journal of Research and Development, 10(1), 45–58.</w:t>
      </w:r>
    </w:p>
    <w:p w:rsidR="002670DB" w:rsidRDefault="007F3A9B">
      <w:pPr>
        <w:spacing w:after="100"/>
        <w:ind w:left="720" w:hanging="720"/>
        <w:jc w:val="both"/>
      </w:pPr>
      <w:r>
        <w:rPr>
          <w:sz w:val="22"/>
          <w:szCs w:val="22"/>
        </w:rPr>
        <w:t>Hattie, J., &amp; Timperley, H. (2007). The power of feedba</w:t>
      </w:r>
      <w:r>
        <w:rPr>
          <w:sz w:val="22"/>
          <w:szCs w:val="22"/>
        </w:rPr>
        <w:t>ck. Review of Educational Research, 77(1), 81–112.</w:t>
      </w:r>
    </w:p>
    <w:p w:rsidR="002670DB" w:rsidRDefault="007F3A9B">
      <w:pPr>
        <w:spacing w:after="100"/>
        <w:ind w:left="720" w:hanging="720"/>
        <w:jc w:val="both"/>
      </w:pPr>
      <w:r>
        <w:rPr>
          <w:sz w:val="22"/>
          <w:szCs w:val="22"/>
        </w:rPr>
        <w:t>Kemmis, S., &amp; McTaggart, R. (2005). Participatory action research. In N. K. Denzin &amp; Y. S. Lincoln (Eds.), Handbook of qualitative research (3rd ed., pp. 559–603). SAGE.</w:t>
      </w:r>
    </w:p>
    <w:p w:rsidR="002670DB" w:rsidRDefault="007F3A9B">
      <w:pPr>
        <w:spacing w:after="100"/>
        <w:ind w:left="720" w:hanging="720"/>
        <w:jc w:val="both"/>
      </w:pPr>
      <w:r>
        <w:rPr>
          <w:sz w:val="22"/>
          <w:szCs w:val="22"/>
        </w:rPr>
        <w:t>Lhadon, &amp;</w:t>
      </w:r>
      <w:r>
        <w:rPr>
          <w:sz w:val="22"/>
          <w:szCs w:val="22"/>
        </w:rPr>
        <w:t xml:space="preserve"> Wangmo, C. (2022). Improving essay writing skills through scaffolding instruction in Grade Six Bhutanese students. Rangsit Journal of Educational Studies, 9(1), 1–14.</w:t>
      </w:r>
    </w:p>
    <w:p w:rsidR="002670DB" w:rsidRDefault="007F3A9B">
      <w:pPr>
        <w:spacing w:after="100"/>
        <w:ind w:left="720" w:hanging="720"/>
        <w:jc w:val="both"/>
      </w:pPr>
      <w:r>
        <w:rPr>
          <w:sz w:val="22"/>
          <w:szCs w:val="22"/>
        </w:rPr>
        <w:t>Li, X., Chen, M., &amp; Wang, J. (2025). Unpacking the impact of writing feedback perception</w:t>
      </w:r>
      <w:r>
        <w:rPr>
          <w:sz w:val="22"/>
          <w:szCs w:val="22"/>
        </w:rPr>
        <w:t xml:space="preserve"> on self-regulated writing ability. Frontiers in Psychology, 16, 1538841. https://doi.org/10.3389/fpsyg.2025.1538841</w:t>
      </w:r>
    </w:p>
    <w:p w:rsidR="002670DB" w:rsidRDefault="007F3A9B">
      <w:pPr>
        <w:spacing w:after="100"/>
        <w:ind w:left="720" w:hanging="720"/>
        <w:jc w:val="both"/>
      </w:pPr>
      <w:r>
        <w:rPr>
          <w:sz w:val="22"/>
          <w:szCs w:val="22"/>
        </w:rPr>
        <w:t>Nicol, D. J., &amp; Macfarlane-Dick, D. (2006). Formative assessment and self-regulated learning: A model and seven principles of good feedback</w:t>
      </w:r>
      <w:r>
        <w:rPr>
          <w:sz w:val="22"/>
          <w:szCs w:val="22"/>
        </w:rPr>
        <w:t xml:space="preserve"> practice. Studies in Higher Education, 31(2), 199–218.</w:t>
      </w:r>
    </w:p>
    <w:p w:rsidR="002670DB" w:rsidRDefault="007F3A9B">
      <w:pPr>
        <w:spacing w:after="100"/>
        <w:ind w:left="720" w:hanging="720"/>
        <w:jc w:val="both"/>
      </w:pPr>
      <w:r>
        <w:rPr>
          <w:sz w:val="22"/>
          <w:szCs w:val="22"/>
        </w:rPr>
        <w:t>Nguyen, T. T. A., &amp; Truong, V. (2024). The effects of scaffolding in genre-based writing instructions on EFL learners' writing performance. European Journal of Education and Pedagogy, 5(1), 23–30.</w:t>
      </w:r>
    </w:p>
    <w:p w:rsidR="002670DB" w:rsidRDefault="007F3A9B">
      <w:pPr>
        <w:spacing w:after="100"/>
        <w:ind w:left="720" w:hanging="720"/>
        <w:jc w:val="both"/>
      </w:pPr>
      <w:r>
        <w:rPr>
          <w:sz w:val="22"/>
          <w:szCs w:val="22"/>
        </w:rPr>
        <w:t>Paj</w:t>
      </w:r>
      <w:r>
        <w:rPr>
          <w:sz w:val="22"/>
          <w:szCs w:val="22"/>
        </w:rPr>
        <w:t>ares, F., &amp; Valiante, G. (2001). Gender differences in writing motivation and achievement of middle school students. Contemporary Educational Psychology, 26(3), 366–381.</w:t>
      </w:r>
    </w:p>
    <w:p w:rsidR="002670DB" w:rsidRDefault="007F3A9B">
      <w:pPr>
        <w:spacing w:after="100"/>
        <w:ind w:left="720" w:hanging="720"/>
        <w:jc w:val="both"/>
      </w:pPr>
      <w:r>
        <w:rPr>
          <w:sz w:val="22"/>
          <w:szCs w:val="22"/>
        </w:rPr>
        <w:t>Peltzer, A., Riegler, P., &amp; Busse, V. (2025). How to support at-risk writers: Differen</w:t>
      </w:r>
      <w:r>
        <w:rPr>
          <w:sz w:val="22"/>
          <w:szCs w:val="22"/>
        </w:rPr>
        <w:t>tial effects of formative feedback on argumentative writing and motivation. Reading and Writing. https://doi.org/10.1007/s11145-025-10652-w</w:t>
      </w:r>
    </w:p>
    <w:p w:rsidR="002670DB" w:rsidRDefault="007F3A9B">
      <w:pPr>
        <w:spacing w:after="100"/>
        <w:ind w:left="720" w:hanging="720"/>
        <w:jc w:val="both"/>
      </w:pPr>
      <w:r>
        <w:rPr>
          <w:sz w:val="22"/>
          <w:szCs w:val="22"/>
        </w:rPr>
        <w:t>Razmi, M. H., &amp; Ghane, M. H. (2024). The impact of written corrective feedback on students' writing performance, sel</w:t>
      </w:r>
      <w:r>
        <w:rPr>
          <w:sz w:val="22"/>
          <w:szCs w:val="22"/>
        </w:rPr>
        <w:t>f-efficacy, and anxiety. Journal of Writing Research, 16(2), 271–321.</w:t>
      </w:r>
    </w:p>
    <w:p w:rsidR="002670DB" w:rsidRDefault="007F3A9B">
      <w:pPr>
        <w:spacing w:after="100"/>
        <w:ind w:left="720" w:hanging="720"/>
        <w:jc w:val="both"/>
      </w:pPr>
      <w:r>
        <w:rPr>
          <w:sz w:val="22"/>
          <w:szCs w:val="22"/>
        </w:rPr>
        <w:t>Sadler, D. R. (1989). Formative assessment and the design of instructional systems. Instructional Science, 18(2), 119–144.</w:t>
      </w:r>
    </w:p>
    <w:p w:rsidR="002670DB" w:rsidRDefault="007F3A9B">
      <w:pPr>
        <w:spacing w:after="100"/>
        <w:ind w:left="720" w:hanging="720"/>
        <w:jc w:val="both"/>
      </w:pPr>
      <w:r>
        <w:rPr>
          <w:sz w:val="22"/>
          <w:szCs w:val="22"/>
        </w:rPr>
        <w:t>Vygotsky, L. S. (1978). Mind in society: The development of higher psychological processes. Harvard University Press.</w:t>
      </w:r>
    </w:p>
    <w:p w:rsidR="002670DB" w:rsidRDefault="002670DB">
      <w:pPr>
        <w:sectPr w:rsidR="002670DB">
          <w:footerReference w:type="default" r:id="rId7"/>
          <w:pgSz w:w="12240" w:h="15840"/>
          <w:pgMar w:top="1440" w:right="1440" w:bottom="1440" w:left="1440" w:header="708" w:footer="708" w:gutter="0"/>
          <w:cols w:space="720"/>
          <w:docGrid w:linePitch="360"/>
        </w:sectPr>
      </w:pPr>
    </w:p>
    <w:p w:rsidR="002670DB" w:rsidRDefault="007F3A9B">
      <w:pPr>
        <w:spacing w:before="120" w:after="160"/>
        <w:jc w:val="center"/>
      </w:pPr>
      <w:r>
        <w:rPr>
          <w:b/>
          <w:bCs/>
        </w:rPr>
        <w:lastRenderedPageBreak/>
        <w:t>Biograph</w:t>
      </w:r>
      <w:r>
        <w:rPr>
          <w:b/>
          <w:bCs/>
        </w:rPr>
        <w:t>ical Note</w:t>
      </w:r>
    </w:p>
    <w:p w:rsidR="002670DB" w:rsidRDefault="007F3A9B">
      <w:pPr>
        <w:spacing w:after="160"/>
        <w:jc w:val="both"/>
      </w:pPr>
      <w:r>
        <w:t>Passang Wangmo is an English teacher at Zilukha Middle Secondary School, Thimphu Thromde, Bhutan. She holds an MA in TESOL and has eight years of experience teaching English at the Class X level. Her professional interests include writing instruc</w:t>
      </w:r>
      <w:r>
        <w:t>tion, formative assessment, and teacher action research. This study was conducted as part of her professional development work submitted to the Centre for School Curriculum Development (CSCD), Royal Education Council, Bhutan. She is committed to evidence-b</w:t>
      </w:r>
      <w:r>
        <w:t>ased, student-centred teaching practices that address equity in learning outcomes, particularly in multilingual secondary school contexts.</w:t>
      </w:r>
    </w:p>
    <w:sectPr w:rsidR="002670DB">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A9B" w:rsidRDefault="007F3A9B">
      <w:r>
        <w:separator/>
      </w:r>
    </w:p>
  </w:endnote>
  <w:endnote w:type="continuationSeparator" w:id="0">
    <w:p w:rsidR="007F3A9B" w:rsidRDefault="007F3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0DB" w:rsidRDefault="007F3A9B">
    <w:pPr>
      <w:jc w:val="right"/>
    </w:pPr>
    <w:r>
      <w:rPr>
        <w:sz w:val="20"/>
        <w:szCs w:val="20"/>
      </w:rPr>
      <w:t xml:space="preserve">Targeted Feedback and Expository Writing  |  </w:t>
    </w:r>
    <w:r>
      <w:rPr>
        <w:sz w:val="20"/>
        <w:szCs w:val="20"/>
      </w:rPr>
      <w:fldChar w:fldCharType="begin"/>
    </w:r>
    <w:r>
      <w:rPr>
        <w:sz w:val="20"/>
        <w:szCs w:val="20"/>
      </w:rPr>
      <w:instrText>PAGE</w:instrText>
    </w:r>
    <w:r w:rsidR="00C46185">
      <w:rPr>
        <w:sz w:val="20"/>
        <w:szCs w:val="20"/>
      </w:rPr>
      <w:fldChar w:fldCharType="separate"/>
    </w:r>
    <w:r w:rsidR="00C46185">
      <w:rPr>
        <w:noProof/>
        <w:sz w:val="20"/>
        <w:szCs w:val="20"/>
      </w:rPr>
      <w:t>4</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A9B" w:rsidRDefault="007F3A9B">
      <w:r>
        <w:separator/>
      </w:r>
    </w:p>
  </w:footnote>
  <w:footnote w:type="continuationSeparator" w:id="0">
    <w:p w:rsidR="007F3A9B" w:rsidRDefault="007F3A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070DE9"/>
    <w:multiLevelType w:val="hybridMultilevel"/>
    <w:tmpl w:val="D1926A44"/>
    <w:lvl w:ilvl="0" w:tplc="32E85330">
      <w:start w:val="1"/>
      <w:numFmt w:val="bullet"/>
      <w:lvlText w:val="●"/>
      <w:lvlJc w:val="left"/>
      <w:pPr>
        <w:ind w:left="720" w:hanging="360"/>
      </w:pPr>
    </w:lvl>
    <w:lvl w:ilvl="1" w:tplc="B476919A">
      <w:start w:val="1"/>
      <w:numFmt w:val="bullet"/>
      <w:lvlText w:val="○"/>
      <w:lvlJc w:val="left"/>
      <w:pPr>
        <w:ind w:left="1440" w:hanging="360"/>
      </w:pPr>
    </w:lvl>
    <w:lvl w:ilvl="2" w:tplc="30664504">
      <w:start w:val="1"/>
      <w:numFmt w:val="bullet"/>
      <w:lvlText w:val="■"/>
      <w:lvlJc w:val="left"/>
      <w:pPr>
        <w:ind w:left="2160" w:hanging="360"/>
      </w:pPr>
    </w:lvl>
    <w:lvl w:ilvl="3" w:tplc="1266505A">
      <w:start w:val="1"/>
      <w:numFmt w:val="bullet"/>
      <w:lvlText w:val="●"/>
      <w:lvlJc w:val="left"/>
      <w:pPr>
        <w:ind w:left="2880" w:hanging="360"/>
      </w:pPr>
    </w:lvl>
    <w:lvl w:ilvl="4" w:tplc="E2546F68">
      <w:start w:val="1"/>
      <w:numFmt w:val="bullet"/>
      <w:lvlText w:val="○"/>
      <w:lvlJc w:val="left"/>
      <w:pPr>
        <w:ind w:left="3600" w:hanging="360"/>
      </w:pPr>
    </w:lvl>
    <w:lvl w:ilvl="5" w:tplc="8BB4152C">
      <w:start w:val="1"/>
      <w:numFmt w:val="bullet"/>
      <w:lvlText w:val="■"/>
      <w:lvlJc w:val="left"/>
      <w:pPr>
        <w:ind w:left="4320" w:hanging="360"/>
      </w:pPr>
    </w:lvl>
    <w:lvl w:ilvl="6" w:tplc="8EDC2530">
      <w:start w:val="1"/>
      <w:numFmt w:val="bullet"/>
      <w:lvlText w:val="●"/>
      <w:lvlJc w:val="left"/>
      <w:pPr>
        <w:ind w:left="5040" w:hanging="360"/>
      </w:pPr>
    </w:lvl>
    <w:lvl w:ilvl="7" w:tplc="2968D48C">
      <w:start w:val="1"/>
      <w:numFmt w:val="bullet"/>
      <w:lvlText w:val="●"/>
      <w:lvlJc w:val="left"/>
      <w:pPr>
        <w:ind w:left="5760" w:hanging="360"/>
      </w:pPr>
    </w:lvl>
    <w:lvl w:ilvl="8" w:tplc="843457B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0DB"/>
    <w:rsid w:val="002670DB"/>
    <w:rsid w:val="007F3A9B"/>
    <w:rsid w:val="00C46185"/>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A46FAC-ADA3-4AF1-B270-0A0ECB755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bo-C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3311</Words>
  <Characters>18875</Characters>
  <Application>Microsoft Office Word</Application>
  <DocSecurity>0</DocSecurity>
  <Lines>157</Lines>
  <Paragraphs>44</Paragraphs>
  <ScaleCrop>false</ScaleCrop>
  <Company/>
  <LinksUpToDate>false</LinksUpToDate>
  <CharactersWithSpaces>22142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Acer</cp:lastModifiedBy>
  <cp:revision>2</cp:revision>
  <dcterms:created xsi:type="dcterms:W3CDTF">2026-05-17T17:41:00Z</dcterms:created>
  <dcterms:modified xsi:type="dcterms:W3CDTF">2026-05-26T04:45:00Z</dcterms:modified>
</cp:coreProperties>
</file>