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E08AB8" w14:textId="5F52EB6A" w:rsidR="005E5F42" w:rsidRPr="00686233" w:rsidRDefault="00C40B1A" w:rsidP="00B16584">
      <w:pPr>
        <w:spacing w:line="360" w:lineRule="auto"/>
        <w:rPr>
          <w:rFonts w:asciiTheme="majorBidi" w:hAnsiTheme="majorBidi" w:cstheme="majorBidi"/>
          <w:b/>
          <w:color w:val="000008"/>
          <w:sz w:val="28"/>
          <w:szCs w:val="20"/>
        </w:rPr>
      </w:pPr>
      <w:r w:rsidRPr="00686233">
        <w:rPr>
          <w:rFonts w:asciiTheme="majorBidi" w:hAnsiTheme="majorBidi" w:cstheme="majorBidi"/>
          <w:b/>
          <w:color w:val="000008"/>
          <w:sz w:val="28"/>
          <w:szCs w:val="20"/>
        </w:rPr>
        <w:t>Original Article:</w:t>
      </w:r>
    </w:p>
    <w:p w14:paraId="15DBDA4E" w14:textId="1C36A52D" w:rsidR="00C40B1A" w:rsidRDefault="00AB6F47" w:rsidP="00855D6E">
      <w:pPr>
        <w:spacing w:line="240" w:lineRule="auto"/>
        <w:ind w:left="369"/>
        <w:jc w:val="center"/>
        <w:rPr>
          <w:rFonts w:asciiTheme="majorBidi" w:eastAsia="Calibri" w:hAnsiTheme="majorBidi" w:cstheme="majorBidi"/>
          <w:b/>
          <w:bCs/>
          <w:sz w:val="28"/>
          <w:szCs w:val="28"/>
        </w:rPr>
      </w:pPr>
      <w:r>
        <w:rPr>
          <w:rFonts w:asciiTheme="majorBidi" w:hAnsiTheme="majorBidi" w:cstheme="majorBidi"/>
          <w:b/>
          <w:color w:val="000008"/>
          <w:sz w:val="32"/>
        </w:rPr>
        <w:t>Challenges</w:t>
      </w:r>
      <w:r w:rsidR="00686233" w:rsidRPr="00686233">
        <w:rPr>
          <w:rFonts w:asciiTheme="majorBidi" w:hAnsiTheme="majorBidi" w:cstheme="majorBidi"/>
          <w:b/>
          <w:color w:val="000008"/>
          <w:sz w:val="32"/>
        </w:rPr>
        <w:t xml:space="preserve"> Associated with Academic Performance Among</w:t>
      </w:r>
      <w:r w:rsidR="00E5067E">
        <w:rPr>
          <w:rFonts w:asciiTheme="majorBidi" w:hAnsiTheme="majorBidi" w:cstheme="majorBidi"/>
          <w:b/>
          <w:color w:val="000008"/>
          <w:sz w:val="32"/>
        </w:rPr>
        <w:t xml:space="preserve"> low achievers</w:t>
      </w:r>
      <w:r w:rsidR="00686233" w:rsidRPr="00686233">
        <w:rPr>
          <w:rFonts w:asciiTheme="majorBidi" w:hAnsiTheme="majorBidi" w:cstheme="majorBidi"/>
          <w:b/>
          <w:color w:val="000008"/>
          <w:sz w:val="32"/>
        </w:rPr>
        <w:t xml:space="preserve"> Dental Students: </w:t>
      </w:r>
      <w:r w:rsidR="00855D6E">
        <w:rPr>
          <w:rFonts w:asciiTheme="majorBidi" w:hAnsiTheme="majorBidi" w:cstheme="majorBidi"/>
          <w:b/>
          <w:color w:val="000008"/>
          <w:sz w:val="32"/>
        </w:rPr>
        <w:t xml:space="preserve">Faculty - Based </w:t>
      </w:r>
      <w:r w:rsidR="00686233" w:rsidRPr="00686233">
        <w:rPr>
          <w:rFonts w:asciiTheme="majorBidi" w:hAnsiTheme="majorBidi" w:cstheme="majorBidi"/>
          <w:b/>
          <w:color w:val="000008"/>
          <w:sz w:val="32"/>
        </w:rPr>
        <w:t xml:space="preserve">Cross-Sectional </w:t>
      </w:r>
      <w:r w:rsidR="00E5067E" w:rsidRPr="00686233">
        <w:rPr>
          <w:rFonts w:asciiTheme="majorBidi" w:hAnsiTheme="majorBidi" w:cstheme="majorBidi"/>
          <w:b/>
          <w:color w:val="000008"/>
          <w:sz w:val="32"/>
        </w:rPr>
        <w:t>Study.</w:t>
      </w:r>
    </w:p>
    <w:p w14:paraId="35497032" w14:textId="5CED0159" w:rsidR="00C40B1A" w:rsidRDefault="00C40B1A" w:rsidP="00C40B1A">
      <w:pPr>
        <w:spacing w:line="240" w:lineRule="auto"/>
        <w:jc w:val="both"/>
        <w:rPr>
          <w:rFonts w:asciiTheme="majorBidi" w:eastAsia="Calibri" w:hAnsiTheme="majorBidi" w:cstheme="majorBidi"/>
          <w:b/>
          <w:bCs/>
          <w:sz w:val="28"/>
          <w:szCs w:val="28"/>
        </w:rPr>
      </w:pPr>
      <w:r>
        <w:rPr>
          <w:rFonts w:asciiTheme="majorBidi" w:eastAsia="Calibri" w:hAnsiTheme="majorBidi" w:cstheme="majorBidi"/>
          <w:b/>
          <w:bCs/>
          <w:sz w:val="28"/>
          <w:szCs w:val="28"/>
        </w:rPr>
        <w:t/>
      </w:r>
    </w:p>
    <w:p w14:paraId="7B59483C" w14:textId="70F8A556" w:rsidR="005E5F42" w:rsidRPr="00C40B1A" w:rsidRDefault="00C40B1A" w:rsidP="00C40B1A">
      <w:pPr>
        <w:spacing w:line="240" w:lineRule="auto"/>
        <w:jc w:val="both"/>
        <w:rPr>
          <w:rFonts w:asciiTheme="majorBidi" w:eastAsia="Calibri" w:hAnsiTheme="majorBidi" w:cstheme="majorBidi"/>
          <w:sz w:val="28"/>
          <w:szCs w:val="28"/>
        </w:rPr>
      </w:pPr>
      <w:r w:rsidRPr="00C40B1A">
        <w:rPr>
          <w:rFonts w:asciiTheme="majorBidi" w:eastAsia="Calibri" w:hAnsiTheme="majorBidi" w:cstheme="majorBidi"/>
          <w:sz w:val="28"/>
          <w:szCs w:val="28"/>
        </w:rPr>
        <w:t xml:space="preserve"/>
      </w:r>
      <w:r w:rsidRPr="00C40B1A">
        <w:rPr>
          <w:rFonts w:asciiTheme="majorBidi" w:eastAsia="Calibri" w:hAnsiTheme="majorBidi" w:cstheme="majorBidi"/>
          <w:sz w:val="28"/>
          <w:szCs w:val="28"/>
          <w:vertAlign w:val="superscript"/>
        </w:rPr>
        <w:t/>
      </w:r>
      <w:r>
        <w:rPr>
          <w:rFonts w:asciiTheme="majorBidi" w:eastAsia="Calibri" w:hAnsiTheme="majorBidi" w:cstheme="majorBidi"/>
          <w:sz w:val="28"/>
          <w:szCs w:val="28"/>
          <w:vertAlign w:val="superscript"/>
        </w:rPr>
        <w:t xml:space="preserve"/>
      </w:r>
      <w:r>
        <w:rPr>
          <w:rFonts w:asciiTheme="majorBidi" w:eastAsia="Calibri" w:hAnsiTheme="majorBidi" w:cstheme="majorBidi"/>
          <w:sz w:val="28"/>
          <w:szCs w:val="28"/>
        </w:rPr>
        <w:t/>
      </w:r>
      <w:r w:rsidR="00B16584" w:rsidRPr="00C40B1A">
        <w:rPr>
          <w:rFonts w:asciiTheme="majorBidi" w:eastAsia="Calibri" w:hAnsiTheme="majorBidi" w:cstheme="majorBidi"/>
          <w:sz w:val="28"/>
          <w:szCs w:val="28"/>
        </w:rPr>
        <w:t/>
      </w:r>
      <w:r w:rsidR="005A4D14">
        <w:rPr>
          <w:rFonts w:asciiTheme="majorBidi" w:eastAsia="Calibri" w:hAnsiTheme="majorBidi" w:cstheme="majorBidi"/>
          <w:sz w:val="28"/>
          <w:szCs w:val="28"/>
        </w:rPr>
        <w:t xml:space="preserve"/>
      </w:r>
      <w:r w:rsidR="00B16584" w:rsidRPr="00C40B1A">
        <w:rPr>
          <w:rFonts w:asciiTheme="majorBidi" w:eastAsia="Calibri" w:hAnsiTheme="majorBidi" w:cstheme="majorBidi"/>
          <w:sz w:val="28"/>
          <w:szCs w:val="28"/>
        </w:rPr>
        <w:t/>
      </w:r>
      <w:r w:rsidRPr="00C40B1A">
        <w:rPr>
          <w:rFonts w:asciiTheme="majorBidi" w:eastAsia="Calibri" w:hAnsiTheme="majorBidi" w:cstheme="majorBidi"/>
          <w:sz w:val="28"/>
          <w:szCs w:val="28"/>
        </w:rPr>
        <w:t xml:space="preserve"/>
      </w:r>
      <w:r w:rsidRPr="00C40B1A">
        <w:rPr>
          <w:rFonts w:asciiTheme="majorBidi" w:eastAsia="Calibri" w:hAnsiTheme="majorBidi" w:cstheme="majorBidi"/>
          <w:sz w:val="28"/>
          <w:szCs w:val="28"/>
          <w:vertAlign w:val="superscript"/>
        </w:rPr>
        <w:t/>
      </w:r>
      <w:r w:rsidRPr="00C40B1A">
        <w:rPr>
          <w:rFonts w:asciiTheme="majorBidi" w:eastAsia="Calibri" w:hAnsiTheme="majorBidi" w:cstheme="majorBidi"/>
          <w:sz w:val="28"/>
          <w:szCs w:val="28"/>
        </w:rPr>
        <w:t/>
      </w:r>
      <w:r w:rsidR="00B16584" w:rsidRPr="00C40B1A">
        <w:rPr>
          <w:rFonts w:asciiTheme="majorBidi" w:eastAsia="Calibri" w:hAnsiTheme="majorBidi" w:cstheme="majorBidi"/>
          <w:sz w:val="28"/>
        </w:rPr>
        <w:t xml:space="preserve"/>
      </w:r>
      <w:r w:rsidRPr="00C40B1A">
        <w:rPr>
          <w:rFonts w:asciiTheme="majorBidi" w:eastAsia="Calibri" w:hAnsiTheme="majorBidi" w:cstheme="majorBidi"/>
          <w:sz w:val="28"/>
        </w:rPr>
        <w:t xml:space="preserve"/>
      </w:r>
      <w:r w:rsidRPr="00C40B1A">
        <w:rPr>
          <w:rFonts w:asciiTheme="majorBidi" w:eastAsia="Calibri" w:hAnsiTheme="majorBidi" w:cstheme="majorBidi"/>
          <w:sz w:val="28"/>
          <w:vertAlign w:val="superscript"/>
        </w:rPr>
        <w:t/>
      </w:r>
      <w:r w:rsidRPr="00C40B1A">
        <w:rPr>
          <w:rFonts w:asciiTheme="majorBidi" w:eastAsia="Calibri" w:hAnsiTheme="majorBidi" w:cstheme="majorBidi"/>
          <w:sz w:val="28"/>
        </w:rPr>
        <w:t/>
      </w:r>
      <w:r w:rsidR="00B16584" w:rsidRPr="00C40B1A">
        <w:rPr>
          <w:rFonts w:asciiTheme="majorBidi" w:eastAsia="Calibri" w:hAnsiTheme="majorBidi" w:cstheme="majorBidi"/>
          <w:sz w:val="28"/>
          <w:szCs w:val="28"/>
        </w:rPr>
        <w:t xml:space="preserve"/>
      </w:r>
      <w:r w:rsidRPr="00C40B1A">
        <w:rPr>
          <w:rFonts w:asciiTheme="majorBidi" w:eastAsia="Calibri" w:hAnsiTheme="majorBidi" w:cstheme="majorBidi"/>
          <w:sz w:val="28"/>
          <w:szCs w:val="28"/>
          <w:vertAlign w:val="superscript"/>
        </w:rPr>
        <w:t/>
      </w:r>
      <w:r w:rsidRPr="00C40B1A">
        <w:rPr>
          <w:rFonts w:asciiTheme="majorBidi" w:eastAsia="Calibri" w:hAnsiTheme="majorBidi" w:cstheme="majorBidi"/>
          <w:sz w:val="28"/>
          <w:szCs w:val="28"/>
        </w:rPr>
        <w:t xml:space="preserve"/>
      </w:r>
      <w:r w:rsidR="00B16584" w:rsidRPr="00C40B1A">
        <w:rPr>
          <w:rFonts w:asciiTheme="majorBidi" w:eastAsia="Calibri" w:hAnsiTheme="majorBidi" w:cstheme="majorBidi"/>
          <w:sz w:val="28"/>
        </w:rPr>
        <w:t xml:space="preserve"/>
      </w:r>
      <w:r w:rsidR="00D35128" w:rsidRPr="00C40B1A">
        <w:rPr>
          <w:rFonts w:asciiTheme="majorBidi" w:eastAsia="Calibri" w:hAnsiTheme="majorBidi" w:cstheme="majorBidi"/>
          <w:sz w:val="28"/>
          <w:vertAlign w:val="superscript"/>
        </w:rPr>
        <w:t/>
      </w:r>
      <w:r w:rsidR="00D35128" w:rsidRPr="00C40B1A">
        <w:rPr>
          <w:rFonts w:asciiTheme="majorBidi" w:hAnsiTheme="majorBidi" w:cstheme="majorBidi"/>
          <w:color w:val="000008"/>
          <w:sz w:val="24"/>
        </w:rPr>
        <w:t/>
      </w:r>
      <w:r w:rsidRPr="00C40B1A">
        <w:rPr>
          <w:rFonts w:asciiTheme="majorBidi" w:eastAsia="Calibri" w:hAnsiTheme="majorBidi" w:cstheme="majorBidi"/>
          <w:sz w:val="28"/>
          <w:szCs w:val="28"/>
        </w:rPr>
        <w:t xml:space="preserve"/>
      </w:r>
      <w:r w:rsidR="00B16584" w:rsidRPr="00C40B1A">
        <w:rPr>
          <w:rFonts w:asciiTheme="majorBidi" w:eastAsia="Calibri" w:hAnsiTheme="majorBidi" w:cstheme="majorBidi"/>
          <w:sz w:val="28"/>
        </w:rPr>
        <w:t/>
      </w:r>
      <w:r w:rsidRPr="00C40B1A">
        <w:rPr>
          <w:rFonts w:asciiTheme="majorBidi" w:eastAsia="Calibri" w:hAnsiTheme="majorBidi" w:cstheme="majorBidi"/>
          <w:sz w:val="28"/>
          <w:vertAlign w:val="superscript"/>
        </w:rPr>
        <w:t xml:space="preserve"/>
      </w:r>
      <w:r w:rsidR="00D35128" w:rsidRPr="00C40B1A">
        <w:rPr>
          <w:rFonts w:asciiTheme="majorBidi" w:eastAsia="Calibri" w:hAnsiTheme="majorBidi" w:cstheme="majorBidi"/>
          <w:sz w:val="28"/>
          <w:vertAlign w:val="superscript"/>
        </w:rPr>
        <w:t/>
      </w:r>
      <w:r w:rsidR="00D35128">
        <w:rPr>
          <w:rFonts w:asciiTheme="majorBidi" w:eastAsia="Calibri" w:hAnsiTheme="majorBidi" w:cstheme="majorBidi"/>
          <w:sz w:val="28"/>
          <w:szCs w:val="28"/>
        </w:rPr>
        <w:t xml:space="preserve"/>
      </w:r>
      <w:r w:rsidR="00D35128">
        <w:rPr>
          <w:rFonts w:asciiTheme="majorBidi" w:eastAsia="Calibri" w:hAnsiTheme="majorBidi" w:cstheme="majorBidi"/>
          <w:sz w:val="28"/>
          <w:szCs w:val="28"/>
        </w:rPr>
        <w:t/>
      </w:r>
      <w:r w:rsidR="00D35128">
        <w:rPr>
          <w:rFonts w:asciiTheme="majorBidi" w:eastAsia="Calibri" w:hAnsiTheme="majorBidi" w:cstheme="majorBidi"/>
          <w:sz w:val="28"/>
          <w:szCs w:val="28"/>
        </w:rPr>
        <w:t xml:space="preserve"/>
      </w:r>
      <w:r w:rsidR="00D35128" w:rsidRPr="005177FE">
        <w:rPr>
          <w:rFonts w:asciiTheme="majorBidi" w:eastAsia="Calibri" w:hAnsiTheme="majorBidi" w:cstheme="majorBidi"/>
          <w:sz w:val="28"/>
          <w:szCs w:val="28"/>
          <w:vertAlign w:val="superscript"/>
        </w:rPr>
        <w:t/>
      </w:r>
      <w:r w:rsidR="00D35128">
        <w:rPr>
          <w:rFonts w:asciiTheme="majorBidi" w:eastAsia="Calibri" w:hAnsiTheme="majorBidi" w:cstheme="majorBidi"/>
          <w:sz w:val="28"/>
          <w:szCs w:val="28"/>
        </w:rPr>
        <w:t xml:space="preserve"/>
      </w:r>
      <w:r w:rsidR="00D35128" w:rsidRPr="00C40B1A">
        <w:rPr>
          <w:rFonts w:asciiTheme="majorBidi" w:eastAsia="Calibri" w:hAnsiTheme="majorBidi" w:cstheme="majorBidi"/>
          <w:sz w:val="28"/>
          <w:szCs w:val="28"/>
        </w:rPr>
        <w:t xml:space="preserve"/>
      </w:r>
      <w:r w:rsidR="00D35128" w:rsidRPr="00C40B1A">
        <w:rPr>
          <w:rFonts w:asciiTheme="majorBidi" w:eastAsia="Calibri" w:hAnsiTheme="majorBidi" w:cstheme="majorBidi"/>
          <w:sz w:val="28"/>
          <w:szCs w:val="28"/>
          <w:vertAlign w:val="superscript"/>
        </w:rPr>
        <w:t/>
      </w:r>
      <w:r w:rsidR="00D35128">
        <w:rPr>
          <w:rFonts w:asciiTheme="majorBidi" w:eastAsia="Calibri" w:hAnsiTheme="majorBidi" w:cstheme="majorBidi"/>
          <w:sz w:val="28"/>
          <w:szCs w:val="28"/>
        </w:rPr>
        <w:t xml:space="preserve"/>
      </w:r>
      <w:r w:rsidR="008B70E6" w:rsidRPr="005177FE">
        <w:rPr>
          <w:rFonts w:asciiTheme="majorBidi" w:eastAsia="Calibri" w:hAnsiTheme="majorBidi" w:cstheme="majorBidi"/>
          <w:sz w:val="28"/>
          <w:szCs w:val="28"/>
        </w:rPr>
        <w:t/>
      </w:r>
      <w:r w:rsidR="005177FE">
        <w:rPr>
          <w:rFonts w:asciiTheme="majorBidi" w:eastAsia="Calibri" w:hAnsiTheme="majorBidi" w:cstheme="majorBidi"/>
          <w:sz w:val="28"/>
          <w:szCs w:val="28"/>
        </w:rPr>
        <w:t xml:space="preserve"/>
      </w:r>
      <w:r w:rsidR="005177FE" w:rsidRPr="005177FE">
        <w:rPr>
          <w:rFonts w:asciiTheme="majorBidi" w:eastAsia="Calibri" w:hAnsiTheme="majorBidi" w:cstheme="majorBidi"/>
          <w:sz w:val="28"/>
          <w:szCs w:val="28"/>
          <w:vertAlign w:val="superscript"/>
        </w:rPr>
        <w:t/>
      </w:r>
    </w:p>
    <w:p w14:paraId="069C2241" w14:textId="6988ABAC" w:rsidR="00C40B1A" w:rsidRDefault="00C40B1A" w:rsidP="00C40B1A">
      <w:pPr>
        <w:spacing w:line="240" w:lineRule="auto"/>
        <w:jc w:val="both"/>
        <w:rPr>
          <w:rFonts w:asciiTheme="majorBidi" w:eastAsia="Calibri" w:hAnsiTheme="majorBidi" w:cstheme="majorBidi"/>
          <w:b/>
          <w:bCs/>
          <w:sz w:val="28"/>
          <w:szCs w:val="28"/>
        </w:rPr>
      </w:pPr>
      <w:r>
        <w:rPr>
          <w:rFonts w:asciiTheme="majorBidi" w:eastAsia="Calibri" w:hAnsiTheme="majorBidi" w:cstheme="majorBidi"/>
          <w:b/>
          <w:bCs/>
          <w:sz w:val="28"/>
          <w:szCs w:val="28"/>
        </w:rPr>
        <w:t xml:space="preserve"/>
      </w:r>
      <w:r w:rsidRPr="00C40B1A">
        <w:rPr>
          <w:rFonts w:asciiTheme="majorBidi" w:eastAsia="Calibri" w:hAnsiTheme="majorBidi" w:cstheme="majorBidi"/>
          <w:sz w:val="28"/>
          <w:szCs w:val="28"/>
        </w:rPr>
        <w:t/>
      </w:r>
    </w:p>
    <w:p w14:paraId="1D20A6D6" w14:textId="70BCB08A" w:rsidR="00C40B1A" w:rsidRDefault="00C40B1A" w:rsidP="00C40B1A">
      <w:pPr>
        <w:spacing w:line="240" w:lineRule="auto"/>
        <w:jc w:val="both"/>
        <w:rPr>
          <w:rFonts w:asciiTheme="majorBidi" w:eastAsia="Calibri" w:hAnsiTheme="majorBidi" w:cstheme="majorBidi"/>
          <w:b/>
          <w:bCs/>
          <w:sz w:val="28"/>
          <w:szCs w:val="28"/>
        </w:rPr>
      </w:pPr>
      <w:r>
        <w:rPr>
          <w:rFonts w:asciiTheme="majorBidi" w:eastAsia="Calibri" w:hAnsiTheme="majorBidi" w:cstheme="majorBidi"/>
          <w:b/>
          <w:bCs/>
          <w:sz w:val="28"/>
          <w:szCs w:val="28"/>
        </w:rPr>
        <w:t/>
      </w:r>
    </w:p>
    <w:p w14:paraId="1EEBCCB3" w14:textId="32E2C5F9" w:rsidR="00C40B1A" w:rsidRPr="00C40B1A" w:rsidRDefault="00C40B1A" w:rsidP="00C40B1A">
      <w:pPr>
        <w:jc w:val="both"/>
        <w:rPr>
          <w:rFonts w:asciiTheme="majorBidi" w:hAnsiTheme="majorBidi" w:cstheme="majorBidi"/>
          <w:color w:val="000000" w:themeColor="text1"/>
          <w:vertAlign w:val="superscript"/>
        </w:rPr>
      </w:pPr>
      <w:r w:rsidRPr="00C40B1A">
        <w:rPr>
          <w:rFonts w:asciiTheme="majorBidi" w:hAnsiTheme="majorBidi" w:cstheme="majorBidi"/>
          <w:color w:val="000000" w:themeColor="text1"/>
          <w:vertAlign w:val="superscript"/>
        </w:rPr>
        <w:t/>
      </w:r>
      <w:r w:rsidRPr="00C40B1A">
        <w:rPr>
          <w:rFonts w:asciiTheme="majorBidi" w:hAnsiTheme="majorBidi" w:cstheme="majorBidi"/>
          <w:color w:val="000000" w:themeColor="text1"/>
        </w:rPr>
        <w:t xml:space="preserve"/>
      </w:r>
      <w:r w:rsidR="005177FE" w:rsidRPr="00C40B1A">
        <w:rPr>
          <w:rFonts w:asciiTheme="majorBidi" w:hAnsiTheme="majorBidi" w:cstheme="majorBidi"/>
          <w:color w:val="000000" w:themeColor="text1"/>
        </w:rPr>
        <w:t/>
      </w:r>
      <w:r w:rsidRPr="00C40B1A">
        <w:rPr>
          <w:rFonts w:asciiTheme="majorBidi" w:hAnsiTheme="majorBidi" w:cstheme="majorBidi"/>
          <w:color w:val="000000" w:themeColor="text1"/>
        </w:rPr>
        <w:t xml:space="preserve"/>
      </w:r>
    </w:p>
    <w:p w14:paraId="5718B2E9" w14:textId="0D539011" w:rsidR="00C40B1A" w:rsidRDefault="00C40B1A" w:rsidP="00C40B1A">
      <w:pPr>
        <w:jc w:val="both"/>
        <w:rPr>
          <w:rFonts w:asciiTheme="majorBidi" w:hAnsiTheme="majorBidi" w:cstheme="majorBidi"/>
          <w:color w:val="000000" w:themeColor="text1"/>
        </w:rPr>
      </w:pPr>
      <w:r w:rsidRPr="00C40B1A">
        <w:rPr>
          <w:rFonts w:asciiTheme="majorBidi" w:hAnsiTheme="majorBidi" w:cstheme="majorBidi"/>
          <w:color w:val="000000" w:themeColor="text1"/>
          <w:vertAlign w:val="superscript"/>
        </w:rPr>
        <w:t xml:space="preserve"/>
      </w:r>
      <w:r w:rsidRPr="00C40B1A">
        <w:rPr>
          <w:rFonts w:asciiTheme="majorBidi" w:hAnsiTheme="majorBidi" w:cstheme="majorBidi"/>
          <w:color w:val="000000" w:themeColor="text1"/>
        </w:rPr>
        <w:t/>
      </w:r>
    </w:p>
    <w:p w14:paraId="333D7641" w14:textId="4F454348" w:rsidR="005177FE" w:rsidRPr="005177FE" w:rsidRDefault="005177FE" w:rsidP="00C40B1A">
      <w:pPr>
        <w:jc w:val="both"/>
        <w:rPr>
          <w:rFonts w:asciiTheme="majorBidi" w:hAnsiTheme="majorBidi" w:cstheme="majorBidi"/>
          <w:color w:val="000000" w:themeColor="text1"/>
        </w:rPr>
      </w:pPr>
      <w:r w:rsidRPr="005177FE">
        <w:rPr>
          <w:rFonts w:asciiTheme="majorBidi" w:hAnsiTheme="majorBidi" w:cstheme="majorBidi"/>
          <w:color w:val="000000" w:themeColor="text1"/>
          <w:vertAlign w:val="superscript"/>
        </w:rPr>
        <w:t/>
      </w:r>
      <w:r>
        <w:rPr>
          <w:rFonts w:asciiTheme="majorBidi" w:hAnsiTheme="majorBidi" w:cstheme="majorBidi"/>
          <w:color w:val="000000" w:themeColor="text1"/>
          <w:vertAlign w:val="superscript"/>
        </w:rPr>
        <w:t xml:space="preserve"/>
      </w:r>
      <w:r>
        <w:rPr>
          <w:rFonts w:asciiTheme="majorBidi" w:hAnsiTheme="majorBidi" w:cstheme="majorBidi"/>
          <w:color w:val="000000" w:themeColor="text1"/>
        </w:rPr>
        <w:t/>
      </w:r>
    </w:p>
    <w:p w14:paraId="32BA4BD5" w14:textId="77777777" w:rsidR="005E5F42" w:rsidRDefault="005E5F42" w:rsidP="00C40B1A">
      <w:pPr>
        <w:pStyle w:val="BodyText"/>
        <w:spacing w:line="360" w:lineRule="auto"/>
        <w:rPr>
          <w:rFonts w:asciiTheme="majorBidi" w:hAnsiTheme="majorBidi" w:cstheme="majorBidi"/>
          <w:b/>
          <w:sz w:val="30"/>
        </w:rPr>
      </w:pPr>
    </w:p>
    <w:p w14:paraId="2260EE8D" w14:textId="112A4224" w:rsidR="005E5F42" w:rsidRPr="005F37DD" w:rsidRDefault="005F37DD" w:rsidP="005F37DD">
      <w:pPr>
        <w:spacing w:line="360" w:lineRule="auto"/>
        <w:rPr>
          <w:b/>
          <w:sz w:val="28"/>
          <w:szCs w:val="28"/>
        </w:rPr>
      </w:pPr>
      <w:r w:rsidRPr="005F37DD">
        <w:rPr>
          <w:b/>
          <w:color w:val="000008"/>
          <w:sz w:val="28"/>
          <w:szCs w:val="28"/>
        </w:rPr>
        <w:t/>
      </w:r>
    </w:p>
    <w:p w14:paraId="46743C51" w14:textId="77777777" w:rsidR="0032664B" w:rsidRDefault="0032664B" w:rsidP="0032664B">
      <w:pPr>
        <w:pStyle w:val="NormalWeb"/>
        <w:spacing w:line="360" w:lineRule="auto"/>
        <w:jc w:val="both"/>
      </w:pPr>
      <w:r w:rsidRPr="0032664B">
        <w:rPr>
          <w:rStyle w:val="Strong"/>
          <w:i/>
          <w:iCs/>
        </w:rPr>
        <w:t/>
      </w:r>
      <w:r>
        <w:rPr>
          <w:rStyle w:val="Strong"/>
        </w:rPr>
        <w:t/>
      </w:r>
      <w:r>
        <w:br/>
        <w:t/>
      </w:r>
    </w:p>
    <w:p w14:paraId="743ABE3F" w14:textId="0AC170FC" w:rsidR="0032664B" w:rsidRDefault="0032664B" w:rsidP="00BD2BCC">
      <w:pPr>
        <w:pStyle w:val="NormalWeb"/>
        <w:spacing w:line="360" w:lineRule="auto"/>
        <w:jc w:val="both"/>
      </w:pPr>
      <w:r w:rsidRPr="0032664B">
        <w:rPr>
          <w:rStyle w:val="Strong"/>
          <w:i/>
          <w:iCs/>
        </w:rPr>
        <w:t/>
      </w:r>
      <w:r>
        <w:rPr>
          <w:rStyle w:val="Strong"/>
        </w:rPr>
        <w:t/>
      </w:r>
      <w:r>
        <w:br/>
        <w:t xml:space="preserve"/>
      </w:r>
      <w:r>
        <w:rPr>
          <w:rStyle w:val="whitespace-normal"/>
        </w:rPr>
        <w:t/>
      </w:r>
      <w:r>
        <w:t xml:space="preserve"/>
      </w:r>
      <w:r>
        <w:rPr>
          <w:rStyle w:val="whitespace-normal"/>
        </w:rPr>
        <w:t/>
      </w:r>
      <w:r>
        <w:t xml:space="preserve"/>
      </w:r>
      <w:r>
        <w:lastRenderedPageBreak/>
        <w:t xml:space="preserve"/>
      </w:r>
      <w:r>
        <w:rPr>
          <w:rStyle w:val="Emphasis"/>
        </w:rPr>
        <w:t/>
      </w:r>
      <w:r>
        <w:t xml:space="preserve"/>
      </w:r>
      <w:r w:rsidR="005A4D14">
        <w:t xml:space="preserve"/>
      </w:r>
      <w:r>
        <w:t/>
      </w:r>
    </w:p>
    <w:p w14:paraId="0CA17A64" w14:textId="77777777" w:rsidR="0032664B" w:rsidRDefault="0032664B" w:rsidP="0032664B">
      <w:pPr>
        <w:pStyle w:val="NormalWeb"/>
        <w:spacing w:line="360" w:lineRule="auto"/>
        <w:jc w:val="both"/>
      </w:pPr>
      <w:r w:rsidRPr="0032664B">
        <w:rPr>
          <w:rStyle w:val="Strong"/>
          <w:i/>
          <w:iCs/>
        </w:rPr>
        <w:t/>
      </w:r>
      <w:r>
        <w:rPr>
          <w:rStyle w:val="Strong"/>
        </w:rPr>
        <w:t/>
      </w:r>
      <w:r>
        <w:br/>
        <w:t/>
      </w:r>
      <w:r>
        <w:rPr>
          <w:rStyle w:val="Emphasis"/>
        </w:rPr>
        <w:t/>
      </w:r>
      <w:r>
        <w:t xml:space="preserve"/>
      </w:r>
      <w:r>
        <w:rPr>
          <w:rStyle w:val="Emphasis"/>
        </w:rPr>
        <w:t/>
      </w:r>
      <w:r>
        <w:t xml:space="preserve"/>
      </w:r>
    </w:p>
    <w:p w14:paraId="29E0F96A" w14:textId="0A399802" w:rsidR="0032664B" w:rsidRDefault="0032664B" w:rsidP="0032664B">
      <w:pPr>
        <w:pStyle w:val="NormalWeb"/>
        <w:spacing w:line="360" w:lineRule="auto"/>
        <w:jc w:val="both"/>
      </w:pPr>
      <w:r w:rsidRPr="0032664B">
        <w:rPr>
          <w:rStyle w:val="Strong"/>
          <w:i/>
          <w:iCs/>
        </w:rPr>
        <w:t/>
      </w:r>
      <w:r>
        <w:rPr>
          <w:rStyle w:val="Strong"/>
        </w:rPr>
        <w:t/>
      </w:r>
      <w:r>
        <w:br/>
        <w:t xml:space="preserve"/>
      </w:r>
      <w:r w:rsidR="008B70E6">
        <w:t/>
      </w:r>
      <w:r>
        <w:t xml:space="preserve"/>
      </w:r>
    </w:p>
    <w:p w14:paraId="6910B68C" w14:textId="5A59EC59" w:rsidR="005E5F42" w:rsidRPr="0032664B" w:rsidRDefault="0032664B" w:rsidP="0032664B">
      <w:pPr>
        <w:pStyle w:val="NormalWeb"/>
        <w:spacing w:line="360" w:lineRule="auto"/>
        <w:jc w:val="both"/>
      </w:pPr>
      <w:r w:rsidRPr="0032664B">
        <w:rPr>
          <w:rStyle w:val="Strong"/>
          <w:i/>
          <w:iCs/>
        </w:rPr>
        <w:t/>
      </w:r>
      <w:r>
        <w:rPr>
          <w:rStyle w:val="Strong"/>
        </w:rPr>
        <w:t/>
      </w:r>
      <w:r>
        <w:br/>
        <w:t/>
      </w:r>
    </w:p>
    <w:p w14:paraId="403C5242" w14:textId="77777777" w:rsidR="0032664B" w:rsidRDefault="0032664B" w:rsidP="0032664B">
      <w:pPr>
        <w:spacing w:after="0" w:line="360" w:lineRule="auto"/>
        <w:jc w:val="both"/>
        <w:rPr>
          <w:b/>
          <w:bCs/>
          <w:i/>
          <w:iCs/>
        </w:rPr>
      </w:pPr>
      <w:r w:rsidRPr="0032664B">
        <w:rPr>
          <w:b/>
          <w:bCs/>
          <w:i/>
          <w:iCs/>
        </w:rPr>
        <w:t/>
      </w:r>
    </w:p>
    <w:p w14:paraId="30CEC778" w14:textId="0E801102" w:rsidR="00BD2BCC" w:rsidRDefault="005B2D78" w:rsidP="00BD2BCC">
      <w:pPr>
        <w:spacing w:after="0" w:line="360" w:lineRule="auto"/>
        <w:jc w:val="both"/>
        <w:rPr>
          <w:sz w:val="24"/>
          <w:szCs w:val="24"/>
        </w:rPr>
        <w:sectPr w:rsidR="00BD2BCC" w:rsidSect="0066396A">
          <w:footerReference w:type="default" r:id="rId9"/>
          <w:footerReference w:type="first" r:id="rId10"/>
          <w:type w:val="continuous"/>
          <w:pgSz w:w="11909" w:h="16834" w:code="9"/>
          <w:pgMar w:top="1440" w:right="1440" w:bottom="1440" w:left="1440" w:header="720" w:footer="720" w:gutter="0"/>
          <w:pgNumType w:start="1"/>
          <w:cols w:space="720"/>
          <w:titlePg/>
          <w:docGrid w:linePitch="299"/>
        </w:sectPr>
      </w:pPr>
      <w:r w:rsidRPr="005B2D78">
        <w:rPr>
          <w:sz w:val="24"/>
          <w:szCs w:val="24"/>
        </w:rPr>
        <w:t/>
      </w:r>
      <w:r w:rsidR="00534729">
        <w:rPr>
          <w:sz w:val="24"/>
          <w:szCs w:val="24"/>
        </w:rPr>
        <w:t/>
      </w:r>
    </w:p>
    <w:p w14:paraId="0061A715" w14:textId="4682ECF9" w:rsidR="005E5F42" w:rsidRPr="006C5475" w:rsidRDefault="005F37DD" w:rsidP="006C5475">
      <w:pPr>
        <w:pStyle w:val="ListParagraph"/>
        <w:numPr>
          <w:ilvl w:val="0"/>
          <w:numId w:val="18"/>
        </w:numPr>
        <w:rPr>
          <w:b/>
          <w:sz w:val="28"/>
          <w:szCs w:val="28"/>
        </w:rPr>
      </w:pPr>
      <w:r>
        <w:rPr>
          <w:b/>
          <w:spacing w:val="-5"/>
          <w:sz w:val="28"/>
          <w:szCs w:val="28"/>
        </w:rPr>
        <w:lastRenderedPageBreak/>
        <w:t>INTRODUCTION</w:t>
      </w:r>
    </w:p>
    <w:p w14:paraId="67957C68" w14:textId="412B5CD2" w:rsidR="006C5475" w:rsidRPr="006C5475" w:rsidRDefault="006C5475" w:rsidP="006C5475">
      <w:pPr>
        <w:spacing w:line="360" w:lineRule="auto"/>
        <w:jc w:val="both"/>
        <w:rPr>
          <w:sz w:val="24"/>
          <w:szCs w:val="24"/>
        </w:rPr>
      </w:pPr>
      <w:r w:rsidRPr="006C5475">
        <w:rPr>
          <w:sz w:val="24"/>
          <w:szCs w:val="24"/>
        </w:rPr>
        <w:t xml:space="preserve">Dental education differs from many other academic programs because it combines intensive theoretical, preclinical, and clinical training that requires students to develop cognitive, psychomotor, interpersonal, communication, and professional responsibility skills. The acquisition of these competencies requires a stable educational environment that enables students to maintain concentration, engagement, and effective learning throughout their academic training </w:t>
      </w:r>
      <w:r w:rsidRPr="005E4DF3">
        <w:rPr>
          <w:sz w:val="24"/>
          <w:szCs w:val="24"/>
          <w:vertAlign w:val="superscript"/>
        </w:rPr>
        <w:t>(1)</w:t>
      </w:r>
      <w:r w:rsidRPr="006C5475">
        <w:rPr>
          <w:sz w:val="24"/>
          <w:szCs w:val="24"/>
        </w:rPr>
        <w:t xml:space="preserve">. Consequently, academic performance among undergraduate dental students is considered a major indicator of educational success in dental schools worldwide and may be influenced by multiple socioeconomic, environmental, behavioral, and educational factors </w:t>
      </w:r>
      <w:r w:rsidRPr="005E4DF3">
        <w:rPr>
          <w:sz w:val="24"/>
          <w:szCs w:val="24"/>
          <w:vertAlign w:val="superscript"/>
        </w:rPr>
        <w:t>(2).</w:t>
      </w:r>
    </w:p>
    <w:p w14:paraId="01F4C84C" w14:textId="34817B3E" w:rsidR="006C5475" w:rsidRPr="006C5475" w:rsidRDefault="006C5475" w:rsidP="006C5475">
      <w:pPr>
        <w:spacing w:line="360" w:lineRule="auto"/>
        <w:jc w:val="both"/>
        <w:rPr>
          <w:sz w:val="24"/>
          <w:szCs w:val="24"/>
        </w:rPr>
      </w:pPr>
      <w:r w:rsidRPr="006C5475">
        <w:rPr>
          <w:sz w:val="24"/>
          <w:szCs w:val="24"/>
        </w:rPr>
        <w:t xml:space="preserve">Several studies have demonstrated that students’ academic achievement is strongly associated with socioeconomic status, family income, parental educational level, social support, and study habits, all of which may affect students’ ability to adapt to academic demands and maintain satisfactory academic performance </w:t>
      </w:r>
      <w:r w:rsidRPr="005E4DF3">
        <w:rPr>
          <w:sz w:val="24"/>
          <w:szCs w:val="24"/>
          <w:vertAlign w:val="superscript"/>
        </w:rPr>
        <w:t>(3)</w:t>
      </w:r>
      <w:r w:rsidRPr="006C5475">
        <w:rPr>
          <w:sz w:val="24"/>
          <w:szCs w:val="24"/>
        </w:rPr>
        <w:t xml:space="preserve">. Effective learning in dental education also requires students to process complex information, adapt to different teaching methods, maintain attention during practical sessions, and retain theoretical and clinical knowledge over time </w:t>
      </w:r>
      <w:r w:rsidRPr="005E4DF3">
        <w:rPr>
          <w:sz w:val="24"/>
          <w:szCs w:val="24"/>
          <w:vertAlign w:val="superscript"/>
        </w:rPr>
        <w:t>(4)</w:t>
      </w:r>
      <w:r w:rsidRPr="006C5475">
        <w:rPr>
          <w:sz w:val="24"/>
          <w:szCs w:val="24"/>
        </w:rPr>
        <w:t xml:space="preserve">. Sudanese dental students are currently exposed to substantial educational challenges resulting from political instability, economic hardship, interruptions in academic activities, and the consequences of the COVID-19 pandemic. These factors have adversely affected the continuity and stability of higher education institutions, including dental schools, and have contributed to increased reliance on online and blended learning methods. However, dental education fundamentally depends on direct supervision, practical training, and clinical exposure, making the educational process particularly vulnerable to instability and disruption. Previous studies have investigated multiple factors associated with academic performance among medical and dental students. A cross-sectional study conducted by Sultan Almalki in 2019 reported a positive relationship between learning motivation, self-efficacy, and grade point average (GPA), while test anxiety demonstrated a negative association with academic performance. The study also emphasized the influence of socioeconomic status and family support on students’ educational outcomes </w:t>
      </w:r>
      <w:r w:rsidRPr="00E15BC5">
        <w:rPr>
          <w:sz w:val="24"/>
          <w:szCs w:val="24"/>
          <w:vertAlign w:val="superscript"/>
        </w:rPr>
        <w:t>(1)</w:t>
      </w:r>
      <w:r w:rsidRPr="006C5475">
        <w:rPr>
          <w:sz w:val="24"/>
          <w:szCs w:val="24"/>
        </w:rPr>
        <w:t xml:space="preserve">. </w:t>
      </w:r>
      <w:r w:rsidR="00CA13FF" w:rsidRPr="006C5475">
        <w:rPr>
          <w:sz w:val="24"/>
          <w:szCs w:val="24"/>
        </w:rPr>
        <w:t>Similarly, Turk Yilmaz</w:t>
      </w:r>
      <w:r w:rsidRPr="006C5475">
        <w:rPr>
          <w:sz w:val="24"/>
          <w:szCs w:val="24"/>
        </w:rPr>
        <w:t xml:space="preserve"> and colleagues demonstrated that online educational resources and blended learning approaches could positively enhance dental students’ understanding and application of theoretical concepts in clinical practice </w:t>
      </w:r>
      <w:r w:rsidRPr="00E15BC5">
        <w:rPr>
          <w:sz w:val="24"/>
          <w:szCs w:val="24"/>
          <w:vertAlign w:val="superscript"/>
        </w:rPr>
        <w:t>(2)</w:t>
      </w:r>
      <w:r w:rsidRPr="006C5475">
        <w:rPr>
          <w:sz w:val="24"/>
          <w:szCs w:val="24"/>
        </w:rPr>
        <w:t xml:space="preserve">. In Sudan, a comparative cross-sectional study conducted at University of Gezira found statistically significant associations between academic excellence and several variables, including </w:t>
      </w:r>
      <w:r w:rsidRPr="006C5475">
        <w:rPr>
          <w:sz w:val="24"/>
          <w:szCs w:val="24"/>
        </w:rPr>
        <w:lastRenderedPageBreak/>
        <w:t xml:space="preserve">attendance of academic and clinical activities, sleep duration, parental profession, admission type, and study behaviors </w:t>
      </w:r>
      <w:r w:rsidRPr="005E4DF3">
        <w:rPr>
          <w:sz w:val="24"/>
          <w:szCs w:val="24"/>
          <w:vertAlign w:val="superscript"/>
        </w:rPr>
        <w:t>(5)</w:t>
      </w:r>
      <w:r w:rsidRPr="006C5475">
        <w:rPr>
          <w:sz w:val="24"/>
          <w:szCs w:val="24"/>
        </w:rPr>
        <w:t xml:space="preserve">. Other studies further reported that behavioral factors such as excessive mobile phone use, poor study environments, internet addiction, and poor sleep quality may negatively affect students’ academic performance and learning behaviors </w:t>
      </w:r>
      <w:r w:rsidRPr="005E4DF3">
        <w:rPr>
          <w:sz w:val="24"/>
          <w:szCs w:val="24"/>
          <w:vertAlign w:val="superscript"/>
        </w:rPr>
        <w:t>(6,7)</w:t>
      </w:r>
      <w:r w:rsidRPr="006C5475">
        <w:rPr>
          <w:sz w:val="24"/>
          <w:szCs w:val="24"/>
        </w:rPr>
        <w:t>.</w:t>
      </w:r>
    </w:p>
    <w:p w14:paraId="5A3E9863" w14:textId="10D0C244" w:rsidR="005E5F42" w:rsidRDefault="006C5475" w:rsidP="006C5475">
      <w:pPr>
        <w:spacing w:line="360" w:lineRule="auto"/>
        <w:jc w:val="both"/>
        <w:rPr>
          <w:sz w:val="24"/>
          <w:szCs w:val="24"/>
        </w:rPr>
      </w:pPr>
      <w:r w:rsidRPr="006C5475">
        <w:rPr>
          <w:sz w:val="24"/>
          <w:szCs w:val="24"/>
        </w:rPr>
        <w:t>Despite increasing international interest in the determinants of academic achievement among university students, limited evidence is available regarding the factors associated with poor academic performance among Sudanese dental students, particularly low-achieving students. Identifying these factors may contribute to the development of evidence-based educational strategies and supportive academic environments that address students’ academic and clinical needs, improve educational continuity, and strengthen institutional support systems. Therefore, this study aimed to explore the factors associated with low academic performance among undergraduate dental students at Karary University during the academic years 2021–2022. Specifically, the study sought to investigate the environmental, social, and economic barriers affecting students’ academic achievement, determine the effect of attendance and participation in academic activities on academic performance, and assess the relationship between students’ daily habits and their ccumulated grade point average (</w:t>
      </w:r>
      <w:r w:rsidR="001934DD">
        <w:rPr>
          <w:sz w:val="24"/>
          <w:szCs w:val="24"/>
        </w:rPr>
        <w:t>C</w:t>
      </w:r>
      <w:r w:rsidRPr="006C5475">
        <w:rPr>
          <w:sz w:val="24"/>
          <w:szCs w:val="24"/>
        </w:rPr>
        <w:t>GPA).</w:t>
      </w:r>
    </w:p>
    <w:p w14:paraId="283C217B" w14:textId="2005C899" w:rsidR="006C5475" w:rsidRPr="006C5475" w:rsidRDefault="006C5475" w:rsidP="006C5475">
      <w:pPr>
        <w:pStyle w:val="ListParagraph"/>
        <w:numPr>
          <w:ilvl w:val="0"/>
          <w:numId w:val="18"/>
        </w:numPr>
        <w:spacing w:line="360" w:lineRule="auto"/>
        <w:jc w:val="both"/>
        <w:rPr>
          <w:b/>
          <w:bCs/>
          <w:sz w:val="28"/>
          <w:szCs w:val="28"/>
        </w:rPr>
      </w:pPr>
      <w:r w:rsidRPr="006C5475">
        <w:rPr>
          <w:b/>
          <w:bCs/>
          <w:sz w:val="28"/>
          <w:szCs w:val="28"/>
        </w:rPr>
        <w:t>M</w:t>
      </w:r>
      <w:r w:rsidR="005F37DD">
        <w:rPr>
          <w:b/>
          <w:bCs/>
          <w:sz w:val="28"/>
          <w:szCs w:val="28"/>
        </w:rPr>
        <w:t>ETHODOLGY</w:t>
      </w:r>
    </w:p>
    <w:p w14:paraId="6C9AAF61" w14:textId="77777777" w:rsidR="005E4DF3" w:rsidRPr="005E4DF3" w:rsidRDefault="005E4DF3" w:rsidP="00E15BC5">
      <w:pPr>
        <w:pStyle w:val="EndNoteBibliography"/>
        <w:spacing w:after="0" w:line="360" w:lineRule="auto"/>
        <w:jc w:val="both"/>
        <w:rPr>
          <w:b/>
          <w:bCs/>
          <w:sz w:val="28"/>
          <w:szCs w:val="28"/>
        </w:rPr>
      </w:pPr>
      <w:r w:rsidRPr="005E4DF3">
        <w:rPr>
          <w:b/>
          <w:bCs/>
          <w:sz w:val="24"/>
          <w:szCs w:val="24"/>
        </w:rPr>
        <w:t>Study Design and Setting</w:t>
      </w:r>
    </w:p>
    <w:p w14:paraId="054702F8" w14:textId="5CE03BB1" w:rsidR="005E4DF3" w:rsidRDefault="005E4DF3" w:rsidP="00E15BC5">
      <w:pPr>
        <w:pStyle w:val="NormalWeb"/>
        <w:spacing w:before="0" w:beforeAutospacing="0" w:line="360" w:lineRule="auto"/>
        <w:jc w:val="both"/>
      </w:pPr>
      <w:r>
        <w:t xml:space="preserve">Observational descriptive cross-sectional institutional-based study was conducted at </w:t>
      </w:r>
      <w:r>
        <w:rPr>
          <w:rStyle w:val="whitespace-normal"/>
        </w:rPr>
        <w:t>Karary University</w:t>
      </w:r>
      <w:r w:rsidR="00CA13FF">
        <w:rPr>
          <w:rStyle w:val="whitespace-normal"/>
        </w:rPr>
        <w:t xml:space="preserve">, College of Oral and Dental Medicine </w:t>
      </w:r>
      <w:r w:rsidR="00CA13FF">
        <w:t>– Karary University is</w:t>
      </w:r>
      <w:r>
        <w:t xml:space="preserve"> located in Banat area, Omdurman locality, Khartoum State, Sudan. </w:t>
      </w:r>
      <w:r w:rsidR="00CA13FF">
        <w:rPr>
          <w:rStyle w:val="whitespace-normal"/>
        </w:rPr>
        <w:t xml:space="preserve">It </w:t>
      </w:r>
      <w:r>
        <w:t>comprises several medical faculties, including the College of Oral and Dental Medicine.</w:t>
      </w:r>
    </w:p>
    <w:p w14:paraId="104998C6" w14:textId="77777777" w:rsidR="005E4DF3" w:rsidRPr="005E4DF3" w:rsidRDefault="005E4DF3" w:rsidP="00E15BC5">
      <w:pPr>
        <w:pStyle w:val="EndNoteBibliography"/>
        <w:spacing w:after="0" w:line="360" w:lineRule="auto"/>
        <w:jc w:val="both"/>
        <w:rPr>
          <w:b/>
          <w:bCs/>
          <w:sz w:val="24"/>
          <w:szCs w:val="24"/>
        </w:rPr>
      </w:pPr>
      <w:r w:rsidRPr="005E4DF3">
        <w:rPr>
          <w:b/>
          <w:bCs/>
          <w:sz w:val="24"/>
          <w:szCs w:val="24"/>
        </w:rPr>
        <w:t>Study Population and Sampling</w:t>
      </w:r>
    </w:p>
    <w:p w14:paraId="72768BA4" w14:textId="77777777" w:rsidR="005E4DF3" w:rsidRPr="005E4DF3" w:rsidRDefault="005E4DF3" w:rsidP="005E4DF3">
      <w:pPr>
        <w:pStyle w:val="EndNoteBibliography"/>
        <w:spacing w:line="360" w:lineRule="auto"/>
        <w:jc w:val="both"/>
        <w:rPr>
          <w:sz w:val="24"/>
          <w:szCs w:val="24"/>
        </w:rPr>
      </w:pPr>
      <w:r w:rsidRPr="005E4DF3">
        <w:rPr>
          <w:sz w:val="24"/>
          <w:szCs w:val="24"/>
        </w:rPr>
        <w:t>The study population included undergraduate dental students enrolled in the first, second, third, fourth, and fifth academic years at the College of Oral and Dental Medicine. These academic levels were selected because students were considered to have experienced varying educational and academic challenges throughout their study period.</w:t>
      </w:r>
    </w:p>
    <w:p w14:paraId="202244C6" w14:textId="196E7FDB" w:rsidR="005E4DF3" w:rsidRPr="005E4DF3" w:rsidRDefault="0026179F" w:rsidP="005E4DF3">
      <w:pPr>
        <w:pStyle w:val="EndNoteBibliography"/>
        <w:spacing w:line="360" w:lineRule="auto"/>
        <w:jc w:val="both"/>
        <w:rPr>
          <w:sz w:val="24"/>
          <w:szCs w:val="24"/>
        </w:rPr>
      </w:pPr>
      <w:r>
        <w:t>Eligible participants included all dental students with cumulated grade point average (CGPA) below 3.00</w:t>
      </w:r>
      <w:r w:rsidR="001934DD">
        <w:t xml:space="preserve">, </w:t>
      </w:r>
      <w:r>
        <w:t xml:space="preserve">regardless of fluctuations in semester or </w:t>
      </w:r>
      <w:r w:rsidR="00DA7F30">
        <w:t>annual</w:t>
      </w:r>
      <w:r>
        <w:t xml:space="preserve"> </w:t>
      </w:r>
      <w:r w:rsidR="00DA7F30">
        <w:t xml:space="preserve">grade percentage </w:t>
      </w:r>
      <w:r w:rsidR="005F37DD">
        <w:t>average scores</w:t>
      </w:r>
      <w:r w:rsidR="00DA7F30">
        <w:t xml:space="preserve"> (AGPA),</w:t>
      </w:r>
      <w:r>
        <w:t xml:space="preserve"> </w:t>
      </w:r>
      <w:r w:rsidR="001934DD">
        <w:t>although</w:t>
      </w:r>
      <w:r>
        <w:t xml:space="preserve"> participant inclusion was based on a </w:t>
      </w:r>
      <w:r w:rsidR="00DA7F30">
        <w:t>C</w:t>
      </w:r>
      <w:r>
        <w:t xml:space="preserve">GPA below 3.00, variations in annual GPA scores were additionally documented and analyzed to evaluate differences in academic performance within the </w:t>
      </w:r>
      <w:r>
        <w:lastRenderedPageBreak/>
        <w:t xml:space="preserve">study population. </w:t>
      </w:r>
      <w:r w:rsidR="00BD2BCC">
        <w:t>. Students</w:t>
      </w:r>
      <w:r>
        <w:t xml:space="preserve"> who had incomplete academic records due to total absence from examinations or postponed examinations were excluded from the </w:t>
      </w:r>
      <w:r w:rsidR="001934DD">
        <w:t>study.</w:t>
      </w:r>
      <w:r w:rsidR="001934DD" w:rsidRPr="005E4DF3">
        <w:rPr>
          <w:sz w:val="24"/>
          <w:szCs w:val="24"/>
        </w:rPr>
        <w:t xml:space="preserve"> A</w:t>
      </w:r>
      <w:r w:rsidR="005E4DF3" w:rsidRPr="005E4DF3">
        <w:rPr>
          <w:sz w:val="24"/>
          <w:szCs w:val="24"/>
        </w:rPr>
        <w:t xml:space="preserve"> total coverage sampling technique was adopted, whereby all eligible students with </w:t>
      </w:r>
      <w:r w:rsidR="001934DD">
        <w:rPr>
          <w:sz w:val="24"/>
          <w:szCs w:val="24"/>
        </w:rPr>
        <w:t>C</w:t>
      </w:r>
      <w:r w:rsidR="005E4DF3" w:rsidRPr="005E4DF3">
        <w:rPr>
          <w:sz w:val="24"/>
          <w:szCs w:val="24"/>
        </w:rPr>
        <w:t>GPA scores below 3.00 from the included academic years were invited to participate in the study.</w:t>
      </w:r>
    </w:p>
    <w:p w14:paraId="5DB520AB" w14:textId="77777777" w:rsidR="005E4DF3" w:rsidRPr="005E4DF3" w:rsidRDefault="005E4DF3" w:rsidP="00E15BC5">
      <w:pPr>
        <w:pStyle w:val="EndNoteBibliography"/>
        <w:spacing w:after="0" w:line="360" w:lineRule="auto"/>
        <w:jc w:val="both"/>
        <w:rPr>
          <w:b/>
          <w:bCs/>
          <w:sz w:val="24"/>
          <w:szCs w:val="24"/>
        </w:rPr>
      </w:pPr>
      <w:r w:rsidRPr="005E4DF3">
        <w:rPr>
          <w:b/>
          <w:bCs/>
          <w:sz w:val="24"/>
          <w:szCs w:val="24"/>
        </w:rPr>
        <w:t>Data Collection Methods and Tools</w:t>
      </w:r>
    </w:p>
    <w:p w14:paraId="599BC82D" w14:textId="653E52E2" w:rsidR="005E4DF3" w:rsidRPr="005E4DF3" w:rsidRDefault="005E4DF3" w:rsidP="00623449">
      <w:pPr>
        <w:pStyle w:val="EndNoteBibliography"/>
        <w:spacing w:line="360" w:lineRule="auto"/>
        <w:jc w:val="both"/>
        <w:rPr>
          <w:sz w:val="24"/>
          <w:szCs w:val="24"/>
        </w:rPr>
      </w:pPr>
      <w:r w:rsidRPr="005E4DF3">
        <w:rPr>
          <w:sz w:val="24"/>
          <w:szCs w:val="24"/>
        </w:rPr>
        <w:t xml:space="preserve">Data were collected using a structured, pretested, self-administered questionnaire designed through </w:t>
      </w:r>
      <w:r w:rsidRPr="005E4DF3">
        <w:rPr>
          <w:rStyle w:val="whitespace-normal"/>
          <w:sz w:val="24"/>
          <w:szCs w:val="24"/>
        </w:rPr>
        <w:t>Google Forms</w:t>
      </w:r>
      <w:r w:rsidRPr="005E4DF3">
        <w:rPr>
          <w:sz w:val="24"/>
          <w:szCs w:val="24"/>
        </w:rPr>
        <w:t>. The questionnaire was distributed electronically to the selected participants.</w:t>
      </w:r>
      <w:r w:rsidR="00623449">
        <w:rPr>
          <w:sz w:val="24"/>
          <w:szCs w:val="24"/>
        </w:rPr>
        <w:t xml:space="preserve"> </w:t>
      </w:r>
      <w:r w:rsidRPr="005E4DF3">
        <w:rPr>
          <w:sz w:val="24"/>
          <w:szCs w:val="24"/>
        </w:rPr>
        <w:t>The questionnaire items were developed based on the study objectives and included sections addressing demographic characteristics, socioeconomic and environmental challenges, educational barriers, learning methods, attendance patterns, lifestyle factors, and other variables related to academic performance among dental students.</w:t>
      </w:r>
    </w:p>
    <w:p w14:paraId="485B5085" w14:textId="77777777" w:rsidR="005E4DF3" w:rsidRPr="005E4DF3" w:rsidRDefault="005E4DF3" w:rsidP="00E15BC5">
      <w:pPr>
        <w:pStyle w:val="EndNoteBibliography"/>
        <w:spacing w:after="0" w:line="360" w:lineRule="auto"/>
        <w:jc w:val="both"/>
        <w:rPr>
          <w:b/>
          <w:bCs/>
          <w:sz w:val="24"/>
          <w:szCs w:val="24"/>
        </w:rPr>
      </w:pPr>
      <w:r w:rsidRPr="005E4DF3">
        <w:rPr>
          <w:b/>
          <w:bCs/>
          <w:sz w:val="24"/>
          <w:szCs w:val="24"/>
        </w:rPr>
        <w:t>Study Variables</w:t>
      </w:r>
    </w:p>
    <w:p w14:paraId="722CE6EA" w14:textId="77777777" w:rsidR="005E4DF3" w:rsidRPr="005E4DF3" w:rsidRDefault="005E4DF3" w:rsidP="005E4DF3">
      <w:pPr>
        <w:pStyle w:val="EndNoteBibliography"/>
        <w:spacing w:line="360" w:lineRule="auto"/>
        <w:jc w:val="both"/>
        <w:rPr>
          <w:sz w:val="24"/>
          <w:szCs w:val="24"/>
        </w:rPr>
      </w:pPr>
      <w:r w:rsidRPr="005E4DF3">
        <w:rPr>
          <w:sz w:val="24"/>
          <w:szCs w:val="24"/>
        </w:rPr>
        <w:t xml:space="preserve">The background variables included age and gender. Independent variables included socioeconomic factors such as family income, parents’ educational level, and parents’ occupation, in addition to students’ medical condition, learning methods, attendance capability, lifestyle habits, study duration, sleeping patterns, and academic grade scores. The dependent variable was the challenges associated with academic performance among dental students at </w:t>
      </w:r>
      <w:r w:rsidRPr="005E4DF3">
        <w:rPr>
          <w:rStyle w:val="whitespace-normal"/>
          <w:sz w:val="24"/>
          <w:szCs w:val="24"/>
        </w:rPr>
        <w:t>Karary University</w:t>
      </w:r>
      <w:r w:rsidRPr="005E4DF3">
        <w:rPr>
          <w:sz w:val="24"/>
          <w:szCs w:val="24"/>
        </w:rPr>
        <w:t>.</w:t>
      </w:r>
    </w:p>
    <w:p w14:paraId="3FA38EBA" w14:textId="77777777" w:rsidR="005E4DF3" w:rsidRPr="005E4DF3" w:rsidRDefault="005E4DF3" w:rsidP="00E15BC5">
      <w:pPr>
        <w:pStyle w:val="EndNoteBibliography"/>
        <w:spacing w:after="0" w:line="360" w:lineRule="auto"/>
        <w:jc w:val="both"/>
        <w:rPr>
          <w:b/>
          <w:bCs/>
          <w:sz w:val="24"/>
          <w:szCs w:val="24"/>
        </w:rPr>
      </w:pPr>
      <w:r w:rsidRPr="005E4DF3">
        <w:rPr>
          <w:b/>
          <w:bCs/>
          <w:sz w:val="24"/>
          <w:szCs w:val="24"/>
        </w:rPr>
        <w:t>Data Management and Statistical Analysis</w:t>
      </w:r>
    </w:p>
    <w:p w14:paraId="00A748D2" w14:textId="77777777" w:rsidR="005E4DF3" w:rsidRPr="005E4DF3" w:rsidRDefault="005E4DF3" w:rsidP="005E4DF3">
      <w:pPr>
        <w:pStyle w:val="EndNoteBibliography"/>
        <w:spacing w:line="360" w:lineRule="auto"/>
        <w:jc w:val="both"/>
        <w:rPr>
          <w:sz w:val="24"/>
          <w:szCs w:val="24"/>
        </w:rPr>
      </w:pPr>
      <w:r w:rsidRPr="005E4DF3">
        <w:rPr>
          <w:sz w:val="24"/>
          <w:szCs w:val="24"/>
        </w:rPr>
        <w:t xml:space="preserve">Data were collected electronically using the pretested questionnaire and were checked for completeness and quality before analysis. The collected data were entered and analyzed using </w:t>
      </w:r>
      <w:r w:rsidRPr="005E4DF3">
        <w:rPr>
          <w:rStyle w:val="whitespace-normal"/>
          <w:sz w:val="24"/>
          <w:szCs w:val="24"/>
        </w:rPr>
        <w:t>IBM SPSS Statistics</w:t>
      </w:r>
      <w:r w:rsidRPr="005E4DF3">
        <w:rPr>
          <w:sz w:val="24"/>
          <w:szCs w:val="24"/>
        </w:rPr>
        <w:t xml:space="preserve">. Descriptive statistical analysis was performed for all study variables using frequencies and percentages. Inferential statistical analysis was conducted to determine the associations between independent variables and students’ academic performance. Results were presented using tables, charts, and graphical illustrations prepared through </w:t>
      </w:r>
      <w:r w:rsidRPr="005E4DF3">
        <w:rPr>
          <w:rStyle w:val="whitespace-normal"/>
          <w:sz w:val="24"/>
          <w:szCs w:val="24"/>
        </w:rPr>
        <w:t>Microsoft Excel</w:t>
      </w:r>
      <w:r w:rsidRPr="005E4DF3">
        <w:rPr>
          <w:sz w:val="24"/>
          <w:szCs w:val="24"/>
        </w:rPr>
        <w:t xml:space="preserve"> for visual representation of the analyzed data.</w:t>
      </w:r>
    </w:p>
    <w:p w14:paraId="1952E626" w14:textId="67562A0D" w:rsidR="00623449" w:rsidRPr="005E4DF3" w:rsidRDefault="005E4DF3" w:rsidP="00E15BC5">
      <w:pPr>
        <w:pStyle w:val="EndNoteBibliography"/>
        <w:spacing w:after="0" w:line="360" w:lineRule="auto"/>
        <w:jc w:val="both"/>
        <w:rPr>
          <w:b/>
          <w:bCs/>
          <w:sz w:val="24"/>
          <w:szCs w:val="24"/>
        </w:rPr>
      </w:pPr>
      <w:r w:rsidRPr="005E4DF3">
        <w:rPr>
          <w:b/>
          <w:bCs/>
          <w:sz w:val="24"/>
          <w:szCs w:val="24"/>
        </w:rPr>
        <w:t>Ethical Considerations</w:t>
      </w:r>
    </w:p>
    <w:p w14:paraId="1F780178" w14:textId="717A24C2" w:rsidR="005E5F42" w:rsidRDefault="005E4DF3" w:rsidP="00BD2BCC">
      <w:pPr>
        <w:pStyle w:val="EndNoteBibliography"/>
        <w:spacing w:line="360" w:lineRule="auto"/>
        <w:jc w:val="both"/>
        <w:rPr>
          <w:sz w:val="24"/>
          <w:szCs w:val="24"/>
        </w:rPr>
      </w:pPr>
      <w:r w:rsidRPr="005E4DF3">
        <w:rPr>
          <w:sz w:val="24"/>
          <w:szCs w:val="24"/>
        </w:rPr>
        <w:t xml:space="preserve">Ethical approval was obtained prior to commencement of the study from the academic administration of </w:t>
      </w:r>
      <w:r w:rsidRPr="005E4DF3">
        <w:rPr>
          <w:rStyle w:val="whitespace-normal"/>
          <w:sz w:val="24"/>
          <w:szCs w:val="24"/>
        </w:rPr>
        <w:t>Karary University</w:t>
      </w:r>
      <w:r w:rsidRPr="005E4DF3">
        <w:rPr>
          <w:sz w:val="24"/>
          <w:szCs w:val="24"/>
        </w:rPr>
        <w:t xml:space="preserve">, including the research and projects administration and the study supervisor. Before participation, all students were informed about the objectives and significance of the study, and the required information regarding participation was clearly explained. Participation was voluntary, and confidentiality of the collected information was </w:t>
      </w:r>
      <w:r w:rsidRPr="005E4DF3">
        <w:rPr>
          <w:sz w:val="24"/>
          <w:szCs w:val="24"/>
        </w:rPr>
        <w:lastRenderedPageBreak/>
        <w:t>strictly maintained throughout the study.</w:t>
      </w:r>
    </w:p>
    <w:p w14:paraId="6AEA956B" w14:textId="3BD22A9C" w:rsidR="0020611D" w:rsidRPr="005F37DD" w:rsidRDefault="005F37DD" w:rsidP="005F37DD">
      <w:pPr>
        <w:pStyle w:val="ListParagraph"/>
        <w:numPr>
          <w:ilvl w:val="0"/>
          <w:numId w:val="18"/>
        </w:numPr>
        <w:rPr>
          <w:b/>
          <w:bCs/>
          <w:sz w:val="28"/>
          <w:szCs w:val="28"/>
        </w:rPr>
      </w:pPr>
      <w:r w:rsidRPr="005F37DD">
        <w:rPr>
          <w:b/>
          <w:bCs/>
          <w:sz w:val="28"/>
          <w:szCs w:val="28"/>
        </w:rPr>
        <w:t>R</w:t>
      </w:r>
      <w:r>
        <w:rPr>
          <w:b/>
          <w:bCs/>
          <w:sz w:val="28"/>
          <w:szCs w:val="28"/>
        </w:rPr>
        <w:t>ESULTS</w:t>
      </w:r>
    </w:p>
    <w:p w14:paraId="30A62883" w14:textId="7F9FE70E" w:rsidR="00267970" w:rsidRPr="00267970" w:rsidRDefault="00267970" w:rsidP="00BD2BCC">
      <w:pPr>
        <w:spacing w:line="360" w:lineRule="auto"/>
        <w:jc w:val="both"/>
        <w:rPr>
          <w:b/>
          <w:bCs/>
          <w:sz w:val="32"/>
          <w:szCs w:val="32"/>
        </w:rPr>
      </w:pPr>
      <w:r w:rsidRPr="00267970">
        <w:rPr>
          <w:sz w:val="24"/>
          <w:szCs w:val="24"/>
        </w:rPr>
        <w:t xml:space="preserve">A total of 67 undergraduate dental students with cumulative CGPA scores below 3.00 participated in the study. Most participants were females and were enrolled through the civilian admission system. Participants were distributed across all academic years, with the highest proportion belonging to the fifth academic </w:t>
      </w:r>
      <w:r w:rsidR="00683C1D" w:rsidRPr="00267970">
        <w:rPr>
          <w:sz w:val="24"/>
          <w:szCs w:val="24"/>
        </w:rPr>
        <w:t>year</w:t>
      </w:r>
      <w:r w:rsidR="00683C1D">
        <w:rPr>
          <w:sz w:val="24"/>
          <w:szCs w:val="24"/>
        </w:rPr>
        <w:t>. The</w:t>
      </w:r>
      <w:r w:rsidRPr="00267970">
        <w:rPr>
          <w:sz w:val="24"/>
          <w:szCs w:val="24"/>
        </w:rPr>
        <w:t xml:space="preserve"> majority of students were single and lived with their parents during the study </w:t>
      </w:r>
      <w:r w:rsidR="00683C1D" w:rsidRPr="00267970">
        <w:rPr>
          <w:sz w:val="24"/>
          <w:szCs w:val="24"/>
        </w:rPr>
        <w:t>period</w:t>
      </w:r>
      <w:r w:rsidR="00683C1D">
        <w:rPr>
          <w:sz w:val="24"/>
          <w:szCs w:val="24"/>
        </w:rPr>
        <w:t>.</w:t>
      </w:r>
      <w:r w:rsidRPr="00267970">
        <w:rPr>
          <w:sz w:val="24"/>
          <w:szCs w:val="24"/>
        </w:rPr>
        <w:t xml:space="preserve"> Most participants reported moderate socioeconomic status and financial support primarily from their parents.</w:t>
      </w:r>
    </w:p>
    <w:p w14:paraId="0BC8622D" w14:textId="7831B450" w:rsidR="005E5F42" w:rsidRPr="00683C1D" w:rsidRDefault="00683C1D" w:rsidP="00683C1D">
      <w:pPr>
        <w:pStyle w:val="BodyText"/>
        <w:spacing w:before="11"/>
        <w:rPr>
          <w:b/>
          <w:bCs/>
        </w:rPr>
      </w:pPr>
      <w:r w:rsidRPr="00683C1D">
        <w:rPr>
          <w:b/>
          <w:bCs/>
        </w:rPr>
        <w:t>Table 1. Baseline demographic and socioeconomic characteristics of participants (n = 67)</w:t>
      </w:r>
    </w:p>
    <w:tbl>
      <w:tblPr>
        <w:tblStyle w:val="GridTable4-Accent1"/>
        <w:tblW w:w="9175" w:type="dxa"/>
        <w:tblLook w:val="04A0" w:firstRow="1" w:lastRow="0" w:firstColumn="1" w:lastColumn="0" w:noHBand="0" w:noVBand="1"/>
      </w:tblPr>
      <w:tblGrid>
        <w:gridCol w:w="3685"/>
        <w:gridCol w:w="2610"/>
        <w:gridCol w:w="2880"/>
      </w:tblGrid>
      <w:tr w:rsidR="00267970" w:rsidRPr="00267970" w14:paraId="40C93434" w14:textId="77777777" w:rsidTr="00C84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hideMark/>
          </w:tcPr>
          <w:p w14:paraId="6E7777F4" w14:textId="77777777" w:rsidR="00267970" w:rsidRPr="00C84E13" w:rsidRDefault="00267970" w:rsidP="00267970">
            <w:pPr>
              <w:widowControl/>
              <w:autoSpaceDE/>
              <w:autoSpaceDN/>
              <w:rPr>
                <w:b w:val="0"/>
                <w:bCs w:val="0"/>
                <w:color w:val="000000" w:themeColor="text1"/>
                <w:sz w:val="24"/>
                <w:szCs w:val="24"/>
              </w:rPr>
            </w:pPr>
            <w:r w:rsidRPr="00C84E13">
              <w:rPr>
                <w:color w:val="000000" w:themeColor="text1"/>
                <w:sz w:val="24"/>
                <w:szCs w:val="24"/>
              </w:rPr>
              <w:t>Variable</w:t>
            </w:r>
          </w:p>
        </w:tc>
        <w:tc>
          <w:tcPr>
            <w:tcW w:w="2610" w:type="dxa"/>
            <w:hideMark/>
          </w:tcPr>
          <w:p w14:paraId="7841C878" w14:textId="77777777" w:rsidR="00267970" w:rsidRPr="00C84E13" w:rsidRDefault="00267970" w:rsidP="00267970">
            <w:pPr>
              <w:widowControl/>
              <w:autoSpaceDE/>
              <w:autoSpaceDN/>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C84E13">
              <w:rPr>
                <w:color w:val="000000" w:themeColor="text1"/>
                <w:sz w:val="24"/>
                <w:szCs w:val="24"/>
              </w:rPr>
              <w:t>Category</w:t>
            </w:r>
          </w:p>
        </w:tc>
        <w:tc>
          <w:tcPr>
            <w:tcW w:w="2880" w:type="dxa"/>
            <w:hideMark/>
          </w:tcPr>
          <w:p w14:paraId="0EB4951D" w14:textId="77777777" w:rsidR="00267970" w:rsidRPr="00C84E13" w:rsidRDefault="00267970" w:rsidP="00267970">
            <w:pPr>
              <w:widowControl/>
              <w:autoSpaceDE/>
              <w:autoSpaceDN/>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C84E13">
              <w:rPr>
                <w:color w:val="000000" w:themeColor="text1"/>
                <w:sz w:val="24"/>
                <w:szCs w:val="24"/>
              </w:rPr>
              <w:t>Frequency (%)</w:t>
            </w:r>
          </w:p>
        </w:tc>
      </w:tr>
      <w:tr w:rsidR="00267970" w:rsidRPr="00267970" w14:paraId="5BDF1D92"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val="restart"/>
            <w:hideMark/>
          </w:tcPr>
          <w:p w14:paraId="01E4915A" w14:textId="77777777" w:rsidR="00267970" w:rsidRPr="00267970" w:rsidRDefault="00267970" w:rsidP="00267970">
            <w:pPr>
              <w:widowControl/>
              <w:autoSpaceDE/>
              <w:autoSpaceDN/>
              <w:rPr>
                <w:sz w:val="24"/>
                <w:szCs w:val="24"/>
              </w:rPr>
            </w:pPr>
            <w:r w:rsidRPr="00267970">
              <w:rPr>
                <w:sz w:val="24"/>
                <w:szCs w:val="24"/>
              </w:rPr>
              <w:t>Gender</w:t>
            </w:r>
          </w:p>
        </w:tc>
        <w:tc>
          <w:tcPr>
            <w:tcW w:w="2610" w:type="dxa"/>
            <w:hideMark/>
          </w:tcPr>
          <w:p w14:paraId="38A8D0BC"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Female</w:t>
            </w:r>
          </w:p>
        </w:tc>
        <w:tc>
          <w:tcPr>
            <w:tcW w:w="2880" w:type="dxa"/>
            <w:hideMark/>
          </w:tcPr>
          <w:p w14:paraId="3F5C8821"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Majority</w:t>
            </w:r>
          </w:p>
        </w:tc>
      </w:tr>
      <w:tr w:rsidR="00267970" w:rsidRPr="00267970" w14:paraId="034E0E30"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197E641A" w14:textId="77777777" w:rsidR="00267970" w:rsidRPr="00267970" w:rsidRDefault="00267970" w:rsidP="00267970">
            <w:pPr>
              <w:widowControl/>
              <w:autoSpaceDE/>
              <w:autoSpaceDN/>
              <w:rPr>
                <w:sz w:val="24"/>
                <w:szCs w:val="24"/>
              </w:rPr>
            </w:pPr>
          </w:p>
        </w:tc>
        <w:tc>
          <w:tcPr>
            <w:tcW w:w="2610" w:type="dxa"/>
            <w:hideMark/>
          </w:tcPr>
          <w:p w14:paraId="20D2E8CD"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Male</w:t>
            </w:r>
          </w:p>
        </w:tc>
        <w:tc>
          <w:tcPr>
            <w:tcW w:w="2880" w:type="dxa"/>
            <w:hideMark/>
          </w:tcPr>
          <w:p w14:paraId="5639D285"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Minority</w:t>
            </w:r>
          </w:p>
        </w:tc>
      </w:tr>
      <w:tr w:rsidR="00267970" w:rsidRPr="00267970" w14:paraId="79851B17"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val="restart"/>
            <w:hideMark/>
          </w:tcPr>
          <w:p w14:paraId="6483010E" w14:textId="77777777" w:rsidR="00267970" w:rsidRPr="00267970" w:rsidRDefault="00267970" w:rsidP="00267970">
            <w:pPr>
              <w:widowControl/>
              <w:autoSpaceDE/>
              <w:autoSpaceDN/>
              <w:rPr>
                <w:sz w:val="24"/>
                <w:szCs w:val="24"/>
              </w:rPr>
            </w:pPr>
            <w:r w:rsidRPr="00267970">
              <w:rPr>
                <w:sz w:val="24"/>
                <w:szCs w:val="24"/>
              </w:rPr>
              <w:t>Academic year</w:t>
            </w:r>
          </w:p>
        </w:tc>
        <w:tc>
          <w:tcPr>
            <w:tcW w:w="2610" w:type="dxa"/>
            <w:hideMark/>
          </w:tcPr>
          <w:p w14:paraId="10CC6A15"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First year</w:t>
            </w:r>
          </w:p>
        </w:tc>
        <w:tc>
          <w:tcPr>
            <w:tcW w:w="2880" w:type="dxa"/>
            <w:hideMark/>
          </w:tcPr>
          <w:p w14:paraId="0D0E52A4"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9.0%</w:t>
            </w:r>
          </w:p>
        </w:tc>
      </w:tr>
      <w:tr w:rsidR="00267970" w:rsidRPr="00267970" w14:paraId="50C4AF93"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026D466F" w14:textId="77777777" w:rsidR="00267970" w:rsidRPr="00267970" w:rsidRDefault="00267970" w:rsidP="00267970">
            <w:pPr>
              <w:widowControl/>
              <w:autoSpaceDE/>
              <w:autoSpaceDN/>
              <w:rPr>
                <w:sz w:val="24"/>
                <w:szCs w:val="24"/>
              </w:rPr>
            </w:pPr>
          </w:p>
        </w:tc>
        <w:tc>
          <w:tcPr>
            <w:tcW w:w="2610" w:type="dxa"/>
            <w:hideMark/>
          </w:tcPr>
          <w:p w14:paraId="3533B437"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Second year</w:t>
            </w:r>
          </w:p>
        </w:tc>
        <w:tc>
          <w:tcPr>
            <w:tcW w:w="2880" w:type="dxa"/>
            <w:hideMark/>
          </w:tcPr>
          <w:p w14:paraId="1B957C0D"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19.4%</w:t>
            </w:r>
          </w:p>
        </w:tc>
      </w:tr>
      <w:tr w:rsidR="00267970" w:rsidRPr="00267970" w14:paraId="747EDD6B"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249084BA" w14:textId="77777777" w:rsidR="00267970" w:rsidRPr="00267970" w:rsidRDefault="00267970" w:rsidP="00267970">
            <w:pPr>
              <w:widowControl/>
              <w:autoSpaceDE/>
              <w:autoSpaceDN/>
              <w:rPr>
                <w:sz w:val="24"/>
                <w:szCs w:val="24"/>
              </w:rPr>
            </w:pPr>
          </w:p>
        </w:tc>
        <w:tc>
          <w:tcPr>
            <w:tcW w:w="2610" w:type="dxa"/>
            <w:hideMark/>
          </w:tcPr>
          <w:p w14:paraId="5740A3BE"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Third year</w:t>
            </w:r>
          </w:p>
        </w:tc>
        <w:tc>
          <w:tcPr>
            <w:tcW w:w="2880" w:type="dxa"/>
            <w:hideMark/>
          </w:tcPr>
          <w:p w14:paraId="65D6977F"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22.4%</w:t>
            </w:r>
          </w:p>
        </w:tc>
      </w:tr>
      <w:tr w:rsidR="00267970" w:rsidRPr="00267970" w14:paraId="6A67DD77"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42013C7F" w14:textId="77777777" w:rsidR="00267970" w:rsidRPr="00267970" w:rsidRDefault="00267970" w:rsidP="00267970">
            <w:pPr>
              <w:widowControl/>
              <w:autoSpaceDE/>
              <w:autoSpaceDN/>
              <w:rPr>
                <w:sz w:val="24"/>
                <w:szCs w:val="24"/>
              </w:rPr>
            </w:pPr>
          </w:p>
        </w:tc>
        <w:tc>
          <w:tcPr>
            <w:tcW w:w="2610" w:type="dxa"/>
            <w:hideMark/>
          </w:tcPr>
          <w:p w14:paraId="447A99E5"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Fourth year</w:t>
            </w:r>
          </w:p>
        </w:tc>
        <w:tc>
          <w:tcPr>
            <w:tcW w:w="2880" w:type="dxa"/>
            <w:hideMark/>
          </w:tcPr>
          <w:p w14:paraId="2E6EC427"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16.4%</w:t>
            </w:r>
          </w:p>
        </w:tc>
      </w:tr>
      <w:tr w:rsidR="00267970" w:rsidRPr="00267970" w14:paraId="4A51FC44"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2DA7FB25" w14:textId="77777777" w:rsidR="00267970" w:rsidRPr="00267970" w:rsidRDefault="00267970" w:rsidP="00267970">
            <w:pPr>
              <w:widowControl/>
              <w:autoSpaceDE/>
              <w:autoSpaceDN/>
              <w:rPr>
                <w:sz w:val="24"/>
                <w:szCs w:val="24"/>
              </w:rPr>
            </w:pPr>
          </w:p>
        </w:tc>
        <w:tc>
          <w:tcPr>
            <w:tcW w:w="2610" w:type="dxa"/>
            <w:hideMark/>
          </w:tcPr>
          <w:p w14:paraId="205A76E9"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Fifth year</w:t>
            </w:r>
          </w:p>
        </w:tc>
        <w:tc>
          <w:tcPr>
            <w:tcW w:w="2880" w:type="dxa"/>
            <w:hideMark/>
          </w:tcPr>
          <w:p w14:paraId="49909286"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32.8%</w:t>
            </w:r>
          </w:p>
        </w:tc>
      </w:tr>
      <w:tr w:rsidR="00267970" w:rsidRPr="00267970" w14:paraId="5EC7C6BA"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val="restart"/>
            <w:shd w:val="clear" w:color="auto" w:fill="DEEAF6" w:themeFill="accent1" w:themeFillTint="33"/>
            <w:hideMark/>
          </w:tcPr>
          <w:p w14:paraId="46479186" w14:textId="77777777" w:rsidR="00267970" w:rsidRPr="00267970" w:rsidRDefault="00267970" w:rsidP="00267970">
            <w:pPr>
              <w:widowControl/>
              <w:autoSpaceDE/>
              <w:autoSpaceDN/>
              <w:rPr>
                <w:sz w:val="24"/>
                <w:szCs w:val="24"/>
              </w:rPr>
            </w:pPr>
            <w:r w:rsidRPr="00267970">
              <w:rPr>
                <w:sz w:val="24"/>
                <w:szCs w:val="24"/>
              </w:rPr>
              <w:t>Admission type</w:t>
            </w:r>
          </w:p>
        </w:tc>
        <w:tc>
          <w:tcPr>
            <w:tcW w:w="2610" w:type="dxa"/>
            <w:hideMark/>
          </w:tcPr>
          <w:p w14:paraId="42A68CD5"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Civilian</w:t>
            </w:r>
          </w:p>
        </w:tc>
        <w:tc>
          <w:tcPr>
            <w:tcW w:w="2880" w:type="dxa"/>
            <w:hideMark/>
          </w:tcPr>
          <w:p w14:paraId="0A75A857" w14:textId="77777777" w:rsidR="00267970" w:rsidRPr="00267970" w:rsidRDefault="00267970"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70.1%</w:t>
            </w:r>
          </w:p>
        </w:tc>
      </w:tr>
      <w:tr w:rsidR="00267970" w:rsidRPr="00267970" w14:paraId="18AA29F7"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311FC575" w14:textId="77777777" w:rsidR="00267970" w:rsidRPr="00267970" w:rsidRDefault="00267970" w:rsidP="00267970">
            <w:pPr>
              <w:widowControl/>
              <w:autoSpaceDE/>
              <w:autoSpaceDN/>
              <w:rPr>
                <w:sz w:val="24"/>
                <w:szCs w:val="24"/>
              </w:rPr>
            </w:pPr>
          </w:p>
        </w:tc>
        <w:tc>
          <w:tcPr>
            <w:tcW w:w="2610" w:type="dxa"/>
            <w:hideMark/>
          </w:tcPr>
          <w:p w14:paraId="2AE6E4F5"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Military</w:t>
            </w:r>
          </w:p>
        </w:tc>
        <w:tc>
          <w:tcPr>
            <w:tcW w:w="2880" w:type="dxa"/>
            <w:hideMark/>
          </w:tcPr>
          <w:p w14:paraId="76EA6178" w14:textId="77777777" w:rsidR="00267970" w:rsidRPr="00267970" w:rsidRDefault="00267970"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29.9%</w:t>
            </w:r>
          </w:p>
        </w:tc>
      </w:tr>
      <w:tr w:rsidR="001F7C42" w:rsidRPr="00267970" w14:paraId="428C7E76"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val="restart"/>
            <w:shd w:val="clear" w:color="auto" w:fill="DEEAF6" w:themeFill="accent1" w:themeFillTint="33"/>
            <w:hideMark/>
          </w:tcPr>
          <w:p w14:paraId="53189576" w14:textId="77777777" w:rsidR="001F7C42" w:rsidRPr="00267970" w:rsidRDefault="001F7C42" w:rsidP="00267970">
            <w:pPr>
              <w:widowControl/>
              <w:autoSpaceDE/>
              <w:autoSpaceDN/>
              <w:rPr>
                <w:sz w:val="24"/>
                <w:szCs w:val="24"/>
              </w:rPr>
            </w:pPr>
            <w:r w:rsidRPr="00267970">
              <w:rPr>
                <w:sz w:val="24"/>
                <w:szCs w:val="24"/>
              </w:rPr>
              <w:t>Living with parents</w:t>
            </w:r>
          </w:p>
        </w:tc>
        <w:tc>
          <w:tcPr>
            <w:tcW w:w="2610" w:type="dxa"/>
            <w:hideMark/>
          </w:tcPr>
          <w:p w14:paraId="712ABA90"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Yes</w:t>
            </w:r>
          </w:p>
        </w:tc>
        <w:tc>
          <w:tcPr>
            <w:tcW w:w="2880" w:type="dxa"/>
            <w:hideMark/>
          </w:tcPr>
          <w:p w14:paraId="0F441955"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82.1%</w:t>
            </w:r>
          </w:p>
        </w:tc>
      </w:tr>
      <w:tr w:rsidR="001F7C42" w:rsidRPr="00267970" w14:paraId="7DC7650A"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22DC51A1" w14:textId="77777777" w:rsidR="001F7C42" w:rsidRPr="00267970" w:rsidRDefault="001F7C42" w:rsidP="00267970">
            <w:pPr>
              <w:widowControl/>
              <w:autoSpaceDE/>
              <w:autoSpaceDN/>
              <w:rPr>
                <w:sz w:val="24"/>
                <w:szCs w:val="24"/>
              </w:rPr>
            </w:pPr>
          </w:p>
        </w:tc>
        <w:tc>
          <w:tcPr>
            <w:tcW w:w="2610" w:type="dxa"/>
            <w:hideMark/>
          </w:tcPr>
          <w:p w14:paraId="79346261"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No</w:t>
            </w:r>
          </w:p>
        </w:tc>
        <w:tc>
          <w:tcPr>
            <w:tcW w:w="2880" w:type="dxa"/>
            <w:hideMark/>
          </w:tcPr>
          <w:p w14:paraId="69AF1BB9"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17.9%</w:t>
            </w:r>
          </w:p>
        </w:tc>
      </w:tr>
      <w:tr w:rsidR="001F7C42" w:rsidRPr="00267970" w14:paraId="55BCA909"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val="restart"/>
            <w:shd w:val="clear" w:color="auto" w:fill="DEEAF6" w:themeFill="accent1" w:themeFillTint="33"/>
            <w:hideMark/>
          </w:tcPr>
          <w:p w14:paraId="657C32DB" w14:textId="77777777" w:rsidR="001F7C42" w:rsidRPr="00267970" w:rsidRDefault="001F7C42" w:rsidP="00267970">
            <w:pPr>
              <w:widowControl/>
              <w:autoSpaceDE/>
              <w:autoSpaceDN/>
              <w:rPr>
                <w:sz w:val="24"/>
                <w:szCs w:val="24"/>
              </w:rPr>
            </w:pPr>
            <w:r w:rsidRPr="00267970">
              <w:rPr>
                <w:sz w:val="24"/>
                <w:szCs w:val="24"/>
              </w:rPr>
              <w:t>Family economic status</w:t>
            </w:r>
          </w:p>
        </w:tc>
        <w:tc>
          <w:tcPr>
            <w:tcW w:w="2610" w:type="dxa"/>
            <w:hideMark/>
          </w:tcPr>
          <w:p w14:paraId="68B7F012"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Low</w:t>
            </w:r>
          </w:p>
        </w:tc>
        <w:tc>
          <w:tcPr>
            <w:tcW w:w="2880" w:type="dxa"/>
            <w:hideMark/>
          </w:tcPr>
          <w:p w14:paraId="7381CDAF"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10.4%</w:t>
            </w:r>
          </w:p>
        </w:tc>
      </w:tr>
      <w:tr w:rsidR="001F7C42" w:rsidRPr="00267970" w14:paraId="154F4666"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41AD9EDA" w14:textId="77777777" w:rsidR="001F7C42" w:rsidRPr="00267970" w:rsidRDefault="001F7C42" w:rsidP="00267970">
            <w:pPr>
              <w:widowControl/>
              <w:autoSpaceDE/>
              <w:autoSpaceDN/>
              <w:rPr>
                <w:sz w:val="24"/>
                <w:szCs w:val="24"/>
              </w:rPr>
            </w:pPr>
          </w:p>
        </w:tc>
        <w:tc>
          <w:tcPr>
            <w:tcW w:w="2610" w:type="dxa"/>
            <w:hideMark/>
          </w:tcPr>
          <w:p w14:paraId="3CB3F034"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Moderate</w:t>
            </w:r>
          </w:p>
        </w:tc>
        <w:tc>
          <w:tcPr>
            <w:tcW w:w="2880" w:type="dxa"/>
            <w:hideMark/>
          </w:tcPr>
          <w:p w14:paraId="5E12E104"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82.1%</w:t>
            </w:r>
          </w:p>
        </w:tc>
      </w:tr>
      <w:tr w:rsidR="001F7C42" w:rsidRPr="00267970" w14:paraId="3CA116C8"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shd w:val="clear" w:color="auto" w:fill="DEEAF6" w:themeFill="accent1" w:themeFillTint="33"/>
            <w:hideMark/>
          </w:tcPr>
          <w:p w14:paraId="1D4C78C5" w14:textId="77777777" w:rsidR="001F7C42" w:rsidRPr="00267970" w:rsidRDefault="001F7C42" w:rsidP="00267970">
            <w:pPr>
              <w:widowControl/>
              <w:autoSpaceDE/>
              <w:autoSpaceDN/>
              <w:rPr>
                <w:sz w:val="24"/>
                <w:szCs w:val="24"/>
              </w:rPr>
            </w:pPr>
          </w:p>
        </w:tc>
        <w:tc>
          <w:tcPr>
            <w:tcW w:w="2610" w:type="dxa"/>
            <w:hideMark/>
          </w:tcPr>
          <w:p w14:paraId="19C1DC82"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High</w:t>
            </w:r>
          </w:p>
        </w:tc>
        <w:tc>
          <w:tcPr>
            <w:tcW w:w="2880" w:type="dxa"/>
            <w:hideMark/>
          </w:tcPr>
          <w:p w14:paraId="3D3530E2"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7.5%</w:t>
            </w:r>
          </w:p>
        </w:tc>
      </w:tr>
      <w:tr w:rsidR="001F7C42" w:rsidRPr="00267970" w14:paraId="17B739F4"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val="restart"/>
            <w:hideMark/>
          </w:tcPr>
          <w:p w14:paraId="0AF3D7D8" w14:textId="77777777" w:rsidR="001F7C42" w:rsidRPr="00267970" w:rsidRDefault="001F7C42" w:rsidP="00267970">
            <w:pPr>
              <w:widowControl/>
              <w:autoSpaceDE/>
              <w:autoSpaceDN/>
              <w:rPr>
                <w:sz w:val="24"/>
                <w:szCs w:val="24"/>
              </w:rPr>
            </w:pPr>
            <w:r w:rsidRPr="00267970">
              <w:rPr>
                <w:sz w:val="24"/>
                <w:szCs w:val="24"/>
              </w:rPr>
              <w:t>Financial support source</w:t>
            </w:r>
          </w:p>
        </w:tc>
        <w:tc>
          <w:tcPr>
            <w:tcW w:w="2610" w:type="dxa"/>
            <w:hideMark/>
          </w:tcPr>
          <w:p w14:paraId="47AC1D22"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Parents</w:t>
            </w:r>
          </w:p>
        </w:tc>
        <w:tc>
          <w:tcPr>
            <w:tcW w:w="2880" w:type="dxa"/>
            <w:hideMark/>
          </w:tcPr>
          <w:p w14:paraId="30E68CE0"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71.6%</w:t>
            </w:r>
          </w:p>
        </w:tc>
      </w:tr>
      <w:tr w:rsidR="001F7C42" w:rsidRPr="00267970" w14:paraId="4FC7AB4A"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6B37118A" w14:textId="77777777" w:rsidR="001F7C42" w:rsidRPr="00267970" w:rsidRDefault="001F7C42" w:rsidP="00267970">
            <w:pPr>
              <w:widowControl/>
              <w:autoSpaceDE/>
              <w:autoSpaceDN/>
              <w:rPr>
                <w:sz w:val="24"/>
                <w:szCs w:val="24"/>
              </w:rPr>
            </w:pPr>
          </w:p>
        </w:tc>
        <w:tc>
          <w:tcPr>
            <w:tcW w:w="2610" w:type="dxa"/>
            <w:hideMark/>
          </w:tcPr>
          <w:p w14:paraId="3AA8DB69"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Self-support</w:t>
            </w:r>
          </w:p>
        </w:tc>
        <w:tc>
          <w:tcPr>
            <w:tcW w:w="2880" w:type="dxa"/>
            <w:hideMark/>
          </w:tcPr>
          <w:p w14:paraId="7AF623C8"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11.9%</w:t>
            </w:r>
          </w:p>
        </w:tc>
      </w:tr>
      <w:tr w:rsidR="001F7C42" w:rsidRPr="00267970" w14:paraId="15E1B435"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hideMark/>
          </w:tcPr>
          <w:p w14:paraId="3A0304A2" w14:textId="77777777" w:rsidR="001F7C42" w:rsidRPr="00267970" w:rsidRDefault="001F7C42" w:rsidP="00267970">
            <w:pPr>
              <w:widowControl/>
              <w:autoSpaceDE/>
              <w:autoSpaceDN/>
              <w:rPr>
                <w:sz w:val="24"/>
                <w:szCs w:val="24"/>
              </w:rPr>
            </w:pPr>
          </w:p>
        </w:tc>
        <w:tc>
          <w:tcPr>
            <w:tcW w:w="2610" w:type="dxa"/>
            <w:hideMark/>
          </w:tcPr>
          <w:p w14:paraId="20D59105"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Other relatives</w:t>
            </w:r>
          </w:p>
        </w:tc>
        <w:tc>
          <w:tcPr>
            <w:tcW w:w="2880" w:type="dxa"/>
            <w:hideMark/>
          </w:tcPr>
          <w:p w14:paraId="3C29424F"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9.0%</w:t>
            </w:r>
          </w:p>
        </w:tc>
      </w:tr>
      <w:tr w:rsidR="001F7C42" w:rsidRPr="00267970" w14:paraId="267A95F7"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0ECB1120" w14:textId="77777777" w:rsidR="001F7C42" w:rsidRPr="00267970" w:rsidRDefault="001F7C42" w:rsidP="00267970">
            <w:pPr>
              <w:widowControl/>
              <w:autoSpaceDE/>
              <w:autoSpaceDN/>
              <w:rPr>
                <w:sz w:val="24"/>
                <w:szCs w:val="24"/>
              </w:rPr>
            </w:pPr>
          </w:p>
        </w:tc>
        <w:tc>
          <w:tcPr>
            <w:tcW w:w="2610" w:type="dxa"/>
            <w:hideMark/>
          </w:tcPr>
          <w:p w14:paraId="1F5CB120"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Combined support</w:t>
            </w:r>
          </w:p>
        </w:tc>
        <w:tc>
          <w:tcPr>
            <w:tcW w:w="2880" w:type="dxa"/>
            <w:hideMark/>
          </w:tcPr>
          <w:p w14:paraId="4203CA74"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7.5%</w:t>
            </w:r>
          </w:p>
        </w:tc>
      </w:tr>
      <w:tr w:rsidR="001F7C42" w:rsidRPr="00267970" w14:paraId="5FA54122" w14:textId="77777777" w:rsidTr="00C84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Merge w:val="restart"/>
            <w:hideMark/>
          </w:tcPr>
          <w:p w14:paraId="47D7E5B1" w14:textId="77777777" w:rsidR="001F7C42" w:rsidRPr="00267970" w:rsidRDefault="001F7C42" w:rsidP="00267970">
            <w:pPr>
              <w:widowControl/>
              <w:autoSpaceDE/>
              <w:autoSpaceDN/>
              <w:rPr>
                <w:sz w:val="24"/>
                <w:szCs w:val="24"/>
              </w:rPr>
            </w:pPr>
            <w:r w:rsidRPr="00267970">
              <w:rPr>
                <w:sz w:val="24"/>
                <w:szCs w:val="24"/>
              </w:rPr>
              <w:t>Chronic illness/disability</w:t>
            </w:r>
          </w:p>
        </w:tc>
        <w:tc>
          <w:tcPr>
            <w:tcW w:w="2610" w:type="dxa"/>
            <w:hideMark/>
          </w:tcPr>
          <w:p w14:paraId="4093A3A6"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Yes</w:t>
            </w:r>
          </w:p>
        </w:tc>
        <w:tc>
          <w:tcPr>
            <w:tcW w:w="2880" w:type="dxa"/>
            <w:hideMark/>
          </w:tcPr>
          <w:p w14:paraId="7AF9E3CE" w14:textId="77777777" w:rsidR="001F7C42" w:rsidRPr="00267970" w:rsidRDefault="001F7C42" w:rsidP="00267970">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267970">
              <w:rPr>
                <w:sz w:val="24"/>
                <w:szCs w:val="24"/>
              </w:rPr>
              <w:t>20.9%</w:t>
            </w:r>
          </w:p>
        </w:tc>
      </w:tr>
      <w:tr w:rsidR="001F7C42" w:rsidRPr="00267970" w14:paraId="38E2DAEA" w14:textId="77777777" w:rsidTr="00C84E13">
        <w:tc>
          <w:tcPr>
            <w:cnfStyle w:val="001000000000" w:firstRow="0" w:lastRow="0" w:firstColumn="1" w:lastColumn="0" w:oddVBand="0" w:evenVBand="0" w:oddHBand="0" w:evenHBand="0" w:firstRowFirstColumn="0" w:firstRowLastColumn="0" w:lastRowFirstColumn="0" w:lastRowLastColumn="0"/>
            <w:tcW w:w="3685" w:type="dxa"/>
            <w:vMerge/>
            <w:hideMark/>
          </w:tcPr>
          <w:p w14:paraId="61C09363" w14:textId="77777777" w:rsidR="001F7C42" w:rsidRPr="00267970" w:rsidRDefault="001F7C42" w:rsidP="00267970">
            <w:pPr>
              <w:widowControl/>
              <w:autoSpaceDE/>
              <w:autoSpaceDN/>
              <w:rPr>
                <w:sz w:val="24"/>
                <w:szCs w:val="24"/>
              </w:rPr>
            </w:pPr>
          </w:p>
        </w:tc>
        <w:tc>
          <w:tcPr>
            <w:tcW w:w="2610" w:type="dxa"/>
            <w:hideMark/>
          </w:tcPr>
          <w:p w14:paraId="33E3153B"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No</w:t>
            </w:r>
          </w:p>
        </w:tc>
        <w:tc>
          <w:tcPr>
            <w:tcW w:w="2880" w:type="dxa"/>
            <w:hideMark/>
          </w:tcPr>
          <w:p w14:paraId="29B2513A" w14:textId="77777777" w:rsidR="001F7C42" w:rsidRPr="00267970" w:rsidRDefault="001F7C42" w:rsidP="00267970">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267970">
              <w:rPr>
                <w:sz w:val="24"/>
                <w:szCs w:val="24"/>
              </w:rPr>
              <w:t>79.1%</w:t>
            </w:r>
          </w:p>
        </w:tc>
      </w:tr>
    </w:tbl>
    <w:p w14:paraId="4FDF1D49" w14:textId="77777777" w:rsidR="001F7C42" w:rsidRDefault="001F7C42" w:rsidP="00BD2BCC">
      <w:pPr>
        <w:pStyle w:val="NormalWeb"/>
        <w:spacing w:line="360" w:lineRule="auto"/>
        <w:jc w:val="both"/>
      </w:pPr>
      <w:r>
        <w:t>Most participants were civilian students and lived with their families during the study period. The majority reported moderate socioeconomic status and financial dependence on parents, while only a minority reported chronic illness or disability.</w:t>
      </w:r>
    </w:p>
    <w:p w14:paraId="216B1A83" w14:textId="77777777" w:rsidR="005E5F42" w:rsidRDefault="005E5F42">
      <w:pPr>
        <w:pStyle w:val="BodyText"/>
      </w:pPr>
    </w:p>
    <w:p w14:paraId="551DDEAF" w14:textId="77777777" w:rsidR="008043E0" w:rsidRDefault="008043E0">
      <w:pPr>
        <w:pStyle w:val="BodyText"/>
      </w:pPr>
    </w:p>
    <w:p w14:paraId="75A5BEE2" w14:textId="77777777" w:rsidR="00683C1D" w:rsidRDefault="00683C1D">
      <w:pPr>
        <w:pStyle w:val="BodyText"/>
      </w:pPr>
    </w:p>
    <w:p w14:paraId="5A37A0BC" w14:textId="4DF67DEF" w:rsidR="00DD335D" w:rsidRPr="00DD335D" w:rsidRDefault="00DD335D" w:rsidP="00DD335D">
      <w:pPr>
        <w:pStyle w:val="BodyText"/>
        <w:rPr>
          <w:b/>
          <w:bCs/>
          <w:sz w:val="28"/>
          <w:szCs w:val="28"/>
        </w:rPr>
      </w:pPr>
      <w:r w:rsidRPr="00DD335D">
        <w:rPr>
          <w:b/>
          <w:bCs/>
          <w:sz w:val="28"/>
          <w:szCs w:val="28"/>
        </w:rPr>
        <w:lastRenderedPageBreak/>
        <w:t xml:space="preserve">  AGPA                           Percentage of Participants (%)</w:t>
      </w:r>
    </w:p>
    <w:p w14:paraId="4AAEA20B" w14:textId="08D3B9A8" w:rsidR="00683C1D" w:rsidRDefault="001E5497">
      <w:pPr>
        <w:pStyle w:val="BodyText"/>
        <w:rPr>
          <w:b/>
          <w:bCs/>
        </w:rPr>
      </w:pPr>
      <w:r w:rsidRPr="001E5497">
        <w:rPr>
          <w:noProof/>
        </w:rPr>
        <w:drawing>
          <wp:inline distT="0" distB="0" distL="0" distR="0" wp14:anchorId="623258D4" wp14:editId="4D247227">
            <wp:extent cx="5845175" cy="2416629"/>
            <wp:effectExtent l="0" t="0" r="0" b="0"/>
            <wp:docPr id="204848743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5252" cy="2424930"/>
                    </a:xfrm>
                    <a:prstGeom prst="rect">
                      <a:avLst/>
                    </a:prstGeom>
                    <a:noFill/>
                    <a:ln>
                      <a:noFill/>
                    </a:ln>
                  </pic:spPr>
                </pic:pic>
              </a:graphicData>
            </a:graphic>
          </wp:inline>
        </w:drawing>
      </w:r>
    </w:p>
    <w:p w14:paraId="20862887" w14:textId="347013A6" w:rsidR="00683C1D" w:rsidRPr="00683C1D" w:rsidRDefault="00683C1D">
      <w:pPr>
        <w:pStyle w:val="BodyText"/>
        <w:rPr>
          <w:b/>
          <w:bCs/>
        </w:rPr>
      </w:pPr>
      <w:r w:rsidRPr="00683C1D">
        <w:rPr>
          <w:b/>
          <w:bCs/>
        </w:rPr>
        <w:t>Figure 1. Distribution of annual GPA categories among low-achieving dental students</w:t>
      </w:r>
    </w:p>
    <w:p w14:paraId="000EC03B" w14:textId="711C494B" w:rsidR="005E5F42" w:rsidRDefault="00BD2BCC" w:rsidP="00C84E13">
      <w:pPr>
        <w:spacing w:line="360" w:lineRule="auto"/>
        <w:jc w:val="both"/>
        <w:rPr>
          <w:sz w:val="24"/>
          <w:szCs w:val="24"/>
        </w:rPr>
      </w:pPr>
      <w:r>
        <w:rPr>
          <w:sz w:val="24"/>
          <w:szCs w:val="24"/>
        </w:rPr>
        <w:t xml:space="preserve">The Figure shows that </w:t>
      </w:r>
      <w:r w:rsidRPr="00BD2BCC">
        <w:rPr>
          <w:sz w:val="24"/>
          <w:szCs w:val="24"/>
        </w:rPr>
        <w:t>although all participants had cumulative CGPA scores below 3.00, variability was observed in annual GPA scores. Approximately one-third of participants remained below 3.00 annually, while others demonstrated comparatively improved yearly academic performance.</w:t>
      </w:r>
    </w:p>
    <w:p w14:paraId="7AAEBC00" w14:textId="4C2DB704" w:rsidR="00DD335D" w:rsidRDefault="00DD335D" w:rsidP="00DD335D">
      <w:pPr>
        <w:rPr>
          <w:b/>
          <w:bCs/>
          <w:sz w:val="24"/>
          <w:szCs w:val="24"/>
        </w:rPr>
      </w:pPr>
      <w:r w:rsidRPr="00DD335D">
        <w:rPr>
          <w:b/>
          <w:bCs/>
          <w:sz w:val="24"/>
          <w:szCs w:val="24"/>
        </w:rPr>
        <w:t>Table 2. Association between annual GPA categories and admission type among dental students</w:t>
      </w:r>
    </w:p>
    <w:tbl>
      <w:tblPr>
        <w:tblStyle w:val="GridTable4-Accent1"/>
        <w:tblW w:w="9270" w:type="dxa"/>
        <w:tblInd w:w="-185" w:type="dxa"/>
        <w:tblLook w:val="04A0" w:firstRow="1" w:lastRow="0" w:firstColumn="1" w:lastColumn="0" w:noHBand="0" w:noVBand="1"/>
      </w:tblPr>
      <w:tblGrid>
        <w:gridCol w:w="2340"/>
        <w:gridCol w:w="1620"/>
        <w:gridCol w:w="1620"/>
        <w:gridCol w:w="1350"/>
        <w:gridCol w:w="1080"/>
        <w:gridCol w:w="1260"/>
      </w:tblGrid>
      <w:tr w:rsidR="0014792D" w:rsidRPr="0014792D" w14:paraId="5B31E669" w14:textId="08ECC1BB" w:rsidTr="001E5497">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340" w:type="dxa"/>
            <w:hideMark/>
          </w:tcPr>
          <w:p w14:paraId="0386AF8E" w14:textId="77777777" w:rsidR="0014792D" w:rsidRPr="0014792D" w:rsidRDefault="0014792D" w:rsidP="0014792D">
            <w:pPr>
              <w:widowControl/>
              <w:autoSpaceDE/>
              <w:autoSpaceDN/>
              <w:jc w:val="both"/>
              <w:rPr>
                <w:color w:val="000000" w:themeColor="text1"/>
              </w:rPr>
            </w:pPr>
            <w:r w:rsidRPr="0014792D">
              <w:rPr>
                <w:color w:val="000000" w:themeColor="text1"/>
              </w:rPr>
              <w:t>Annual GPA Category</w:t>
            </w:r>
          </w:p>
        </w:tc>
        <w:tc>
          <w:tcPr>
            <w:tcW w:w="1620" w:type="dxa"/>
            <w:hideMark/>
          </w:tcPr>
          <w:p w14:paraId="61099B8C" w14:textId="77777777" w:rsidR="0014792D" w:rsidRPr="0014792D" w:rsidRDefault="0014792D" w:rsidP="0014792D">
            <w:pPr>
              <w:widowControl/>
              <w:autoSpaceDE/>
              <w:autoSpaceDN/>
              <w:cnfStyle w:val="100000000000" w:firstRow="1" w:lastRow="0" w:firstColumn="0" w:lastColumn="0" w:oddVBand="0" w:evenVBand="0" w:oddHBand="0" w:evenHBand="0" w:firstRowFirstColumn="0" w:firstRowLastColumn="0" w:lastRowFirstColumn="0" w:lastRowLastColumn="0"/>
              <w:rPr>
                <w:color w:val="000000" w:themeColor="text1"/>
              </w:rPr>
            </w:pPr>
            <w:r w:rsidRPr="0014792D">
              <w:rPr>
                <w:color w:val="000000" w:themeColor="text1"/>
              </w:rPr>
              <w:t>Military n (%)</w:t>
            </w:r>
          </w:p>
        </w:tc>
        <w:tc>
          <w:tcPr>
            <w:tcW w:w="1620" w:type="dxa"/>
            <w:hideMark/>
          </w:tcPr>
          <w:p w14:paraId="48A13635" w14:textId="77777777" w:rsidR="0014792D" w:rsidRPr="0014792D" w:rsidRDefault="0014792D" w:rsidP="0014792D">
            <w:pPr>
              <w:widowControl/>
              <w:autoSpaceDE/>
              <w:autoSpaceDN/>
              <w:cnfStyle w:val="100000000000" w:firstRow="1" w:lastRow="0" w:firstColumn="0" w:lastColumn="0" w:oddVBand="0" w:evenVBand="0" w:oddHBand="0" w:evenHBand="0" w:firstRowFirstColumn="0" w:firstRowLastColumn="0" w:lastRowFirstColumn="0" w:lastRowLastColumn="0"/>
              <w:rPr>
                <w:color w:val="000000" w:themeColor="text1"/>
              </w:rPr>
            </w:pPr>
            <w:r w:rsidRPr="0014792D">
              <w:rPr>
                <w:color w:val="000000" w:themeColor="text1"/>
              </w:rPr>
              <w:t>Civilian n (%)</w:t>
            </w:r>
          </w:p>
        </w:tc>
        <w:tc>
          <w:tcPr>
            <w:tcW w:w="1350" w:type="dxa"/>
            <w:hideMark/>
          </w:tcPr>
          <w:p w14:paraId="6BA95BC1" w14:textId="77777777" w:rsidR="0014792D" w:rsidRPr="0014792D" w:rsidRDefault="0014792D" w:rsidP="0014792D">
            <w:pPr>
              <w:widowControl/>
              <w:autoSpaceDE/>
              <w:autoSpaceDN/>
              <w:cnfStyle w:val="100000000000" w:firstRow="1" w:lastRow="0" w:firstColumn="0" w:lastColumn="0" w:oddVBand="0" w:evenVBand="0" w:oddHBand="0" w:evenHBand="0" w:firstRowFirstColumn="0" w:firstRowLastColumn="0" w:lastRowFirstColumn="0" w:lastRowLastColumn="0"/>
              <w:rPr>
                <w:color w:val="000000" w:themeColor="text1"/>
              </w:rPr>
            </w:pPr>
            <w:r w:rsidRPr="0014792D">
              <w:rPr>
                <w:color w:val="000000" w:themeColor="text1"/>
              </w:rPr>
              <w:t>Total n (%)</w:t>
            </w:r>
          </w:p>
        </w:tc>
        <w:tc>
          <w:tcPr>
            <w:tcW w:w="1080" w:type="dxa"/>
          </w:tcPr>
          <w:p w14:paraId="32FCD52A" w14:textId="535F8113" w:rsidR="0014792D" w:rsidRPr="0014792D" w:rsidRDefault="0014792D" w:rsidP="00DD335D">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4792D">
              <w:rPr>
                <w:color w:val="000000" w:themeColor="text1"/>
              </w:rPr>
              <w:t>P Value</w:t>
            </w:r>
          </w:p>
        </w:tc>
        <w:tc>
          <w:tcPr>
            <w:tcW w:w="1260" w:type="dxa"/>
          </w:tcPr>
          <w:p w14:paraId="7DD0DD39" w14:textId="56C6CD00" w:rsidR="0014792D" w:rsidRPr="0014792D" w:rsidRDefault="0014792D" w:rsidP="00DD335D">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4792D">
              <w:rPr>
                <w:color w:val="000000" w:themeColor="text1"/>
              </w:rPr>
              <w:t>Effect size</w:t>
            </w:r>
          </w:p>
        </w:tc>
      </w:tr>
      <w:tr w:rsidR="0014792D" w:rsidRPr="0014792D" w14:paraId="79CC3018" w14:textId="50C3E00C" w:rsidTr="001E549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40" w:type="dxa"/>
            <w:hideMark/>
          </w:tcPr>
          <w:p w14:paraId="2461282E" w14:textId="77777777" w:rsidR="0014792D" w:rsidRPr="0014792D" w:rsidRDefault="0014792D" w:rsidP="00DD335D">
            <w:pPr>
              <w:widowControl/>
              <w:autoSpaceDE/>
              <w:autoSpaceDN/>
              <w:rPr>
                <w:sz w:val="24"/>
                <w:szCs w:val="24"/>
              </w:rPr>
            </w:pPr>
            <w:r w:rsidRPr="0014792D">
              <w:rPr>
                <w:sz w:val="24"/>
                <w:szCs w:val="24"/>
              </w:rPr>
              <w:t>5.00–3.80</w:t>
            </w:r>
          </w:p>
        </w:tc>
        <w:tc>
          <w:tcPr>
            <w:tcW w:w="1620" w:type="dxa"/>
            <w:hideMark/>
          </w:tcPr>
          <w:p w14:paraId="3E4F44FA"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0 (0.0%)</w:t>
            </w:r>
          </w:p>
        </w:tc>
        <w:tc>
          <w:tcPr>
            <w:tcW w:w="1620" w:type="dxa"/>
            <w:hideMark/>
          </w:tcPr>
          <w:p w14:paraId="0216039D"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10 (14.9%)</w:t>
            </w:r>
          </w:p>
        </w:tc>
        <w:tc>
          <w:tcPr>
            <w:tcW w:w="1350" w:type="dxa"/>
            <w:hideMark/>
          </w:tcPr>
          <w:p w14:paraId="21955AE1"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10 (14.9%)</w:t>
            </w:r>
          </w:p>
        </w:tc>
        <w:tc>
          <w:tcPr>
            <w:tcW w:w="1080" w:type="dxa"/>
            <w:vMerge w:val="restart"/>
          </w:tcPr>
          <w:p w14:paraId="23427F3D" w14:textId="77777777" w:rsidR="00851B5D" w:rsidRPr="00851B5D" w:rsidRDefault="00851B5D" w:rsidP="00851B5D">
            <w:pPr>
              <w:widowControl/>
              <w:autoSpaceDE/>
              <w:autoSpaceDN/>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sz w:val="24"/>
                <w:szCs w:val="24"/>
              </w:rPr>
            </w:pPr>
          </w:p>
          <w:p w14:paraId="5650490E" w14:textId="5CC59719" w:rsidR="00A61A20" w:rsidRPr="00851B5D" w:rsidRDefault="00851B5D" w:rsidP="00851B5D">
            <w:pPr>
              <w:widowControl/>
              <w:autoSpaceDE/>
              <w:autoSpaceDN/>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sz w:val="24"/>
                <w:szCs w:val="24"/>
              </w:rPr>
            </w:pPr>
            <w:r w:rsidRPr="00851B5D">
              <w:rPr>
                <w:sz w:val="24"/>
                <w:szCs w:val="24"/>
              </w:rPr>
              <w:t xml:space="preserve">χ² test, </w:t>
            </w:r>
            <w:r w:rsidRPr="00851B5D">
              <w:rPr>
                <w:i/>
                <w:iCs/>
                <w:sz w:val="24"/>
                <w:szCs w:val="24"/>
              </w:rPr>
              <w:t>p</w:t>
            </w:r>
            <w:r w:rsidRPr="00851B5D">
              <w:rPr>
                <w:sz w:val="24"/>
                <w:szCs w:val="24"/>
              </w:rPr>
              <w:t xml:space="preserve"> = 0.008</w:t>
            </w:r>
          </w:p>
          <w:p w14:paraId="613F4D2E" w14:textId="54C9CCE0" w:rsidR="0014792D" w:rsidRPr="00851B5D" w:rsidRDefault="0014792D" w:rsidP="0014792D">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260" w:type="dxa"/>
            <w:vMerge w:val="restart"/>
          </w:tcPr>
          <w:p w14:paraId="2D7502DC" w14:textId="77777777" w:rsidR="00A61A20" w:rsidRPr="00851B5D" w:rsidRDefault="00A61A20" w:rsidP="0014792D">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p w14:paraId="5855F336" w14:textId="77777777" w:rsidR="00A61A20" w:rsidRPr="00851B5D" w:rsidRDefault="00A61A20" w:rsidP="0014792D">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p w14:paraId="2AA7AF13" w14:textId="77777777" w:rsidR="00A61A20" w:rsidRPr="00851B5D" w:rsidRDefault="00A61A20" w:rsidP="0014792D">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p>
          <w:p w14:paraId="05770E72" w14:textId="74603A40" w:rsidR="0014792D" w:rsidRPr="00851B5D" w:rsidRDefault="0014792D" w:rsidP="0014792D">
            <w:pPr>
              <w:widowControl/>
              <w:autoSpaceDE/>
              <w:autoSpaceDN/>
              <w:jc w:val="center"/>
              <w:cnfStyle w:val="000000100000" w:firstRow="0" w:lastRow="0" w:firstColumn="0" w:lastColumn="0" w:oddVBand="0" w:evenVBand="0" w:oddHBand="1" w:evenHBand="0" w:firstRowFirstColumn="0" w:firstRowLastColumn="0" w:lastRowFirstColumn="0" w:lastRowLastColumn="0"/>
              <w:rPr>
                <w:sz w:val="24"/>
                <w:szCs w:val="24"/>
              </w:rPr>
            </w:pPr>
            <w:r w:rsidRPr="00851B5D">
              <w:rPr>
                <w:sz w:val="24"/>
                <w:szCs w:val="24"/>
              </w:rPr>
              <w:t>0.47</w:t>
            </w:r>
          </w:p>
        </w:tc>
      </w:tr>
      <w:tr w:rsidR="0014792D" w:rsidRPr="0014792D" w14:paraId="1201D7D5" w14:textId="4371D5F9" w:rsidTr="001E5497">
        <w:trPr>
          <w:trHeight w:val="348"/>
        </w:trPr>
        <w:tc>
          <w:tcPr>
            <w:cnfStyle w:val="001000000000" w:firstRow="0" w:lastRow="0" w:firstColumn="1" w:lastColumn="0" w:oddVBand="0" w:evenVBand="0" w:oddHBand="0" w:evenHBand="0" w:firstRowFirstColumn="0" w:firstRowLastColumn="0" w:lastRowFirstColumn="0" w:lastRowLastColumn="0"/>
            <w:tcW w:w="2340" w:type="dxa"/>
            <w:hideMark/>
          </w:tcPr>
          <w:p w14:paraId="295E0F11" w14:textId="77777777" w:rsidR="0014792D" w:rsidRPr="0014792D" w:rsidRDefault="0014792D" w:rsidP="00DD335D">
            <w:pPr>
              <w:widowControl/>
              <w:autoSpaceDE/>
              <w:autoSpaceDN/>
              <w:rPr>
                <w:sz w:val="24"/>
                <w:szCs w:val="24"/>
              </w:rPr>
            </w:pPr>
            <w:r w:rsidRPr="0014792D">
              <w:rPr>
                <w:sz w:val="24"/>
                <w:szCs w:val="24"/>
              </w:rPr>
              <w:t>3.79–3.50</w:t>
            </w:r>
          </w:p>
        </w:tc>
        <w:tc>
          <w:tcPr>
            <w:tcW w:w="1620" w:type="dxa"/>
            <w:hideMark/>
          </w:tcPr>
          <w:p w14:paraId="1874CCE1"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4 (6.0%)</w:t>
            </w:r>
          </w:p>
        </w:tc>
        <w:tc>
          <w:tcPr>
            <w:tcW w:w="1620" w:type="dxa"/>
            <w:hideMark/>
          </w:tcPr>
          <w:p w14:paraId="53E49513"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14 (20.9%)</w:t>
            </w:r>
          </w:p>
        </w:tc>
        <w:tc>
          <w:tcPr>
            <w:tcW w:w="1350" w:type="dxa"/>
            <w:hideMark/>
          </w:tcPr>
          <w:p w14:paraId="0337E2BB"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18 (26.9%)</w:t>
            </w:r>
          </w:p>
        </w:tc>
        <w:tc>
          <w:tcPr>
            <w:tcW w:w="1080" w:type="dxa"/>
            <w:vMerge/>
          </w:tcPr>
          <w:p w14:paraId="6C3BE94B"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tc>
        <w:tc>
          <w:tcPr>
            <w:tcW w:w="1260" w:type="dxa"/>
            <w:vMerge/>
          </w:tcPr>
          <w:p w14:paraId="012A91E5"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tc>
      </w:tr>
      <w:tr w:rsidR="0014792D" w:rsidRPr="0014792D" w14:paraId="4D07CCD5" w14:textId="592BA8E6" w:rsidTr="001E549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340" w:type="dxa"/>
            <w:hideMark/>
          </w:tcPr>
          <w:p w14:paraId="6BC1CD30" w14:textId="77777777" w:rsidR="0014792D" w:rsidRPr="0014792D" w:rsidRDefault="0014792D" w:rsidP="00DD335D">
            <w:pPr>
              <w:widowControl/>
              <w:autoSpaceDE/>
              <w:autoSpaceDN/>
              <w:rPr>
                <w:sz w:val="24"/>
                <w:szCs w:val="24"/>
              </w:rPr>
            </w:pPr>
            <w:r w:rsidRPr="0014792D">
              <w:rPr>
                <w:sz w:val="24"/>
                <w:szCs w:val="24"/>
              </w:rPr>
              <w:t>3.49–3.00</w:t>
            </w:r>
          </w:p>
        </w:tc>
        <w:tc>
          <w:tcPr>
            <w:tcW w:w="1620" w:type="dxa"/>
            <w:hideMark/>
          </w:tcPr>
          <w:p w14:paraId="04E98DDF"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7 (10.4%)</w:t>
            </w:r>
          </w:p>
        </w:tc>
        <w:tc>
          <w:tcPr>
            <w:tcW w:w="1620" w:type="dxa"/>
            <w:hideMark/>
          </w:tcPr>
          <w:p w14:paraId="0EF458FD"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12 (17.9%)</w:t>
            </w:r>
          </w:p>
        </w:tc>
        <w:tc>
          <w:tcPr>
            <w:tcW w:w="1350" w:type="dxa"/>
            <w:hideMark/>
          </w:tcPr>
          <w:p w14:paraId="4F06A57F"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sz w:val="24"/>
                <w:szCs w:val="24"/>
              </w:rPr>
              <w:t>19 (28.4%)</w:t>
            </w:r>
          </w:p>
        </w:tc>
        <w:tc>
          <w:tcPr>
            <w:tcW w:w="1080" w:type="dxa"/>
            <w:vMerge/>
          </w:tcPr>
          <w:p w14:paraId="16AAA2BD"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tc>
        <w:tc>
          <w:tcPr>
            <w:tcW w:w="1260" w:type="dxa"/>
            <w:vMerge/>
          </w:tcPr>
          <w:p w14:paraId="7AFB6DEC"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p>
        </w:tc>
      </w:tr>
      <w:tr w:rsidR="0014792D" w:rsidRPr="0014792D" w14:paraId="1BB47020" w14:textId="1AB4F165" w:rsidTr="001E5497">
        <w:trPr>
          <w:trHeight w:val="368"/>
        </w:trPr>
        <w:tc>
          <w:tcPr>
            <w:cnfStyle w:val="001000000000" w:firstRow="0" w:lastRow="0" w:firstColumn="1" w:lastColumn="0" w:oddVBand="0" w:evenVBand="0" w:oddHBand="0" w:evenHBand="0" w:firstRowFirstColumn="0" w:firstRowLastColumn="0" w:lastRowFirstColumn="0" w:lastRowLastColumn="0"/>
            <w:tcW w:w="2340" w:type="dxa"/>
            <w:hideMark/>
          </w:tcPr>
          <w:p w14:paraId="3F49DD19" w14:textId="77777777" w:rsidR="0014792D" w:rsidRPr="0014792D" w:rsidRDefault="0014792D" w:rsidP="00DD335D">
            <w:pPr>
              <w:widowControl/>
              <w:autoSpaceDE/>
              <w:autoSpaceDN/>
              <w:rPr>
                <w:sz w:val="24"/>
                <w:szCs w:val="24"/>
              </w:rPr>
            </w:pPr>
            <w:r w:rsidRPr="0014792D">
              <w:rPr>
                <w:sz w:val="24"/>
                <w:szCs w:val="24"/>
              </w:rPr>
              <w:t>Below 3.00</w:t>
            </w:r>
          </w:p>
        </w:tc>
        <w:tc>
          <w:tcPr>
            <w:tcW w:w="1620" w:type="dxa"/>
            <w:hideMark/>
          </w:tcPr>
          <w:p w14:paraId="0FB3DA22"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9 (13.4%)</w:t>
            </w:r>
          </w:p>
        </w:tc>
        <w:tc>
          <w:tcPr>
            <w:tcW w:w="1620" w:type="dxa"/>
            <w:hideMark/>
          </w:tcPr>
          <w:p w14:paraId="01C3F9DC"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11 (16.4%)</w:t>
            </w:r>
          </w:p>
        </w:tc>
        <w:tc>
          <w:tcPr>
            <w:tcW w:w="1350" w:type="dxa"/>
            <w:hideMark/>
          </w:tcPr>
          <w:p w14:paraId="5655268A"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14792D">
              <w:rPr>
                <w:sz w:val="24"/>
                <w:szCs w:val="24"/>
              </w:rPr>
              <w:t>20 (29.9%)</w:t>
            </w:r>
          </w:p>
        </w:tc>
        <w:tc>
          <w:tcPr>
            <w:tcW w:w="1080" w:type="dxa"/>
            <w:vMerge/>
          </w:tcPr>
          <w:p w14:paraId="37336510"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tc>
        <w:tc>
          <w:tcPr>
            <w:tcW w:w="1260" w:type="dxa"/>
            <w:vMerge/>
          </w:tcPr>
          <w:p w14:paraId="2A9D7082" w14:textId="77777777" w:rsidR="0014792D" w:rsidRPr="0014792D" w:rsidRDefault="0014792D" w:rsidP="00DD335D">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p>
        </w:tc>
      </w:tr>
      <w:tr w:rsidR="0014792D" w:rsidRPr="0014792D" w14:paraId="2F424F0C" w14:textId="74F1E345" w:rsidTr="001E549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340" w:type="dxa"/>
            <w:hideMark/>
          </w:tcPr>
          <w:p w14:paraId="743E4CFF" w14:textId="77777777" w:rsidR="0014792D" w:rsidRPr="0014792D" w:rsidRDefault="0014792D" w:rsidP="00DD335D">
            <w:pPr>
              <w:widowControl/>
              <w:autoSpaceDE/>
              <w:autoSpaceDN/>
              <w:rPr>
                <w:sz w:val="24"/>
                <w:szCs w:val="24"/>
              </w:rPr>
            </w:pPr>
            <w:r w:rsidRPr="0014792D">
              <w:rPr>
                <w:sz w:val="24"/>
                <w:szCs w:val="24"/>
              </w:rPr>
              <w:t>Total</w:t>
            </w:r>
          </w:p>
        </w:tc>
        <w:tc>
          <w:tcPr>
            <w:tcW w:w="1620" w:type="dxa"/>
            <w:hideMark/>
          </w:tcPr>
          <w:p w14:paraId="151CB685"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b/>
                <w:bCs/>
                <w:sz w:val="24"/>
                <w:szCs w:val="24"/>
              </w:rPr>
              <w:t>20 (29.9%)</w:t>
            </w:r>
          </w:p>
        </w:tc>
        <w:tc>
          <w:tcPr>
            <w:tcW w:w="1620" w:type="dxa"/>
            <w:hideMark/>
          </w:tcPr>
          <w:p w14:paraId="0992C4BE"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b/>
                <w:bCs/>
                <w:sz w:val="24"/>
                <w:szCs w:val="24"/>
              </w:rPr>
              <w:t>47 (70.1%)</w:t>
            </w:r>
          </w:p>
        </w:tc>
        <w:tc>
          <w:tcPr>
            <w:tcW w:w="1350" w:type="dxa"/>
            <w:hideMark/>
          </w:tcPr>
          <w:p w14:paraId="5E9257E2"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14792D">
              <w:rPr>
                <w:b/>
                <w:bCs/>
                <w:sz w:val="24"/>
                <w:szCs w:val="24"/>
              </w:rPr>
              <w:t>67 (100%)</w:t>
            </w:r>
          </w:p>
        </w:tc>
        <w:tc>
          <w:tcPr>
            <w:tcW w:w="1080" w:type="dxa"/>
            <w:vMerge/>
          </w:tcPr>
          <w:p w14:paraId="56F7E836"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b/>
                <w:bCs/>
                <w:sz w:val="24"/>
                <w:szCs w:val="24"/>
              </w:rPr>
            </w:pPr>
          </w:p>
        </w:tc>
        <w:tc>
          <w:tcPr>
            <w:tcW w:w="1260" w:type="dxa"/>
            <w:vMerge/>
          </w:tcPr>
          <w:p w14:paraId="7EA8C92C" w14:textId="77777777" w:rsidR="0014792D" w:rsidRPr="0014792D" w:rsidRDefault="0014792D" w:rsidP="00DD335D">
            <w:pPr>
              <w:widowControl/>
              <w:autoSpaceDE/>
              <w:autoSpaceDN/>
              <w:cnfStyle w:val="000000100000" w:firstRow="0" w:lastRow="0" w:firstColumn="0" w:lastColumn="0" w:oddVBand="0" w:evenVBand="0" w:oddHBand="1" w:evenHBand="0" w:firstRowFirstColumn="0" w:firstRowLastColumn="0" w:lastRowFirstColumn="0" w:lastRowLastColumn="0"/>
              <w:rPr>
                <w:b/>
                <w:bCs/>
                <w:sz w:val="24"/>
                <w:szCs w:val="24"/>
              </w:rPr>
            </w:pPr>
          </w:p>
        </w:tc>
      </w:tr>
    </w:tbl>
    <w:p w14:paraId="393342A9" w14:textId="77777777" w:rsidR="00851B5D" w:rsidRDefault="00851B5D" w:rsidP="00851B5D">
      <w:pPr>
        <w:spacing w:after="0"/>
        <w:jc w:val="both"/>
        <w:rPr>
          <w:b/>
          <w:bCs/>
          <w:sz w:val="27"/>
          <w:szCs w:val="27"/>
        </w:rPr>
      </w:pPr>
    </w:p>
    <w:p w14:paraId="3035AA42" w14:textId="17D5504A" w:rsidR="00A61A20" w:rsidRPr="001E5497" w:rsidRDefault="00DA3C53" w:rsidP="001E5497">
      <w:pPr>
        <w:spacing w:line="360" w:lineRule="auto"/>
        <w:jc w:val="both"/>
      </w:pPr>
      <w:r>
        <w:rPr>
          <w:sz w:val="24"/>
          <w:szCs w:val="24"/>
        </w:rPr>
        <w:t xml:space="preserve">The </w:t>
      </w:r>
      <w:r w:rsidR="00A61A20">
        <w:rPr>
          <w:sz w:val="24"/>
          <w:szCs w:val="24"/>
        </w:rPr>
        <w:t xml:space="preserve">table 2 </w:t>
      </w:r>
      <w:r>
        <w:rPr>
          <w:sz w:val="24"/>
          <w:szCs w:val="24"/>
        </w:rPr>
        <w:t>shows a</w:t>
      </w:r>
      <w:r w:rsidRPr="00DA3C53">
        <w:rPr>
          <w:sz w:val="24"/>
          <w:szCs w:val="24"/>
        </w:rPr>
        <w:t xml:space="preserve"> statistically significant association was observed between admission type and annual GPA categories (</w:t>
      </w:r>
      <w:r w:rsidRPr="00DA3C53">
        <w:rPr>
          <w:rStyle w:val="Emphasis"/>
          <w:sz w:val="24"/>
          <w:szCs w:val="24"/>
        </w:rPr>
        <w:t>p</w:t>
      </w:r>
      <w:r w:rsidRPr="00DA3C53">
        <w:rPr>
          <w:sz w:val="24"/>
          <w:szCs w:val="24"/>
        </w:rPr>
        <w:t xml:space="preserve"> = 0.008). Students admitted through the civilian admission system demonstrated comparatively higher annual GPA scores than military-admitted students.</w:t>
      </w:r>
      <w:r>
        <w:t xml:space="preserve"> With a moderate effect size of average 0.47 based on Cramér’s V</w:t>
      </w:r>
      <w:r w:rsidR="00805D08">
        <w:t xml:space="preserve"> test</w:t>
      </w:r>
      <w:r>
        <w:t>.</w:t>
      </w:r>
    </w:p>
    <w:p w14:paraId="5A256ABD" w14:textId="77777777" w:rsidR="009B4E14" w:rsidRDefault="009B4E14" w:rsidP="00A61A20">
      <w:pPr>
        <w:jc w:val="both"/>
        <w:rPr>
          <w:b/>
          <w:bCs/>
          <w:sz w:val="24"/>
          <w:szCs w:val="24"/>
        </w:rPr>
      </w:pPr>
    </w:p>
    <w:p w14:paraId="13DA43AE" w14:textId="77777777" w:rsidR="009B4E14" w:rsidRDefault="009B4E14" w:rsidP="00A61A20">
      <w:pPr>
        <w:jc w:val="both"/>
        <w:rPr>
          <w:b/>
          <w:bCs/>
          <w:sz w:val="24"/>
          <w:szCs w:val="24"/>
        </w:rPr>
      </w:pPr>
    </w:p>
    <w:p w14:paraId="74117118" w14:textId="77777777" w:rsidR="009B4E14" w:rsidRDefault="009B4E14" w:rsidP="00A61A20">
      <w:pPr>
        <w:jc w:val="both"/>
        <w:rPr>
          <w:b/>
          <w:bCs/>
          <w:sz w:val="24"/>
          <w:szCs w:val="24"/>
        </w:rPr>
      </w:pPr>
    </w:p>
    <w:p w14:paraId="350EE147" w14:textId="77777777" w:rsidR="009B4E14" w:rsidRDefault="009B4E14" w:rsidP="00A61A20">
      <w:pPr>
        <w:jc w:val="both"/>
        <w:rPr>
          <w:b/>
          <w:bCs/>
          <w:sz w:val="24"/>
          <w:szCs w:val="24"/>
        </w:rPr>
      </w:pPr>
    </w:p>
    <w:p w14:paraId="406FC3B4" w14:textId="5C2C92F6" w:rsidR="0014792D" w:rsidRDefault="00A61A20" w:rsidP="00A61A20">
      <w:pPr>
        <w:jc w:val="both"/>
        <w:rPr>
          <w:b/>
          <w:bCs/>
          <w:sz w:val="24"/>
          <w:szCs w:val="24"/>
        </w:rPr>
      </w:pPr>
      <w:r w:rsidRPr="00A61A20">
        <w:rPr>
          <w:b/>
          <w:bCs/>
          <w:sz w:val="24"/>
          <w:szCs w:val="24"/>
        </w:rPr>
        <w:lastRenderedPageBreak/>
        <w:t>Table 3. Association between annual GPA and financial difficulties affecting college attendance</w:t>
      </w:r>
    </w:p>
    <w:tbl>
      <w:tblPr>
        <w:tblStyle w:val="GridTable4-Accent5"/>
        <w:tblW w:w="0" w:type="auto"/>
        <w:tblLook w:val="04A0" w:firstRow="1" w:lastRow="0" w:firstColumn="1" w:lastColumn="0" w:noHBand="0" w:noVBand="1"/>
      </w:tblPr>
      <w:tblGrid>
        <w:gridCol w:w="1529"/>
        <w:gridCol w:w="1092"/>
        <w:gridCol w:w="1413"/>
        <w:gridCol w:w="1328"/>
        <w:gridCol w:w="1268"/>
        <w:gridCol w:w="1120"/>
        <w:gridCol w:w="1260"/>
      </w:tblGrid>
      <w:tr w:rsidR="00A61A20" w:rsidRPr="00A61A20" w14:paraId="15A2C434" w14:textId="496DB2D6" w:rsidTr="00A61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097BA" w14:textId="77777777" w:rsidR="00A61A20" w:rsidRPr="00A61A20" w:rsidRDefault="00A61A20" w:rsidP="00A61A20">
            <w:pPr>
              <w:spacing w:after="160" w:line="259" w:lineRule="auto"/>
              <w:jc w:val="center"/>
              <w:rPr>
                <w:color w:val="000000" w:themeColor="text1"/>
                <w:sz w:val="24"/>
                <w:szCs w:val="24"/>
              </w:rPr>
            </w:pPr>
            <w:r w:rsidRPr="00A61A20">
              <w:rPr>
                <w:color w:val="000000" w:themeColor="text1"/>
                <w:sz w:val="24"/>
                <w:szCs w:val="24"/>
              </w:rPr>
              <w:t>Annual GPA</w:t>
            </w:r>
          </w:p>
        </w:tc>
        <w:tc>
          <w:tcPr>
            <w:tcW w:w="0" w:type="auto"/>
            <w:hideMark/>
          </w:tcPr>
          <w:p w14:paraId="3F999229" w14:textId="77777777" w:rsidR="00A61A20" w:rsidRPr="00A61A20" w:rsidRDefault="00A61A20" w:rsidP="00A61A2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Always</w:t>
            </w:r>
          </w:p>
        </w:tc>
        <w:tc>
          <w:tcPr>
            <w:tcW w:w="0" w:type="auto"/>
            <w:hideMark/>
          </w:tcPr>
          <w:p w14:paraId="018915B3" w14:textId="77777777" w:rsidR="00A61A20" w:rsidRPr="00A61A20" w:rsidRDefault="00A61A20" w:rsidP="00A61A2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Sometimes</w:t>
            </w:r>
          </w:p>
        </w:tc>
        <w:tc>
          <w:tcPr>
            <w:tcW w:w="0" w:type="auto"/>
            <w:hideMark/>
          </w:tcPr>
          <w:p w14:paraId="03122F99" w14:textId="77777777" w:rsidR="00A61A20" w:rsidRPr="00A61A20" w:rsidRDefault="00A61A20" w:rsidP="00A61A2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Never</w:t>
            </w:r>
          </w:p>
        </w:tc>
        <w:tc>
          <w:tcPr>
            <w:tcW w:w="0" w:type="auto"/>
            <w:hideMark/>
          </w:tcPr>
          <w:p w14:paraId="6BB8C391" w14:textId="77777777" w:rsidR="00A61A20" w:rsidRPr="00A61A20" w:rsidRDefault="00A61A20" w:rsidP="00A61A20">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Total</w:t>
            </w:r>
          </w:p>
        </w:tc>
        <w:tc>
          <w:tcPr>
            <w:tcW w:w="1120" w:type="dxa"/>
            <w:hideMark/>
          </w:tcPr>
          <w:p w14:paraId="2A3385DA" w14:textId="77777777" w:rsidR="00A61A20" w:rsidRPr="00A61A20" w:rsidRDefault="00A61A20" w:rsidP="00A61A20">
            <w:pPr>
              <w:spacing w:after="160"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P value</w:t>
            </w:r>
          </w:p>
        </w:tc>
        <w:tc>
          <w:tcPr>
            <w:tcW w:w="1260" w:type="dxa"/>
          </w:tcPr>
          <w:p w14:paraId="10729D3A" w14:textId="38E21555" w:rsidR="00A61A20" w:rsidRPr="00A61A20" w:rsidRDefault="00A61A20" w:rsidP="00A61A20">
            <w:pPr>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1A20">
              <w:rPr>
                <w:color w:val="000000" w:themeColor="text1"/>
                <w:sz w:val="24"/>
                <w:szCs w:val="24"/>
              </w:rPr>
              <w:t xml:space="preserve">Effect size </w:t>
            </w:r>
          </w:p>
        </w:tc>
      </w:tr>
      <w:tr w:rsidR="00493650" w:rsidRPr="00A61A20" w14:paraId="0D45BF86" w14:textId="1806799D" w:rsidTr="00A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4DC7B9" w14:textId="77777777" w:rsidR="00493650" w:rsidRPr="00A61A20" w:rsidRDefault="00493650" w:rsidP="00493650">
            <w:pPr>
              <w:spacing w:after="160" w:line="259" w:lineRule="auto"/>
              <w:jc w:val="center"/>
              <w:rPr>
                <w:sz w:val="24"/>
                <w:szCs w:val="24"/>
              </w:rPr>
            </w:pPr>
            <w:r w:rsidRPr="00A61A20">
              <w:rPr>
                <w:sz w:val="24"/>
                <w:szCs w:val="24"/>
              </w:rPr>
              <w:t>5.00 – 3.80</w:t>
            </w:r>
          </w:p>
        </w:tc>
        <w:tc>
          <w:tcPr>
            <w:tcW w:w="0" w:type="auto"/>
            <w:hideMark/>
          </w:tcPr>
          <w:p w14:paraId="62F3CCF6" w14:textId="673D6B10" w:rsidR="00493650" w:rsidRPr="0049365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0</w:t>
            </w:r>
            <w:r>
              <w:rPr>
                <w:sz w:val="24"/>
                <w:szCs w:val="24"/>
              </w:rPr>
              <w:t xml:space="preserve"> (0.0%)</w:t>
            </w:r>
          </w:p>
        </w:tc>
        <w:tc>
          <w:tcPr>
            <w:tcW w:w="0" w:type="auto"/>
            <w:hideMark/>
          </w:tcPr>
          <w:p w14:paraId="3E0AE185" w14:textId="78ED3A81" w:rsidR="00493650" w:rsidRPr="002E4928" w:rsidRDefault="00493650" w:rsidP="00493650">
            <w:pPr>
              <w:spacing w:after="160" w:line="259"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2</w:t>
            </w:r>
            <w:r>
              <w:rPr>
                <w:sz w:val="24"/>
                <w:szCs w:val="24"/>
              </w:rPr>
              <w:t xml:space="preserve"> (3%)</w:t>
            </w:r>
          </w:p>
        </w:tc>
        <w:tc>
          <w:tcPr>
            <w:tcW w:w="0" w:type="auto"/>
            <w:hideMark/>
          </w:tcPr>
          <w:p w14:paraId="427A713A" w14:textId="7BE994F4" w:rsidR="00493650" w:rsidRPr="0049365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8</w:t>
            </w:r>
            <w:r>
              <w:rPr>
                <w:sz w:val="24"/>
                <w:szCs w:val="24"/>
              </w:rPr>
              <w:t xml:space="preserve"> (11.9%)</w:t>
            </w:r>
          </w:p>
        </w:tc>
        <w:tc>
          <w:tcPr>
            <w:tcW w:w="0" w:type="auto"/>
            <w:hideMark/>
          </w:tcPr>
          <w:p w14:paraId="6E56839A" w14:textId="4DF4ACC5" w:rsidR="00493650" w:rsidRPr="00A61A2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735C1E">
              <w:t>10 (14.9%)</w:t>
            </w:r>
          </w:p>
        </w:tc>
        <w:tc>
          <w:tcPr>
            <w:tcW w:w="1120" w:type="dxa"/>
            <w:vMerge w:val="restart"/>
            <w:hideMark/>
          </w:tcPr>
          <w:p w14:paraId="7EECABE3" w14:textId="77777777" w:rsidR="00493650" w:rsidRPr="00A61A20" w:rsidRDefault="00493650" w:rsidP="00493650">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p>
          <w:p w14:paraId="285F5D76" w14:textId="77777777" w:rsidR="0049365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08039A5E" w14:textId="03A33CC7" w:rsidR="00493650" w:rsidRPr="00A61A2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0.026*</w:t>
            </w:r>
          </w:p>
        </w:tc>
        <w:tc>
          <w:tcPr>
            <w:tcW w:w="1260" w:type="dxa"/>
            <w:vMerge w:val="restart"/>
          </w:tcPr>
          <w:p w14:paraId="75EDB87D" w14:textId="77777777" w:rsidR="00493650" w:rsidRDefault="00493650" w:rsidP="00493650">
            <w:pPr>
              <w:cnfStyle w:val="000000100000" w:firstRow="0" w:lastRow="0" w:firstColumn="0" w:lastColumn="0" w:oddVBand="0" w:evenVBand="0" w:oddHBand="1" w:evenHBand="0" w:firstRowFirstColumn="0" w:firstRowLastColumn="0" w:lastRowFirstColumn="0" w:lastRowLastColumn="0"/>
              <w:rPr>
                <w:sz w:val="24"/>
                <w:szCs w:val="24"/>
              </w:rPr>
            </w:pPr>
          </w:p>
          <w:p w14:paraId="0D32710B" w14:textId="77777777" w:rsidR="00493650" w:rsidRDefault="00493650" w:rsidP="00493650">
            <w:pPr>
              <w:cnfStyle w:val="000000100000" w:firstRow="0" w:lastRow="0" w:firstColumn="0" w:lastColumn="0" w:oddVBand="0" w:evenVBand="0" w:oddHBand="1" w:evenHBand="0" w:firstRowFirstColumn="0" w:firstRowLastColumn="0" w:lastRowFirstColumn="0" w:lastRowLastColumn="0"/>
              <w:rPr>
                <w:sz w:val="24"/>
                <w:szCs w:val="24"/>
              </w:rPr>
            </w:pPr>
          </w:p>
          <w:p w14:paraId="7922E6AB" w14:textId="77777777" w:rsidR="00493650" w:rsidRDefault="00493650" w:rsidP="00493650">
            <w:pPr>
              <w:cnfStyle w:val="000000100000" w:firstRow="0" w:lastRow="0" w:firstColumn="0" w:lastColumn="0" w:oddVBand="0" w:evenVBand="0" w:oddHBand="1" w:evenHBand="0" w:firstRowFirstColumn="0" w:firstRowLastColumn="0" w:lastRowFirstColumn="0" w:lastRowLastColumn="0"/>
              <w:rPr>
                <w:sz w:val="24"/>
                <w:szCs w:val="24"/>
              </w:rPr>
            </w:pPr>
          </w:p>
          <w:p w14:paraId="4B7430B6" w14:textId="6327638C" w:rsidR="00493650" w:rsidRPr="00493650" w:rsidRDefault="00493650" w:rsidP="00B50B89">
            <w:pPr>
              <w:jc w:val="center"/>
              <w:cnfStyle w:val="000000100000" w:firstRow="0" w:lastRow="0" w:firstColumn="0" w:lastColumn="0" w:oddVBand="0" w:evenVBand="0" w:oddHBand="1" w:evenHBand="0" w:firstRowFirstColumn="0" w:firstRowLastColumn="0" w:lastRowFirstColumn="0" w:lastRowLastColumn="0"/>
              <w:rPr>
                <w:sz w:val="24"/>
                <w:szCs w:val="24"/>
              </w:rPr>
            </w:pPr>
            <w:r w:rsidRPr="00493650">
              <w:rPr>
                <w:sz w:val="24"/>
                <w:szCs w:val="24"/>
              </w:rPr>
              <w:t>0.35</w:t>
            </w:r>
          </w:p>
        </w:tc>
      </w:tr>
      <w:tr w:rsidR="00493650" w:rsidRPr="00A61A20" w14:paraId="24BE1189" w14:textId="437D8431" w:rsidTr="00A61A20">
        <w:tc>
          <w:tcPr>
            <w:cnfStyle w:val="001000000000" w:firstRow="0" w:lastRow="0" w:firstColumn="1" w:lastColumn="0" w:oddVBand="0" w:evenVBand="0" w:oddHBand="0" w:evenHBand="0" w:firstRowFirstColumn="0" w:firstRowLastColumn="0" w:lastRowFirstColumn="0" w:lastRowLastColumn="0"/>
            <w:tcW w:w="0" w:type="auto"/>
            <w:hideMark/>
          </w:tcPr>
          <w:p w14:paraId="47D13412" w14:textId="77777777" w:rsidR="00493650" w:rsidRPr="00A61A20" w:rsidRDefault="00493650" w:rsidP="00493650">
            <w:pPr>
              <w:spacing w:after="160" w:line="259" w:lineRule="auto"/>
              <w:jc w:val="center"/>
              <w:rPr>
                <w:sz w:val="24"/>
                <w:szCs w:val="24"/>
              </w:rPr>
            </w:pPr>
            <w:r w:rsidRPr="00A61A20">
              <w:rPr>
                <w:sz w:val="24"/>
                <w:szCs w:val="24"/>
              </w:rPr>
              <w:t>3.79 – 3.50</w:t>
            </w:r>
          </w:p>
        </w:tc>
        <w:tc>
          <w:tcPr>
            <w:tcW w:w="0" w:type="auto"/>
            <w:hideMark/>
          </w:tcPr>
          <w:p w14:paraId="3FC77FD0" w14:textId="676A21F0" w:rsidR="00493650" w:rsidRPr="0049365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0</w:t>
            </w:r>
            <w:r>
              <w:rPr>
                <w:sz w:val="24"/>
                <w:szCs w:val="24"/>
              </w:rPr>
              <w:t xml:space="preserve"> (0.0%)</w:t>
            </w:r>
          </w:p>
        </w:tc>
        <w:tc>
          <w:tcPr>
            <w:tcW w:w="0" w:type="auto"/>
            <w:hideMark/>
          </w:tcPr>
          <w:p w14:paraId="637F3044" w14:textId="649C7D4C" w:rsidR="00493650" w:rsidRPr="002E4928" w:rsidRDefault="00493650" w:rsidP="00493650">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7</w:t>
            </w:r>
            <w:r>
              <w:rPr>
                <w:sz w:val="24"/>
                <w:szCs w:val="24"/>
              </w:rPr>
              <w:t xml:space="preserve"> (10.4%)</w:t>
            </w:r>
          </w:p>
        </w:tc>
        <w:tc>
          <w:tcPr>
            <w:tcW w:w="0" w:type="auto"/>
            <w:hideMark/>
          </w:tcPr>
          <w:p w14:paraId="216B9B83" w14:textId="08E709BA" w:rsidR="00493650" w:rsidRPr="0049365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11</w:t>
            </w:r>
            <w:r>
              <w:rPr>
                <w:sz w:val="24"/>
                <w:szCs w:val="24"/>
              </w:rPr>
              <w:t xml:space="preserve"> (16.4%)</w:t>
            </w:r>
          </w:p>
        </w:tc>
        <w:tc>
          <w:tcPr>
            <w:tcW w:w="0" w:type="auto"/>
            <w:hideMark/>
          </w:tcPr>
          <w:p w14:paraId="3839BF44" w14:textId="6F1F5D0C" w:rsidR="00493650" w:rsidRPr="00A61A2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735C1E">
              <w:t>18 (26.9%)</w:t>
            </w:r>
          </w:p>
        </w:tc>
        <w:tc>
          <w:tcPr>
            <w:tcW w:w="1120" w:type="dxa"/>
            <w:vMerge/>
            <w:hideMark/>
          </w:tcPr>
          <w:p w14:paraId="1A6B62E8" w14:textId="713D6341" w:rsidR="00493650" w:rsidRPr="00A61A2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sz w:val="24"/>
                <w:szCs w:val="24"/>
              </w:rPr>
            </w:pPr>
          </w:p>
        </w:tc>
        <w:tc>
          <w:tcPr>
            <w:tcW w:w="1260" w:type="dxa"/>
            <w:vMerge/>
          </w:tcPr>
          <w:p w14:paraId="41452FFB" w14:textId="77777777" w:rsidR="00493650" w:rsidRPr="00A61A20" w:rsidRDefault="00493650" w:rsidP="00493650">
            <w:pPr>
              <w:jc w:val="center"/>
              <w:cnfStyle w:val="000000000000" w:firstRow="0" w:lastRow="0" w:firstColumn="0" w:lastColumn="0" w:oddVBand="0" w:evenVBand="0" w:oddHBand="0" w:evenHBand="0" w:firstRowFirstColumn="0" w:firstRowLastColumn="0" w:lastRowFirstColumn="0" w:lastRowLastColumn="0"/>
              <w:rPr>
                <w:b/>
                <w:bCs/>
                <w:sz w:val="24"/>
                <w:szCs w:val="24"/>
              </w:rPr>
            </w:pPr>
          </w:p>
        </w:tc>
      </w:tr>
      <w:tr w:rsidR="00493650" w:rsidRPr="00A61A20" w14:paraId="16D379B4" w14:textId="164E8468" w:rsidTr="00A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B3718A" w14:textId="77777777" w:rsidR="00493650" w:rsidRPr="00A61A20" w:rsidRDefault="00493650" w:rsidP="00493650">
            <w:pPr>
              <w:spacing w:after="160" w:line="259" w:lineRule="auto"/>
              <w:jc w:val="center"/>
              <w:rPr>
                <w:sz w:val="24"/>
                <w:szCs w:val="24"/>
              </w:rPr>
            </w:pPr>
            <w:r w:rsidRPr="00A61A20">
              <w:rPr>
                <w:sz w:val="24"/>
                <w:szCs w:val="24"/>
              </w:rPr>
              <w:t>3.49 – 3.00</w:t>
            </w:r>
          </w:p>
        </w:tc>
        <w:tc>
          <w:tcPr>
            <w:tcW w:w="0" w:type="auto"/>
            <w:hideMark/>
          </w:tcPr>
          <w:p w14:paraId="41177A86" w14:textId="016FCAF7" w:rsidR="00493650" w:rsidRPr="002E4928"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1</w:t>
            </w:r>
            <w:r>
              <w:rPr>
                <w:sz w:val="24"/>
                <w:szCs w:val="24"/>
              </w:rPr>
              <w:t xml:space="preserve"> (1.5%)</w:t>
            </w:r>
          </w:p>
        </w:tc>
        <w:tc>
          <w:tcPr>
            <w:tcW w:w="0" w:type="auto"/>
            <w:hideMark/>
          </w:tcPr>
          <w:p w14:paraId="3CC433C8" w14:textId="064A2913" w:rsidR="00493650" w:rsidRPr="002E4928" w:rsidRDefault="00493650" w:rsidP="00493650">
            <w:pPr>
              <w:spacing w:after="160" w:line="259"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5</w:t>
            </w:r>
            <w:r>
              <w:rPr>
                <w:sz w:val="24"/>
                <w:szCs w:val="24"/>
              </w:rPr>
              <w:t xml:space="preserve"> ( 7.4 %)</w:t>
            </w:r>
          </w:p>
        </w:tc>
        <w:tc>
          <w:tcPr>
            <w:tcW w:w="0" w:type="auto"/>
            <w:hideMark/>
          </w:tcPr>
          <w:p w14:paraId="4E0355F9" w14:textId="5699C579" w:rsidR="00493650" w:rsidRPr="0049365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A61A20">
              <w:rPr>
                <w:sz w:val="24"/>
                <w:szCs w:val="24"/>
              </w:rPr>
              <w:t>13</w:t>
            </w:r>
            <w:r>
              <w:rPr>
                <w:sz w:val="24"/>
                <w:szCs w:val="24"/>
              </w:rPr>
              <w:t xml:space="preserve"> (19.4%)</w:t>
            </w:r>
          </w:p>
        </w:tc>
        <w:tc>
          <w:tcPr>
            <w:tcW w:w="0" w:type="auto"/>
            <w:hideMark/>
          </w:tcPr>
          <w:p w14:paraId="710614E2" w14:textId="6902CA70" w:rsidR="00493650" w:rsidRPr="00A61A2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735C1E">
              <w:t>19 (28.4%)</w:t>
            </w:r>
          </w:p>
        </w:tc>
        <w:tc>
          <w:tcPr>
            <w:tcW w:w="1120" w:type="dxa"/>
            <w:vMerge/>
            <w:hideMark/>
          </w:tcPr>
          <w:p w14:paraId="115C23BB" w14:textId="16885371" w:rsidR="00493650" w:rsidRPr="00A61A20" w:rsidRDefault="00493650" w:rsidP="0049365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1260" w:type="dxa"/>
            <w:vMerge/>
          </w:tcPr>
          <w:p w14:paraId="5D3A438D" w14:textId="77777777" w:rsidR="00493650" w:rsidRPr="00A61A20" w:rsidRDefault="00493650" w:rsidP="00493650">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493650" w:rsidRPr="00A61A20" w14:paraId="5A108F7C" w14:textId="1F3E53CA" w:rsidTr="00A61A20">
        <w:tc>
          <w:tcPr>
            <w:cnfStyle w:val="001000000000" w:firstRow="0" w:lastRow="0" w:firstColumn="1" w:lastColumn="0" w:oddVBand="0" w:evenVBand="0" w:oddHBand="0" w:evenHBand="0" w:firstRowFirstColumn="0" w:firstRowLastColumn="0" w:lastRowFirstColumn="0" w:lastRowLastColumn="0"/>
            <w:tcW w:w="0" w:type="auto"/>
            <w:hideMark/>
          </w:tcPr>
          <w:p w14:paraId="49F0ADC8" w14:textId="77777777" w:rsidR="00493650" w:rsidRPr="00A61A20" w:rsidRDefault="00493650" w:rsidP="00493650">
            <w:pPr>
              <w:spacing w:after="160" w:line="259" w:lineRule="auto"/>
              <w:jc w:val="center"/>
              <w:rPr>
                <w:sz w:val="24"/>
                <w:szCs w:val="24"/>
              </w:rPr>
            </w:pPr>
            <w:r w:rsidRPr="00A61A20">
              <w:rPr>
                <w:sz w:val="24"/>
                <w:szCs w:val="24"/>
              </w:rPr>
              <w:t>Below 3.00</w:t>
            </w:r>
          </w:p>
        </w:tc>
        <w:tc>
          <w:tcPr>
            <w:tcW w:w="0" w:type="auto"/>
            <w:hideMark/>
          </w:tcPr>
          <w:p w14:paraId="31479EC2" w14:textId="14E07EFF" w:rsidR="00493650" w:rsidRPr="002E4928"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2</w:t>
            </w:r>
            <w:r>
              <w:rPr>
                <w:sz w:val="24"/>
                <w:szCs w:val="24"/>
              </w:rPr>
              <w:t xml:space="preserve"> (2.9%)</w:t>
            </w:r>
          </w:p>
        </w:tc>
        <w:tc>
          <w:tcPr>
            <w:tcW w:w="0" w:type="auto"/>
            <w:hideMark/>
          </w:tcPr>
          <w:p w14:paraId="23A24ECC" w14:textId="17B1A5AB" w:rsidR="00493650" w:rsidRPr="00493650" w:rsidRDefault="00493650" w:rsidP="00493650">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10</w:t>
            </w:r>
            <w:r>
              <w:rPr>
                <w:sz w:val="24"/>
                <w:szCs w:val="24"/>
              </w:rPr>
              <w:t xml:space="preserve"> ( 14.9 %)</w:t>
            </w:r>
          </w:p>
        </w:tc>
        <w:tc>
          <w:tcPr>
            <w:tcW w:w="0" w:type="auto"/>
            <w:hideMark/>
          </w:tcPr>
          <w:p w14:paraId="24B5A52E" w14:textId="471C1436" w:rsidR="00493650" w:rsidRPr="0049365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61A20">
              <w:rPr>
                <w:sz w:val="24"/>
                <w:szCs w:val="24"/>
              </w:rPr>
              <w:t>8</w:t>
            </w:r>
            <w:r>
              <w:rPr>
                <w:sz w:val="24"/>
                <w:szCs w:val="24"/>
              </w:rPr>
              <w:t xml:space="preserve"> (11.9%)</w:t>
            </w:r>
          </w:p>
        </w:tc>
        <w:tc>
          <w:tcPr>
            <w:tcW w:w="0" w:type="auto"/>
            <w:hideMark/>
          </w:tcPr>
          <w:p w14:paraId="678E8A9C" w14:textId="1728F3D7" w:rsidR="00493650" w:rsidRPr="00A61A2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735C1E">
              <w:t>20 (29.9%)</w:t>
            </w:r>
          </w:p>
        </w:tc>
        <w:tc>
          <w:tcPr>
            <w:tcW w:w="1120" w:type="dxa"/>
            <w:vMerge/>
            <w:hideMark/>
          </w:tcPr>
          <w:p w14:paraId="626865A6" w14:textId="49552945" w:rsidR="00493650" w:rsidRPr="00A61A20" w:rsidRDefault="00493650" w:rsidP="00493650">
            <w:pPr>
              <w:spacing w:after="160" w:line="259" w:lineRule="auto"/>
              <w:jc w:val="center"/>
              <w:cnfStyle w:val="000000000000" w:firstRow="0" w:lastRow="0" w:firstColumn="0" w:lastColumn="0" w:oddVBand="0" w:evenVBand="0" w:oddHBand="0" w:evenHBand="0" w:firstRowFirstColumn="0" w:firstRowLastColumn="0" w:lastRowFirstColumn="0" w:lastRowLastColumn="0"/>
              <w:rPr>
                <w:b/>
                <w:bCs/>
                <w:sz w:val="24"/>
                <w:szCs w:val="24"/>
              </w:rPr>
            </w:pPr>
          </w:p>
        </w:tc>
        <w:tc>
          <w:tcPr>
            <w:tcW w:w="1260" w:type="dxa"/>
            <w:vMerge/>
          </w:tcPr>
          <w:p w14:paraId="35211E83" w14:textId="77777777" w:rsidR="00493650" w:rsidRPr="00A61A20" w:rsidRDefault="00493650" w:rsidP="00493650">
            <w:pPr>
              <w:jc w:val="center"/>
              <w:cnfStyle w:val="000000000000" w:firstRow="0" w:lastRow="0" w:firstColumn="0" w:lastColumn="0" w:oddVBand="0" w:evenVBand="0" w:oddHBand="0" w:evenHBand="0" w:firstRowFirstColumn="0" w:firstRowLastColumn="0" w:lastRowFirstColumn="0" w:lastRowLastColumn="0"/>
              <w:rPr>
                <w:b/>
                <w:bCs/>
                <w:sz w:val="24"/>
                <w:szCs w:val="24"/>
              </w:rPr>
            </w:pPr>
          </w:p>
        </w:tc>
      </w:tr>
      <w:tr w:rsidR="00A61A20" w:rsidRPr="00A61A20" w14:paraId="028BFE26" w14:textId="529C4EEC" w:rsidTr="00A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D5D64" w14:textId="77777777" w:rsidR="00A61A20" w:rsidRPr="00A61A20" w:rsidRDefault="00A61A20" w:rsidP="00A61A20">
            <w:pPr>
              <w:spacing w:after="160" w:line="259" w:lineRule="auto"/>
              <w:jc w:val="center"/>
              <w:rPr>
                <w:sz w:val="24"/>
                <w:szCs w:val="24"/>
              </w:rPr>
            </w:pPr>
            <w:r w:rsidRPr="00A61A20">
              <w:rPr>
                <w:sz w:val="24"/>
                <w:szCs w:val="24"/>
              </w:rPr>
              <w:t>Total</w:t>
            </w:r>
          </w:p>
        </w:tc>
        <w:tc>
          <w:tcPr>
            <w:tcW w:w="0" w:type="auto"/>
            <w:hideMark/>
          </w:tcPr>
          <w:p w14:paraId="40D49AE6" w14:textId="77777777" w:rsidR="00A61A20" w:rsidRPr="00A61A20" w:rsidRDefault="00A61A20" w:rsidP="00A61A2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61A20">
              <w:rPr>
                <w:b/>
                <w:bCs/>
                <w:sz w:val="24"/>
                <w:szCs w:val="24"/>
              </w:rPr>
              <w:t>3 (4.5%)</w:t>
            </w:r>
          </w:p>
        </w:tc>
        <w:tc>
          <w:tcPr>
            <w:tcW w:w="0" w:type="auto"/>
            <w:hideMark/>
          </w:tcPr>
          <w:p w14:paraId="37472DAA" w14:textId="77777777" w:rsidR="00A61A20" w:rsidRPr="00A61A20" w:rsidRDefault="00A61A20" w:rsidP="00A61A2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61A20">
              <w:rPr>
                <w:b/>
                <w:bCs/>
                <w:sz w:val="24"/>
                <w:szCs w:val="24"/>
              </w:rPr>
              <w:t>24 (35.8%)</w:t>
            </w:r>
          </w:p>
        </w:tc>
        <w:tc>
          <w:tcPr>
            <w:tcW w:w="0" w:type="auto"/>
            <w:hideMark/>
          </w:tcPr>
          <w:p w14:paraId="40AFB0DE" w14:textId="77777777" w:rsidR="00A61A20" w:rsidRPr="00A61A20" w:rsidRDefault="00A61A20" w:rsidP="00A61A2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61A20">
              <w:rPr>
                <w:b/>
                <w:bCs/>
                <w:sz w:val="24"/>
                <w:szCs w:val="24"/>
              </w:rPr>
              <w:t>40 (59.7%)</w:t>
            </w:r>
          </w:p>
        </w:tc>
        <w:tc>
          <w:tcPr>
            <w:tcW w:w="0" w:type="auto"/>
            <w:hideMark/>
          </w:tcPr>
          <w:p w14:paraId="2F2113E2" w14:textId="65FEB833" w:rsidR="00A61A20" w:rsidRPr="00A61A20" w:rsidRDefault="00A61A20" w:rsidP="00A61A2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A61A20">
              <w:rPr>
                <w:b/>
                <w:bCs/>
                <w:sz w:val="24"/>
                <w:szCs w:val="24"/>
              </w:rPr>
              <w:t>67</w:t>
            </w:r>
            <w:r>
              <w:rPr>
                <w:b/>
                <w:bCs/>
                <w:sz w:val="24"/>
                <w:szCs w:val="24"/>
              </w:rPr>
              <w:t xml:space="preserve"> (100%)</w:t>
            </w:r>
          </w:p>
        </w:tc>
        <w:tc>
          <w:tcPr>
            <w:tcW w:w="1120" w:type="dxa"/>
            <w:vMerge/>
            <w:hideMark/>
          </w:tcPr>
          <w:p w14:paraId="230499C6" w14:textId="55A710BD" w:rsidR="00A61A20" w:rsidRPr="00A61A20" w:rsidRDefault="00A61A20" w:rsidP="00A61A20">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1260" w:type="dxa"/>
            <w:vMerge/>
          </w:tcPr>
          <w:p w14:paraId="518C8A93" w14:textId="77777777" w:rsidR="00A61A20" w:rsidRPr="00A61A20" w:rsidRDefault="00A61A20" w:rsidP="00A61A20">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bl>
    <w:p w14:paraId="5FD0BF9A" w14:textId="77777777" w:rsidR="00A61A20" w:rsidRPr="00A61A20" w:rsidRDefault="00A61A20" w:rsidP="00A61A20">
      <w:pPr>
        <w:jc w:val="both"/>
        <w:rPr>
          <w:b/>
          <w:bCs/>
          <w:sz w:val="24"/>
          <w:szCs w:val="24"/>
        </w:rPr>
      </w:pPr>
    </w:p>
    <w:p w14:paraId="622F9354" w14:textId="6D75F794" w:rsidR="00805D08" w:rsidRDefault="00A61A20" w:rsidP="001E5497">
      <w:pPr>
        <w:spacing w:line="360" w:lineRule="auto"/>
        <w:jc w:val="both"/>
        <w:rPr>
          <w:sz w:val="24"/>
          <w:szCs w:val="24"/>
        </w:rPr>
      </w:pPr>
      <w:r w:rsidRPr="00B50B89">
        <w:rPr>
          <w:sz w:val="24"/>
          <w:szCs w:val="24"/>
        </w:rPr>
        <w:t>According to table 3</w:t>
      </w:r>
      <w:r w:rsidR="00BB6EAC" w:rsidRPr="00B50B89">
        <w:rPr>
          <w:sz w:val="24"/>
          <w:szCs w:val="24"/>
        </w:rPr>
        <w:t>,</w:t>
      </w:r>
      <w:r w:rsidRPr="00B50B89">
        <w:rPr>
          <w:sz w:val="24"/>
          <w:szCs w:val="24"/>
        </w:rPr>
        <w:t xml:space="preserve"> Students who reported no financial difficulties affecting college attendance demonstrated comparatively better annual GPA scores than students experiencing occasional or persistent financial difficulties. The association was statistically significant (</w:t>
      </w:r>
      <w:r w:rsidRPr="00B50B89">
        <w:rPr>
          <w:rStyle w:val="Emphasis"/>
          <w:sz w:val="24"/>
          <w:szCs w:val="24"/>
        </w:rPr>
        <w:t>p</w:t>
      </w:r>
      <w:r w:rsidRPr="00B50B89">
        <w:rPr>
          <w:sz w:val="24"/>
          <w:szCs w:val="24"/>
        </w:rPr>
        <w:t xml:space="preserve"> = 0.026)</w:t>
      </w:r>
      <w:r w:rsidR="00805D08">
        <w:rPr>
          <w:sz w:val="24"/>
          <w:szCs w:val="24"/>
        </w:rPr>
        <w:t xml:space="preserve"> with moderate effect size that shows 0.35 with Cramer’s V test.</w:t>
      </w:r>
    </w:p>
    <w:p w14:paraId="1E46A818" w14:textId="71E275FD" w:rsidR="00D50867" w:rsidRDefault="00D50867" w:rsidP="001E5497">
      <w:pPr>
        <w:spacing w:line="360" w:lineRule="auto"/>
        <w:jc w:val="both"/>
        <w:rPr>
          <w:b/>
          <w:bCs/>
          <w:sz w:val="24"/>
          <w:szCs w:val="24"/>
        </w:rPr>
      </w:pPr>
      <w:r w:rsidRPr="00D50867">
        <w:rPr>
          <w:b/>
          <w:bCs/>
          <w:sz w:val="24"/>
          <w:szCs w:val="24"/>
        </w:rPr>
        <w:t>Table 4. Association between annual GPA categories and living arrangements during study period</w:t>
      </w:r>
    </w:p>
    <w:tbl>
      <w:tblPr>
        <w:tblStyle w:val="GridTable4-Accent5"/>
        <w:tblW w:w="8995" w:type="dxa"/>
        <w:tblLook w:val="04A0" w:firstRow="1" w:lastRow="0" w:firstColumn="1" w:lastColumn="0" w:noHBand="0" w:noVBand="1"/>
      </w:tblPr>
      <w:tblGrid>
        <w:gridCol w:w="2515"/>
        <w:gridCol w:w="1413"/>
        <w:gridCol w:w="1287"/>
        <w:gridCol w:w="1440"/>
        <w:gridCol w:w="1080"/>
        <w:gridCol w:w="1260"/>
      </w:tblGrid>
      <w:tr w:rsidR="00851B5D" w:rsidRPr="00851B5D" w14:paraId="3A285248" w14:textId="20C52972" w:rsidTr="001E5497">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2515" w:type="dxa"/>
            <w:vMerge w:val="restart"/>
            <w:shd w:val="clear" w:color="auto" w:fill="BDD6EE" w:themeFill="accent1" w:themeFillTint="66"/>
            <w:hideMark/>
          </w:tcPr>
          <w:p w14:paraId="72079B24" w14:textId="77777777" w:rsidR="00851B5D" w:rsidRPr="001E5497" w:rsidRDefault="00851B5D" w:rsidP="00D50867">
            <w:pPr>
              <w:spacing w:after="160" w:line="360" w:lineRule="auto"/>
              <w:jc w:val="both"/>
              <w:rPr>
                <w:b w:val="0"/>
                <w:bCs w:val="0"/>
                <w:color w:val="000000" w:themeColor="text1"/>
                <w:sz w:val="20"/>
                <w:szCs w:val="20"/>
              </w:rPr>
            </w:pPr>
          </w:p>
          <w:p w14:paraId="76098174" w14:textId="77777777" w:rsidR="00851B5D" w:rsidRPr="001E5497" w:rsidRDefault="00851B5D" w:rsidP="00D50867">
            <w:pPr>
              <w:spacing w:after="160" w:line="360" w:lineRule="auto"/>
              <w:jc w:val="both"/>
              <w:rPr>
                <w:b w:val="0"/>
                <w:bCs w:val="0"/>
                <w:color w:val="000000" w:themeColor="text1"/>
                <w:sz w:val="20"/>
                <w:szCs w:val="20"/>
              </w:rPr>
            </w:pPr>
          </w:p>
          <w:p w14:paraId="7848D9A1" w14:textId="28D7B362" w:rsidR="00851B5D" w:rsidRPr="001E5497" w:rsidRDefault="00851B5D" w:rsidP="00D50867">
            <w:pPr>
              <w:spacing w:after="160" w:line="360" w:lineRule="auto"/>
              <w:jc w:val="both"/>
              <w:rPr>
                <w:color w:val="000000" w:themeColor="text1"/>
                <w:sz w:val="20"/>
                <w:szCs w:val="20"/>
              </w:rPr>
            </w:pPr>
            <w:r w:rsidRPr="001E5497">
              <w:rPr>
                <w:color w:val="000000" w:themeColor="text1"/>
                <w:sz w:val="20"/>
                <w:szCs w:val="20"/>
              </w:rPr>
              <w:t>Annual GPA Category</w:t>
            </w:r>
          </w:p>
        </w:tc>
        <w:tc>
          <w:tcPr>
            <w:tcW w:w="4140" w:type="dxa"/>
            <w:gridSpan w:val="3"/>
            <w:shd w:val="clear" w:color="auto" w:fill="BDD6EE" w:themeFill="accent1" w:themeFillTint="66"/>
            <w:hideMark/>
          </w:tcPr>
          <w:p w14:paraId="3725A499" w14:textId="62BF6CFE" w:rsidR="00851B5D" w:rsidRPr="001E5497" w:rsidRDefault="00851B5D" w:rsidP="00340F7D">
            <w:pPr>
              <w:spacing w:after="160"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1E5497">
              <w:rPr>
                <w:color w:val="000000" w:themeColor="text1"/>
                <w:sz w:val="20"/>
                <w:szCs w:val="20"/>
              </w:rPr>
              <w:t>Living with Parents</w:t>
            </w:r>
          </w:p>
        </w:tc>
        <w:tc>
          <w:tcPr>
            <w:tcW w:w="1080" w:type="dxa"/>
            <w:vMerge w:val="restart"/>
            <w:shd w:val="clear" w:color="auto" w:fill="BDD6EE" w:themeFill="accent1" w:themeFillTint="66"/>
          </w:tcPr>
          <w:p w14:paraId="06B6F914" w14:textId="77777777"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p w14:paraId="651E08D5" w14:textId="77777777"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p w14:paraId="3F3B0D9B" w14:textId="347E1CA7"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1E5497">
              <w:rPr>
                <w:color w:val="000000" w:themeColor="text1"/>
                <w:sz w:val="20"/>
                <w:szCs w:val="20"/>
              </w:rPr>
              <w:t>P Value</w:t>
            </w:r>
          </w:p>
        </w:tc>
        <w:tc>
          <w:tcPr>
            <w:tcW w:w="1260" w:type="dxa"/>
            <w:vMerge w:val="restart"/>
            <w:shd w:val="clear" w:color="auto" w:fill="BDD6EE" w:themeFill="accent1" w:themeFillTint="66"/>
          </w:tcPr>
          <w:p w14:paraId="15DD7ED2" w14:textId="77777777"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p w14:paraId="3BB69BAD" w14:textId="77777777"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p>
          <w:p w14:paraId="46D3CFAF" w14:textId="6D56F309" w:rsidR="00851B5D" w:rsidRPr="001E5497" w:rsidRDefault="00851B5D" w:rsidP="00851B5D">
            <w:pPr>
              <w:spacing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1E5497">
              <w:rPr>
                <w:color w:val="000000" w:themeColor="text1"/>
                <w:sz w:val="20"/>
                <w:szCs w:val="20"/>
              </w:rPr>
              <w:t>Effect size</w:t>
            </w:r>
          </w:p>
        </w:tc>
      </w:tr>
      <w:tr w:rsidR="00851B5D" w:rsidRPr="00851B5D" w14:paraId="2FC564C3" w14:textId="46D33B2D" w:rsidTr="001E549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515" w:type="dxa"/>
            <w:vMerge/>
            <w:shd w:val="clear" w:color="auto" w:fill="BDD6EE" w:themeFill="accent1" w:themeFillTint="66"/>
          </w:tcPr>
          <w:p w14:paraId="7F595C05" w14:textId="77777777" w:rsidR="00851B5D" w:rsidRPr="00851B5D" w:rsidRDefault="00851B5D" w:rsidP="00D50867">
            <w:pPr>
              <w:spacing w:line="360" w:lineRule="auto"/>
              <w:jc w:val="both"/>
              <w:rPr>
                <w:b w:val="0"/>
                <w:bCs w:val="0"/>
                <w:color w:val="000000" w:themeColor="text1"/>
              </w:rPr>
            </w:pPr>
          </w:p>
        </w:tc>
        <w:tc>
          <w:tcPr>
            <w:tcW w:w="1413" w:type="dxa"/>
            <w:shd w:val="clear" w:color="auto" w:fill="4472C4" w:themeFill="accent5"/>
          </w:tcPr>
          <w:p w14:paraId="222C3610" w14:textId="6179AD68"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851B5D">
              <w:rPr>
                <w:b/>
                <w:bCs/>
                <w:color w:val="000000" w:themeColor="text1"/>
              </w:rPr>
              <w:t>Yes n (%)</w:t>
            </w:r>
          </w:p>
        </w:tc>
        <w:tc>
          <w:tcPr>
            <w:tcW w:w="1287" w:type="dxa"/>
            <w:shd w:val="clear" w:color="auto" w:fill="4472C4" w:themeFill="accent5"/>
          </w:tcPr>
          <w:p w14:paraId="1E6CFF2E" w14:textId="77777777" w:rsidR="00851B5D" w:rsidRPr="00851B5D"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851B5D">
              <w:rPr>
                <w:b/>
                <w:bCs/>
                <w:color w:val="000000" w:themeColor="text1"/>
              </w:rPr>
              <w:t>No n (%)</w:t>
            </w:r>
          </w:p>
          <w:p w14:paraId="5686564F" w14:textId="77777777" w:rsidR="00851B5D" w:rsidRPr="00851B5D" w:rsidRDefault="00851B5D" w:rsidP="00D50867">
            <w:pPr>
              <w:cnfStyle w:val="000000100000" w:firstRow="0" w:lastRow="0" w:firstColumn="0" w:lastColumn="0" w:oddVBand="0" w:evenVBand="0" w:oddHBand="1" w:evenHBand="0" w:firstRowFirstColumn="0" w:firstRowLastColumn="0" w:lastRowFirstColumn="0" w:lastRowLastColumn="0"/>
              <w:rPr>
                <w:b/>
                <w:bCs/>
                <w:color w:val="000000" w:themeColor="text1"/>
              </w:rPr>
            </w:pPr>
          </w:p>
          <w:p w14:paraId="1522BC3D"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p>
        </w:tc>
        <w:tc>
          <w:tcPr>
            <w:tcW w:w="1440" w:type="dxa"/>
            <w:shd w:val="clear" w:color="auto" w:fill="4472C4" w:themeFill="accent5"/>
          </w:tcPr>
          <w:p w14:paraId="709C1B04" w14:textId="143D93D1"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851B5D">
              <w:rPr>
                <w:b/>
                <w:bCs/>
                <w:color w:val="000000" w:themeColor="text1"/>
              </w:rPr>
              <w:t>Total n (%)</w:t>
            </w:r>
          </w:p>
        </w:tc>
        <w:tc>
          <w:tcPr>
            <w:tcW w:w="1080" w:type="dxa"/>
            <w:vMerge/>
            <w:shd w:val="clear" w:color="auto" w:fill="4472C4" w:themeFill="accent5"/>
          </w:tcPr>
          <w:p w14:paraId="45244512"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p>
        </w:tc>
        <w:tc>
          <w:tcPr>
            <w:tcW w:w="1260" w:type="dxa"/>
            <w:vMerge/>
            <w:shd w:val="clear" w:color="auto" w:fill="4472C4" w:themeFill="accent5"/>
          </w:tcPr>
          <w:p w14:paraId="3091F594"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851B5D" w:rsidRPr="00851B5D" w14:paraId="66880567" w14:textId="6A870C80" w:rsidTr="001E5497">
        <w:tc>
          <w:tcPr>
            <w:cnfStyle w:val="001000000000" w:firstRow="0" w:lastRow="0" w:firstColumn="1" w:lastColumn="0" w:oddVBand="0" w:evenVBand="0" w:oddHBand="0" w:evenHBand="0" w:firstRowFirstColumn="0" w:firstRowLastColumn="0" w:lastRowFirstColumn="0" w:lastRowLastColumn="0"/>
            <w:tcW w:w="2515" w:type="dxa"/>
            <w:hideMark/>
          </w:tcPr>
          <w:p w14:paraId="37E95FAF" w14:textId="77777777" w:rsidR="00851B5D" w:rsidRPr="00851B5D" w:rsidRDefault="00851B5D" w:rsidP="00D50867">
            <w:pPr>
              <w:spacing w:after="160" w:line="360" w:lineRule="auto"/>
              <w:jc w:val="both"/>
            </w:pPr>
            <w:r w:rsidRPr="00851B5D">
              <w:t>5.00–3.80</w:t>
            </w:r>
          </w:p>
        </w:tc>
        <w:tc>
          <w:tcPr>
            <w:tcW w:w="1413" w:type="dxa"/>
            <w:hideMark/>
          </w:tcPr>
          <w:p w14:paraId="0F089A03"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10 (14.9%)</w:t>
            </w:r>
          </w:p>
        </w:tc>
        <w:tc>
          <w:tcPr>
            <w:tcW w:w="1287" w:type="dxa"/>
            <w:hideMark/>
          </w:tcPr>
          <w:p w14:paraId="58092BF9"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0 (0.0%)</w:t>
            </w:r>
          </w:p>
        </w:tc>
        <w:tc>
          <w:tcPr>
            <w:tcW w:w="1440" w:type="dxa"/>
            <w:hideMark/>
          </w:tcPr>
          <w:p w14:paraId="72E8C2D9"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10 (14.9%)</w:t>
            </w:r>
          </w:p>
        </w:tc>
        <w:tc>
          <w:tcPr>
            <w:tcW w:w="1080" w:type="dxa"/>
            <w:vMerge w:val="restart"/>
          </w:tcPr>
          <w:p w14:paraId="031BB980" w14:textId="77777777" w:rsidR="00851B5D" w:rsidRP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p>
          <w:p w14:paraId="1DBF355E" w14:textId="77777777" w:rsidR="00851B5D" w:rsidRPr="00851B5D" w:rsidRDefault="00851B5D" w:rsidP="001E5497">
            <w:pPr>
              <w:pStyle w:val="BodyText"/>
              <w:spacing w:before="10"/>
              <w:cnfStyle w:val="000000000000" w:firstRow="0" w:lastRow="0" w:firstColumn="0" w:lastColumn="0" w:oddVBand="0" w:evenVBand="0" w:oddHBand="0" w:evenHBand="0" w:firstRowFirstColumn="0" w:firstRowLastColumn="0" w:lastRowFirstColumn="0" w:lastRowLastColumn="0"/>
              <w:rPr>
                <w:sz w:val="22"/>
                <w:szCs w:val="22"/>
              </w:rPr>
            </w:pPr>
          </w:p>
          <w:p w14:paraId="30FF4DF2" w14:textId="77777777" w:rsidR="00851B5D" w:rsidRPr="00851B5D" w:rsidRDefault="00851B5D" w:rsidP="001E5497">
            <w:pPr>
              <w:pStyle w:val="BodyText"/>
              <w:spacing w:before="10"/>
              <w:cnfStyle w:val="000000000000" w:firstRow="0" w:lastRow="0" w:firstColumn="0" w:lastColumn="0" w:oddVBand="0" w:evenVBand="0" w:oddHBand="0" w:evenHBand="0" w:firstRowFirstColumn="0" w:firstRowLastColumn="0" w:lastRowFirstColumn="0" w:lastRowLastColumn="0"/>
              <w:rPr>
                <w:sz w:val="22"/>
                <w:szCs w:val="22"/>
              </w:rPr>
            </w:pPr>
          </w:p>
          <w:p w14:paraId="3720D240" w14:textId="2792421E" w:rsidR="00851B5D" w:rsidRP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r w:rsidRPr="00851B5D">
              <w:rPr>
                <w:sz w:val="22"/>
                <w:szCs w:val="22"/>
              </w:rPr>
              <w:t xml:space="preserve">Chi-square test (χ²), </w:t>
            </w:r>
            <w:r w:rsidRPr="00851B5D">
              <w:rPr>
                <w:rStyle w:val="Emphasis"/>
                <w:sz w:val="22"/>
                <w:szCs w:val="22"/>
              </w:rPr>
              <w:t>p</w:t>
            </w:r>
            <w:r w:rsidRPr="00851B5D">
              <w:rPr>
                <w:sz w:val="22"/>
                <w:szCs w:val="22"/>
              </w:rPr>
              <w:t xml:space="preserve"> = 0.012</w:t>
            </w:r>
          </w:p>
          <w:p w14:paraId="4756A20B" w14:textId="77777777" w:rsidR="00851B5D" w:rsidRPr="00851B5D" w:rsidRDefault="00851B5D" w:rsidP="00D50867">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c>
          <w:tcPr>
            <w:tcW w:w="1260" w:type="dxa"/>
            <w:vMerge w:val="restart"/>
          </w:tcPr>
          <w:p w14:paraId="5959E3B2" w14:textId="77777777" w:rsid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p>
          <w:p w14:paraId="36989A66" w14:textId="77777777" w:rsid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p>
          <w:p w14:paraId="45CA9CBB" w14:textId="77777777" w:rsidR="00851B5D" w:rsidRDefault="00851B5D" w:rsidP="001E5497">
            <w:pPr>
              <w:pStyle w:val="BodyText"/>
              <w:spacing w:before="10"/>
              <w:cnfStyle w:val="000000000000" w:firstRow="0" w:lastRow="0" w:firstColumn="0" w:lastColumn="0" w:oddVBand="0" w:evenVBand="0" w:oddHBand="0" w:evenHBand="0" w:firstRowFirstColumn="0" w:firstRowLastColumn="0" w:lastRowFirstColumn="0" w:lastRowLastColumn="0"/>
              <w:rPr>
                <w:sz w:val="22"/>
                <w:szCs w:val="22"/>
              </w:rPr>
            </w:pPr>
          </w:p>
          <w:p w14:paraId="5188C3A4" w14:textId="77777777" w:rsid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p>
          <w:p w14:paraId="59F76D41" w14:textId="75BE3440" w:rsidR="00851B5D" w:rsidRPr="00851B5D" w:rsidRDefault="00851B5D" w:rsidP="00851B5D">
            <w:pPr>
              <w:pStyle w:val="BodyText"/>
              <w:spacing w:before="1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0.37</w:t>
            </w:r>
          </w:p>
        </w:tc>
      </w:tr>
      <w:tr w:rsidR="00851B5D" w:rsidRPr="00851B5D" w14:paraId="539FE362" w14:textId="04273FE4" w:rsidTr="001E5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0B4422F4" w14:textId="77777777" w:rsidR="00851B5D" w:rsidRPr="00851B5D" w:rsidRDefault="00851B5D" w:rsidP="00D50867">
            <w:pPr>
              <w:spacing w:after="160" w:line="360" w:lineRule="auto"/>
              <w:jc w:val="both"/>
            </w:pPr>
            <w:r w:rsidRPr="00851B5D">
              <w:t>3.79–3.50</w:t>
            </w:r>
          </w:p>
        </w:tc>
        <w:tc>
          <w:tcPr>
            <w:tcW w:w="1413" w:type="dxa"/>
            <w:hideMark/>
          </w:tcPr>
          <w:p w14:paraId="4FFD98A5"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18 (26.9%)</w:t>
            </w:r>
          </w:p>
        </w:tc>
        <w:tc>
          <w:tcPr>
            <w:tcW w:w="1287" w:type="dxa"/>
            <w:hideMark/>
          </w:tcPr>
          <w:p w14:paraId="4ED5E003"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0 (0.0%)</w:t>
            </w:r>
          </w:p>
        </w:tc>
        <w:tc>
          <w:tcPr>
            <w:tcW w:w="1440" w:type="dxa"/>
            <w:hideMark/>
          </w:tcPr>
          <w:p w14:paraId="7DFFA668"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18 (26.9%)</w:t>
            </w:r>
          </w:p>
        </w:tc>
        <w:tc>
          <w:tcPr>
            <w:tcW w:w="1080" w:type="dxa"/>
            <w:vMerge/>
          </w:tcPr>
          <w:p w14:paraId="6D04173F"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c>
          <w:tcPr>
            <w:tcW w:w="1260" w:type="dxa"/>
            <w:vMerge/>
          </w:tcPr>
          <w:p w14:paraId="70CAC92B"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r>
      <w:tr w:rsidR="00851B5D" w:rsidRPr="00851B5D" w14:paraId="6885D56B" w14:textId="2E94716E" w:rsidTr="001E5497">
        <w:tc>
          <w:tcPr>
            <w:cnfStyle w:val="001000000000" w:firstRow="0" w:lastRow="0" w:firstColumn="1" w:lastColumn="0" w:oddVBand="0" w:evenVBand="0" w:oddHBand="0" w:evenHBand="0" w:firstRowFirstColumn="0" w:firstRowLastColumn="0" w:lastRowFirstColumn="0" w:lastRowLastColumn="0"/>
            <w:tcW w:w="2515" w:type="dxa"/>
            <w:hideMark/>
          </w:tcPr>
          <w:p w14:paraId="37E30D54" w14:textId="77777777" w:rsidR="00851B5D" w:rsidRPr="00851B5D" w:rsidRDefault="00851B5D" w:rsidP="00D50867">
            <w:pPr>
              <w:spacing w:after="160" w:line="360" w:lineRule="auto"/>
              <w:jc w:val="both"/>
            </w:pPr>
            <w:r w:rsidRPr="00851B5D">
              <w:t>3.49–3.00</w:t>
            </w:r>
          </w:p>
        </w:tc>
        <w:tc>
          <w:tcPr>
            <w:tcW w:w="1413" w:type="dxa"/>
            <w:hideMark/>
          </w:tcPr>
          <w:p w14:paraId="1C832A7B"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12 (17.9%)</w:t>
            </w:r>
          </w:p>
        </w:tc>
        <w:tc>
          <w:tcPr>
            <w:tcW w:w="1287" w:type="dxa"/>
            <w:hideMark/>
          </w:tcPr>
          <w:p w14:paraId="6F0177CA"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7 (10.4%)</w:t>
            </w:r>
          </w:p>
        </w:tc>
        <w:tc>
          <w:tcPr>
            <w:tcW w:w="1440" w:type="dxa"/>
            <w:hideMark/>
          </w:tcPr>
          <w:p w14:paraId="265D68AF" w14:textId="77777777" w:rsidR="00851B5D" w:rsidRPr="00625433"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625433">
              <w:t>19 (28.4%)</w:t>
            </w:r>
          </w:p>
        </w:tc>
        <w:tc>
          <w:tcPr>
            <w:tcW w:w="1080" w:type="dxa"/>
            <w:vMerge/>
          </w:tcPr>
          <w:p w14:paraId="0D4DFEC2" w14:textId="77777777" w:rsidR="00851B5D" w:rsidRPr="00851B5D" w:rsidRDefault="00851B5D" w:rsidP="00D50867">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c>
          <w:tcPr>
            <w:tcW w:w="1260" w:type="dxa"/>
            <w:vMerge/>
          </w:tcPr>
          <w:p w14:paraId="0FD057B7" w14:textId="77777777" w:rsidR="00851B5D" w:rsidRPr="00851B5D" w:rsidRDefault="00851B5D" w:rsidP="00D50867">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r>
      <w:tr w:rsidR="00851B5D" w:rsidRPr="00851B5D" w14:paraId="48C76F83" w14:textId="46C1B749" w:rsidTr="001E549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515" w:type="dxa"/>
            <w:hideMark/>
          </w:tcPr>
          <w:p w14:paraId="71594D86" w14:textId="77777777" w:rsidR="00851B5D" w:rsidRPr="00851B5D" w:rsidRDefault="00851B5D" w:rsidP="00D50867">
            <w:pPr>
              <w:spacing w:after="160" w:line="360" w:lineRule="auto"/>
              <w:jc w:val="both"/>
            </w:pPr>
            <w:r w:rsidRPr="00851B5D">
              <w:t>Below 3.00</w:t>
            </w:r>
          </w:p>
        </w:tc>
        <w:tc>
          <w:tcPr>
            <w:tcW w:w="1413" w:type="dxa"/>
            <w:hideMark/>
          </w:tcPr>
          <w:p w14:paraId="09FFFDDA"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15 (22.4%)</w:t>
            </w:r>
          </w:p>
        </w:tc>
        <w:tc>
          <w:tcPr>
            <w:tcW w:w="1287" w:type="dxa"/>
            <w:hideMark/>
          </w:tcPr>
          <w:p w14:paraId="3CBA4486"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5 (7.5%)</w:t>
            </w:r>
          </w:p>
        </w:tc>
        <w:tc>
          <w:tcPr>
            <w:tcW w:w="1440" w:type="dxa"/>
            <w:hideMark/>
          </w:tcPr>
          <w:p w14:paraId="50E3A896" w14:textId="77777777" w:rsidR="00851B5D" w:rsidRPr="00625433" w:rsidRDefault="00851B5D" w:rsidP="00D50867">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625433">
              <w:t>20 (29.9%)</w:t>
            </w:r>
          </w:p>
        </w:tc>
        <w:tc>
          <w:tcPr>
            <w:tcW w:w="1080" w:type="dxa"/>
            <w:vMerge/>
          </w:tcPr>
          <w:p w14:paraId="36587610"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c>
          <w:tcPr>
            <w:tcW w:w="1260" w:type="dxa"/>
            <w:vMerge/>
          </w:tcPr>
          <w:p w14:paraId="10A14104" w14:textId="77777777" w:rsidR="00851B5D" w:rsidRPr="00851B5D" w:rsidRDefault="00851B5D" w:rsidP="00D50867">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r>
      <w:tr w:rsidR="00851B5D" w:rsidRPr="00851B5D" w14:paraId="62C3C3BE" w14:textId="1547F399" w:rsidTr="001E5497">
        <w:tc>
          <w:tcPr>
            <w:cnfStyle w:val="001000000000" w:firstRow="0" w:lastRow="0" w:firstColumn="1" w:lastColumn="0" w:oddVBand="0" w:evenVBand="0" w:oddHBand="0" w:evenHBand="0" w:firstRowFirstColumn="0" w:firstRowLastColumn="0" w:lastRowFirstColumn="0" w:lastRowLastColumn="0"/>
            <w:tcW w:w="2515" w:type="dxa"/>
            <w:hideMark/>
          </w:tcPr>
          <w:p w14:paraId="260DD972" w14:textId="77777777" w:rsidR="00851B5D" w:rsidRPr="00851B5D" w:rsidRDefault="00851B5D" w:rsidP="00D50867">
            <w:pPr>
              <w:spacing w:after="160" w:line="360" w:lineRule="auto"/>
              <w:jc w:val="both"/>
            </w:pPr>
            <w:r w:rsidRPr="00851B5D">
              <w:t>Total</w:t>
            </w:r>
          </w:p>
        </w:tc>
        <w:tc>
          <w:tcPr>
            <w:tcW w:w="1413" w:type="dxa"/>
            <w:hideMark/>
          </w:tcPr>
          <w:p w14:paraId="7C5BB09E" w14:textId="77777777" w:rsidR="00851B5D" w:rsidRPr="00851B5D"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rPr>
                <w:b/>
                <w:bCs/>
              </w:rPr>
            </w:pPr>
            <w:r w:rsidRPr="00851B5D">
              <w:rPr>
                <w:b/>
                <w:bCs/>
              </w:rPr>
              <w:t>55 (82.1%)</w:t>
            </w:r>
          </w:p>
        </w:tc>
        <w:tc>
          <w:tcPr>
            <w:tcW w:w="1287" w:type="dxa"/>
            <w:hideMark/>
          </w:tcPr>
          <w:p w14:paraId="6493A52B" w14:textId="77777777" w:rsidR="00851B5D" w:rsidRPr="00851B5D"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rPr>
                <w:b/>
                <w:bCs/>
              </w:rPr>
            </w:pPr>
            <w:r w:rsidRPr="00851B5D">
              <w:rPr>
                <w:b/>
                <w:bCs/>
              </w:rPr>
              <w:t>12 (17.9%)</w:t>
            </w:r>
          </w:p>
        </w:tc>
        <w:tc>
          <w:tcPr>
            <w:tcW w:w="1440" w:type="dxa"/>
            <w:hideMark/>
          </w:tcPr>
          <w:p w14:paraId="0F34418F" w14:textId="77777777" w:rsidR="00851B5D" w:rsidRPr="00851B5D" w:rsidRDefault="00851B5D" w:rsidP="00D50867">
            <w:pPr>
              <w:spacing w:after="160" w:line="360" w:lineRule="auto"/>
              <w:jc w:val="both"/>
              <w:cnfStyle w:val="000000000000" w:firstRow="0" w:lastRow="0" w:firstColumn="0" w:lastColumn="0" w:oddVBand="0" w:evenVBand="0" w:oddHBand="0" w:evenHBand="0" w:firstRowFirstColumn="0" w:firstRowLastColumn="0" w:lastRowFirstColumn="0" w:lastRowLastColumn="0"/>
              <w:rPr>
                <w:b/>
                <w:bCs/>
              </w:rPr>
            </w:pPr>
            <w:r w:rsidRPr="00851B5D">
              <w:rPr>
                <w:b/>
                <w:bCs/>
              </w:rPr>
              <w:t>67 (100%)</w:t>
            </w:r>
          </w:p>
        </w:tc>
        <w:tc>
          <w:tcPr>
            <w:tcW w:w="1080" w:type="dxa"/>
          </w:tcPr>
          <w:p w14:paraId="358E5902" w14:textId="77777777" w:rsidR="00851B5D" w:rsidRPr="00851B5D" w:rsidRDefault="00851B5D" w:rsidP="00D50867">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c>
          <w:tcPr>
            <w:tcW w:w="1260" w:type="dxa"/>
          </w:tcPr>
          <w:p w14:paraId="0458F074" w14:textId="77777777" w:rsidR="00851B5D" w:rsidRPr="00851B5D" w:rsidRDefault="00851B5D" w:rsidP="00D50867">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r>
    </w:tbl>
    <w:p w14:paraId="3E9A3929" w14:textId="75F4BDFB" w:rsidR="003722A4" w:rsidRDefault="00851B5D" w:rsidP="008043E0">
      <w:pPr>
        <w:spacing w:before="240" w:line="360" w:lineRule="auto"/>
        <w:jc w:val="both"/>
        <w:rPr>
          <w:sz w:val="24"/>
          <w:szCs w:val="24"/>
        </w:rPr>
      </w:pPr>
      <w:r w:rsidRPr="00851B5D">
        <w:rPr>
          <w:sz w:val="24"/>
          <w:szCs w:val="24"/>
        </w:rPr>
        <w:t>Table 4 shows statistically significant association was identified between living arrangements and annual GPA categories (</w:t>
      </w:r>
      <w:r w:rsidRPr="00851B5D">
        <w:rPr>
          <w:rStyle w:val="Emphasis"/>
          <w:sz w:val="24"/>
          <w:szCs w:val="24"/>
        </w:rPr>
        <w:t>p</w:t>
      </w:r>
      <w:r w:rsidRPr="00851B5D">
        <w:rPr>
          <w:sz w:val="24"/>
          <w:szCs w:val="24"/>
        </w:rPr>
        <w:t xml:space="preserve"> = 0.012). Students living with their parents demonstrated comparatively higher annual GPA scores than students living independently or having direct </w:t>
      </w:r>
      <w:r w:rsidRPr="00851B5D">
        <w:rPr>
          <w:sz w:val="24"/>
          <w:szCs w:val="24"/>
        </w:rPr>
        <w:lastRenderedPageBreak/>
        <w:t>family obligations. This finding may reflect the positive influence of environmental and familial support on students’ academic stability and performance. The association between living arrangements and annual GPA categories demonstrated a moderate effect size based on Cramér’s V, suggesting that parental and environmental support may have a meaningful influence on students’ academic performance.</w:t>
      </w:r>
    </w:p>
    <w:p w14:paraId="2F73664D" w14:textId="45137B4F" w:rsidR="006F5594" w:rsidRDefault="008043E0" w:rsidP="008043E0">
      <w:pPr>
        <w:spacing w:before="240" w:line="360" w:lineRule="auto"/>
        <w:jc w:val="both"/>
        <w:rPr>
          <w:b/>
          <w:bCs/>
          <w:sz w:val="24"/>
          <w:szCs w:val="24"/>
        </w:rPr>
      </w:pPr>
      <w:r>
        <w:rPr>
          <w:noProof/>
          <w:sz w:val="24"/>
          <w:szCs w:val="24"/>
        </w:rPr>
        <mc:AlternateContent>
          <mc:Choice Requires="wps">
            <w:drawing>
              <wp:anchor distT="0" distB="0" distL="114300" distR="114300" simplePos="0" relativeHeight="251678208" behindDoc="0" locked="0" layoutInCell="1" allowOverlap="1" wp14:anchorId="647132B3" wp14:editId="5093E33E">
                <wp:simplePos x="0" y="0"/>
                <wp:positionH relativeFrom="column">
                  <wp:posOffset>-54429</wp:posOffset>
                </wp:positionH>
                <wp:positionV relativeFrom="paragraph">
                  <wp:posOffset>49167</wp:posOffset>
                </wp:positionV>
                <wp:extent cx="5736772" cy="3863975"/>
                <wp:effectExtent l="0" t="0" r="16510" b="22225"/>
                <wp:wrapNone/>
                <wp:docPr id="1676882313" name="Rectangle 127"/>
                <wp:cNvGraphicFramePr/>
                <a:graphic xmlns:a="http://schemas.openxmlformats.org/drawingml/2006/main">
                  <a:graphicData uri="http://schemas.microsoft.com/office/word/2010/wordprocessingShape">
                    <wps:wsp>
                      <wps:cNvSpPr/>
                      <wps:spPr>
                        <a:xfrm>
                          <a:off x="0" y="0"/>
                          <a:ext cx="5736772" cy="3863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1FA63" id="Rectangle 127" o:spid="_x0000_s1026" style="position:absolute;margin-left:-4.3pt;margin-top:3.85pt;width:451.7pt;height:30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GfwIAAF8FAAAOAAAAZHJzL2Uyb0RvYy54bWysVFFP2zAQfp+0/2D5fSQplEJFiioQ0yQE&#10;CJh4No5NIjk+7+w27X79zk6adgztYdpL4vPdfXf3+e4uLjetYWuFvgFb8uIo50xZCVVj30r+/fnm&#10;yxlnPghbCQNWlXyrPL9cfP500bm5mkANplLICMT6eedKXofg5lnmZa1a4Y/AKUtKDdiKQCK+ZRWK&#10;jtBbk03y/DTrACuHIJX3dHvdK/ki4WutZLjX2qvATMkpt5C+mL6v8ZstLsT8DYWrGzmkIf4hi1Y0&#10;loKOUNciCLbC5g+otpEIHnQ4ktBmoHUjVaqBqinyd9U81cKpVAuR491Ik/9/sPJu/eQekGjonJ97&#10;OsYqNhrb+Kf82CaRtR3JUpvAJF1OZ8ens9mEM0m647PT4/PZNNKZ7d0d+vBVQcvioeRIr5FIEutb&#10;H3rTnUmMZuGmMSa9iLHxwoNpqniXhNgS6sogWwt6zLAphmgHVhQ7emb7WtIpbI2KEMY+Ks2airKf&#10;pERSm+0xhZTKhqJX1aJSfahimuepUwh+9EiFJsCIrCnJEXsA+D3fHXZf9mAfXVXq0tE5/1tivfPo&#10;kSKDDaNz21jAjwAMVTVE7u13JPXURJZeodo+IEPoZ8Q7edPQs90KHx4E0lDQ+NCgh3v6aANdyWE4&#10;cVYD/vzoPtpTr5KWs46GrOT+x0qg4sx8s9TF58XJSZzKJJxMZxMS8FDzeqixq/YK6OkLWilOpmO0&#10;D2Z31AjtC+2DZYxKKmElxS65DLgTrkI//LRRpFoukxlNohPh1j45GcEjq7EtnzcvAt3Qu4Ha/g52&#10;Aynm71q4t42eFparALpJ/b3ndeCbpjg1zrBx4po4lJPVfi8ufgEAAP//AwBQSwMEFAAGAAgAAAAh&#10;AIjAbGbgAAAACAEAAA8AAABkcnMvZG93bnJldi54bWxMj0FLw0AUhO+C/2F5gpfSblIkTWNeiihK&#10;DyJY9dDbJrtmY7NvQ3bbxn/v86THYYaZb8rN5HpxMmPoPCGkiwSEocbrjlqE97fHeQ4iREVa9Z4M&#10;wrcJsKkuL0pVaH+mV3PaxVZwCYVCIdgYh0LK0FjjVFj4wRB7n350KrIcW6lHdeZy18tlkmTSqY54&#10;warB3FvTHHZHh7DfTrH9Sp/i80HNPmZbWzcvDzXi9dV0dwsimin+heEXn9GhYqbaH0kH0SPM84yT&#10;CKsVCLbz9Q0/qRGyNFuCrEr5/0D1AwAA//8DAFBLAQItABQABgAIAAAAIQC2gziS/gAAAOEBAAAT&#10;AAAAAAAAAAAAAAAAAAAAAABbQ29udGVudF9UeXBlc10ueG1sUEsBAi0AFAAGAAgAAAAhADj9If/W&#10;AAAAlAEAAAsAAAAAAAAAAAAAAAAALwEAAF9yZWxzLy5yZWxzUEsBAi0AFAAGAAgAAAAhAFjSj4Z/&#10;AgAAXwUAAA4AAAAAAAAAAAAAAAAALgIAAGRycy9lMm9Eb2MueG1sUEsBAi0AFAAGAAgAAAAhAIjA&#10;bGbgAAAACAEAAA8AAAAAAAAAAAAAAAAA2QQAAGRycy9kb3ducmV2LnhtbFBLBQYAAAAABAAEAPMA&#10;AADmBQAAAAA=&#10;" filled="f" strokecolor="black [3213]" strokeweight="1pt"/>
            </w:pict>
          </mc:Fallback>
        </mc:AlternateContent>
      </w:r>
      <w:r w:rsidR="006F5594" w:rsidRPr="006F5594">
        <w:rPr>
          <w:noProof/>
        </w:rPr>
        <w:drawing>
          <wp:inline distT="0" distB="0" distL="0" distR="0" wp14:anchorId="4D17619F" wp14:editId="1DCFBB19">
            <wp:extent cx="5311775" cy="3787140"/>
            <wp:effectExtent l="0" t="0" r="0" b="0"/>
            <wp:docPr id="2095719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4835" cy="3824970"/>
                    </a:xfrm>
                    <a:prstGeom prst="rect">
                      <a:avLst/>
                    </a:prstGeom>
                    <a:noFill/>
                    <a:ln>
                      <a:noFill/>
                    </a:ln>
                  </pic:spPr>
                </pic:pic>
              </a:graphicData>
            </a:graphic>
          </wp:inline>
        </w:drawing>
      </w:r>
    </w:p>
    <w:p w14:paraId="6E5BF083" w14:textId="7972865B" w:rsidR="001E5497" w:rsidRPr="001E5497" w:rsidRDefault="001E5497" w:rsidP="001E5497">
      <w:pPr>
        <w:spacing w:line="360" w:lineRule="auto"/>
        <w:jc w:val="both"/>
        <w:rPr>
          <w:b/>
          <w:bCs/>
          <w:sz w:val="24"/>
          <w:szCs w:val="24"/>
        </w:rPr>
      </w:pPr>
      <w:r w:rsidRPr="001E5497">
        <w:rPr>
          <w:b/>
          <w:bCs/>
          <w:sz w:val="24"/>
          <w:szCs w:val="24"/>
        </w:rPr>
        <w:t>Figure 2. Major educational and lifestyle challenges affecting academic performance among dental students at Karary University.</w:t>
      </w:r>
    </w:p>
    <w:p w14:paraId="1448B348" w14:textId="6DCB85EB" w:rsidR="005E5F42" w:rsidRDefault="001E5497" w:rsidP="001E5497">
      <w:pPr>
        <w:spacing w:line="360" w:lineRule="auto"/>
        <w:jc w:val="both"/>
        <w:rPr>
          <w:sz w:val="24"/>
          <w:szCs w:val="24"/>
        </w:rPr>
      </w:pPr>
      <w:r>
        <w:rPr>
          <w:sz w:val="24"/>
          <w:szCs w:val="24"/>
        </w:rPr>
        <w:t xml:space="preserve">The figure No 2 demonstrates that </w:t>
      </w:r>
      <w:r w:rsidRPr="001E5497">
        <w:rPr>
          <w:sz w:val="24"/>
          <w:szCs w:val="24"/>
        </w:rPr>
        <w:t>Participants reported multiple educational and lifestyle barriers that may have negatively influenced their academic performance. The most commonly reported challenges included educational interruptions related to political instability and the COVID-19 pandemic, transportation difficulties affecting attendance, unstable internet access, inadequate sleeping duration, and irregular studying habits. These findings suggest that both environmental instability and daily behavioral factors may contribute substantially to reduced academic achievement among dental students.</w:t>
      </w:r>
    </w:p>
    <w:p w14:paraId="79892B8A" w14:textId="77777777" w:rsidR="004D2D2C" w:rsidRDefault="004D2D2C" w:rsidP="001E5497">
      <w:pPr>
        <w:spacing w:line="360" w:lineRule="auto"/>
        <w:jc w:val="both"/>
        <w:rPr>
          <w:sz w:val="24"/>
          <w:szCs w:val="24"/>
        </w:rPr>
      </w:pPr>
    </w:p>
    <w:p w14:paraId="5978B056" w14:textId="77777777" w:rsidR="004D2D2C" w:rsidRDefault="004D2D2C" w:rsidP="004D2D2C">
      <w:pPr>
        <w:spacing w:line="360" w:lineRule="auto"/>
        <w:jc w:val="both"/>
        <w:rPr>
          <w:b/>
          <w:bCs/>
          <w:sz w:val="24"/>
          <w:szCs w:val="24"/>
        </w:rPr>
      </w:pPr>
    </w:p>
    <w:p w14:paraId="4EBA9E81" w14:textId="0611AABA" w:rsidR="008043E0" w:rsidRDefault="004D2D2C" w:rsidP="004D2D2C">
      <w:pPr>
        <w:spacing w:line="360" w:lineRule="auto"/>
        <w:jc w:val="both"/>
        <w:rPr>
          <w:b/>
          <w:bCs/>
          <w:sz w:val="24"/>
          <w:szCs w:val="24"/>
        </w:rPr>
      </w:pPr>
      <w:r w:rsidRPr="004D2D2C">
        <w:rPr>
          <w:b/>
          <w:bCs/>
          <w:sz w:val="24"/>
          <w:szCs w:val="24"/>
        </w:rPr>
        <w:lastRenderedPageBreak/>
        <w:t>Table 5. Participants’ perceptions toward educational environment and learning approaches</w:t>
      </w:r>
      <w:r>
        <w:rPr>
          <w:b/>
          <w:bCs/>
          <w:sz w:val="24"/>
          <w:szCs w:val="24"/>
        </w:rPr>
        <w:t>.</w:t>
      </w:r>
    </w:p>
    <w:tbl>
      <w:tblPr>
        <w:tblStyle w:val="GridTable4-Accent1"/>
        <w:tblW w:w="0" w:type="auto"/>
        <w:tblLook w:val="04A0" w:firstRow="1" w:lastRow="0" w:firstColumn="1" w:lastColumn="0" w:noHBand="0" w:noVBand="1"/>
      </w:tblPr>
      <w:tblGrid>
        <w:gridCol w:w="4492"/>
        <w:gridCol w:w="2227"/>
        <w:gridCol w:w="2291"/>
      </w:tblGrid>
      <w:tr w:rsidR="004D2D2C" w:rsidRPr="004D2D2C" w14:paraId="45A57C99" w14:textId="77777777" w:rsidTr="004D2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1D13F" w14:textId="77777777" w:rsidR="004D2D2C" w:rsidRPr="004D2D2C" w:rsidRDefault="004D2D2C" w:rsidP="004D2D2C">
            <w:pPr>
              <w:widowControl/>
              <w:autoSpaceDE/>
              <w:autoSpaceDN/>
              <w:jc w:val="center"/>
              <w:rPr>
                <w:color w:val="000000" w:themeColor="text1"/>
                <w:sz w:val="24"/>
                <w:szCs w:val="24"/>
              </w:rPr>
            </w:pPr>
            <w:r w:rsidRPr="004D2D2C">
              <w:rPr>
                <w:color w:val="000000" w:themeColor="text1"/>
                <w:sz w:val="24"/>
                <w:szCs w:val="24"/>
              </w:rPr>
              <w:t>Variable</w:t>
            </w:r>
          </w:p>
        </w:tc>
        <w:tc>
          <w:tcPr>
            <w:tcW w:w="0" w:type="auto"/>
            <w:hideMark/>
          </w:tcPr>
          <w:p w14:paraId="2D25644F" w14:textId="77777777" w:rsidR="004D2D2C" w:rsidRPr="004D2D2C" w:rsidRDefault="004D2D2C" w:rsidP="004D2D2C">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D2D2C">
              <w:rPr>
                <w:color w:val="000000" w:themeColor="text1"/>
                <w:sz w:val="24"/>
                <w:szCs w:val="24"/>
              </w:rPr>
              <w:t>Positive Response n (%)</w:t>
            </w:r>
          </w:p>
        </w:tc>
        <w:tc>
          <w:tcPr>
            <w:tcW w:w="0" w:type="auto"/>
            <w:hideMark/>
          </w:tcPr>
          <w:p w14:paraId="0E85FF72" w14:textId="77777777" w:rsidR="004D2D2C" w:rsidRPr="004D2D2C" w:rsidRDefault="004D2D2C" w:rsidP="004D2D2C">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D2D2C">
              <w:rPr>
                <w:color w:val="000000" w:themeColor="text1"/>
                <w:sz w:val="24"/>
                <w:szCs w:val="24"/>
              </w:rPr>
              <w:t>Negative Response n (%)</w:t>
            </w:r>
          </w:p>
        </w:tc>
      </w:tr>
      <w:tr w:rsidR="004D2D2C" w:rsidRPr="004D2D2C" w14:paraId="1F65BB20" w14:textId="77777777" w:rsidTr="004D2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A9DEA8" w14:textId="77777777" w:rsidR="004D2D2C" w:rsidRPr="004D2D2C" w:rsidRDefault="004D2D2C" w:rsidP="004D2D2C">
            <w:pPr>
              <w:widowControl/>
              <w:autoSpaceDE/>
              <w:autoSpaceDN/>
              <w:rPr>
                <w:sz w:val="24"/>
                <w:szCs w:val="24"/>
              </w:rPr>
            </w:pPr>
            <w:r w:rsidRPr="004D2D2C">
              <w:rPr>
                <w:sz w:val="24"/>
                <w:szCs w:val="24"/>
              </w:rPr>
              <w:t>E-learning improves learning activities</w:t>
            </w:r>
          </w:p>
        </w:tc>
        <w:tc>
          <w:tcPr>
            <w:tcW w:w="0" w:type="auto"/>
            <w:hideMark/>
          </w:tcPr>
          <w:p w14:paraId="27CFD482"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23 (34.4%)</w:t>
            </w:r>
          </w:p>
        </w:tc>
        <w:tc>
          <w:tcPr>
            <w:tcW w:w="0" w:type="auto"/>
            <w:hideMark/>
          </w:tcPr>
          <w:p w14:paraId="6B185445"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26 (38.8%)</w:t>
            </w:r>
          </w:p>
        </w:tc>
      </w:tr>
      <w:tr w:rsidR="004D2D2C" w:rsidRPr="004D2D2C" w14:paraId="2BE4CC23" w14:textId="77777777" w:rsidTr="004D2D2C">
        <w:tc>
          <w:tcPr>
            <w:cnfStyle w:val="001000000000" w:firstRow="0" w:lastRow="0" w:firstColumn="1" w:lastColumn="0" w:oddVBand="0" w:evenVBand="0" w:oddHBand="0" w:evenHBand="0" w:firstRowFirstColumn="0" w:firstRowLastColumn="0" w:lastRowFirstColumn="0" w:lastRowLastColumn="0"/>
            <w:tcW w:w="0" w:type="auto"/>
            <w:hideMark/>
          </w:tcPr>
          <w:p w14:paraId="1CC88F5F" w14:textId="77777777" w:rsidR="004D2D2C" w:rsidRPr="004D2D2C" w:rsidRDefault="004D2D2C" w:rsidP="004D2D2C">
            <w:pPr>
              <w:widowControl/>
              <w:autoSpaceDE/>
              <w:autoSpaceDN/>
              <w:rPr>
                <w:sz w:val="24"/>
                <w:szCs w:val="24"/>
              </w:rPr>
            </w:pPr>
            <w:r w:rsidRPr="004D2D2C">
              <w:rPr>
                <w:sz w:val="24"/>
                <w:szCs w:val="24"/>
              </w:rPr>
              <w:t>E-learning enhances academic success</w:t>
            </w:r>
          </w:p>
        </w:tc>
        <w:tc>
          <w:tcPr>
            <w:tcW w:w="0" w:type="auto"/>
            <w:hideMark/>
          </w:tcPr>
          <w:p w14:paraId="5530F3B2" w14:textId="77777777" w:rsidR="004D2D2C" w:rsidRPr="004D2D2C" w:rsidRDefault="004D2D2C" w:rsidP="004D2D2C">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4D2D2C">
              <w:rPr>
                <w:sz w:val="24"/>
                <w:szCs w:val="24"/>
              </w:rPr>
              <w:t>19 (28.4%)</w:t>
            </w:r>
          </w:p>
        </w:tc>
        <w:tc>
          <w:tcPr>
            <w:tcW w:w="0" w:type="auto"/>
            <w:hideMark/>
          </w:tcPr>
          <w:p w14:paraId="5201D8BE" w14:textId="77777777" w:rsidR="004D2D2C" w:rsidRPr="004D2D2C" w:rsidRDefault="004D2D2C" w:rsidP="004D2D2C">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4D2D2C">
              <w:rPr>
                <w:sz w:val="24"/>
                <w:szCs w:val="24"/>
              </w:rPr>
              <w:t>27 (40.3%)</w:t>
            </w:r>
          </w:p>
        </w:tc>
      </w:tr>
      <w:tr w:rsidR="004D2D2C" w:rsidRPr="004D2D2C" w14:paraId="768B2565" w14:textId="77777777" w:rsidTr="004D2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782FC3" w14:textId="77777777" w:rsidR="004D2D2C" w:rsidRPr="004D2D2C" w:rsidRDefault="004D2D2C" w:rsidP="004D2D2C">
            <w:pPr>
              <w:widowControl/>
              <w:autoSpaceDE/>
              <w:autoSpaceDN/>
              <w:rPr>
                <w:sz w:val="24"/>
                <w:szCs w:val="24"/>
              </w:rPr>
            </w:pPr>
            <w:r w:rsidRPr="004D2D2C">
              <w:rPr>
                <w:sz w:val="24"/>
                <w:szCs w:val="24"/>
              </w:rPr>
              <w:t>E-learning is useful and informative</w:t>
            </w:r>
          </w:p>
        </w:tc>
        <w:tc>
          <w:tcPr>
            <w:tcW w:w="0" w:type="auto"/>
            <w:hideMark/>
          </w:tcPr>
          <w:p w14:paraId="34CD0589"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23 (34.4%)</w:t>
            </w:r>
          </w:p>
        </w:tc>
        <w:tc>
          <w:tcPr>
            <w:tcW w:w="0" w:type="auto"/>
            <w:hideMark/>
          </w:tcPr>
          <w:p w14:paraId="385A2D5D"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27 (40.3%)</w:t>
            </w:r>
          </w:p>
        </w:tc>
      </w:tr>
      <w:tr w:rsidR="004D2D2C" w:rsidRPr="004D2D2C" w14:paraId="6A5F7DDD" w14:textId="77777777" w:rsidTr="004D2D2C">
        <w:tc>
          <w:tcPr>
            <w:cnfStyle w:val="001000000000" w:firstRow="0" w:lastRow="0" w:firstColumn="1" w:lastColumn="0" w:oddVBand="0" w:evenVBand="0" w:oddHBand="0" w:evenHBand="0" w:firstRowFirstColumn="0" w:firstRowLastColumn="0" w:lastRowFirstColumn="0" w:lastRowLastColumn="0"/>
            <w:tcW w:w="0" w:type="auto"/>
            <w:hideMark/>
          </w:tcPr>
          <w:p w14:paraId="53268103" w14:textId="77777777" w:rsidR="004D2D2C" w:rsidRPr="004D2D2C" w:rsidRDefault="004D2D2C" w:rsidP="004D2D2C">
            <w:pPr>
              <w:widowControl/>
              <w:autoSpaceDE/>
              <w:autoSpaceDN/>
              <w:rPr>
                <w:sz w:val="24"/>
                <w:szCs w:val="24"/>
              </w:rPr>
            </w:pPr>
            <w:r w:rsidRPr="004D2D2C">
              <w:rPr>
                <w:sz w:val="24"/>
                <w:szCs w:val="24"/>
              </w:rPr>
              <w:t>E-learning provides flexible interaction</w:t>
            </w:r>
          </w:p>
        </w:tc>
        <w:tc>
          <w:tcPr>
            <w:tcW w:w="0" w:type="auto"/>
            <w:hideMark/>
          </w:tcPr>
          <w:p w14:paraId="07302A88" w14:textId="77777777" w:rsidR="004D2D2C" w:rsidRPr="004D2D2C" w:rsidRDefault="004D2D2C" w:rsidP="004D2D2C">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4D2D2C">
              <w:rPr>
                <w:sz w:val="24"/>
                <w:szCs w:val="24"/>
              </w:rPr>
              <w:t>11 (16.4%)</w:t>
            </w:r>
          </w:p>
        </w:tc>
        <w:tc>
          <w:tcPr>
            <w:tcW w:w="0" w:type="auto"/>
            <w:hideMark/>
          </w:tcPr>
          <w:p w14:paraId="5DDC6019" w14:textId="77777777" w:rsidR="004D2D2C" w:rsidRPr="004D2D2C" w:rsidRDefault="004D2D2C" w:rsidP="004D2D2C">
            <w:pPr>
              <w:widowControl/>
              <w:autoSpaceDE/>
              <w:autoSpaceDN/>
              <w:cnfStyle w:val="000000000000" w:firstRow="0" w:lastRow="0" w:firstColumn="0" w:lastColumn="0" w:oddVBand="0" w:evenVBand="0" w:oddHBand="0" w:evenHBand="0" w:firstRowFirstColumn="0" w:firstRowLastColumn="0" w:lastRowFirstColumn="0" w:lastRowLastColumn="0"/>
              <w:rPr>
                <w:sz w:val="24"/>
                <w:szCs w:val="24"/>
              </w:rPr>
            </w:pPr>
            <w:r w:rsidRPr="004D2D2C">
              <w:rPr>
                <w:sz w:val="24"/>
                <w:szCs w:val="24"/>
              </w:rPr>
              <w:t>40 (59.7%)</w:t>
            </w:r>
          </w:p>
        </w:tc>
      </w:tr>
      <w:tr w:rsidR="004D2D2C" w:rsidRPr="004D2D2C" w14:paraId="4AE76198" w14:textId="77777777" w:rsidTr="004D2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6C7EDE" w14:textId="77777777" w:rsidR="004D2D2C" w:rsidRPr="004D2D2C" w:rsidRDefault="004D2D2C" w:rsidP="004D2D2C">
            <w:pPr>
              <w:widowControl/>
              <w:autoSpaceDE/>
              <w:autoSpaceDN/>
              <w:rPr>
                <w:sz w:val="24"/>
                <w:szCs w:val="24"/>
              </w:rPr>
            </w:pPr>
            <w:r w:rsidRPr="004D2D2C">
              <w:rPr>
                <w:sz w:val="24"/>
                <w:szCs w:val="24"/>
              </w:rPr>
              <w:t>Teaching methods affect lecture attendance willingness</w:t>
            </w:r>
          </w:p>
        </w:tc>
        <w:tc>
          <w:tcPr>
            <w:tcW w:w="0" w:type="auto"/>
            <w:hideMark/>
          </w:tcPr>
          <w:p w14:paraId="194C06F5"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57 (85.1%)</w:t>
            </w:r>
          </w:p>
        </w:tc>
        <w:tc>
          <w:tcPr>
            <w:tcW w:w="0" w:type="auto"/>
            <w:hideMark/>
          </w:tcPr>
          <w:p w14:paraId="14B3A5AC" w14:textId="77777777" w:rsidR="004D2D2C" w:rsidRPr="004D2D2C" w:rsidRDefault="004D2D2C" w:rsidP="004D2D2C">
            <w:pPr>
              <w:widowControl/>
              <w:autoSpaceDE/>
              <w:autoSpaceDN/>
              <w:cnfStyle w:val="000000100000" w:firstRow="0" w:lastRow="0" w:firstColumn="0" w:lastColumn="0" w:oddVBand="0" w:evenVBand="0" w:oddHBand="1" w:evenHBand="0" w:firstRowFirstColumn="0" w:firstRowLastColumn="0" w:lastRowFirstColumn="0" w:lastRowLastColumn="0"/>
              <w:rPr>
                <w:sz w:val="24"/>
                <w:szCs w:val="24"/>
              </w:rPr>
            </w:pPr>
            <w:r w:rsidRPr="004D2D2C">
              <w:rPr>
                <w:sz w:val="24"/>
                <w:szCs w:val="24"/>
              </w:rPr>
              <w:t>10 (14.9%)</w:t>
            </w:r>
          </w:p>
        </w:tc>
      </w:tr>
    </w:tbl>
    <w:p w14:paraId="66BE474B" w14:textId="6AA956AD" w:rsidR="004D2D2C" w:rsidRDefault="004D2D2C" w:rsidP="004D2D2C">
      <w:pPr>
        <w:pStyle w:val="NormalWeb"/>
        <w:spacing w:line="360" w:lineRule="auto"/>
        <w:jc w:val="both"/>
      </w:pPr>
      <w:r>
        <w:t xml:space="preserve">Table 5 shows that most participants demonstrated unfavorable perceptions toward the effectiveness and flexibility of e-learning approaches. In contrast, the majority agreed that teaching methods and lecture delivery styles strongly influenced their attendance and academic engagement. </w:t>
      </w:r>
    </w:p>
    <w:p w14:paraId="54D8F13E" w14:textId="3217D33A" w:rsidR="00D50A42" w:rsidRPr="00D50A42" w:rsidRDefault="00D50A42" w:rsidP="004D2D2C">
      <w:pPr>
        <w:pStyle w:val="NormalWeb"/>
        <w:spacing w:line="360" w:lineRule="auto"/>
        <w:jc w:val="both"/>
        <w:rPr>
          <w:b/>
          <w:bCs/>
        </w:rPr>
      </w:pPr>
      <w:r w:rsidRPr="00D50A42">
        <w:rPr>
          <w:b/>
          <w:bCs/>
        </w:rPr>
        <w:t>Table 6. Cross Tabulation between admission type and selected academic challenge among dental students.</w:t>
      </w:r>
    </w:p>
    <w:tbl>
      <w:tblPr>
        <w:tblStyle w:val="GridTable5Dark-Accent1"/>
        <w:tblW w:w="0" w:type="auto"/>
        <w:tblLook w:val="04A0" w:firstRow="1" w:lastRow="0" w:firstColumn="1" w:lastColumn="0" w:noHBand="0" w:noVBand="1"/>
      </w:tblPr>
      <w:tblGrid>
        <w:gridCol w:w="3054"/>
        <w:gridCol w:w="1801"/>
        <w:gridCol w:w="1710"/>
        <w:gridCol w:w="1350"/>
        <w:gridCol w:w="1095"/>
      </w:tblGrid>
      <w:tr w:rsidR="00463D34" w:rsidRPr="00463D34" w14:paraId="48FC2890" w14:textId="77777777" w:rsidTr="00463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hideMark/>
          </w:tcPr>
          <w:p w14:paraId="5F8ABF13" w14:textId="77777777" w:rsidR="00463D34" w:rsidRPr="005F37DD" w:rsidRDefault="00463D34" w:rsidP="00463D34">
            <w:pPr>
              <w:widowControl/>
              <w:autoSpaceDE/>
              <w:autoSpaceDN/>
              <w:jc w:val="center"/>
              <w:rPr>
                <w:color w:val="000000" w:themeColor="text1"/>
                <w:sz w:val="24"/>
                <w:szCs w:val="24"/>
              </w:rPr>
            </w:pPr>
            <w:r w:rsidRPr="005F37DD">
              <w:rPr>
                <w:color w:val="000000" w:themeColor="text1"/>
                <w:sz w:val="24"/>
                <w:szCs w:val="24"/>
              </w:rPr>
              <w:t>Academic Challenge</w:t>
            </w:r>
          </w:p>
        </w:tc>
        <w:tc>
          <w:tcPr>
            <w:tcW w:w="1801" w:type="dxa"/>
            <w:hideMark/>
          </w:tcPr>
          <w:p w14:paraId="68D12B9E" w14:textId="77777777" w:rsidR="00463D34" w:rsidRPr="00463D34" w:rsidRDefault="00463D34" w:rsidP="00463D34">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Military Admission n (%)</w:t>
            </w:r>
          </w:p>
        </w:tc>
        <w:tc>
          <w:tcPr>
            <w:tcW w:w="1710" w:type="dxa"/>
            <w:hideMark/>
          </w:tcPr>
          <w:p w14:paraId="3B8345EF" w14:textId="77777777" w:rsidR="00463D34" w:rsidRPr="00463D34" w:rsidRDefault="00463D34" w:rsidP="00463D34">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Civilian Admission n (%)</w:t>
            </w:r>
          </w:p>
        </w:tc>
        <w:tc>
          <w:tcPr>
            <w:tcW w:w="1350" w:type="dxa"/>
            <w:hideMark/>
          </w:tcPr>
          <w:p w14:paraId="361EAD21" w14:textId="77777777" w:rsidR="00463D34" w:rsidRPr="00463D34" w:rsidRDefault="00463D34" w:rsidP="00463D34">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Total n (%)</w:t>
            </w:r>
          </w:p>
        </w:tc>
        <w:tc>
          <w:tcPr>
            <w:tcW w:w="1095" w:type="dxa"/>
            <w:hideMark/>
          </w:tcPr>
          <w:p w14:paraId="51E49385" w14:textId="77777777" w:rsidR="00463D34" w:rsidRPr="00463D34" w:rsidRDefault="00463D34" w:rsidP="00463D34">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P value</w:t>
            </w:r>
          </w:p>
        </w:tc>
      </w:tr>
      <w:tr w:rsidR="00463D34" w:rsidRPr="00463D34" w14:paraId="436A158F" w14:textId="77777777" w:rsidTr="0046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hideMark/>
          </w:tcPr>
          <w:p w14:paraId="0CACEE96"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Financial difficulties affecting attendance</w:t>
            </w:r>
          </w:p>
        </w:tc>
        <w:tc>
          <w:tcPr>
            <w:tcW w:w="1801" w:type="dxa"/>
            <w:hideMark/>
          </w:tcPr>
          <w:p w14:paraId="6149B4E6"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11 (16.4%)</w:t>
            </w:r>
          </w:p>
        </w:tc>
        <w:tc>
          <w:tcPr>
            <w:tcW w:w="1710" w:type="dxa"/>
            <w:hideMark/>
          </w:tcPr>
          <w:p w14:paraId="63ADD589"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16 (23.9%)</w:t>
            </w:r>
          </w:p>
        </w:tc>
        <w:tc>
          <w:tcPr>
            <w:tcW w:w="1350" w:type="dxa"/>
            <w:hideMark/>
          </w:tcPr>
          <w:p w14:paraId="1EE5DDE3"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27 (40.3%)</w:t>
            </w:r>
          </w:p>
        </w:tc>
        <w:tc>
          <w:tcPr>
            <w:tcW w:w="1095" w:type="dxa"/>
            <w:hideMark/>
          </w:tcPr>
          <w:p w14:paraId="737DFD44"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0.041*</w:t>
            </w:r>
          </w:p>
        </w:tc>
      </w:tr>
      <w:tr w:rsidR="00463D34" w:rsidRPr="00463D34" w14:paraId="1FC0139D" w14:textId="77777777" w:rsidTr="00463D34">
        <w:tc>
          <w:tcPr>
            <w:cnfStyle w:val="001000000000" w:firstRow="0" w:lastRow="0" w:firstColumn="1" w:lastColumn="0" w:oddVBand="0" w:evenVBand="0" w:oddHBand="0" w:evenHBand="0" w:firstRowFirstColumn="0" w:firstRowLastColumn="0" w:lastRowFirstColumn="0" w:lastRowLastColumn="0"/>
            <w:tcW w:w="3054" w:type="dxa"/>
            <w:hideMark/>
          </w:tcPr>
          <w:p w14:paraId="57C9F287"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Transportation difficulties affecting attendance</w:t>
            </w:r>
          </w:p>
        </w:tc>
        <w:tc>
          <w:tcPr>
            <w:tcW w:w="1801" w:type="dxa"/>
            <w:hideMark/>
          </w:tcPr>
          <w:p w14:paraId="796A0E3D"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18 (26.9%)</w:t>
            </w:r>
          </w:p>
        </w:tc>
        <w:tc>
          <w:tcPr>
            <w:tcW w:w="1710" w:type="dxa"/>
            <w:hideMark/>
          </w:tcPr>
          <w:p w14:paraId="74B13B42"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41 (61.2%)</w:t>
            </w:r>
          </w:p>
        </w:tc>
        <w:tc>
          <w:tcPr>
            <w:tcW w:w="1350" w:type="dxa"/>
            <w:hideMark/>
          </w:tcPr>
          <w:p w14:paraId="4E3B51FB"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59 (88.1%)</w:t>
            </w:r>
          </w:p>
        </w:tc>
        <w:tc>
          <w:tcPr>
            <w:tcW w:w="1095" w:type="dxa"/>
            <w:hideMark/>
          </w:tcPr>
          <w:p w14:paraId="54C4DF87"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0.318</w:t>
            </w:r>
          </w:p>
        </w:tc>
      </w:tr>
      <w:tr w:rsidR="00463D34" w:rsidRPr="00463D34" w14:paraId="71C83496" w14:textId="77777777" w:rsidTr="0046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hideMark/>
          </w:tcPr>
          <w:p w14:paraId="26BD3226"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Internet connection problems affecting learning</w:t>
            </w:r>
          </w:p>
        </w:tc>
        <w:tc>
          <w:tcPr>
            <w:tcW w:w="1801" w:type="dxa"/>
            <w:hideMark/>
          </w:tcPr>
          <w:p w14:paraId="4339938D"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14 (20.9%)</w:t>
            </w:r>
          </w:p>
        </w:tc>
        <w:tc>
          <w:tcPr>
            <w:tcW w:w="1710" w:type="dxa"/>
            <w:hideMark/>
          </w:tcPr>
          <w:p w14:paraId="12DE6776"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28 (41.8%)</w:t>
            </w:r>
          </w:p>
        </w:tc>
        <w:tc>
          <w:tcPr>
            <w:tcW w:w="1350" w:type="dxa"/>
            <w:hideMark/>
          </w:tcPr>
          <w:p w14:paraId="7933C82B"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42 (62.7%)</w:t>
            </w:r>
          </w:p>
        </w:tc>
        <w:tc>
          <w:tcPr>
            <w:tcW w:w="1095" w:type="dxa"/>
            <w:hideMark/>
          </w:tcPr>
          <w:p w14:paraId="52932390"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0.227</w:t>
            </w:r>
          </w:p>
        </w:tc>
      </w:tr>
      <w:tr w:rsidR="00463D34" w:rsidRPr="00463D34" w14:paraId="5283F8DF" w14:textId="77777777" w:rsidTr="00463D34">
        <w:tc>
          <w:tcPr>
            <w:cnfStyle w:val="001000000000" w:firstRow="0" w:lastRow="0" w:firstColumn="1" w:lastColumn="0" w:oddVBand="0" w:evenVBand="0" w:oddHBand="0" w:evenHBand="0" w:firstRowFirstColumn="0" w:firstRowLastColumn="0" w:lastRowFirstColumn="0" w:lastRowLastColumn="0"/>
            <w:tcW w:w="3054" w:type="dxa"/>
            <w:hideMark/>
          </w:tcPr>
          <w:p w14:paraId="28964033"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Irregular studying habits</w:t>
            </w:r>
          </w:p>
        </w:tc>
        <w:tc>
          <w:tcPr>
            <w:tcW w:w="1801" w:type="dxa"/>
            <w:hideMark/>
          </w:tcPr>
          <w:p w14:paraId="2729B8F9"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10 (14.9%)</w:t>
            </w:r>
          </w:p>
        </w:tc>
        <w:tc>
          <w:tcPr>
            <w:tcW w:w="1710" w:type="dxa"/>
            <w:hideMark/>
          </w:tcPr>
          <w:p w14:paraId="06A9F723"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21 (31.3%)</w:t>
            </w:r>
          </w:p>
        </w:tc>
        <w:tc>
          <w:tcPr>
            <w:tcW w:w="1350" w:type="dxa"/>
            <w:hideMark/>
          </w:tcPr>
          <w:p w14:paraId="417AA28D"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31 (46.3%)</w:t>
            </w:r>
          </w:p>
        </w:tc>
        <w:tc>
          <w:tcPr>
            <w:tcW w:w="1095" w:type="dxa"/>
            <w:hideMark/>
          </w:tcPr>
          <w:p w14:paraId="18BAD4D7"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0.412</w:t>
            </w:r>
          </w:p>
        </w:tc>
      </w:tr>
      <w:tr w:rsidR="00463D34" w:rsidRPr="00463D34" w14:paraId="3FD49119" w14:textId="77777777" w:rsidTr="0046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dxa"/>
            <w:hideMark/>
          </w:tcPr>
          <w:p w14:paraId="2BEF68C4"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Reduced sleeping duration (&lt;6 hours/day)</w:t>
            </w:r>
          </w:p>
        </w:tc>
        <w:tc>
          <w:tcPr>
            <w:tcW w:w="1801" w:type="dxa"/>
            <w:hideMark/>
          </w:tcPr>
          <w:p w14:paraId="1A92F44F"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9 (13.4%)</w:t>
            </w:r>
          </w:p>
        </w:tc>
        <w:tc>
          <w:tcPr>
            <w:tcW w:w="1710" w:type="dxa"/>
            <w:hideMark/>
          </w:tcPr>
          <w:p w14:paraId="12B32AA8"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23 (34.3%)</w:t>
            </w:r>
          </w:p>
        </w:tc>
        <w:tc>
          <w:tcPr>
            <w:tcW w:w="1350" w:type="dxa"/>
            <w:hideMark/>
          </w:tcPr>
          <w:p w14:paraId="7E782C18"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32 (47.8%)</w:t>
            </w:r>
          </w:p>
        </w:tc>
        <w:tc>
          <w:tcPr>
            <w:tcW w:w="1095" w:type="dxa"/>
            <w:hideMark/>
          </w:tcPr>
          <w:p w14:paraId="63409658" w14:textId="77777777" w:rsidR="00463D34" w:rsidRPr="00463D34" w:rsidRDefault="00463D34" w:rsidP="00463D34">
            <w:pPr>
              <w:widowControl/>
              <w:autoSpaceDE/>
              <w:autoSpaceDN/>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63D34">
              <w:rPr>
                <w:color w:val="000000" w:themeColor="text1"/>
                <w:sz w:val="24"/>
                <w:szCs w:val="24"/>
              </w:rPr>
              <w:t>0.198</w:t>
            </w:r>
          </w:p>
        </w:tc>
      </w:tr>
      <w:tr w:rsidR="00463D34" w:rsidRPr="00463D34" w14:paraId="36848E9D" w14:textId="77777777" w:rsidTr="00463D34">
        <w:tc>
          <w:tcPr>
            <w:cnfStyle w:val="001000000000" w:firstRow="0" w:lastRow="0" w:firstColumn="1" w:lastColumn="0" w:oddVBand="0" w:evenVBand="0" w:oddHBand="0" w:evenHBand="0" w:firstRowFirstColumn="0" w:firstRowLastColumn="0" w:lastRowFirstColumn="0" w:lastRowLastColumn="0"/>
            <w:tcW w:w="3054" w:type="dxa"/>
            <w:hideMark/>
          </w:tcPr>
          <w:p w14:paraId="58CF51D5" w14:textId="77777777" w:rsidR="00463D34" w:rsidRPr="005F37DD" w:rsidRDefault="00463D34" w:rsidP="00463D34">
            <w:pPr>
              <w:widowControl/>
              <w:autoSpaceDE/>
              <w:autoSpaceDN/>
              <w:rPr>
                <w:color w:val="000000" w:themeColor="text1"/>
                <w:sz w:val="24"/>
                <w:szCs w:val="24"/>
              </w:rPr>
            </w:pPr>
            <w:r w:rsidRPr="005F37DD">
              <w:rPr>
                <w:color w:val="000000" w:themeColor="text1"/>
                <w:sz w:val="24"/>
                <w:szCs w:val="24"/>
              </w:rPr>
              <w:t>Educational interruption due to COVID-19/political instability</w:t>
            </w:r>
          </w:p>
        </w:tc>
        <w:tc>
          <w:tcPr>
            <w:tcW w:w="1801" w:type="dxa"/>
            <w:hideMark/>
          </w:tcPr>
          <w:p w14:paraId="24834BD8"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18 (26.9%)</w:t>
            </w:r>
          </w:p>
        </w:tc>
        <w:tc>
          <w:tcPr>
            <w:tcW w:w="1710" w:type="dxa"/>
            <w:hideMark/>
          </w:tcPr>
          <w:p w14:paraId="5C0173C9"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43 (64.2%)</w:t>
            </w:r>
          </w:p>
        </w:tc>
        <w:tc>
          <w:tcPr>
            <w:tcW w:w="1350" w:type="dxa"/>
            <w:hideMark/>
          </w:tcPr>
          <w:p w14:paraId="3EC3C973"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61 (91.0%)</w:t>
            </w:r>
          </w:p>
        </w:tc>
        <w:tc>
          <w:tcPr>
            <w:tcW w:w="1095" w:type="dxa"/>
            <w:hideMark/>
          </w:tcPr>
          <w:p w14:paraId="78141C09" w14:textId="77777777" w:rsidR="00463D34" w:rsidRPr="00463D34" w:rsidRDefault="00463D34" w:rsidP="00463D34">
            <w:pPr>
              <w:widowControl/>
              <w:autoSpaceDE/>
              <w:autoSpaceDN/>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63D34">
              <w:rPr>
                <w:color w:val="000000" w:themeColor="text1"/>
                <w:sz w:val="24"/>
                <w:szCs w:val="24"/>
              </w:rPr>
              <w:t>0.521</w:t>
            </w:r>
          </w:p>
        </w:tc>
      </w:tr>
    </w:tbl>
    <w:p w14:paraId="2AC9B566" w14:textId="77777777" w:rsidR="004D2D2C" w:rsidRPr="004D2D2C" w:rsidRDefault="004D2D2C" w:rsidP="004D2D2C">
      <w:pPr>
        <w:spacing w:line="360" w:lineRule="auto"/>
        <w:jc w:val="both"/>
        <w:rPr>
          <w:b/>
          <w:bCs/>
          <w:sz w:val="24"/>
          <w:szCs w:val="24"/>
        </w:rPr>
      </w:pPr>
    </w:p>
    <w:p w14:paraId="1182A9AB" w14:textId="62020D1D" w:rsidR="004D2D2C" w:rsidRDefault="00463D34" w:rsidP="00463D34">
      <w:pPr>
        <w:spacing w:line="360" w:lineRule="auto"/>
        <w:jc w:val="both"/>
        <w:rPr>
          <w:sz w:val="24"/>
          <w:szCs w:val="24"/>
        </w:rPr>
      </w:pPr>
      <w:r>
        <w:rPr>
          <w:sz w:val="24"/>
          <w:szCs w:val="24"/>
        </w:rPr>
        <w:t xml:space="preserve">The </w:t>
      </w:r>
      <w:r w:rsidRPr="00463D34">
        <w:rPr>
          <w:sz w:val="24"/>
          <w:szCs w:val="24"/>
        </w:rPr>
        <w:t xml:space="preserve">Cross-tabulation analysis </w:t>
      </w:r>
      <w:r>
        <w:rPr>
          <w:sz w:val="24"/>
          <w:szCs w:val="24"/>
        </w:rPr>
        <w:t xml:space="preserve">comparing the admission type and the associated common reported academic challenge by the students </w:t>
      </w:r>
      <w:r w:rsidRPr="00463D34">
        <w:rPr>
          <w:sz w:val="24"/>
          <w:szCs w:val="24"/>
        </w:rPr>
        <w:t>demonstrated that financial difficulties affecting attendance were significantly associated with admission type (</w:t>
      </w:r>
      <w:r w:rsidRPr="00463D34">
        <w:rPr>
          <w:rStyle w:val="Emphasis"/>
          <w:sz w:val="24"/>
          <w:szCs w:val="24"/>
        </w:rPr>
        <w:t>p</w:t>
      </w:r>
      <w:r w:rsidRPr="00463D34">
        <w:rPr>
          <w:sz w:val="24"/>
          <w:szCs w:val="24"/>
        </w:rPr>
        <w:t xml:space="preserve"> = 0.041), with military</w:t>
      </w:r>
      <w:r>
        <w:rPr>
          <w:sz w:val="24"/>
          <w:szCs w:val="24"/>
        </w:rPr>
        <w:t xml:space="preserve"> </w:t>
      </w:r>
      <w:r w:rsidRPr="00463D34">
        <w:rPr>
          <w:sz w:val="24"/>
          <w:szCs w:val="24"/>
        </w:rPr>
        <w:t xml:space="preserve">admitted students reporting comparatively greater financial-related academic challenges. Other educational and lifestyle-related challenges, including transportation difficulties, internet accessibility, irregular study habits, sleep reduction, and educational interruptions due to </w:t>
      </w:r>
      <w:r w:rsidRPr="00463D34">
        <w:rPr>
          <w:sz w:val="24"/>
          <w:szCs w:val="24"/>
        </w:rPr>
        <w:lastRenderedPageBreak/>
        <w:t>political instability and the COVID-19 pandemic, did not demonstrate statistically significant associations with admission type.</w:t>
      </w:r>
    </w:p>
    <w:p w14:paraId="008814B0" w14:textId="6EA69213" w:rsidR="003B5E84" w:rsidRDefault="00CC0D4C" w:rsidP="00CC0D4C">
      <w:pPr>
        <w:spacing w:line="360" w:lineRule="auto"/>
        <w:jc w:val="both"/>
        <w:rPr>
          <w:b/>
          <w:bCs/>
          <w:sz w:val="24"/>
          <w:szCs w:val="24"/>
        </w:rPr>
      </w:pPr>
      <w:r w:rsidRPr="00CC0D4C">
        <w:rPr>
          <w:b/>
          <w:bCs/>
          <w:sz w:val="24"/>
          <w:szCs w:val="24"/>
        </w:rPr>
        <w:t>Table 7. Association between attendance to academic activities and annual GPA categories among dental students</w:t>
      </w:r>
    </w:p>
    <w:tbl>
      <w:tblPr>
        <w:tblStyle w:val="GridTable4-Accent1"/>
        <w:tblW w:w="9445" w:type="dxa"/>
        <w:tblLook w:val="04A0" w:firstRow="1" w:lastRow="0" w:firstColumn="1" w:lastColumn="0" w:noHBand="0" w:noVBand="1"/>
      </w:tblPr>
      <w:tblGrid>
        <w:gridCol w:w="1575"/>
        <w:gridCol w:w="1286"/>
        <w:gridCol w:w="1286"/>
        <w:gridCol w:w="1286"/>
        <w:gridCol w:w="1402"/>
        <w:gridCol w:w="1300"/>
        <w:gridCol w:w="1310"/>
      </w:tblGrid>
      <w:tr w:rsidR="00CC0D4C" w:rsidRPr="00CC0D4C" w14:paraId="28400F90" w14:textId="0730D1D6" w:rsidTr="00097970">
        <w:trPr>
          <w:cnfStyle w:val="100000000000" w:firstRow="1" w:lastRow="0" w:firstColumn="0" w:lastColumn="0" w:oddVBand="0" w:evenVBand="0" w:oddHBand="0"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575" w:type="dxa"/>
            <w:hideMark/>
          </w:tcPr>
          <w:p w14:paraId="6FC5BBAC" w14:textId="77777777" w:rsidR="00CC0D4C" w:rsidRPr="00CC0D4C" w:rsidRDefault="00CC0D4C" w:rsidP="00CC0D4C">
            <w:pPr>
              <w:spacing w:after="160" w:line="360" w:lineRule="auto"/>
              <w:jc w:val="both"/>
              <w:rPr>
                <w:color w:val="000000" w:themeColor="text1"/>
                <w:sz w:val="24"/>
                <w:szCs w:val="24"/>
              </w:rPr>
            </w:pPr>
            <w:r w:rsidRPr="00CC0D4C">
              <w:rPr>
                <w:color w:val="000000" w:themeColor="text1"/>
                <w:sz w:val="24"/>
                <w:szCs w:val="24"/>
              </w:rPr>
              <w:t>Attendance to Academic Activities</w:t>
            </w:r>
          </w:p>
        </w:tc>
        <w:tc>
          <w:tcPr>
            <w:tcW w:w="1286" w:type="dxa"/>
            <w:hideMark/>
          </w:tcPr>
          <w:p w14:paraId="0FBD9E2A" w14:textId="77777777" w:rsidR="00CC0D4C" w:rsidRPr="00CC0D4C" w:rsidRDefault="00CC0D4C" w:rsidP="00CC0D4C">
            <w:pPr>
              <w:spacing w:after="160"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CC0D4C">
              <w:rPr>
                <w:color w:val="000000" w:themeColor="text1"/>
                <w:sz w:val="24"/>
                <w:szCs w:val="24"/>
              </w:rPr>
              <w:t>5.00–3.80 n (%)</w:t>
            </w:r>
          </w:p>
        </w:tc>
        <w:tc>
          <w:tcPr>
            <w:tcW w:w="1286" w:type="dxa"/>
            <w:hideMark/>
          </w:tcPr>
          <w:p w14:paraId="78695B4A" w14:textId="77777777" w:rsidR="00CC0D4C" w:rsidRPr="00CC0D4C" w:rsidRDefault="00CC0D4C" w:rsidP="00CC0D4C">
            <w:pPr>
              <w:spacing w:after="160"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CC0D4C">
              <w:rPr>
                <w:color w:val="000000" w:themeColor="text1"/>
                <w:sz w:val="24"/>
                <w:szCs w:val="24"/>
              </w:rPr>
              <w:t>3.79–3.50 n (%)</w:t>
            </w:r>
          </w:p>
        </w:tc>
        <w:tc>
          <w:tcPr>
            <w:tcW w:w="1286" w:type="dxa"/>
            <w:hideMark/>
          </w:tcPr>
          <w:p w14:paraId="7CE02243" w14:textId="77777777" w:rsidR="00CC0D4C" w:rsidRPr="00CC0D4C" w:rsidRDefault="00CC0D4C" w:rsidP="00CC0D4C">
            <w:pPr>
              <w:spacing w:after="160"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CC0D4C">
              <w:rPr>
                <w:color w:val="000000" w:themeColor="text1"/>
                <w:sz w:val="24"/>
                <w:szCs w:val="24"/>
              </w:rPr>
              <w:t>3.49–3.00 n (%)</w:t>
            </w:r>
          </w:p>
        </w:tc>
        <w:tc>
          <w:tcPr>
            <w:tcW w:w="1402" w:type="dxa"/>
            <w:hideMark/>
          </w:tcPr>
          <w:p w14:paraId="46F2272F" w14:textId="77777777" w:rsidR="00097970" w:rsidRDefault="00CC0D4C" w:rsidP="00097970">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CC0D4C">
              <w:rPr>
                <w:color w:val="000000" w:themeColor="text1"/>
                <w:sz w:val="24"/>
                <w:szCs w:val="24"/>
              </w:rPr>
              <w:t>Below 3.00</w:t>
            </w:r>
          </w:p>
          <w:p w14:paraId="3D8F5243" w14:textId="1FE24808" w:rsidR="00CC0D4C" w:rsidRPr="00CC0D4C" w:rsidRDefault="00CC0D4C" w:rsidP="00097970">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CC0D4C">
              <w:rPr>
                <w:color w:val="000000" w:themeColor="text1"/>
                <w:sz w:val="24"/>
                <w:szCs w:val="24"/>
              </w:rPr>
              <w:t xml:space="preserve"> n (%)</w:t>
            </w:r>
          </w:p>
        </w:tc>
        <w:tc>
          <w:tcPr>
            <w:tcW w:w="1300" w:type="dxa"/>
            <w:hideMark/>
          </w:tcPr>
          <w:p w14:paraId="6AB9F550" w14:textId="7B04E4B6" w:rsidR="00CC0D4C" w:rsidRDefault="00CC0D4C" w:rsidP="00CC0D4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CC0D4C">
              <w:rPr>
                <w:color w:val="000000" w:themeColor="text1"/>
                <w:sz w:val="24"/>
                <w:szCs w:val="24"/>
              </w:rPr>
              <w:t>Total</w:t>
            </w:r>
          </w:p>
          <w:p w14:paraId="3E5399CC" w14:textId="079B4530" w:rsidR="00CC0D4C" w:rsidRPr="00CC0D4C" w:rsidRDefault="00CC0D4C" w:rsidP="00CC0D4C">
            <w:pPr>
              <w:spacing w:after="160" w:line="360"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CC0D4C">
              <w:rPr>
                <w:color w:val="000000" w:themeColor="text1"/>
                <w:sz w:val="24"/>
                <w:szCs w:val="24"/>
              </w:rPr>
              <w:t>n (%)</w:t>
            </w:r>
          </w:p>
        </w:tc>
        <w:tc>
          <w:tcPr>
            <w:tcW w:w="1310" w:type="dxa"/>
          </w:tcPr>
          <w:p w14:paraId="24146562" w14:textId="002A4BEA" w:rsidR="00097970" w:rsidRDefault="00097970" w:rsidP="00CC0D4C">
            <w:pPr>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sz w:val="24"/>
                <w:szCs w:val="24"/>
              </w:rPr>
            </w:pPr>
            <w:r w:rsidRPr="00097970">
              <w:rPr>
                <w:color w:val="000000" w:themeColor="text1"/>
                <w:sz w:val="24"/>
                <w:szCs w:val="24"/>
              </w:rPr>
              <w:t>Inferential</w:t>
            </w:r>
            <w:r>
              <w:rPr>
                <w:b w:val="0"/>
                <w:bCs w:val="0"/>
                <w:color w:val="000000" w:themeColor="text1"/>
                <w:sz w:val="24"/>
                <w:szCs w:val="24"/>
              </w:rPr>
              <w:t xml:space="preserve"> </w:t>
            </w:r>
            <w:r w:rsidRPr="00097970">
              <w:rPr>
                <w:color w:val="000000" w:themeColor="text1"/>
                <w:sz w:val="24"/>
                <w:szCs w:val="24"/>
              </w:rPr>
              <w:t>Tests</w:t>
            </w:r>
            <w:r>
              <w:rPr>
                <w:b w:val="0"/>
                <w:bCs w:val="0"/>
                <w:color w:val="000000" w:themeColor="text1"/>
                <w:sz w:val="24"/>
                <w:szCs w:val="24"/>
              </w:rPr>
              <w:t xml:space="preserve"> </w:t>
            </w:r>
          </w:p>
          <w:p w14:paraId="76EEA866" w14:textId="71AEF88B" w:rsidR="00CC0D4C" w:rsidRPr="00097970" w:rsidRDefault="00CC0D4C" w:rsidP="00CC0D4C">
            <w:pPr>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CC0D4C" w:rsidRPr="00CC0D4C" w14:paraId="78EBF657" w14:textId="3CBF50F5" w:rsidTr="000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hideMark/>
          </w:tcPr>
          <w:p w14:paraId="3CA1C2BB" w14:textId="77777777" w:rsidR="00CC0D4C" w:rsidRPr="00CC0D4C" w:rsidRDefault="00CC0D4C" w:rsidP="00CC0D4C">
            <w:pPr>
              <w:spacing w:after="160" w:line="360" w:lineRule="auto"/>
              <w:jc w:val="both"/>
              <w:rPr>
                <w:sz w:val="24"/>
                <w:szCs w:val="24"/>
              </w:rPr>
            </w:pPr>
            <w:r w:rsidRPr="00CC0D4C">
              <w:rPr>
                <w:sz w:val="24"/>
                <w:szCs w:val="24"/>
              </w:rPr>
              <w:t>Regular attendance</w:t>
            </w:r>
          </w:p>
        </w:tc>
        <w:tc>
          <w:tcPr>
            <w:tcW w:w="1286" w:type="dxa"/>
            <w:hideMark/>
          </w:tcPr>
          <w:p w14:paraId="24B85B59"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8 (11.9%)</w:t>
            </w:r>
          </w:p>
        </w:tc>
        <w:tc>
          <w:tcPr>
            <w:tcW w:w="1286" w:type="dxa"/>
            <w:hideMark/>
          </w:tcPr>
          <w:p w14:paraId="4F952FE3"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13 (19.4%)</w:t>
            </w:r>
          </w:p>
        </w:tc>
        <w:tc>
          <w:tcPr>
            <w:tcW w:w="1286" w:type="dxa"/>
            <w:hideMark/>
          </w:tcPr>
          <w:p w14:paraId="295AE70A"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9 (13.4%)</w:t>
            </w:r>
          </w:p>
        </w:tc>
        <w:tc>
          <w:tcPr>
            <w:tcW w:w="1402" w:type="dxa"/>
            <w:hideMark/>
          </w:tcPr>
          <w:p w14:paraId="1F5E40BA"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5 (7.5%)</w:t>
            </w:r>
          </w:p>
        </w:tc>
        <w:tc>
          <w:tcPr>
            <w:tcW w:w="1300" w:type="dxa"/>
            <w:hideMark/>
          </w:tcPr>
          <w:p w14:paraId="7DE5EE17"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35 (52.2%)</w:t>
            </w:r>
          </w:p>
        </w:tc>
        <w:tc>
          <w:tcPr>
            <w:tcW w:w="1310" w:type="dxa"/>
            <w:vMerge w:val="restart"/>
          </w:tcPr>
          <w:p w14:paraId="6F2C7F94" w14:textId="77777777" w:rsidR="00CC0D4C" w:rsidRDefault="00CC0D4C"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r w:rsidRPr="00097970">
              <w:rPr>
                <w:b/>
                <w:bCs/>
              </w:rPr>
              <w:t xml:space="preserve">Chi-square test (χ²), </w:t>
            </w:r>
            <w:r w:rsidRPr="00097970">
              <w:rPr>
                <w:rStyle w:val="Emphasis"/>
                <w:b/>
                <w:bCs/>
              </w:rPr>
              <w:t>p</w:t>
            </w:r>
            <w:r w:rsidRPr="00097970">
              <w:rPr>
                <w:b/>
                <w:bCs/>
              </w:rPr>
              <w:t xml:space="preserve"> = 0.018</w:t>
            </w:r>
          </w:p>
          <w:p w14:paraId="1531A238" w14:textId="77777777" w:rsidR="00097970" w:rsidRDefault="00097970"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p w14:paraId="47765D74" w14:textId="3CBE0CAF" w:rsidR="00097970" w:rsidRDefault="00097970" w:rsidP="00097970">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r w:rsidRPr="00097970">
              <w:rPr>
                <w:b/>
                <w:bCs/>
              </w:rPr>
              <w:t>Cramér’s V ≈ 0.39</w:t>
            </w:r>
          </w:p>
          <w:p w14:paraId="16BDC944" w14:textId="77777777" w:rsidR="00097970" w:rsidRDefault="00097970"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p w14:paraId="2A7D9DDD" w14:textId="77777777" w:rsidR="00097970" w:rsidRDefault="00097970"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r>
              <w:rPr>
                <w:b/>
                <w:bCs/>
              </w:rPr>
              <w:t>Adjusted OR = 5.36</w:t>
            </w:r>
          </w:p>
          <w:p w14:paraId="1291A33E" w14:textId="09B9B4AF" w:rsidR="00097970" w:rsidRPr="00097970" w:rsidRDefault="00097970"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r>
      <w:tr w:rsidR="00CC0D4C" w:rsidRPr="00CC0D4C" w14:paraId="35BEAB7C" w14:textId="78304C00" w:rsidTr="00097970">
        <w:tc>
          <w:tcPr>
            <w:cnfStyle w:val="001000000000" w:firstRow="0" w:lastRow="0" w:firstColumn="1" w:lastColumn="0" w:oddVBand="0" w:evenVBand="0" w:oddHBand="0" w:evenHBand="0" w:firstRowFirstColumn="0" w:firstRowLastColumn="0" w:lastRowFirstColumn="0" w:lastRowLastColumn="0"/>
            <w:tcW w:w="1575" w:type="dxa"/>
            <w:hideMark/>
          </w:tcPr>
          <w:p w14:paraId="0F566FE7" w14:textId="77777777" w:rsidR="00CC0D4C" w:rsidRPr="00CC0D4C" w:rsidRDefault="00CC0D4C" w:rsidP="00CC0D4C">
            <w:pPr>
              <w:spacing w:after="160" w:line="360" w:lineRule="auto"/>
              <w:jc w:val="both"/>
              <w:rPr>
                <w:sz w:val="24"/>
                <w:szCs w:val="24"/>
              </w:rPr>
            </w:pPr>
            <w:r w:rsidRPr="00CC0D4C">
              <w:rPr>
                <w:sz w:val="24"/>
                <w:szCs w:val="24"/>
              </w:rPr>
              <w:t>Irregular attendance</w:t>
            </w:r>
          </w:p>
        </w:tc>
        <w:tc>
          <w:tcPr>
            <w:tcW w:w="1286" w:type="dxa"/>
            <w:hideMark/>
          </w:tcPr>
          <w:p w14:paraId="020FB3FC" w14:textId="77777777" w:rsidR="00CC0D4C" w:rsidRPr="001C4167" w:rsidRDefault="00CC0D4C" w:rsidP="00CC0D4C">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1C4167">
              <w:t>2 (3.0%)</w:t>
            </w:r>
          </w:p>
        </w:tc>
        <w:tc>
          <w:tcPr>
            <w:tcW w:w="1286" w:type="dxa"/>
            <w:hideMark/>
          </w:tcPr>
          <w:p w14:paraId="2F786D77" w14:textId="77777777" w:rsidR="00CC0D4C" w:rsidRPr="001C4167" w:rsidRDefault="00CC0D4C" w:rsidP="00CC0D4C">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1C4167">
              <w:t>5 (7.5%)</w:t>
            </w:r>
          </w:p>
        </w:tc>
        <w:tc>
          <w:tcPr>
            <w:tcW w:w="1286" w:type="dxa"/>
            <w:hideMark/>
          </w:tcPr>
          <w:p w14:paraId="3A0C3A70" w14:textId="77777777" w:rsidR="00CC0D4C" w:rsidRPr="001C4167" w:rsidRDefault="00CC0D4C" w:rsidP="00CC0D4C">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1C4167">
              <w:t>10 (14.9%)</w:t>
            </w:r>
          </w:p>
        </w:tc>
        <w:tc>
          <w:tcPr>
            <w:tcW w:w="1402" w:type="dxa"/>
            <w:hideMark/>
          </w:tcPr>
          <w:p w14:paraId="022A9AC1" w14:textId="77777777" w:rsidR="00CC0D4C" w:rsidRPr="001C4167" w:rsidRDefault="00CC0D4C" w:rsidP="00CC0D4C">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1C4167">
              <w:t>15 (22.4%)</w:t>
            </w:r>
          </w:p>
        </w:tc>
        <w:tc>
          <w:tcPr>
            <w:tcW w:w="1300" w:type="dxa"/>
            <w:hideMark/>
          </w:tcPr>
          <w:p w14:paraId="377F9D34" w14:textId="77777777" w:rsidR="00CC0D4C" w:rsidRPr="001C4167" w:rsidRDefault="00CC0D4C" w:rsidP="00CC0D4C">
            <w:pPr>
              <w:spacing w:after="160" w:line="360" w:lineRule="auto"/>
              <w:jc w:val="both"/>
              <w:cnfStyle w:val="000000000000" w:firstRow="0" w:lastRow="0" w:firstColumn="0" w:lastColumn="0" w:oddVBand="0" w:evenVBand="0" w:oddHBand="0" w:evenHBand="0" w:firstRowFirstColumn="0" w:firstRowLastColumn="0" w:lastRowFirstColumn="0" w:lastRowLastColumn="0"/>
            </w:pPr>
            <w:r w:rsidRPr="001C4167">
              <w:t>32 (47.8%)</w:t>
            </w:r>
          </w:p>
        </w:tc>
        <w:tc>
          <w:tcPr>
            <w:tcW w:w="1310" w:type="dxa"/>
            <w:vMerge/>
          </w:tcPr>
          <w:p w14:paraId="6FE08AF7" w14:textId="77777777" w:rsidR="00CC0D4C" w:rsidRPr="00097970" w:rsidRDefault="00CC0D4C" w:rsidP="00CC0D4C">
            <w:pPr>
              <w:spacing w:line="360" w:lineRule="auto"/>
              <w:jc w:val="both"/>
              <w:cnfStyle w:val="000000000000" w:firstRow="0" w:lastRow="0" w:firstColumn="0" w:lastColumn="0" w:oddVBand="0" w:evenVBand="0" w:oddHBand="0" w:evenHBand="0" w:firstRowFirstColumn="0" w:firstRowLastColumn="0" w:lastRowFirstColumn="0" w:lastRowLastColumn="0"/>
              <w:rPr>
                <w:b/>
                <w:bCs/>
              </w:rPr>
            </w:pPr>
          </w:p>
        </w:tc>
      </w:tr>
      <w:tr w:rsidR="00CC0D4C" w:rsidRPr="00CC0D4C" w14:paraId="45FEFD35" w14:textId="14402663" w:rsidTr="000979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hideMark/>
          </w:tcPr>
          <w:p w14:paraId="6EC58B7C" w14:textId="77777777" w:rsidR="00CC0D4C" w:rsidRPr="00CC0D4C" w:rsidRDefault="00CC0D4C" w:rsidP="00CC0D4C">
            <w:pPr>
              <w:spacing w:after="160" w:line="360" w:lineRule="auto"/>
              <w:jc w:val="both"/>
              <w:rPr>
                <w:sz w:val="24"/>
                <w:szCs w:val="24"/>
              </w:rPr>
            </w:pPr>
            <w:r w:rsidRPr="00CC0D4C">
              <w:rPr>
                <w:sz w:val="24"/>
                <w:szCs w:val="24"/>
              </w:rPr>
              <w:t>Total</w:t>
            </w:r>
          </w:p>
        </w:tc>
        <w:tc>
          <w:tcPr>
            <w:tcW w:w="1286" w:type="dxa"/>
            <w:hideMark/>
          </w:tcPr>
          <w:p w14:paraId="2B851347"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10 (14.9%)</w:t>
            </w:r>
          </w:p>
        </w:tc>
        <w:tc>
          <w:tcPr>
            <w:tcW w:w="1286" w:type="dxa"/>
            <w:hideMark/>
          </w:tcPr>
          <w:p w14:paraId="2B414EC1"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18 (26.9%)</w:t>
            </w:r>
          </w:p>
        </w:tc>
        <w:tc>
          <w:tcPr>
            <w:tcW w:w="1286" w:type="dxa"/>
            <w:hideMark/>
          </w:tcPr>
          <w:p w14:paraId="0377124A"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19 (28.4%)</w:t>
            </w:r>
          </w:p>
        </w:tc>
        <w:tc>
          <w:tcPr>
            <w:tcW w:w="1402" w:type="dxa"/>
            <w:hideMark/>
          </w:tcPr>
          <w:p w14:paraId="0A056200"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20 (29.9%)</w:t>
            </w:r>
          </w:p>
        </w:tc>
        <w:tc>
          <w:tcPr>
            <w:tcW w:w="1300" w:type="dxa"/>
            <w:hideMark/>
          </w:tcPr>
          <w:p w14:paraId="0B8D478F" w14:textId="77777777" w:rsidR="00CC0D4C" w:rsidRPr="001C4167" w:rsidRDefault="00CC0D4C" w:rsidP="00CC0D4C">
            <w:pPr>
              <w:spacing w:after="160" w:line="360" w:lineRule="auto"/>
              <w:jc w:val="both"/>
              <w:cnfStyle w:val="000000100000" w:firstRow="0" w:lastRow="0" w:firstColumn="0" w:lastColumn="0" w:oddVBand="0" w:evenVBand="0" w:oddHBand="1" w:evenHBand="0" w:firstRowFirstColumn="0" w:firstRowLastColumn="0" w:lastRowFirstColumn="0" w:lastRowLastColumn="0"/>
            </w:pPr>
            <w:r w:rsidRPr="001C4167">
              <w:t>67 (100%)</w:t>
            </w:r>
          </w:p>
        </w:tc>
        <w:tc>
          <w:tcPr>
            <w:tcW w:w="1310" w:type="dxa"/>
            <w:vMerge/>
          </w:tcPr>
          <w:p w14:paraId="7C0D52CB" w14:textId="77777777" w:rsidR="00CC0D4C" w:rsidRPr="00097970" w:rsidRDefault="00CC0D4C" w:rsidP="00CC0D4C">
            <w:pPr>
              <w:spacing w:line="360" w:lineRule="auto"/>
              <w:jc w:val="both"/>
              <w:cnfStyle w:val="000000100000" w:firstRow="0" w:lastRow="0" w:firstColumn="0" w:lastColumn="0" w:oddVBand="0" w:evenVBand="0" w:oddHBand="1" w:evenHBand="0" w:firstRowFirstColumn="0" w:firstRowLastColumn="0" w:lastRowFirstColumn="0" w:lastRowLastColumn="0"/>
              <w:rPr>
                <w:b/>
                <w:bCs/>
              </w:rPr>
            </w:pPr>
          </w:p>
        </w:tc>
      </w:tr>
    </w:tbl>
    <w:p w14:paraId="13140F20" w14:textId="77777777" w:rsidR="00CC0D4C" w:rsidRPr="00CC0D4C" w:rsidRDefault="00CC0D4C" w:rsidP="00CC0D4C">
      <w:pPr>
        <w:spacing w:line="360" w:lineRule="auto"/>
        <w:jc w:val="both"/>
        <w:rPr>
          <w:b/>
          <w:bCs/>
          <w:sz w:val="24"/>
          <w:szCs w:val="24"/>
        </w:rPr>
      </w:pPr>
    </w:p>
    <w:p w14:paraId="5E83FCC4" w14:textId="5183497A" w:rsidR="008F34D4" w:rsidRDefault="008F34D4" w:rsidP="008F34D4">
      <w:pPr>
        <w:pStyle w:val="NormalWeb"/>
        <w:spacing w:line="360" w:lineRule="auto"/>
        <w:jc w:val="both"/>
      </w:pPr>
      <w:r>
        <w:t xml:space="preserve">According to Table </w:t>
      </w:r>
      <w:r w:rsidR="00625433">
        <w:t>7;</w:t>
      </w:r>
      <w:r>
        <w:t xml:space="preserve"> A statistically significant association was observed between attendance to academic activities and annual GPA categories among the study participants (χ² test, </w:t>
      </w:r>
      <w:r>
        <w:rPr>
          <w:rStyle w:val="Emphasis"/>
        </w:rPr>
        <w:t>p</w:t>
      </w:r>
      <w:r>
        <w:t xml:space="preserve"> = 0.018). The relationship demonstrated a moderate effect size based on Cramér’s V analysis (V = 0.39), indicating that attendance pattern had a meaningful influence on academic performance.</w:t>
      </w:r>
    </w:p>
    <w:p w14:paraId="0884DD79" w14:textId="3C48356E" w:rsidR="008F34D4" w:rsidRDefault="008F34D4" w:rsidP="008F34D4">
      <w:pPr>
        <w:pStyle w:val="NormalWeb"/>
        <w:spacing w:line="360" w:lineRule="auto"/>
        <w:jc w:val="both"/>
      </w:pPr>
      <w:r>
        <w:t>Following dichotomization of annual GPA into lower academic performance (&lt;3.50) and relatively higher academic performance (≥3.50), odds ratio analysis demonstrated that students with irregular attendance had approximately 5.4 times higher odds of lower academic performance compared with students demonstrating regular attendance (OR = 5.36).</w:t>
      </w:r>
      <w:r w:rsidR="00625433">
        <w:t xml:space="preserve"> Considering </w:t>
      </w:r>
      <w:r w:rsidR="008B70E6">
        <w:t>that,</w:t>
      </w:r>
      <w:r w:rsidR="00625433">
        <w:t xml:space="preserve"> the </w:t>
      </w:r>
      <w:r w:rsidR="008B70E6">
        <w:t xml:space="preserve">regular </w:t>
      </w:r>
      <w:r w:rsidR="00625433">
        <w:t xml:space="preserve">attendance level </w:t>
      </w:r>
      <w:r w:rsidR="008B70E6">
        <w:t>was</w:t>
      </w:r>
      <w:r w:rsidR="00625433">
        <w:t xml:space="preserve"> </w:t>
      </w:r>
      <w:r w:rsidR="008B70E6">
        <w:t>counted</w:t>
      </w:r>
      <w:r w:rsidR="00625433">
        <w:t xml:space="preserve"> by </w:t>
      </w:r>
      <w:r w:rsidR="008B70E6">
        <w:t xml:space="preserve">self-repot of </w:t>
      </w:r>
      <w:r w:rsidR="00625433">
        <w:t xml:space="preserve">attending </w:t>
      </w:r>
      <w:r w:rsidR="008B70E6">
        <w:t>more than 70% of academic activities including; lectures, practical sessions and other academic tasks.</w:t>
      </w:r>
    </w:p>
    <w:p w14:paraId="6E68D2CA" w14:textId="77777777" w:rsidR="001C4167" w:rsidRDefault="008F34D4" w:rsidP="001C4167">
      <w:pPr>
        <w:pStyle w:val="NormalWeb"/>
        <w:spacing w:line="360" w:lineRule="auto"/>
        <w:jc w:val="both"/>
      </w:pPr>
      <w:r>
        <w:lastRenderedPageBreak/>
        <w:t>This finding suggests that consistent attendance to lectures and academic activities may substantially contribute to improved academic achievement among undergraduate dental students.</w:t>
      </w:r>
    </w:p>
    <w:p w14:paraId="44490EC6" w14:textId="74514FA1" w:rsidR="001C4167" w:rsidRDefault="001C4167" w:rsidP="001C4167">
      <w:pPr>
        <w:pStyle w:val="NormalWeb"/>
        <w:spacing w:line="360" w:lineRule="auto"/>
        <w:jc w:val="both"/>
        <w:rPr>
          <w:b/>
          <w:bCs/>
          <w:kern w:val="36"/>
        </w:rPr>
      </w:pPr>
      <w:r w:rsidRPr="001C4167">
        <w:rPr>
          <w:b/>
          <w:bCs/>
          <w:kern w:val="36"/>
        </w:rPr>
        <w:t>Table 8. Logistic regression model of factors associated with lower academic performance among dental students</w:t>
      </w:r>
    </w:p>
    <w:tbl>
      <w:tblPr>
        <w:tblStyle w:val="GridTable4-Accent1"/>
        <w:tblW w:w="9175" w:type="dxa"/>
        <w:tblLook w:val="04A0" w:firstRow="1" w:lastRow="0" w:firstColumn="1" w:lastColumn="0" w:noHBand="0" w:noVBand="1"/>
      </w:tblPr>
      <w:tblGrid>
        <w:gridCol w:w="1455"/>
        <w:gridCol w:w="981"/>
        <w:gridCol w:w="1150"/>
        <w:gridCol w:w="1376"/>
        <w:gridCol w:w="973"/>
        <w:gridCol w:w="3240"/>
      </w:tblGrid>
      <w:tr w:rsidR="001C4167" w:rsidRPr="001C4167" w14:paraId="37A23077" w14:textId="77777777" w:rsidTr="0067096B">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0" w:type="auto"/>
            <w:hideMark/>
          </w:tcPr>
          <w:p w14:paraId="42E05863" w14:textId="77777777" w:rsidR="001C4167" w:rsidRPr="001C4167" w:rsidRDefault="001C4167" w:rsidP="001C4167">
            <w:pPr>
              <w:pStyle w:val="NormalWeb"/>
              <w:spacing w:line="360" w:lineRule="auto"/>
              <w:jc w:val="both"/>
              <w:rPr>
                <w:color w:val="000000" w:themeColor="text1"/>
              </w:rPr>
            </w:pPr>
            <w:r w:rsidRPr="001C4167">
              <w:rPr>
                <w:color w:val="000000" w:themeColor="text1"/>
              </w:rPr>
              <w:t>Variable</w:t>
            </w:r>
          </w:p>
        </w:tc>
        <w:tc>
          <w:tcPr>
            <w:tcW w:w="0" w:type="auto"/>
            <w:hideMark/>
          </w:tcPr>
          <w:p w14:paraId="33ABB405" w14:textId="77777777" w:rsidR="001C4167" w:rsidRPr="001C4167" w:rsidRDefault="001C4167" w:rsidP="001C4167">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1C4167">
              <w:rPr>
                <w:color w:val="000000" w:themeColor="text1"/>
              </w:rPr>
              <w:t>Crude Odds Ratio (COR)</w:t>
            </w:r>
          </w:p>
        </w:tc>
        <w:tc>
          <w:tcPr>
            <w:tcW w:w="1150" w:type="dxa"/>
            <w:hideMark/>
          </w:tcPr>
          <w:p w14:paraId="5D25E66D" w14:textId="77777777" w:rsidR="001C4167" w:rsidRPr="001C4167" w:rsidRDefault="001C4167" w:rsidP="001C4167">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1C4167">
              <w:rPr>
                <w:color w:val="000000" w:themeColor="text1"/>
              </w:rPr>
              <w:t>Adjusted Odds Ratio (AOR)</w:t>
            </w:r>
          </w:p>
        </w:tc>
        <w:tc>
          <w:tcPr>
            <w:tcW w:w="1376" w:type="dxa"/>
            <w:hideMark/>
          </w:tcPr>
          <w:p w14:paraId="1205CFCC" w14:textId="77777777" w:rsidR="001C4167" w:rsidRPr="001C4167" w:rsidRDefault="001C4167" w:rsidP="001C4167">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1C4167">
              <w:rPr>
                <w:color w:val="000000" w:themeColor="text1"/>
              </w:rPr>
              <w:t>95% Confidence Interval</w:t>
            </w:r>
          </w:p>
        </w:tc>
        <w:tc>
          <w:tcPr>
            <w:tcW w:w="973" w:type="dxa"/>
            <w:hideMark/>
          </w:tcPr>
          <w:p w14:paraId="040183AE" w14:textId="77777777" w:rsidR="001C4167" w:rsidRPr="001C4167" w:rsidRDefault="001C4167" w:rsidP="001C4167">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1C4167">
              <w:rPr>
                <w:color w:val="000000" w:themeColor="text1"/>
              </w:rPr>
              <w:t>P value</w:t>
            </w:r>
          </w:p>
        </w:tc>
        <w:tc>
          <w:tcPr>
            <w:tcW w:w="3240" w:type="dxa"/>
            <w:hideMark/>
          </w:tcPr>
          <w:p w14:paraId="49255106" w14:textId="77777777" w:rsidR="001C4167" w:rsidRPr="001C4167" w:rsidRDefault="001C4167" w:rsidP="001C4167">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1C4167">
              <w:rPr>
                <w:color w:val="000000" w:themeColor="text1"/>
              </w:rPr>
              <w:t>Interpretation</w:t>
            </w:r>
          </w:p>
        </w:tc>
      </w:tr>
      <w:tr w:rsidR="001C4167" w:rsidRPr="001C4167" w14:paraId="42737C47" w14:textId="77777777" w:rsidTr="0067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A248A" w14:textId="77777777" w:rsidR="001C4167" w:rsidRPr="005F37DD" w:rsidRDefault="001C4167" w:rsidP="001C4167">
            <w:pPr>
              <w:pStyle w:val="NormalWeb"/>
              <w:spacing w:line="360" w:lineRule="auto"/>
              <w:jc w:val="both"/>
            </w:pPr>
            <w:r w:rsidRPr="005F37DD">
              <w:t>Military admission type</w:t>
            </w:r>
          </w:p>
        </w:tc>
        <w:tc>
          <w:tcPr>
            <w:tcW w:w="0" w:type="auto"/>
            <w:hideMark/>
          </w:tcPr>
          <w:p w14:paraId="3FC89DC5"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2.84</w:t>
            </w:r>
          </w:p>
        </w:tc>
        <w:tc>
          <w:tcPr>
            <w:tcW w:w="1150" w:type="dxa"/>
            <w:hideMark/>
          </w:tcPr>
          <w:p w14:paraId="0E596E07"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2.31</w:t>
            </w:r>
          </w:p>
        </w:tc>
        <w:tc>
          <w:tcPr>
            <w:tcW w:w="1376" w:type="dxa"/>
            <w:hideMark/>
          </w:tcPr>
          <w:p w14:paraId="17DEC5C2"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1.08–5.94</w:t>
            </w:r>
          </w:p>
        </w:tc>
        <w:tc>
          <w:tcPr>
            <w:tcW w:w="973" w:type="dxa"/>
            <w:hideMark/>
          </w:tcPr>
          <w:p w14:paraId="58555454"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0.031*</w:t>
            </w:r>
          </w:p>
        </w:tc>
        <w:tc>
          <w:tcPr>
            <w:tcW w:w="3240" w:type="dxa"/>
            <w:hideMark/>
          </w:tcPr>
          <w:p w14:paraId="5C9104D6"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b/>
                <w:bCs/>
                <w:sz w:val="22"/>
                <w:szCs w:val="22"/>
              </w:rPr>
            </w:pPr>
            <w:r w:rsidRPr="005F37DD">
              <w:rPr>
                <w:b/>
                <w:bCs/>
                <w:sz w:val="22"/>
                <w:szCs w:val="22"/>
              </w:rPr>
              <w:t>Military-admitted students demonstrated higher odds of lower academic performance compared with civilian students</w:t>
            </w:r>
          </w:p>
        </w:tc>
      </w:tr>
      <w:tr w:rsidR="001C4167" w:rsidRPr="001C4167" w14:paraId="386968D4" w14:textId="77777777" w:rsidTr="0067096B">
        <w:tc>
          <w:tcPr>
            <w:cnfStyle w:val="001000000000" w:firstRow="0" w:lastRow="0" w:firstColumn="1" w:lastColumn="0" w:oddVBand="0" w:evenVBand="0" w:oddHBand="0" w:evenHBand="0" w:firstRowFirstColumn="0" w:firstRowLastColumn="0" w:lastRowFirstColumn="0" w:lastRowLastColumn="0"/>
            <w:tcW w:w="0" w:type="auto"/>
            <w:hideMark/>
          </w:tcPr>
          <w:p w14:paraId="63739744" w14:textId="77777777" w:rsidR="001C4167" w:rsidRPr="005F37DD" w:rsidRDefault="001C4167" w:rsidP="001C4167">
            <w:pPr>
              <w:pStyle w:val="NormalWeb"/>
              <w:spacing w:line="360" w:lineRule="auto"/>
              <w:jc w:val="both"/>
            </w:pPr>
            <w:r w:rsidRPr="005F37DD">
              <w:t>Financial difficulties affecting attendance</w:t>
            </w:r>
          </w:p>
        </w:tc>
        <w:tc>
          <w:tcPr>
            <w:tcW w:w="0" w:type="auto"/>
            <w:hideMark/>
          </w:tcPr>
          <w:p w14:paraId="647F05FC"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3.12</w:t>
            </w:r>
          </w:p>
        </w:tc>
        <w:tc>
          <w:tcPr>
            <w:tcW w:w="1150" w:type="dxa"/>
            <w:hideMark/>
          </w:tcPr>
          <w:p w14:paraId="78157F2B"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2.76</w:t>
            </w:r>
          </w:p>
        </w:tc>
        <w:tc>
          <w:tcPr>
            <w:tcW w:w="1376" w:type="dxa"/>
            <w:hideMark/>
          </w:tcPr>
          <w:p w14:paraId="6BBC80AA"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1.19–6.41</w:t>
            </w:r>
          </w:p>
        </w:tc>
        <w:tc>
          <w:tcPr>
            <w:tcW w:w="973" w:type="dxa"/>
            <w:hideMark/>
          </w:tcPr>
          <w:p w14:paraId="39A0F743"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0.018*</w:t>
            </w:r>
          </w:p>
        </w:tc>
        <w:tc>
          <w:tcPr>
            <w:tcW w:w="3240" w:type="dxa"/>
            <w:hideMark/>
          </w:tcPr>
          <w:p w14:paraId="6F3AA8C4"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b/>
                <w:bCs/>
                <w:sz w:val="22"/>
                <w:szCs w:val="22"/>
              </w:rPr>
            </w:pPr>
            <w:r w:rsidRPr="005F37DD">
              <w:rPr>
                <w:b/>
                <w:bCs/>
                <w:sz w:val="22"/>
                <w:szCs w:val="22"/>
              </w:rPr>
              <w:t>Students experiencing financial difficulties had increased likelihood of lower academic performance</w:t>
            </w:r>
          </w:p>
        </w:tc>
      </w:tr>
      <w:tr w:rsidR="001C4167" w:rsidRPr="001C4167" w14:paraId="65D4F6A7" w14:textId="77777777" w:rsidTr="00670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E77025" w14:textId="77777777" w:rsidR="001C4167" w:rsidRPr="005F37DD" w:rsidRDefault="001C4167" w:rsidP="001C4167">
            <w:pPr>
              <w:pStyle w:val="NormalWeb"/>
              <w:spacing w:line="360" w:lineRule="auto"/>
              <w:jc w:val="both"/>
            </w:pPr>
            <w:r w:rsidRPr="005F37DD">
              <w:t>Not living with parents</w:t>
            </w:r>
          </w:p>
        </w:tc>
        <w:tc>
          <w:tcPr>
            <w:tcW w:w="0" w:type="auto"/>
            <w:hideMark/>
          </w:tcPr>
          <w:p w14:paraId="4FC62132"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2.41</w:t>
            </w:r>
          </w:p>
        </w:tc>
        <w:tc>
          <w:tcPr>
            <w:tcW w:w="1150" w:type="dxa"/>
            <w:hideMark/>
          </w:tcPr>
          <w:p w14:paraId="7EF44843"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2.08</w:t>
            </w:r>
          </w:p>
        </w:tc>
        <w:tc>
          <w:tcPr>
            <w:tcW w:w="1376" w:type="dxa"/>
            <w:hideMark/>
          </w:tcPr>
          <w:p w14:paraId="7C852F04"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1.01–4.83</w:t>
            </w:r>
          </w:p>
        </w:tc>
        <w:tc>
          <w:tcPr>
            <w:tcW w:w="973" w:type="dxa"/>
            <w:hideMark/>
          </w:tcPr>
          <w:p w14:paraId="1C69B640"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5F37DD">
              <w:rPr>
                <w:sz w:val="22"/>
                <w:szCs w:val="22"/>
              </w:rPr>
              <w:t>0.044*</w:t>
            </w:r>
          </w:p>
        </w:tc>
        <w:tc>
          <w:tcPr>
            <w:tcW w:w="3240" w:type="dxa"/>
            <w:hideMark/>
          </w:tcPr>
          <w:p w14:paraId="1E816A3A" w14:textId="77777777" w:rsidR="001C4167" w:rsidRPr="005F37DD" w:rsidRDefault="001C4167" w:rsidP="001C4167">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b/>
                <w:bCs/>
                <w:sz w:val="22"/>
                <w:szCs w:val="22"/>
              </w:rPr>
            </w:pPr>
            <w:r w:rsidRPr="005F37DD">
              <w:rPr>
                <w:b/>
                <w:bCs/>
                <w:sz w:val="22"/>
                <w:szCs w:val="22"/>
              </w:rPr>
              <w:t>Lack of parental/environmental support was associated with lower academic achievement</w:t>
            </w:r>
          </w:p>
        </w:tc>
      </w:tr>
      <w:tr w:rsidR="001C4167" w:rsidRPr="001C4167" w14:paraId="2728FDA8" w14:textId="77777777" w:rsidTr="0067096B">
        <w:tc>
          <w:tcPr>
            <w:cnfStyle w:val="001000000000" w:firstRow="0" w:lastRow="0" w:firstColumn="1" w:lastColumn="0" w:oddVBand="0" w:evenVBand="0" w:oddHBand="0" w:evenHBand="0" w:firstRowFirstColumn="0" w:firstRowLastColumn="0" w:lastRowFirstColumn="0" w:lastRowLastColumn="0"/>
            <w:tcW w:w="0" w:type="auto"/>
            <w:hideMark/>
          </w:tcPr>
          <w:p w14:paraId="36075EBA" w14:textId="77777777" w:rsidR="001C4167" w:rsidRPr="005F37DD" w:rsidRDefault="001C4167" w:rsidP="001C4167">
            <w:pPr>
              <w:pStyle w:val="NormalWeb"/>
              <w:spacing w:line="360" w:lineRule="auto"/>
              <w:jc w:val="both"/>
            </w:pPr>
            <w:r w:rsidRPr="005F37DD">
              <w:t>Irregular attendance to academic activities</w:t>
            </w:r>
          </w:p>
        </w:tc>
        <w:tc>
          <w:tcPr>
            <w:tcW w:w="0" w:type="auto"/>
            <w:hideMark/>
          </w:tcPr>
          <w:p w14:paraId="53C9DB4A"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5.36</w:t>
            </w:r>
          </w:p>
        </w:tc>
        <w:tc>
          <w:tcPr>
            <w:tcW w:w="1150" w:type="dxa"/>
            <w:hideMark/>
          </w:tcPr>
          <w:p w14:paraId="01EE77EF"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4.71</w:t>
            </w:r>
          </w:p>
        </w:tc>
        <w:tc>
          <w:tcPr>
            <w:tcW w:w="1376" w:type="dxa"/>
            <w:hideMark/>
          </w:tcPr>
          <w:p w14:paraId="347BBB54"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1.87–11.84</w:t>
            </w:r>
          </w:p>
        </w:tc>
        <w:tc>
          <w:tcPr>
            <w:tcW w:w="973" w:type="dxa"/>
            <w:hideMark/>
          </w:tcPr>
          <w:p w14:paraId="09CE6581"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F37DD">
              <w:rPr>
                <w:sz w:val="22"/>
                <w:szCs w:val="22"/>
              </w:rPr>
              <w:t>0.002*</w:t>
            </w:r>
          </w:p>
        </w:tc>
        <w:tc>
          <w:tcPr>
            <w:tcW w:w="3240" w:type="dxa"/>
            <w:hideMark/>
          </w:tcPr>
          <w:p w14:paraId="4E18C421" w14:textId="77777777" w:rsidR="001C4167" w:rsidRPr="005F37DD" w:rsidRDefault="001C4167" w:rsidP="001C4167">
            <w:pPr>
              <w:pStyle w:val="NormalWeb"/>
              <w:spacing w:line="360" w:lineRule="auto"/>
              <w:jc w:val="both"/>
              <w:cnfStyle w:val="000000000000" w:firstRow="0" w:lastRow="0" w:firstColumn="0" w:lastColumn="0" w:oddVBand="0" w:evenVBand="0" w:oddHBand="0" w:evenHBand="0" w:firstRowFirstColumn="0" w:firstRowLastColumn="0" w:lastRowFirstColumn="0" w:lastRowLastColumn="0"/>
              <w:rPr>
                <w:b/>
                <w:bCs/>
                <w:sz w:val="22"/>
                <w:szCs w:val="22"/>
              </w:rPr>
            </w:pPr>
            <w:r w:rsidRPr="005F37DD">
              <w:rPr>
                <w:b/>
                <w:bCs/>
                <w:sz w:val="22"/>
                <w:szCs w:val="22"/>
              </w:rPr>
              <w:t>Students with irregular attendance had markedly higher odds of lower academic performance</w:t>
            </w:r>
          </w:p>
        </w:tc>
      </w:tr>
    </w:tbl>
    <w:p w14:paraId="0D17DA9B" w14:textId="77777777" w:rsidR="008043E0" w:rsidRPr="008B70E6" w:rsidRDefault="008043E0" w:rsidP="001E5497">
      <w:pPr>
        <w:spacing w:line="360" w:lineRule="auto"/>
        <w:jc w:val="both"/>
        <w:rPr>
          <w:sz w:val="24"/>
          <w:szCs w:val="24"/>
        </w:rPr>
      </w:pPr>
    </w:p>
    <w:p w14:paraId="7A164405" w14:textId="7F573C9A" w:rsidR="0067096B" w:rsidRPr="0067096B" w:rsidRDefault="0067096B" w:rsidP="0067096B">
      <w:pPr>
        <w:spacing w:line="360" w:lineRule="auto"/>
        <w:jc w:val="both"/>
      </w:pPr>
      <w:r>
        <w:rPr>
          <w:sz w:val="24"/>
          <w:szCs w:val="24"/>
        </w:rPr>
        <w:t xml:space="preserve">On table 8, </w:t>
      </w:r>
      <w:r w:rsidRPr="0067096B">
        <w:t>Binary logistic regression analysis was performed after dichotomization of annual GPA into:</w:t>
      </w:r>
    </w:p>
    <w:p w14:paraId="433C7FD2" w14:textId="77777777" w:rsidR="0067096B" w:rsidRPr="0067096B" w:rsidRDefault="0067096B" w:rsidP="005A7CD2">
      <w:pPr>
        <w:numPr>
          <w:ilvl w:val="0"/>
          <w:numId w:val="19"/>
        </w:numPr>
        <w:spacing w:after="0" w:line="360" w:lineRule="auto"/>
        <w:jc w:val="both"/>
        <w:rPr>
          <w:sz w:val="24"/>
          <w:szCs w:val="24"/>
        </w:rPr>
      </w:pPr>
      <w:r w:rsidRPr="0067096B">
        <w:rPr>
          <w:sz w:val="24"/>
          <w:szCs w:val="24"/>
        </w:rPr>
        <w:t xml:space="preserve">lower academic performance (&lt;3.50), </w:t>
      </w:r>
    </w:p>
    <w:p w14:paraId="0300713C" w14:textId="77777777" w:rsidR="0067096B" w:rsidRPr="0067096B" w:rsidRDefault="0067096B" w:rsidP="0067096B">
      <w:pPr>
        <w:numPr>
          <w:ilvl w:val="0"/>
          <w:numId w:val="19"/>
        </w:numPr>
        <w:spacing w:line="360" w:lineRule="auto"/>
        <w:jc w:val="both"/>
        <w:rPr>
          <w:sz w:val="24"/>
          <w:szCs w:val="24"/>
        </w:rPr>
      </w:pPr>
      <w:r w:rsidRPr="0067096B">
        <w:rPr>
          <w:sz w:val="24"/>
          <w:szCs w:val="24"/>
        </w:rPr>
        <w:t xml:space="preserve">and relatively higher academic performance (≥3.50). </w:t>
      </w:r>
    </w:p>
    <w:p w14:paraId="4304CB63" w14:textId="77777777" w:rsidR="0067096B" w:rsidRPr="0067096B" w:rsidRDefault="0067096B" w:rsidP="0067096B">
      <w:pPr>
        <w:spacing w:line="360" w:lineRule="auto"/>
        <w:jc w:val="both"/>
        <w:rPr>
          <w:sz w:val="24"/>
          <w:szCs w:val="24"/>
        </w:rPr>
      </w:pPr>
      <w:r w:rsidRPr="0067096B">
        <w:rPr>
          <w:sz w:val="24"/>
          <w:szCs w:val="24"/>
        </w:rPr>
        <w:t xml:space="preserve">Variables demonstrating statistically significant or educationally meaningful associations during bivariate analysis were included in the regression model to evaluate their independent </w:t>
      </w:r>
      <w:r w:rsidRPr="0067096B">
        <w:rPr>
          <w:sz w:val="24"/>
          <w:szCs w:val="24"/>
        </w:rPr>
        <w:lastRenderedPageBreak/>
        <w:t>contribution to academic performance outcomes.</w:t>
      </w:r>
    </w:p>
    <w:p w14:paraId="26AC57B5" w14:textId="47AB387A" w:rsidR="0066396A" w:rsidRDefault="0067096B" w:rsidP="0066396A">
      <w:pPr>
        <w:spacing w:line="360" w:lineRule="auto"/>
        <w:jc w:val="both"/>
        <w:rPr>
          <w:sz w:val="24"/>
          <w:szCs w:val="24"/>
        </w:rPr>
      </w:pPr>
      <w:r w:rsidRPr="0067096B">
        <w:rPr>
          <w:sz w:val="24"/>
          <w:szCs w:val="24"/>
        </w:rPr>
        <w:t xml:space="preserve">The regression model demonstrated that irregular attendance to academic activities represented the strongest independent predictor of lower academic performance among the study participants (AOR = 4.71, </w:t>
      </w:r>
      <w:r w:rsidRPr="0067096B">
        <w:rPr>
          <w:i/>
          <w:iCs/>
          <w:sz w:val="24"/>
          <w:szCs w:val="24"/>
        </w:rPr>
        <w:t>p</w:t>
      </w:r>
      <w:r w:rsidRPr="0067096B">
        <w:rPr>
          <w:sz w:val="24"/>
          <w:szCs w:val="24"/>
        </w:rPr>
        <w:t xml:space="preserve"> = 0.002). Additionally, military admission type, financial difficulties affecting attendance, and absence of parental living support remained significant predictors of reduced academic achievement after adjustment for potential confounding factors.</w:t>
      </w:r>
    </w:p>
    <w:p w14:paraId="2BDDFA09" w14:textId="77777777" w:rsidR="0066396A" w:rsidRDefault="0066396A" w:rsidP="0066396A">
      <w:pPr>
        <w:rPr>
          <w:sz w:val="24"/>
          <w:szCs w:val="24"/>
        </w:rPr>
      </w:pPr>
    </w:p>
    <w:p w14:paraId="25AFF329" w14:textId="77777777" w:rsidR="0066396A" w:rsidRPr="0066396A" w:rsidRDefault="0066396A" w:rsidP="0066396A">
      <w:pPr>
        <w:rPr>
          <w:sz w:val="24"/>
          <w:szCs w:val="24"/>
        </w:rPr>
        <w:sectPr w:rsidR="0066396A" w:rsidRPr="0066396A" w:rsidSect="0066396A">
          <w:footerReference w:type="default" r:id="rId13"/>
          <w:pgSz w:w="11900" w:h="16840"/>
          <w:pgMar w:top="1440" w:right="1440" w:bottom="1440" w:left="1440" w:header="720" w:footer="720" w:gutter="0"/>
          <w:cols w:space="720"/>
        </w:sectPr>
      </w:pPr>
    </w:p>
    <w:p w14:paraId="795EBEC5" w14:textId="48D9765A" w:rsidR="005F37DD" w:rsidRPr="005F37DD" w:rsidRDefault="005F37DD" w:rsidP="0066396A">
      <w:pPr>
        <w:pStyle w:val="BodyText"/>
        <w:numPr>
          <w:ilvl w:val="0"/>
          <w:numId w:val="18"/>
        </w:numPr>
        <w:spacing w:line="360" w:lineRule="auto"/>
        <w:jc w:val="lowKashida"/>
        <w:rPr>
          <w:b/>
          <w:bCs/>
          <w:color w:val="000008"/>
          <w:spacing w:val="-4"/>
          <w:sz w:val="28"/>
          <w:szCs w:val="28"/>
        </w:rPr>
      </w:pPr>
      <w:r w:rsidRPr="005F37DD">
        <w:rPr>
          <w:b/>
          <w:bCs/>
          <w:color w:val="000008"/>
          <w:spacing w:val="-4"/>
          <w:sz w:val="28"/>
          <w:szCs w:val="28"/>
        </w:rPr>
        <w:lastRenderedPageBreak/>
        <w:t>DISCUSSION</w:t>
      </w:r>
    </w:p>
    <w:p w14:paraId="71195160" w14:textId="71D7A841" w:rsidR="00531513" w:rsidRPr="00531513" w:rsidRDefault="00531513" w:rsidP="00531513">
      <w:pPr>
        <w:pStyle w:val="BodyText"/>
        <w:spacing w:line="360" w:lineRule="auto"/>
        <w:jc w:val="lowKashida"/>
        <w:rPr>
          <w:color w:val="000008"/>
          <w:spacing w:val="-4"/>
        </w:rPr>
      </w:pPr>
      <w:r w:rsidRPr="00531513">
        <w:rPr>
          <w:color w:val="000008"/>
          <w:spacing w:val="-4"/>
        </w:rPr>
        <w:t>The present study explored the major academic challenges affecting low-achieving undergraduate dental students at Karary University during the period of 2021–2022. The findings demonstrated that academic performance among dental students is influenced by a multifactorial interaction between socioeconomic, environmental, behavioral, and educational determinants.</w:t>
      </w:r>
    </w:p>
    <w:p w14:paraId="7353C3A3" w14:textId="56A008CA" w:rsidR="00531513" w:rsidRPr="00531513" w:rsidRDefault="00531513" w:rsidP="00531513">
      <w:pPr>
        <w:pStyle w:val="BodyText"/>
        <w:spacing w:line="360" w:lineRule="auto"/>
        <w:jc w:val="lowKashida"/>
        <w:rPr>
          <w:color w:val="000008"/>
          <w:spacing w:val="-4"/>
        </w:rPr>
      </w:pPr>
      <w:r w:rsidRPr="00531513">
        <w:rPr>
          <w:color w:val="000008"/>
          <w:spacing w:val="-4"/>
        </w:rPr>
        <w:t>A statistically significant association was observed between admission type and annual GPA categories, where civilian-admitted students demonstrated comparatively higher academic performance than military-admitted students. This finding may be attributed to differences in environmental stability, financial obligations, and educational flexibility between the two groups. Similar observations were reported in a comparative study conducted at the University of Gezira, which demonstrated that admission pathway and educational background significantly influenced students’ academic achievement.</w:t>
      </w:r>
      <w:r w:rsidR="001A79FE" w:rsidRPr="001A79FE">
        <w:rPr>
          <w:color w:val="000008"/>
          <w:spacing w:val="-4"/>
          <w:vertAlign w:val="superscript"/>
        </w:rPr>
        <w:t>5</w:t>
      </w:r>
      <w:r w:rsidRPr="00531513">
        <w:rPr>
          <w:color w:val="000008"/>
          <w:spacing w:val="-4"/>
        </w:rPr>
        <w:t xml:space="preserve"> The current findings further support the concept that educational and socioeconomic adaptation play an important role in students’ academic progression within demanding medical and dental programs.</w:t>
      </w:r>
    </w:p>
    <w:p w14:paraId="6F85367A" w14:textId="4FF68C78" w:rsidR="00531513" w:rsidRPr="001A79FE" w:rsidRDefault="00531513" w:rsidP="00531513">
      <w:pPr>
        <w:pStyle w:val="BodyText"/>
        <w:spacing w:line="360" w:lineRule="auto"/>
        <w:jc w:val="lowKashida"/>
        <w:rPr>
          <w:color w:val="000008"/>
          <w:spacing w:val="-4"/>
        </w:rPr>
      </w:pPr>
      <w:r w:rsidRPr="00531513">
        <w:rPr>
          <w:color w:val="000008"/>
          <w:spacing w:val="-4"/>
        </w:rPr>
        <w:t>Financial difficulties were also significantly associated with lower academic performance. Students who reported difficulties in transportation, purchasing educational materials, and maintaining regular attendance demonstrated comparatively lower annual GPA scores. This finding aligns with previous educational research indicating that socioeconomic instability negatively affects concentration, attendance, and academic continuity.</w:t>
      </w:r>
      <w:r w:rsidR="001A79FE" w:rsidRPr="001A79FE">
        <w:rPr>
          <w:color w:val="000008"/>
          <w:spacing w:val="-4"/>
          <w:vertAlign w:val="superscript"/>
        </w:rPr>
        <w:t>3</w:t>
      </w:r>
      <w:r w:rsidRPr="00531513">
        <w:rPr>
          <w:color w:val="000008"/>
          <w:spacing w:val="-4"/>
        </w:rPr>
        <w:t xml:space="preserve"> Similar findings were reported by Sultan Almalki, who highlighted the importance of family support and socioeconomic stability in improving academic motivation and educational performance among dental students.</w:t>
      </w:r>
      <w:r w:rsidR="001A79FE" w:rsidRPr="001A79FE">
        <w:rPr>
          <w:color w:val="000008"/>
          <w:spacing w:val="-4"/>
          <w:vertAlign w:val="superscript"/>
        </w:rPr>
        <w:t>1</w:t>
      </w:r>
      <w:r w:rsidRPr="00531513">
        <w:rPr>
          <w:color w:val="000008"/>
          <w:spacing w:val="-4"/>
        </w:rPr>
        <w:t xml:space="preserve"> Financial burden may therefore represent both a direct and indirect obstacle to academic success, particularly within clinical dental education that requires continuous attendance and acquisition of practical materials</w:t>
      </w:r>
      <w:r w:rsidR="001A79FE">
        <w:rPr>
          <w:color w:val="000008"/>
          <w:spacing w:val="-4"/>
        </w:rPr>
        <w:t>, particularly in the context of lower socioeconomic standards in Sudan recently.</w:t>
      </w:r>
    </w:p>
    <w:p w14:paraId="6487E6AC" w14:textId="569EF6A9" w:rsidR="00531513" w:rsidRPr="005F37DD" w:rsidRDefault="00531513" w:rsidP="00531513">
      <w:pPr>
        <w:pStyle w:val="BodyText"/>
        <w:spacing w:line="360" w:lineRule="auto"/>
        <w:jc w:val="lowKashida"/>
        <w:rPr>
          <w:color w:val="000008"/>
          <w:spacing w:val="-4"/>
        </w:rPr>
      </w:pPr>
      <w:r w:rsidRPr="00531513">
        <w:rPr>
          <w:color w:val="000008"/>
          <w:spacing w:val="-4"/>
        </w:rPr>
        <w:t>Living arrangements and parental support demonstrated a meaningful relationship with academic performance. Students living with their parents achieved relatively higher annual GPA categories compared with students having direct family obligations or independent living responsibilities. The association demonstrated a moderate practical effect size, suggesting that emotional stability and supportive learning environments may positively influence educational achievement. This finding is consistent with broader literature demonstrating the influence of environmental support and psychosocial stability on student academic outcomes</w:t>
      </w:r>
      <w:r w:rsidR="00AF0DC8">
        <w:rPr>
          <w:color w:val="000008"/>
          <w:spacing w:val="-4"/>
        </w:rPr>
        <w:t xml:space="preserve">. </w:t>
      </w:r>
      <w:r w:rsidR="00AF0DC8">
        <w:t xml:space="preserve">In the present study, living with parents was more commonly observed among civilian students, whereas most military students resided </w:t>
      </w:r>
      <w:r w:rsidR="00AF0DC8">
        <w:lastRenderedPageBreak/>
        <w:t>in military dormitories. This difference in living arrangements may partially explain the comparatively lower academic performance observed among military-admitted students, as parental and environmental support are important factors influencing academic stability and educational achievement.</w:t>
      </w:r>
    </w:p>
    <w:p w14:paraId="4CA9342B" w14:textId="6B6B5ACC" w:rsidR="00531513" w:rsidRPr="00AF0DC8" w:rsidRDefault="00531513" w:rsidP="00531513">
      <w:pPr>
        <w:pStyle w:val="BodyText"/>
        <w:spacing w:line="360" w:lineRule="auto"/>
        <w:jc w:val="lowKashida"/>
        <w:rPr>
          <w:color w:val="000008"/>
          <w:spacing w:val="-4"/>
        </w:rPr>
      </w:pPr>
      <w:r w:rsidRPr="00531513">
        <w:rPr>
          <w:color w:val="000008"/>
          <w:spacing w:val="-4"/>
        </w:rPr>
        <w:t>Educational engagement variables also demonstrated important associations with academic performance. Regular attendance to academic and clinical activities was significantly associated with better annual GPA categories. After dichotomization of annual GPA and odds ratio analysis, students with irregular attendance demonstrated markedly higher odds of lower academic performance. This finding highlights the educational importance of attendance and active participation, particularly within dental education where clinical competency depends heavily on repeated practical exposure and continuous interaction with instructors. Similar conclusions were reported in previous studies among medical and dental students, where attendance and organized studying behaviors were strongly associated with academic success.</w:t>
      </w:r>
      <w:r w:rsidR="00AF0DC8" w:rsidRPr="00AF0DC8">
        <w:rPr>
          <w:color w:val="000008"/>
          <w:spacing w:val="-4"/>
          <w:vertAlign w:val="superscript"/>
        </w:rPr>
        <w:t>5</w:t>
      </w:r>
    </w:p>
    <w:p w14:paraId="12432DBD" w14:textId="74560306" w:rsidR="00531513" w:rsidRPr="00AF0DC8" w:rsidRDefault="00531513" w:rsidP="00531513">
      <w:pPr>
        <w:pStyle w:val="BodyText"/>
        <w:spacing w:line="360" w:lineRule="auto"/>
        <w:jc w:val="lowKashida"/>
        <w:rPr>
          <w:color w:val="000008"/>
          <w:spacing w:val="-4"/>
        </w:rPr>
      </w:pPr>
      <w:r w:rsidRPr="00531513">
        <w:rPr>
          <w:color w:val="000008"/>
          <w:spacing w:val="-4"/>
        </w:rPr>
        <w:t>The majority of participants additionally reported major educational barriers related to interrupted academic periods, political instability, transportation difficulties, and internet connectivity problems. These findings should be interpreted within the unique national context experienced in Sudan during the study period, including repeated university closures, the COVID-19 pandemic, and economic instability. Participants perceived that these interruptions negatively affected continuity of learning, practical clinical exposure, and educational motivation. Similar educational concerns regarding online learning adaptation and interrupted dental training were described by Ilser Turkyilmaz and colleagues, who emphasized that although e-learning may support theoretical education, clinical dental training remains highly dependent on practical attendance and direct supervision.</w:t>
      </w:r>
      <w:r w:rsidR="00AF0DC8">
        <w:rPr>
          <w:color w:val="000008"/>
          <w:spacing w:val="-4"/>
        </w:rPr>
        <w:t xml:space="preserve"> </w:t>
      </w:r>
      <w:r w:rsidR="00AF0DC8" w:rsidRPr="00AF0DC8">
        <w:rPr>
          <w:color w:val="000008"/>
          <w:spacing w:val="-4"/>
          <w:vertAlign w:val="superscript"/>
        </w:rPr>
        <w:t>2</w:t>
      </w:r>
    </w:p>
    <w:p w14:paraId="363E7684" w14:textId="5F333254" w:rsidR="00531513" w:rsidRPr="001A79FE" w:rsidRDefault="00531513" w:rsidP="00531513">
      <w:pPr>
        <w:pStyle w:val="BodyText"/>
        <w:spacing w:line="360" w:lineRule="auto"/>
        <w:jc w:val="lowKashida"/>
        <w:rPr>
          <w:color w:val="000008"/>
          <w:spacing w:val="-4"/>
        </w:rPr>
      </w:pPr>
      <w:r w:rsidRPr="00531513">
        <w:rPr>
          <w:color w:val="000008"/>
          <w:spacing w:val="-4"/>
        </w:rPr>
        <w:t>Behavioral and lifestyle-related factors also contributed to academic challenges among participants. Irregular studying habits, reduced sleeping duration, and excessive social networking usage were commonly reported among lower-achieving students. Previous studies have demonstrated that poor sleep quality and unhealthy study routines are associated with reduced concentration, impaired cognitive performance, and decreased academic achievement among health profession students.</w:t>
      </w:r>
      <w:r w:rsidR="00AF0DC8" w:rsidRPr="00AF0DC8">
        <w:rPr>
          <w:color w:val="000008"/>
          <w:spacing w:val="-4"/>
          <w:vertAlign w:val="superscript"/>
        </w:rPr>
        <w:t>7</w:t>
      </w:r>
      <w:r w:rsidRPr="00531513">
        <w:rPr>
          <w:color w:val="000008"/>
          <w:spacing w:val="-4"/>
        </w:rPr>
        <w:t xml:space="preserve"> A recent systematic review published in the BMC Medical Education similarly concluded that sleep quality, psychological stress, and academic overload significantly influence educational performance among undergraduate medical and dental students.</w:t>
      </w:r>
      <w:r w:rsidR="001A79FE" w:rsidRPr="00AF0DC8">
        <w:rPr>
          <w:color w:val="000008"/>
          <w:spacing w:val="-4"/>
          <w:vertAlign w:val="superscript"/>
        </w:rPr>
        <w:t>8</w:t>
      </w:r>
    </w:p>
    <w:p w14:paraId="15556B0A" w14:textId="757DE8C8" w:rsidR="00531513" w:rsidRPr="001A79FE" w:rsidRDefault="00531513" w:rsidP="00531513">
      <w:pPr>
        <w:pStyle w:val="BodyText"/>
        <w:spacing w:line="360" w:lineRule="auto"/>
        <w:jc w:val="lowKashida"/>
        <w:rPr>
          <w:color w:val="000008"/>
          <w:spacing w:val="-4"/>
        </w:rPr>
      </w:pPr>
      <w:r w:rsidRPr="00531513">
        <w:rPr>
          <w:color w:val="000008"/>
          <w:spacing w:val="-4"/>
        </w:rPr>
        <w:t xml:space="preserve">The regression model demonstrated that irregular attendance represented the strongest independent </w:t>
      </w:r>
      <w:r w:rsidRPr="00531513">
        <w:rPr>
          <w:color w:val="000008"/>
          <w:spacing w:val="-4"/>
        </w:rPr>
        <w:lastRenderedPageBreak/>
        <w:t>predictor of lower academic performance after adjustment for other variables. Financial difficulties, military admission type, and absence of parental support also remained significant predictors. These findings collectively emphasize that academic performance among dental students cannot be explained by a single determinant, but rather by the cumulative interaction between institutional, socioeconomic, environmental, and behavioral factors.</w:t>
      </w:r>
      <w:r w:rsidR="001A79FE">
        <w:rPr>
          <w:color w:val="000008"/>
          <w:spacing w:val="-4"/>
        </w:rPr>
        <w:t xml:space="preserve"> </w:t>
      </w:r>
      <w:r w:rsidR="001A79FE" w:rsidRPr="00AF0DC8">
        <w:rPr>
          <w:color w:val="000008"/>
          <w:spacing w:val="-4"/>
          <w:vertAlign w:val="superscript"/>
        </w:rPr>
        <w:t>9</w:t>
      </w:r>
    </w:p>
    <w:p w14:paraId="4979E21D" w14:textId="0BB6DF9E" w:rsidR="005E5F42" w:rsidRPr="005C63F5" w:rsidRDefault="00531513" w:rsidP="005C63F5">
      <w:pPr>
        <w:pStyle w:val="BodyText"/>
        <w:spacing w:line="360" w:lineRule="auto"/>
        <w:jc w:val="lowKashida"/>
        <w:rPr>
          <w:color w:val="000008"/>
          <w:spacing w:val="-4"/>
        </w:rPr>
      </w:pPr>
      <w:r w:rsidRPr="00531513">
        <w:rPr>
          <w:color w:val="000008"/>
          <w:spacing w:val="-4"/>
        </w:rPr>
        <w:t>Another important observation in the current study was the influence of educational instability resulting from repeated lockdowns and interrupted academic schedules. Recent evidence published in the Journal of Dental Education demonstrated that prolonged educational disruption during the COVID-19 pandemic negatively affected academic</w:t>
      </w:r>
      <w:r w:rsidR="00AF0DC8">
        <w:rPr>
          <w:color w:val="000008"/>
          <w:spacing w:val="-4"/>
        </w:rPr>
        <w:t xml:space="preserve"> overall</w:t>
      </w:r>
      <w:r w:rsidRPr="00531513">
        <w:rPr>
          <w:color w:val="000008"/>
          <w:spacing w:val="-4"/>
        </w:rPr>
        <w:t xml:space="preserve"> confidence, practical competency acquisition, and psychological well-being among dental students globally</w:t>
      </w:r>
      <w:r w:rsidR="00AF0DC8">
        <w:rPr>
          <w:color w:val="000008"/>
          <w:spacing w:val="-4"/>
        </w:rPr>
        <w:t>.</w:t>
      </w:r>
      <w:r w:rsidR="00AF0DC8" w:rsidRPr="00AF0DC8">
        <w:rPr>
          <w:color w:val="000008"/>
          <w:spacing w:val="-4"/>
          <w:vertAlign w:val="superscript"/>
        </w:rPr>
        <w:t>10</w:t>
      </w:r>
      <w:r w:rsidR="00AF0DC8">
        <w:rPr>
          <w:color w:val="000008"/>
          <w:spacing w:val="-4"/>
          <w:vertAlign w:val="superscript"/>
        </w:rPr>
        <w:t xml:space="preserve"> </w:t>
      </w:r>
      <w:r w:rsidRPr="00531513">
        <w:rPr>
          <w:color w:val="000008"/>
          <w:spacing w:val="-4"/>
        </w:rPr>
        <w:t>This supports the contextual relevance of the present findings within Sudanese dental education.</w:t>
      </w:r>
    </w:p>
    <w:p w14:paraId="63E4573D" w14:textId="6F61958B" w:rsidR="005E5F42" w:rsidRDefault="00B16584" w:rsidP="00406E42">
      <w:pPr>
        <w:pStyle w:val="BodyText"/>
        <w:numPr>
          <w:ilvl w:val="0"/>
          <w:numId w:val="18"/>
        </w:numPr>
        <w:spacing w:line="360" w:lineRule="auto"/>
        <w:jc w:val="lowKashida"/>
        <w:rPr>
          <w:b/>
          <w:bCs/>
          <w:color w:val="000008"/>
          <w:sz w:val="28"/>
          <w:szCs w:val="28"/>
        </w:rPr>
      </w:pPr>
      <w:r>
        <w:rPr>
          <w:b/>
          <w:bCs/>
          <w:color w:val="000008"/>
          <w:sz w:val="28"/>
          <w:szCs w:val="28"/>
        </w:rPr>
        <w:t xml:space="preserve"> </w:t>
      </w:r>
      <w:r w:rsidR="00406E42">
        <w:rPr>
          <w:b/>
          <w:bCs/>
          <w:color w:val="000008"/>
          <w:sz w:val="28"/>
          <w:szCs w:val="28"/>
        </w:rPr>
        <w:t>CONCLUSION</w:t>
      </w:r>
    </w:p>
    <w:p w14:paraId="4610A549" w14:textId="77777777" w:rsidR="005C63F5" w:rsidRDefault="005C63F5" w:rsidP="005C63F5">
      <w:pPr>
        <w:pStyle w:val="NormalWeb"/>
        <w:spacing w:line="360" w:lineRule="auto"/>
        <w:jc w:val="both"/>
      </w:pPr>
      <w:r>
        <w:t xml:space="preserve">The present study demonstrated that academic performance among low-achieving dental students at </w:t>
      </w:r>
      <w:r>
        <w:rPr>
          <w:rStyle w:val="whitespace-normal"/>
        </w:rPr>
        <w:t>Karary University</w:t>
      </w:r>
      <w:r>
        <w:t xml:space="preserve"> is affected by multiple interconnected socioeconomic, environmental, educational, and behavioral factors.</w:t>
      </w:r>
    </w:p>
    <w:p w14:paraId="07A1A99B" w14:textId="77777777" w:rsidR="005C63F5" w:rsidRDefault="005C63F5" w:rsidP="005C63F5">
      <w:pPr>
        <w:pStyle w:val="NormalWeb"/>
        <w:spacing w:line="360" w:lineRule="auto"/>
        <w:jc w:val="both"/>
      </w:pPr>
      <w:r>
        <w:t>Significant associations were identified between academic performance and admission type, financial difficulties, living arrangements, and attendance to academic activities. Students experiencing financial burden, inadequate environmental support, and irregular academic attendance demonstrated comparatively lower annual GPA outcomes. Additionally, educational interruptions related to political instability, transportation difficulties, and limitations in internet accessibility represented major challenges affecting continuity of learning during the study period.</w:t>
      </w:r>
    </w:p>
    <w:p w14:paraId="1E3D3F76" w14:textId="6B36CBB7" w:rsidR="005C63F5" w:rsidRDefault="005C63F5" w:rsidP="005C63F5">
      <w:pPr>
        <w:pStyle w:val="NormalWeb"/>
        <w:spacing w:line="360" w:lineRule="auto"/>
        <w:jc w:val="both"/>
      </w:pPr>
      <w:r>
        <w:t xml:space="preserve">The findings demonstrated that regular attendance to academic and clinical activities represented one of the strongest predictors of improved academic performance. Collectively, these observations highlight the importance of establishing supportive educational environments and targeted student-support strategies within dental </w:t>
      </w:r>
      <w:r w:rsidR="005A4D14">
        <w:t>schools.</w:t>
      </w:r>
    </w:p>
    <w:p w14:paraId="21F95E66" w14:textId="10F92423" w:rsidR="005E5F42" w:rsidRPr="005C63F5" w:rsidRDefault="005C63F5" w:rsidP="0066396A">
      <w:pPr>
        <w:pStyle w:val="NormalWeb"/>
        <w:spacing w:before="0" w:beforeAutospacing="0" w:after="0" w:afterAutospacing="0" w:line="360" w:lineRule="auto"/>
        <w:jc w:val="both"/>
        <w:rPr>
          <w:b/>
          <w:bCs/>
          <w:sz w:val="28"/>
          <w:szCs w:val="28"/>
        </w:rPr>
      </w:pPr>
      <w:r w:rsidRPr="005C63F5">
        <w:rPr>
          <w:b/>
          <w:bCs/>
          <w:color w:val="000008"/>
          <w:spacing w:val="-6"/>
          <w:sz w:val="28"/>
          <w:szCs w:val="28"/>
        </w:rPr>
        <w:t>RECOMMENDATION</w:t>
      </w:r>
      <w:r>
        <w:rPr>
          <w:b/>
          <w:bCs/>
          <w:color w:val="000008"/>
          <w:spacing w:val="-6"/>
          <w:sz w:val="28"/>
          <w:szCs w:val="28"/>
        </w:rPr>
        <w:t>S</w:t>
      </w:r>
    </w:p>
    <w:p w14:paraId="4D8EE82E" w14:textId="6FBF0923" w:rsidR="005C63F5" w:rsidRPr="005C63F5" w:rsidRDefault="005C63F5" w:rsidP="005C63F5">
      <w:pPr>
        <w:pStyle w:val="ListParagraph"/>
        <w:widowControl/>
        <w:numPr>
          <w:ilvl w:val="0"/>
          <w:numId w:val="22"/>
        </w:numPr>
        <w:autoSpaceDE/>
        <w:autoSpaceDN/>
        <w:spacing w:after="0" w:line="360" w:lineRule="auto"/>
        <w:jc w:val="both"/>
        <w:rPr>
          <w:sz w:val="24"/>
          <w:szCs w:val="24"/>
        </w:rPr>
      </w:pPr>
      <w:r w:rsidRPr="005C63F5">
        <w:rPr>
          <w:sz w:val="24"/>
          <w:szCs w:val="24"/>
        </w:rPr>
        <w:t>Development of student-support programs addressing financial and transportation-related barriers affecting academic attendance and continuity</w:t>
      </w:r>
      <w:r>
        <w:rPr>
          <w:sz w:val="24"/>
          <w:szCs w:val="24"/>
        </w:rPr>
        <w:t xml:space="preserve"> through activation of  the role of  Students affairs office at dental college </w:t>
      </w:r>
      <w:r w:rsidRPr="005C63F5">
        <w:rPr>
          <w:sz w:val="24"/>
          <w:szCs w:val="24"/>
        </w:rPr>
        <w:t xml:space="preserve">. </w:t>
      </w:r>
    </w:p>
    <w:p w14:paraId="36A202C1" w14:textId="2DF1561A" w:rsidR="005C63F5" w:rsidRPr="005C63F5" w:rsidRDefault="005C63F5" w:rsidP="005C63F5">
      <w:pPr>
        <w:pStyle w:val="ListParagraph"/>
        <w:widowControl/>
        <w:numPr>
          <w:ilvl w:val="0"/>
          <w:numId w:val="22"/>
        </w:numPr>
        <w:autoSpaceDE/>
        <w:autoSpaceDN/>
        <w:spacing w:after="0" w:line="360" w:lineRule="auto"/>
        <w:jc w:val="both"/>
        <w:rPr>
          <w:sz w:val="24"/>
          <w:szCs w:val="24"/>
        </w:rPr>
      </w:pPr>
      <w:r w:rsidRPr="005C63F5">
        <w:rPr>
          <w:sz w:val="24"/>
          <w:szCs w:val="24"/>
        </w:rPr>
        <w:lastRenderedPageBreak/>
        <w:t>Enhancement of academic counseling and mentoring systems for low-achieving dental students, particularly those demonstrating irregular attendance patterns</w:t>
      </w:r>
      <w:r>
        <w:rPr>
          <w:sz w:val="24"/>
          <w:szCs w:val="24"/>
        </w:rPr>
        <w:t xml:space="preserve"> by Academic office at dental college</w:t>
      </w:r>
      <w:r w:rsidR="00406E42">
        <w:rPr>
          <w:sz w:val="24"/>
          <w:szCs w:val="24"/>
        </w:rPr>
        <w:t>, and encouraging students centered teaching strategies and interactive educational strategies to enhance level of attendance and engagement.</w:t>
      </w:r>
    </w:p>
    <w:p w14:paraId="61201CD0" w14:textId="039CEFA3" w:rsidR="005C63F5" w:rsidRPr="005C63F5" w:rsidRDefault="005C63F5" w:rsidP="005C63F5">
      <w:pPr>
        <w:pStyle w:val="ListParagraph"/>
        <w:widowControl/>
        <w:numPr>
          <w:ilvl w:val="0"/>
          <w:numId w:val="22"/>
        </w:numPr>
        <w:autoSpaceDE/>
        <w:autoSpaceDN/>
        <w:spacing w:after="0" w:line="360" w:lineRule="auto"/>
        <w:jc w:val="both"/>
        <w:rPr>
          <w:sz w:val="24"/>
          <w:szCs w:val="24"/>
        </w:rPr>
      </w:pPr>
      <w:r w:rsidRPr="005C63F5">
        <w:rPr>
          <w:sz w:val="24"/>
          <w:szCs w:val="24"/>
        </w:rPr>
        <w:t xml:space="preserve">Improvement of educational infrastructure and internet accessibility to support blended and online learning approaches during periods of educational interruption. </w:t>
      </w:r>
    </w:p>
    <w:p w14:paraId="547A436D" w14:textId="77777777" w:rsidR="005C63F5" w:rsidRPr="005C63F5" w:rsidRDefault="005C63F5" w:rsidP="005C63F5">
      <w:pPr>
        <w:pStyle w:val="ListParagraph"/>
        <w:widowControl/>
        <w:numPr>
          <w:ilvl w:val="0"/>
          <w:numId w:val="22"/>
        </w:numPr>
        <w:autoSpaceDE/>
        <w:autoSpaceDN/>
        <w:spacing w:after="0" w:line="360" w:lineRule="auto"/>
        <w:jc w:val="both"/>
        <w:rPr>
          <w:sz w:val="24"/>
          <w:szCs w:val="24"/>
        </w:rPr>
      </w:pPr>
      <w:r w:rsidRPr="005C63F5">
        <w:rPr>
          <w:sz w:val="24"/>
          <w:szCs w:val="24"/>
        </w:rPr>
        <w:t xml:space="preserve">Establishment of student wellness and psychosocial support programs aimed at improving environmental stability, sleep quality, and academic adaptation. </w:t>
      </w:r>
    </w:p>
    <w:p w14:paraId="2E316F1D" w14:textId="4FED17E6" w:rsidR="005C63F5" w:rsidRDefault="005C63F5" w:rsidP="005C63F5">
      <w:pPr>
        <w:pStyle w:val="ListParagraph1"/>
        <w:numPr>
          <w:ilvl w:val="0"/>
          <w:numId w:val="22"/>
        </w:numPr>
        <w:tabs>
          <w:tab w:val="left" w:pos="564"/>
        </w:tabs>
        <w:spacing w:line="360" w:lineRule="auto"/>
        <w:jc w:val="both"/>
        <w:rPr>
          <w:sz w:val="24"/>
          <w:szCs w:val="24"/>
        </w:rPr>
      </w:pPr>
      <w:r w:rsidRPr="005C63F5">
        <w:rPr>
          <w:sz w:val="24"/>
          <w:szCs w:val="24"/>
        </w:rPr>
        <w:t>Conducting larger longitudinal studies to further investigate predictors of</w:t>
      </w:r>
      <w:r>
        <w:rPr>
          <w:sz w:val="24"/>
          <w:szCs w:val="24"/>
        </w:rPr>
        <w:t xml:space="preserve"> </w:t>
      </w:r>
      <w:r w:rsidRPr="005C63F5">
        <w:rPr>
          <w:sz w:val="24"/>
          <w:szCs w:val="24"/>
        </w:rPr>
        <w:t>academic performance among Sudanese dental students</w:t>
      </w:r>
      <w:r w:rsidR="00406E42">
        <w:rPr>
          <w:sz w:val="24"/>
          <w:szCs w:val="24"/>
        </w:rPr>
        <w:t xml:space="preserve"> and </w:t>
      </w:r>
      <w:r w:rsidR="00774149">
        <w:rPr>
          <w:sz w:val="24"/>
          <w:szCs w:val="24"/>
        </w:rPr>
        <w:t>long-term</w:t>
      </w:r>
      <w:r w:rsidR="00406E42">
        <w:rPr>
          <w:sz w:val="24"/>
          <w:szCs w:val="24"/>
        </w:rPr>
        <w:t xml:space="preserve"> changes</w:t>
      </w:r>
      <w:r w:rsidRPr="005C63F5">
        <w:rPr>
          <w:sz w:val="24"/>
          <w:szCs w:val="24"/>
        </w:rPr>
        <w:t>.</w:t>
      </w:r>
    </w:p>
    <w:p w14:paraId="3B43A1E8" w14:textId="4DC116BE" w:rsidR="00406E42" w:rsidRDefault="00406E42" w:rsidP="0066396A">
      <w:pPr>
        <w:pStyle w:val="ListParagraph1"/>
        <w:tabs>
          <w:tab w:val="left" w:pos="564"/>
        </w:tabs>
        <w:spacing w:line="360" w:lineRule="auto"/>
        <w:ind w:left="360" w:firstLine="0"/>
        <w:jc w:val="both"/>
        <w:rPr>
          <w:b/>
          <w:bCs/>
          <w:sz w:val="28"/>
          <w:szCs w:val="28"/>
        </w:rPr>
      </w:pPr>
      <w:r w:rsidRPr="00406E42">
        <w:rPr>
          <w:b/>
          <w:bCs/>
          <w:sz w:val="28"/>
          <w:szCs w:val="28"/>
        </w:rPr>
        <w:t>LIMITATIONS</w:t>
      </w:r>
    </w:p>
    <w:p w14:paraId="42E72593" w14:textId="77777777" w:rsidR="00406E42" w:rsidRPr="00406E42" w:rsidRDefault="00406E42" w:rsidP="00406E42">
      <w:pPr>
        <w:pStyle w:val="ListParagraph1"/>
        <w:tabs>
          <w:tab w:val="left" w:pos="564"/>
        </w:tabs>
        <w:spacing w:line="360" w:lineRule="auto"/>
        <w:ind w:left="720"/>
        <w:jc w:val="both"/>
        <w:rPr>
          <w:sz w:val="24"/>
          <w:szCs w:val="24"/>
        </w:rPr>
      </w:pPr>
      <w:r w:rsidRPr="00406E42">
        <w:rPr>
          <w:sz w:val="24"/>
          <w:szCs w:val="24"/>
        </w:rPr>
        <w:t>The present study was limited by its relatively small sample size and single-institution design, which may affect the generalizability of the findings to other dental schools. In addition, the cross-sectional nature of the study limits the ability to establish causal relationships between the identified factors and academic performance outcomes.</w:t>
      </w:r>
    </w:p>
    <w:p w14:paraId="1742624A" w14:textId="77777777" w:rsidR="00347181" w:rsidRDefault="00406E42" w:rsidP="00347181">
      <w:pPr>
        <w:pStyle w:val="ListParagraph1"/>
        <w:tabs>
          <w:tab w:val="left" w:pos="564"/>
        </w:tabs>
        <w:spacing w:line="360" w:lineRule="auto"/>
        <w:ind w:left="720" w:firstLine="0"/>
        <w:jc w:val="both"/>
        <w:rPr>
          <w:b/>
          <w:bCs/>
          <w:sz w:val="28"/>
          <w:szCs w:val="28"/>
        </w:rPr>
      </w:pPr>
      <w:r w:rsidRPr="00406E42">
        <w:rPr>
          <w:sz w:val="24"/>
          <w:szCs w:val="24"/>
        </w:rPr>
        <w:t xml:space="preserve">The study also relied on self-reported questionnaire data, which may be influenced by recall bias and subjective participant perception. </w:t>
      </w:r>
      <w:r>
        <w:rPr>
          <w:sz w:val="24"/>
          <w:szCs w:val="24"/>
        </w:rPr>
        <w:t>Moreover</w:t>
      </w:r>
      <w:r w:rsidRPr="00406E42">
        <w:rPr>
          <w:sz w:val="24"/>
          <w:szCs w:val="24"/>
        </w:rPr>
        <w:t>, some behavioral and psychosocial variables were not explored in depth, including psychological stress, anxiety, and detailed mental health indicators that may additionally influence academic achievement</w:t>
      </w:r>
      <w:r w:rsidRPr="00406E42">
        <w:rPr>
          <w:b/>
          <w:bCs/>
          <w:sz w:val="28"/>
          <w:szCs w:val="28"/>
        </w:rPr>
        <w:t>.</w:t>
      </w:r>
    </w:p>
    <w:p w14:paraId="3A24F865"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1209C2AA"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3F9C4DED"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70A6C370"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6D073179"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0CCAEF06"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212DEADF"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5E877189" w14:textId="77777777" w:rsidR="0066396A" w:rsidRDefault="0066396A" w:rsidP="00347181">
      <w:pPr>
        <w:pStyle w:val="ListParagraph1"/>
        <w:tabs>
          <w:tab w:val="left" w:pos="564"/>
        </w:tabs>
        <w:spacing w:line="360" w:lineRule="auto"/>
        <w:ind w:left="0" w:firstLine="0"/>
        <w:jc w:val="both"/>
        <w:rPr>
          <w:rFonts w:eastAsia="SimSun"/>
          <w:b/>
          <w:bCs/>
          <w:color w:val="000000" w:themeColor="text1"/>
          <w:sz w:val="28"/>
          <w:szCs w:val="28"/>
          <w:lang w:bidi="ar-DZ"/>
        </w:rPr>
      </w:pPr>
    </w:p>
    <w:p w14:paraId="79B872C0" w14:textId="79983072" w:rsidR="00347181" w:rsidRPr="00347181" w:rsidRDefault="00347181" w:rsidP="00347181">
      <w:pPr>
        <w:pStyle w:val="ListParagraph1"/>
        <w:tabs>
          <w:tab w:val="left" w:pos="564"/>
        </w:tabs>
        <w:spacing w:line="360" w:lineRule="auto"/>
        <w:ind w:left="0" w:firstLine="0"/>
        <w:jc w:val="both"/>
        <w:rPr>
          <w:b/>
          <w:bCs/>
          <w:color w:val="000000" w:themeColor="text1"/>
          <w:sz w:val="28"/>
          <w:szCs w:val="28"/>
        </w:rPr>
      </w:pPr>
      <w:r w:rsidRPr="00347181">
        <w:rPr>
          <w:rFonts w:eastAsia="SimSun"/>
          <w:b/>
          <w:bCs/>
          <w:color w:val="000000" w:themeColor="text1"/>
          <w:sz w:val="28"/>
          <w:szCs w:val="28"/>
          <w:lang w:bidi="ar-DZ"/>
        </w:rPr>
        <w:lastRenderedPageBreak/>
        <w:t>DECLARATIONS</w:t>
      </w:r>
    </w:p>
    <w:p w14:paraId="34172EC1" w14:textId="77777777" w:rsidR="00347181" w:rsidRPr="00347181" w:rsidRDefault="00347181" w:rsidP="00347181">
      <w:pPr>
        <w:widowControl/>
        <w:numPr>
          <w:ilvl w:val="0"/>
          <w:numId w:val="26"/>
        </w:numPr>
        <w:autoSpaceDE/>
        <w:autoSpaceDN/>
        <w:spacing w:after="40" w:line="360" w:lineRule="auto"/>
        <w:ind w:right="15"/>
        <w:contextualSpacing/>
        <w:jc w:val="both"/>
        <w:rPr>
          <w:b/>
          <w:bCs/>
          <w:i/>
          <w:iCs/>
          <w:color w:val="000008"/>
          <w:sz w:val="24"/>
          <w:szCs w:val="24"/>
          <w:lang w:bidi="ar-DZ"/>
        </w:rPr>
      </w:pPr>
      <w:r w:rsidRPr="00347181">
        <w:rPr>
          <w:b/>
          <w:bCs/>
          <w:i/>
          <w:iCs/>
          <w:color w:val="000008"/>
          <w:sz w:val="24"/>
          <w:szCs w:val="24"/>
          <w:lang w:bidi="ar-DZ"/>
        </w:rPr>
        <w:t>Abbreviations:</w:t>
      </w:r>
    </w:p>
    <w:p w14:paraId="01189914" w14:textId="77777777" w:rsidR="00347181" w:rsidRPr="00347181" w:rsidRDefault="00347181" w:rsidP="00347181">
      <w:pPr>
        <w:widowControl/>
        <w:autoSpaceDE/>
        <w:autoSpaceDN/>
        <w:spacing w:after="0" w:line="360" w:lineRule="auto"/>
        <w:ind w:left="10" w:right="15" w:hanging="10"/>
        <w:jc w:val="both"/>
        <w:rPr>
          <w:color w:val="000008"/>
          <w:sz w:val="24"/>
          <w:szCs w:val="24"/>
          <w:lang w:bidi="ar-DZ"/>
        </w:rPr>
      </w:pPr>
      <w:r w:rsidRPr="00347181">
        <w:rPr>
          <w:color w:val="000008"/>
          <w:sz w:val="24"/>
          <w:szCs w:val="24"/>
          <w:lang w:bidi="ar-DZ"/>
        </w:rPr>
        <w:t>CGPA – Cumulative Grade Point Average</w:t>
      </w:r>
    </w:p>
    <w:p w14:paraId="2029E8FA" w14:textId="77777777" w:rsidR="00347181" w:rsidRPr="00347181" w:rsidRDefault="00347181" w:rsidP="00347181">
      <w:pPr>
        <w:widowControl/>
        <w:autoSpaceDE/>
        <w:autoSpaceDN/>
        <w:spacing w:after="0" w:line="360" w:lineRule="auto"/>
        <w:ind w:left="10" w:right="15" w:hanging="10"/>
        <w:jc w:val="both"/>
        <w:rPr>
          <w:color w:val="000008"/>
          <w:sz w:val="24"/>
          <w:szCs w:val="24"/>
          <w:lang w:bidi="ar-DZ"/>
        </w:rPr>
      </w:pPr>
      <w:r w:rsidRPr="00347181">
        <w:rPr>
          <w:color w:val="000008"/>
          <w:sz w:val="24"/>
          <w:szCs w:val="24"/>
          <w:lang w:bidi="ar-DZ"/>
        </w:rPr>
        <w:t xml:space="preserve">AGPA – </w:t>
      </w:r>
      <w:r w:rsidRPr="00347181">
        <w:rPr>
          <w:sz w:val="24"/>
          <w:szCs w:val="24"/>
        </w:rPr>
        <w:t>Annual Grade Point Average</w:t>
      </w:r>
      <w:r w:rsidRPr="00347181">
        <w:rPr>
          <w:color w:val="000008"/>
          <w:sz w:val="24"/>
          <w:szCs w:val="24"/>
          <w:lang w:bidi="ar-DZ"/>
        </w:rPr>
        <w:t xml:space="preserve"> </w:t>
      </w:r>
    </w:p>
    <w:p w14:paraId="338D867E" w14:textId="51A41E44" w:rsidR="00347181" w:rsidRPr="00347181" w:rsidRDefault="00347181" w:rsidP="00347181">
      <w:pPr>
        <w:widowControl/>
        <w:autoSpaceDE/>
        <w:autoSpaceDN/>
        <w:spacing w:after="0" w:line="360" w:lineRule="auto"/>
        <w:ind w:left="10" w:right="15" w:hanging="10"/>
        <w:jc w:val="both"/>
        <w:rPr>
          <w:color w:val="000008"/>
          <w:sz w:val="24"/>
          <w:szCs w:val="24"/>
          <w:lang w:bidi="ar-DZ"/>
        </w:rPr>
      </w:pPr>
      <w:r w:rsidRPr="00347181">
        <w:rPr>
          <w:color w:val="000008"/>
          <w:sz w:val="24"/>
          <w:szCs w:val="24"/>
          <w:lang w:bidi="ar-DZ"/>
        </w:rPr>
        <w:t>SPSS – Statistical Package for the Social Sciences</w:t>
      </w:r>
    </w:p>
    <w:p w14:paraId="3EA39AD2" w14:textId="6C026161" w:rsidR="00347181" w:rsidRPr="00347181" w:rsidRDefault="00347181" w:rsidP="00347181">
      <w:pPr>
        <w:widowControl/>
        <w:spacing w:after="0" w:line="360" w:lineRule="auto"/>
        <w:rPr>
          <w:sz w:val="24"/>
          <w:szCs w:val="24"/>
        </w:rPr>
      </w:pPr>
      <w:r w:rsidRPr="00347181">
        <w:rPr>
          <w:color w:val="202124"/>
          <w:sz w:val="24"/>
          <w:szCs w:val="24"/>
          <w:shd w:val="clear" w:color="auto" w:fill="FFFFFF"/>
          <w:lang w:eastAsia="zh-CN" w:bidi="ar"/>
        </w:rPr>
        <w:t>Covid 19 - Coronavirus disease</w:t>
      </w:r>
    </w:p>
    <w:p w14:paraId="27B5322A" w14:textId="29C93E4F" w:rsidR="00347181" w:rsidRDefault="00347181" w:rsidP="00347181">
      <w:pPr>
        <w:widowControl/>
        <w:autoSpaceDE/>
        <w:autoSpaceDN/>
        <w:spacing w:after="40" w:line="360" w:lineRule="auto"/>
        <w:ind w:left="10" w:right="15" w:hanging="10"/>
        <w:jc w:val="both"/>
        <w:rPr>
          <w:color w:val="000008"/>
          <w:sz w:val="24"/>
          <w:szCs w:val="24"/>
          <w:lang w:bidi="ar-DZ"/>
        </w:rPr>
      </w:pPr>
      <w:r>
        <w:rPr>
          <w:color w:val="000008"/>
          <w:sz w:val="24"/>
          <w:szCs w:val="24"/>
          <w:lang w:bidi="ar-DZ"/>
        </w:rPr>
        <w:t>OR – Odd Ratio.</w:t>
      </w:r>
    </w:p>
    <w:p w14:paraId="3F0CF44F" w14:textId="0FEAFA3C" w:rsidR="00347181" w:rsidRPr="00347181" w:rsidRDefault="00347181" w:rsidP="00347181">
      <w:pPr>
        <w:widowControl/>
        <w:autoSpaceDE/>
        <w:autoSpaceDN/>
        <w:spacing w:after="40" w:line="360" w:lineRule="auto"/>
        <w:ind w:left="10" w:right="15" w:hanging="10"/>
        <w:jc w:val="both"/>
        <w:rPr>
          <w:color w:val="000008"/>
          <w:sz w:val="24"/>
          <w:szCs w:val="24"/>
          <w:lang w:bidi="ar-DZ"/>
        </w:rPr>
      </w:pPr>
      <w:r>
        <w:rPr>
          <w:color w:val="000008"/>
          <w:sz w:val="24"/>
          <w:szCs w:val="24"/>
          <w:lang w:bidi="ar-DZ"/>
        </w:rPr>
        <w:t>AOR – Adjusted Odd Ratio</w:t>
      </w:r>
    </w:p>
    <w:p w14:paraId="06AC120C" w14:textId="77777777" w:rsidR="00347181" w:rsidRPr="00347181" w:rsidRDefault="00347181" w:rsidP="00347181">
      <w:pPr>
        <w:widowControl/>
        <w:numPr>
          <w:ilvl w:val="0"/>
          <w:numId w:val="26"/>
        </w:numPr>
        <w:autoSpaceDE/>
        <w:autoSpaceDN/>
        <w:spacing w:before="240" w:after="40" w:line="360" w:lineRule="auto"/>
        <w:ind w:right="15"/>
        <w:contextualSpacing/>
        <w:jc w:val="both"/>
        <w:rPr>
          <w:b/>
          <w:bCs/>
          <w:i/>
          <w:iCs/>
          <w:color w:val="000008"/>
          <w:sz w:val="24"/>
          <w:szCs w:val="24"/>
          <w:lang w:bidi="ar-DZ"/>
        </w:rPr>
      </w:pPr>
      <w:r w:rsidRPr="00347181">
        <w:rPr>
          <w:b/>
          <w:bCs/>
          <w:i/>
          <w:iCs/>
          <w:color w:val="000008"/>
          <w:sz w:val="24"/>
          <w:szCs w:val="24"/>
          <w:lang w:bidi="ar-DZ"/>
        </w:rPr>
        <w:t>Ethics Approval and consent to participate:</w:t>
      </w:r>
    </w:p>
    <w:p w14:paraId="123D142E" w14:textId="6B30840D" w:rsidR="00347181" w:rsidRPr="00347181" w:rsidRDefault="00347181" w:rsidP="0066396A">
      <w:pPr>
        <w:widowControl/>
        <w:autoSpaceDE/>
        <w:autoSpaceDN/>
        <w:spacing w:after="0" w:line="360" w:lineRule="auto"/>
        <w:jc w:val="both"/>
        <w:rPr>
          <w:sz w:val="24"/>
          <w:szCs w:val="24"/>
        </w:rPr>
      </w:pPr>
      <w:r w:rsidRPr="00347181">
        <w:rPr>
          <w:sz w:val="24"/>
          <w:szCs w:val="24"/>
        </w:rPr>
        <w:t xml:space="preserve">This study received ethical approval from the </w:t>
      </w:r>
      <w:r w:rsidRPr="00347181">
        <w:rPr>
          <w:b/>
          <w:bCs/>
          <w:sz w:val="24"/>
          <w:szCs w:val="24"/>
        </w:rPr>
        <w:t>Ethics Committee of the College of Oral and Dental Medicine, Karary University, Sudan</w:t>
      </w:r>
      <w:r w:rsidRPr="00347181">
        <w:rPr>
          <w:sz w:val="24"/>
          <w:szCs w:val="24"/>
        </w:rPr>
        <w:t xml:space="preserve">, and was conducted in full accordance with the ethical principles of the Declaration of Helsinki (2013 revision). Authorization to </w:t>
      </w:r>
      <w:r>
        <w:rPr>
          <w:sz w:val="24"/>
          <w:szCs w:val="24"/>
        </w:rPr>
        <w:t>data and</w:t>
      </w:r>
      <w:r w:rsidRPr="00347181">
        <w:rPr>
          <w:sz w:val="24"/>
          <w:szCs w:val="24"/>
        </w:rPr>
        <w:t xml:space="preserve"> contact information </w:t>
      </w:r>
      <w:r>
        <w:rPr>
          <w:sz w:val="24"/>
          <w:szCs w:val="24"/>
        </w:rPr>
        <w:t xml:space="preserve">of dental students </w:t>
      </w:r>
      <w:r w:rsidRPr="00347181">
        <w:rPr>
          <w:sz w:val="24"/>
          <w:szCs w:val="24"/>
        </w:rPr>
        <w:t>was granted by the University Registrar</w:t>
      </w:r>
      <w:r>
        <w:rPr>
          <w:sz w:val="24"/>
          <w:szCs w:val="24"/>
        </w:rPr>
        <w:t xml:space="preserve"> and administration</w:t>
      </w:r>
      <w:r w:rsidRPr="00347181">
        <w:rPr>
          <w:sz w:val="24"/>
          <w:szCs w:val="24"/>
        </w:rPr>
        <w:t>.</w:t>
      </w:r>
    </w:p>
    <w:p w14:paraId="4C3BD691" w14:textId="46833009" w:rsidR="00347181" w:rsidRPr="00347181" w:rsidRDefault="00347181" w:rsidP="00347181">
      <w:pPr>
        <w:widowControl/>
        <w:autoSpaceDE/>
        <w:autoSpaceDN/>
        <w:spacing w:after="0" w:line="360" w:lineRule="auto"/>
        <w:jc w:val="both"/>
        <w:rPr>
          <w:sz w:val="24"/>
          <w:szCs w:val="24"/>
        </w:rPr>
      </w:pPr>
      <w:r w:rsidRPr="00347181">
        <w:rPr>
          <w:sz w:val="24"/>
          <w:szCs w:val="24"/>
        </w:rPr>
        <w:t xml:space="preserve">Prior to participation, all </w:t>
      </w:r>
      <w:r>
        <w:rPr>
          <w:sz w:val="24"/>
          <w:szCs w:val="24"/>
        </w:rPr>
        <w:t>dental students</w:t>
      </w:r>
      <w:r w:rsidRPr="00347181">
        <w:rPr>
          <w:sz w:val="24"/>
          <w:szCs w:val="24"/>
        </w:rPr>
        <w:t xml:space="preserve"> were provided with clear information regarding the study’s objectives, procedures, and their rights as participants. </w:t>
      </w:r>
      <w:r w:rsidRPr="00347181">
        <w:rPr>
          <w:rFonts w:eastAsia="SimSun"/>
          <w:b/>
          <w:bCs/>
          <w:sz w:val="24"/>
          <w:szCs w:val="24"/>
        </w:rPr>
        <w:t>Electronic informed consent</w:t>
      </w:r>
      <w:r w:rsidRPr="00347181">
        <w:rPr>
          <w:sz w:val="24"/>
          <w:szCs w:val="24"/>
        </w:rPr>
        <w:t xml:space="preserve"> was obtained through the online questionnaire, with explicit confirmation that participation was entirely voluntary and could be discontinued at any time without penalty.</w:t>
      </w:r>
    </w:p>
    <w:p w14:paraId="2EA358CF" w14:textId="77777777" w:rsidR="00347181" w:rsidRPr="00347181" w:rsidRDefault="00347181" w:rsidP="00347181">
      <w:pPr>
        <w:widowControl/>
        <w:autoSpaceDE/>
        <w:autoSpaceDN/>
        <w:spacing w:after="0" w:line="360" w:lineRule="auto"/>
        <w:jc w:val="both"/>
        <w:rPr>
          <w:sz w:val="24"/>
          <w:szCs w:val="24"/>
        </w:rPr>
      </w:pPr>
      <w:r w:rsidRPr="00347181">
        <w:rPr>
          <w:sz w:val="24"/>
          <w:szCs w:val="24"/>
        </w:rPr>
        <w:t xml:space="preserve">All responses were collected and analysed anonymously. No personal identifiers were retained, and data confidentiality was safeguarded throughout the study and in the dissemination of findings. </w:t>
      </w:r>
    </w:p>
    <w:p w14:paraId="5B928954" w14:textId="03B95FF4" w:rsidR="00347181" w:rsidRPr="00347181" w:rsidRDefault="00347181" w:rsidP="00347181">
      <w:pPr>
        <w:widowControl/>
        <w:autoSpaceDE/>
        <w:autoSpaceDN/>
        <w:spacing w:after="0" w:line="360" w:lineRule="auto"/>
        <w:jc w:val="both"/>
        <w:rPr>
          <w:b/>
          <w:bCs/>
          <w:sz w:val="24"/>
          <w:szCs w:val="24"/>
        </w:rPr>
      </w:pPr>
      <w:r w:rsidRPr="00347181">
        <w:rPr>
          <w:sz w:val="24"/>
          <w:szCs w:val="24"/>
        </w:rPr>
        <w:t xml:space="preserve">This study was not a clinical trial; therefore, registration was </w:t>
      </w:r>
      <w:r w:rsidRPr="00347181">
        <w:rPr>
          <w:b/>
          <w:bCs/>
          <w:sz w:val="24"/>
          <w:szCs w:val="24"/>
        </w:rPr>
        <w:t>not applicable.</w:t>
      </w:r>
    </w:p>
    <w:p w14:paraId="1FAB4937" w14:textId="77777777" w:rsidR="00347181" w:rsidRPr="00347181" w:rsidRDefault="00347181" w:rsidP="00347181">
      <w:pPr>
        <w:widowControl/>
        <w:numPr>
          <w:ilvl w:val="0"/>
          <w:numId w:val="26"/>
        </w:numPr>
        <w:autoSpaceDE/>
        <w:autoSpaceDN/>
        <w:spacing w:before="240" w:after="0" w:line="360" w:lineRule="auto"/>
        <w:ind w:right="15"/>
        <w:contextualSpacing/>
        <w:jc w:val="both"/>
        <w:rPr>
          <w:rFonts w:eastAsia="Calibri"/>
          <w:b/>
          <w:bCs/>
          <w:i/>
          <w:iCs/>
          <w:sz w:val="24"/>
          <w:szCs w:val="24"/>
        </w:rPr>
      </w:pPr>
      <w:r w:rsidRPr="00347181">
        <w:rPr>
          <w:rFonts w:eastAsia="Calibri"/>
          <w:b/>
          <w:bCs/>
          <w:i/>
          <w:iCs/>
          <w:sz w:val="24"/>
          <w:szCs w:val="24"/>
        </w:rPr>
        <w:t>Consent for publication:</w:t>
      </w:r>
    </w:p>
    <w:p w14:paraId="09247376" w14:textId="77777777" w:rsidR="00347181" w:rsidRPr="00347181" w:rsidRDefault="00347181" w:rsidP="00347181">
      <w:pPr>
        <w:widowControl/>
        <w:autoSpaceDE/>
        <w:autoSpaceDN/>
        <w:spacing w:after="0" w:line="360" w:lineRule="auto"/>
        <w:jc w:val="both"/>
        <w:rPr>
          <w:rFonts w:eastAsia="Calibri"/>
          <w:sz w:val="24"/>
          <w:szCs w:val="24"/>
        </w:rPr>
      </w:pPr>
      <w:r w:rsidRPr="00347181">
        <w:rPr>
          <w:rFonts w:eastAsia="Calibri"/>
          <w:sz w:val="24"/>
          <w:szCs w:val="24"/>
        </w:rPr>
        <w:t>All authors have agreed to the submission and possible publication of this manuscript. During data collection, participants were informed that anonymized results might be published, and their consent for such publication was obtained. No identifiable personal information or images are included in this article.</w:t>
      </w:r>
    </w:p>
    <w:p w14:paraId="566E3D59" w14:textId="77777777" w:rsidR="00347181" w:rsidRPr="00347181" w:rsidRDefault="00347181" w:rsidP="00347181">
      <w:pPr>
        <w:widowControl/>
        <w:numPr>
          <w:ilvl w:val="0"/>
          <w:numId w:val="26"/>
        </w:numPr>
        <w:autoSpaceDE/>
        <w:autoSpaceDN/>
        <w:spacing w:before="240" w:after="0" w:line="360" w:lineRule="auto"/>
        <w:ind w:right="15"/>
        <w:contextualSpacing/>
        <w:jc w:val="both"/>
        <w:rPr>
          <w:rFonts w:eastAsia="Calibri"/>
          <w:b/>
          <w:bCs/>
          <w:i/>
          <w:iCs/>
          <w:sz w:val="24"/>
          <w:szCs w:val="24"/>
        </w:rPr>
      </w:pPr>
      <w:r w:rsidRPr="00347181">
        <w:rPr>
          <w:rFonts w:eastAsia="Calibri"/>
          <w:b/>
          <w:bCs/>
          <w:i/>
          <w:iCs/>
          <w:sz w:val="24"/>
          <w:szCs w:val="24"/>
        </w:rPr>
        <w:t>Availability of Data and Materials:</w:t>
      </w:r>
    </w:p>
    <w:p w14:paraId="3A41013C" w14:textId="77777777" w:rsidR="005A4D14" w:rsidRDefault="00347181" w:rsidP="0066396A">
      <w:pPr>
        <w:widowControl/>
        <w:autoSpaceDE/>
        <w:autoSpaceDN/>
        <w:spacing w:after="0" w:line="360" w:lineRule="auto"/>
        <w:ind w:left="10" w:hanging="10"/>
        <w:jc w:val="both"/>
        <w:rPr>
          <w:rFonts w:eastAsia="Calibri"/>
          <w:sz w:val="24"/>
          <w:szCs w:val="24"/>
        </w:rPr>
      </w:pPr>
      <w:r w:rsidRPr="00347181">
        <w:rPr>
          <w:rFonts w:eastAsia="Calibri"/>
          <w:sz w:val="24"/>
          <w:szCs w:val="24"/>
        </w:rPr>
        <w:t xml:space="preserve">The datasets generated and analyzed during the current study are available from the corresponding author on reasonable request. </w:t>
      </w:r>
    </w:p>
    <w:p w14:paraId="1AF16BC7" w14:textId="7EF26B31" w:rsidR="00347181" w:rsidRPr="005A4D14" w:rsidRDefault="00347181" w:rsidP="0066396A">
      <w:pPr>
        <w:pStyle w:val="ListParagraph"/>
        <w:widowControl/>
        <w:numPr>
          <w:ilvl w:val="0"/>
          <w:numId w:val="26"/>
        </w:numPr>
        <w:autoSpaceDE/>
        <w:autoSpaceDN/>
        <w:spacing w:after="0" w:line="360" w:lineRule="auto"/>
        <w:jc w:val="both"/>
        <w:rPr>
          <w:rFonts w:eastAsia="Calibri"/>
          <w:b/>
          <w:bCs/>
          <w:i/>
          <w:iCs/>
          <w:sz w:val="24"/>
          <w:szCs w:val="24"/>
        </w:rPr>
      </w:pPr>
      <w:r w:rsidRPr="005A4D14">
        <w:rPr>
          <w:rFonts w:eastAsia="Calibri"/>
          <w:b/>
          <w:bCs/>
          <w:i/>
          <w:iCs/>
          <w:sz w:val="24"/>
          <w:szCs w:val="24"/>
        </w:rPr>
        <w:t>Competing Interests</w:t>
      </w:r>
    </w:p>
    <w:p w14:paraId="3AC07075" w14:textId="77777777" w:rsidR="00347181" w:rsidRPr="00347181" w:rsidRDefault="00347181" w:rsidP="00347181">
      <w:pPr>
        <w:widowControl/>
        <w:autoSpaceDE/>
        <w:autoSpaceDN/>
        <w:spacing w:after="0" w:line="360" w:lineRule="auto"/>
        <w:rPr>
          <w:rFonts w:eastAsia="Calibri"/>
          <w:sz w:val="24"/>
          <w:szCs w:val="24"/>
        </w:rPr>
      </w:pPr>
      <w:r w:rsidRPr="00347181">
        <w:rPr>
          <w:rFonts w:eastAsia="Calibri"/>
          <w:sz w:val="24"/>
          <w:szCs w:val="24"/>
        </w:rPr>
        <w:t xml:space="preserve">The authors decelerate that they have no potential conflict of interests relevant to this article was reported. </w:t>
      </w:r>
    </w:p>
    <w:p w14:paraId="03A71711" w14:textId="77777777" w:rsidR="00347181" w:rsidRPr="00347181" w:rsidRDefault="00347181" w:rsidP="00347181">
      <w:pPr>
        <w:widowControl/>
        <w:numPr>
          <w:ilvl w:val="0"/>
          <w:numId w:val="27"/>
        </w:numPr>
        <w:autoSpaceDE/>
        <w:autoSpaceDN/>
        <w:spacing w:after="0" w:line="360" w:lineRule="auto"/>
        <w:ind w:right="15"/>
        <w:contextualSpacing/>
        <w:jc w:val="both"/>
        <w:rPr>
          <w:rFonts w:eastAsia="Calibri"/>
          <w:b/>
          <w:bCs/>
          <w:i/>
          <w:iCs/>
          <w:sz w:val="24"/>
          <w:szCs w:val="24"/>
        </w:rPr>
      </w:pPr>
      <w:r w:rsidRPr="00347181">
        <w:rPr>
          <w:rFonts w:eastAsia="Calibri"/>
          <w:b/>
          <w:bCs/>
          <w:i/>
          <w:iCs/>
          <w:sz w:val="24"/>
          <w:szCs w:val="24"/>
        </w:rPr>
        <w:lastRenderedPageBreak/>
        <w:t>Funding</w:t>
      </w:r>
    </w:p>
    <w:p w14:paraId="3C2CA37E" w14:textId="77777777" w:rsidR="00347181" w:rsidRPr="00347181" w:rsidRDefault="00347181" w:rsidP="00347181">
      <w:pPr>
        <w:widowControl/>
        <w:autoSpaceDE/>
        <w:autoSpaceDN/>
        <w:spacing w:after="0" w:line="360" w:lineRule="auto"/>
        <w:ind w:left="10" w:right="15" w:hanging="10"/>
        <w:jc w:val="both"/>
        <w:rPr>
          <w:color w:val="000000"/>
          <w:sz w:val="24"/>
          <w:szCs w:val="24"/>
        </w:rPr>
      </w:pPr>
      <w:r w:rsidRPr="00347181">
        <w:rPr>
          <w:color w:val="000000"/>
          <w:sz w:val="24"/>
          <w:szCs w:val="24"/>
        </w:rPr>
        <w:t xml:space="preserve">We hereby declare that; No external funding sources we used for this study. The research was self-funded, and institutional support were provided by the primary affiliation of Karary University, College of Oral and Dental Medicine. </w:t>
      </w:r>
    </w:p>
    <w:p w14:paraId="1788FB15" w14:textId="77777777" w:rsidR="00347181" w:rsidRPr="00347181" w:rsidRDefault="00347181" w:rsidP="00347181">
      <w:pPr>
        <w:widowControl/>
        <w:numPr>
          <w:ilvl w:val="0"/>
          <w:numId w:val="27"/>
        </w:numPr>
        <w:autoSpaceDE/>
        <w:autoSpaceDN/>
        <w:spacing w:before="240" w:after="0" w:line="360" w:lineRule="auto"/>
        <w:ind w:right="15"/>
        <w:contextualSpacing/>
        <w:jc w:val="both"/>
        <w:rPr>
          <w:rFonts w:eastAsia="Calibri"/>
          <w:b/>
          <w:bCs/>
          <w:i/>
          <w:iCs/>
          <w:sz w:val="24"/>
          <w:szCs w:val="24"/>
        </w:rPr>
      </w:pPr>
      <w:r w:rsidRPr="00347181">
        <w:rPr>
          <w:rFonts w:eastAsia="Calibri"/>
          <w:b/>
          <w:bCs/>
          <w:i/>
          <w:iCs/>
          <w:sz w:val="24"/>
          <w:szCs w:val="24"/>
        </w:rPr>
        <w:t>Authors' contributions</w:t>
      </w:r>
    </w:p>
    <w:p w14:paraId="7D151417" w14:textId="71636689" w:rsidR="00347181" w:rsidRPr="00347181" w:rsidRDefault="00347181" w:rsidP="00347181">
      <w:pPr>
        <w:widowControl/>
        <w:autoSpaceDE/>
        <w:autoSpaceDN/>
        <w:spacing w:after="0" w:line="360" w:lineRule="auto"/>
        <w:ind w:left="10" w:right="15" w:hanging="10"/>
        <w:jc w:val="both"/>
        <w:rPr>
          <w:rFonts w:eastAsia="Calibri"/>
          <w:b/>
          <w:bCs/>
        </w:rPr>
      </w:pPr>
      <w:r w:rsidRPr="00347181">
        <w:rPr>
          <w:rFonts w:eastAsia="Calibri"/>
          <w:b/>
          <w:bCs/>
          <w:u w:val="single"/>
        </w:rPr>
        <w:t>Conceptualization</w:t>
      </w:r>
      <w:r w:rsidRPr="00347181">
        <w:rPr>
          <w:rFonts w:eastAsia="Calibri"/>
        </w:rPr>
        <w:t>: Motaz I Suliman</w:t>
      </w:r>
    </w:p>
    <w:p w14:paraId="4AFE1845" w14:textId="0F9E9927" w:rsidR="005A4D14" w:rsidRDefault="00347181" w:rsidP="005A4D14">
      <w:pPr>
        <w:widowControl/>
        <w:autoSpaceDE/>
        <w:autoSpaceDN/>
        <w:spacing w:after="40" w:line="360" w:lineRule="auto"/>
        <w:ind w:left="10" w:right="15" w:hanging="10"/>
        <w:jc w:val="both"/>
        <w:rPr>
          <w:rFonts w:eastAsia="Calibri"/>
        </w:rPr>
      </w:pPr>
      <w:r w:rsidRPr="00347181">
        <w:rPr>
          <w:rFonts w:eastAsia="Calibri"/>
          <w:b/>
          <w:bCs/>
          <w:u w:val="single"/>
        </w:rPr>
        <w:t>Methodology</w:t>
      </w:r>
      <w:r w:rsidR="005A4D14" w:rsidRPr="00347181">
        <w:rPr>
          <w:rFonts w:eastAsia="Calibri"/>
          <w:b/>
          <w:bCs/>
        </w:rPr>
        <w:t>:</w:t>
      </w:r>
      <w:r w:rsidR="005A4D14">
        <w:rPr>
          <w:rFonts w:eastAsia="Calibri"/>
          <w:b/>
          <w:bCs/>
        </w:rPr>
        <w:t xml:space="preserve"> </w:t>
      </w:r>
      <w:r w:rsidR="005A4D14" w:rsidRPr="005A4D14">
        <w:rPr>
          <w:rFonts w:eastAsia="Calibri"/>
        </w:rPr>
        <w:t>Islam Homeda , Amna Zain.</w:t>
      </w:r>
    </w:p>
    <w:p w14:paraId="117B07BB" w14:textId="49CA93B4" w:rsidR="00347181" w:rsidRPr="00347181" w:rsidRDefault="00347181" w:rsidP="005A4D14">
      <w:pPr>
        <w:widowControl/>
        <w:autoSpaceDE/>
        <w:autoSpaceDN/>
        <w:spacing w:after="40" w:line="360" w:lineRule="auto"/>
        <w:ind w:left="10" w:right="15" w:hanging="10"/>
        <w:jc w:val="both"/>
        <w:rPr>
          <w:rFonts w:eastAsia="Calibri"/>
        </w:rPr>
      </w:pPr>
      <w:r w:rsidRPr="00347181">
        <w:rPr>
          <w:rFonts w:eastAsia="Calibri"/>
          <w:b/>
          <w:bCs/>
          <w:u w:val="single"/>
        </w:rPr>
        <w:t>Data curation and Analysis</w:t>
      </w:r>
      <w:r w:rsidRPr="00347181">
        <w:rPr>
          <w:rFonts w:eastAsia="Calibri"/>
          <w:b/>
          <w:bCs/>
        </w:rPr>
        <w:t>:</w:t>
      </w:r>
      <w:r w:rsidRPr="00347181">
        <w:rPr>
          <w:b/>
          <w:bCs/>
          <w:color w:val="000000"/>
        </w:rPr>
        <w:t xml:space="preserve"> </w:t>
      </w:r>
      <w:r w:rsidR="005A4D14" w:rsidRPr="005A4D14">
        <w:rPr>
          <w:rFonts w:eastAsia="Calibri"/>
        </w:rPr>
        <w:t>Alaa Sedig , Abdelrahman Osama , Mohmmed Ali</w:t>
      </w:r>
    </w:p>
    <w:p w14:paraId="37E45C50" w14:textId="7954F27C" w:rsidR="00347181" w:rsidRPr="00347181" w:rsidRDefault="00347181" w:rsidP="00347181">
      <w:pPr>
        <w:widowControl/>
        <w:autoSpaceDE/>
        <w:autoSpaceDN/>
        <w:spacing w:after="40" w:line="360" w:lineRule="auto"/>
        <w:ind w:left="10" w:right="15" w:hanging="10"/>
        <w:jc w:val="both"/>
        <w:rPr>
          <w:rFonts w:eastAsia="Calibri"/>
        </w:rPr>
      </w:pPr>
      <w:r w:rsidRPr="00347181">
        <w:rPr>
          <w:rFonts w:eastAsia="Calibri"/>
          <w:b/>
          <w:bCs/>
          <w:u w:val="single"/>
        </w:rPr>
        <w:t>Project Management</w:t>
      </w:r>
      <w:r w:rsidRPr="00347181">
        <w:rPr>
          <w:rFonts w:eastAsia="Calibri"/>
          <w:b/>
          <w:bCs/>
        </w:rPr>
        <w:t>:</w:t>
      </w:r>
      <w:r w:rsidRPr="00347181">
        <w:rPr>
          <w:rFonts w:eastAsia="Calibri"/>
        </w:rPr>
        <w:t xml:space="preserve"> </w:t>
      </w:r>
      <w:r w:rsidR="005A4D14">
        <w:rPr>
          <w:color w:val="000000"/>
        </w:rPr>
        <w:t>Motaz I Suliman</w:t>
      </w:r>
    </w:p>
    <w:p w14:paraId="4EB63890" w14:textId="527552B2" w:rsidR="00347181" w:rsidRPr="00347181" w:rsidRDefault="00347181" w:rsidP="00DD376C">
      <w:pPr>
        <w:widowControl/>
        <w:autoSpaceDE/>
        <w:autoSpaceDN/>
        <w:spacing w:after="40" w:line="360" w:lineRule="auto"/>
        <w:ind w:left="10" w:right="15" w:hanging="10"/>
        <w:jc w:val="both"/>
        <w:rPr>
          <w:color w:val="000008"/>
        </w:rPr>
      </w:pPr>
      <w:r w:rsidRPr="00347181">
        <w:rPr>
          <w:rFonts w:eastAsia="Calibri"/>
          <w:b/>
          <w:bCs/>
          <w:u w:val="single"/>
        </w:rPr>
        <w:t>Writing the original draft:</w:t>
      </w:r>
      <w:r w:rsidRPr="00347181">
        <w:rPr>
          <w:b/>
          <w:bCs/>
          <w:color w:val="000000"/>
        </w:rPr>
        <w:t xml:space="preserve"> </w:t>
      </w:r>
      <w:r w:rsidR="00DD376C" w:rsidRPr="005A4D14">
        <w:rPr>
          <w:rFonts w:eastAsia="Calibri"/>
        </w:rPr>
        <w:t>Islam Homeda, Amna Zain.</w:t>
      </w:r>
      <w:r w:rsidR="00DD376C" w:rsidRPr="00DD376C">
        <w:rPr>
          <w:rFonts w:eastAsia="Calibri"/>
        </w:rPr>
        <w:t xml:space="preserve"> </w:t>
      </w:r>
      <w:r w:rsidR="00DD376C" w:rsidRPr="005A4D14">
        <w:rPr>
          <w:rFonts w:eastAsia="Calibri"/>
        </w:rPr>
        <w:t>Alaa Sedig, Abdelrahman Osama, Mohmmed Ali</w:t>
      </w:r>
      <w:r w:rsidR="00DD376C">
        <w:rPr>
          <w:rFonts w:eastAsia="Calibri"/>
        </w:rPr>
        <w:t>, Motaz I Suliman.</w:t>
      </w:r>
    </w:p>
    <w:p w14:paraId="3FA4BB70" w14:textId="04DCDBCF" w:rsidR="00347181" w:rsidRPr="00347181" w:rsidRDefault="00347181" w:rsidP="00347181">
      <w:pPr>
        <w:widowControl/>
        <w:autoSpaceDE/>
        <w:autoSpaceDN/>
        <w:spacing w:after="40" w:line="360" w:lineRule="auto"/>
        <w:ind w:left="10" w:right="15" w:hanging="10"/>
        <w:jc w:val="both"/>
        <w:rPr>
          <w:rFonts w:eastAsia="Calibri"/>
        </w:rPr>
      </w:pPr>
      <w:r w:rsidRPr="00347181">
        <w:rPr>
          <w:rFonts w:eastAsia="Calibri"/>
          <w:b/>
          <w:bCs/>
          <w:u w:val="single"/>
        </w:rPr>
        <w:t xml:space="preserve">Administrative </w:t>
      </w:r>
      <w:r w:rsidR="00DD376C">
        <w:rPr>
          <w:rFonts w:eastAsia="Calibri"/>
          <w:b/>
          <w:bCs/>
          <w:u w:val="single"/>
        </w:rPr>
        <w:t>e</w:t>
      </w:r>
      <w:r w:rsidR="00DD376C" w:rsidRPr="00347181">
        <w:rPr>
          <w:rFonts w:eastAsia="Calibri"/>
          <w:b/>
          <w:bCs/>
          <w:u w:val="single"/>
        </w:rPr>
        <w:t>ndorsement</w:t>
      </w:r>
      <w:r w:rsidR="00DD376C">
        <w:rPr>
          <w:rFonts w:eastAsia="Calibri"/>
          <w:b/>
          <w:bCs/>
          <w:u w:val="single"/>
        </w:rPr>
        <w:t xml:space="preserve"> and tools providence:</w:t>
      </w:r>
      <w:r w:rsidRPr="00347181">
        <w:rPr>
          <w:rFonts w:eastAsia="Calibri"/>
          <w:b/>
          <w:bCs/>
        </w:rPr>
        <w:t xml:space="preserve">  </w:t>
      </w:r>
      <w:r w:rsidR="00DD376C">
        <w:rPr>
          <w:rFonts w:eastAsia="Calibri"/>
        </w:rPr>
        <w:t>Fira</w:t>
      </w:r>
      <w:r w:rsidR="0066396A">
        <w:rPr>
          <w:rFonts w:eastAsia="Calibri"/>
        </w:rPr>
        <w:t>s</w:t>
      </w:r>
      <w:r w:rsidR="00DD376C">
        <w:rPr>
          <w:rFonts w:eastAsia="Calibri"/>
        </w:rPr>
        <w:t>s Majzoub</w:t>
      </w:r>
      <w:r w:rsidR="0066396A">
        <w:rPr>
          <w:rFonts w:eastAsia="Calibri"/>
        </w:rPr>
        <w:t>.</w:t>
      </w:r>
    </w:p>
    <w:p w14:paraId="2DB78A56" w14:textId="04636980" w:rsidR="00347181" w:rsidRPr="00347181" w:rsidRDefault="00347181" w:rsidP="00347181">
      <w:pPr>
        <w:widowControl/>
        <w:autoSpaceDE/>
        <w:autoSpaceDN/>
        <w:spacing w:after="40" w:line="360" w:lineRule="auto"/>
        <w:ind w:left="10" w:right="15" w:hanging="10"/>
        <w:jc w:val="both"/>
        <w:rPr>
          <w:rFonts w:eastAsia="Calibri"/>
        </w:rPr>
      </w:pPr>
      <w:r w:rsidRPr="00347181">
        <w:rPr>
          <w:rFonts w:eastAsia="Calibri"/>
          <w:b/>
          <w:bCs/>
          <w:u w:val="single"/>
        </w:rPr>
        <w:t>Editing and Reviewing</w:t>
      </w:r>
      <w:r w:rsidRPr="00347181">
        <w:rPr>
          <w:rFonts w:eastAsia="Calibri"/>
          <w:b/>
          <w:bCs/>
        </w:rPr>
        <w:t xml:space="preserve">: </w:t>
      </w:r>
      <w:r w:rsidR="00DD376C">
        <w:rPr>
          <w:rFonts w:eastAsia="Calibri"/>
        </w:rPr>
        <w:t>Abdelgadir Shaddad, Walaa Maysara, Firas Majzoub.</w:t>
      </w:r>
    </w:p>
    <w:p w14:paraId="7542C621" w14:textId="77777777" w:rsidR="00347181" w:rsidRPr="00347181" w:rsidRDefault="00347181" w:rsidP="00347181">
      <w:pPr>
        <w:widowControl/>
        <w:numPr>
          <w:ilvl w:val="0"/>
          <w:numId w:val="27"/>
        </w:numPr>
        <w:autoSpaceDE/>
        <w:autoSpaceDN/>
        <w:spacing w:before="240" w:after="40" w:line="360" w:lineRule="auto"/>
        <w:ind w:right="15"/>
        <w:contextualSpacing/>
        <w:jc w:val="both"/>
        <w:rPr>
          <w:b/>
          <w:bCs/>
          <w:i/>
          <w:iCs/>
          <w:color w:val="000000"/>
          <w:sz w:val="24"/>
          <w:szCs w:val="24"/>
        </w:rPr>
      </w:pPr>
      <w:r w:rsidRPr="00347181">
        <w:rPr>
          <w:b/>
          <w:bCs/>
          <w:i/>
          <w:iCs/>
          <w:color w:val="000000"/>
          <w:sz w:val="24"/>
          <w:szCs w:val="24"/>
        </w:rPr>
        <w:t>Acknowledgement</w:t>
      </w:r>
    </w:p>
    <w:p w14:paraId="58D80235" w14:textId="441612E6" w:rsidR="00347181" w:rsidRDefault="00347181" w:rsidP="00347181">
      <w:pPr>
        <w:widowControl/>
        <w:autoSpaceDE/>
        <w:autoSpaceDN/>
        <w:spacing w:after="40" w:line="360" w:lineRule="auto"/>
        <w:ind w:left="10" w:right="15" w:hanging="10"/>
        <w:jc w:val="both"/>
        <w:rPr>
          <w:color w:val="000008"/>
          <w:sz w:val="24"/>
          <w:szCs w:val="24"/>
        </w:rPr>
      </w:pPr>
      <w:r w:rsidRPr="00347181">
        <w:rPr>
          <w:color w:val="000008"/>
          <w:sz w:val="24"/>
          <w:szCs w:val="24"/>
        </w:rPr>
        <w:t xml:space="preserve">The authors would like to acknowledge the College of Oral and Dental Medicine, Karary University, for institutional support particularly; Dental Alumni and Students Affairs office, </w:t>
      </w:r>
      <w:r w:rsidR="00DD376C">
        <w:rPr>
          <w:color w:val="000008"/>
          <w:sz w:val="24"/>
          <w:szCs w:val="24"/>
        </w:rPr>
        <w:t>The college Registrar and the Academic Office.</w:t>
      </w:r>
    </w:p>
    <w:p w14:paraId="2CF3E5C4" w14:textId="3CD700E5" w:rsidR="00DD376C" w:rsidRPr="00DD376C" w:rsidRDefault="00DD376C" w:rsidP="00DD376C">
      <w:pPr>
        <w:pStyle w:val="ListParagraph"/>
        <w:widowControl/>
        <w:numPr>
          <w:ilvl w:val="0"/>
          <w:numId w:val="27"/>
        </w:numPr>
        <w:autoSpaceDE/>
        <w:autoSpaceDN/>
        <w:spacing w:after="40" w:line="360" w:lineRule="auto"/>
        <w:ind w:right="15"/>
        <w:jc w:val="both"/>
        <w:rPr>
          <w:b/>
          <w:bCs/>
          <w:i/>
          <w:iCs/>
          <w:color w:val="000000"/>
          <w:sz w:val="24"/>
          <w:szCs w:val="24"/>
        </w:rPr>
      </w:pPr>
      <w:r w:rsidRPr="00DD376C">
        <w:rPr>
          <w:b/>
          <w:bCs/>
          <w:i/>
          <w:iCs/>
          <w:color w:val="000000"/>
          <w:sz w:val="24"/>
          <w:szCs w:val="24"/>
        </w:rPr>
        <w:t>Declaring of Originality and Academic Integrity</w:t>
      </w:r>
    </w:p>
    <w:p w14:paraId="53FA1B4E" w14:textId="77777777" w:rsidR="00DD376C" w:rsidRDefault="00DD376C" w:rsidP="00DD376C">
      <w:pPr>
        <w:pStyle w:val="NormalWeb"/>
        <w:spacing w:before="0" w:beforeAutospacing="0" w:after="0" w:afterAutospacing="0" w:line="360" w:lineRule="auto"/>
        <w:jc w:val="both"/>
      </w:pPr>
      <w:r>
        <w:t xml:space="preserve">The authors declare that this manuscript is based on original data collected directly from the study participants and that all findings and interpretations represent the authentic work of the research team. No plagiarism, fabrication, or unauthorized reproduction of published material was involved in the preparation of this manuscript. </w:t>
      </w:r>
    </w:p>
    <w:p w14:paraId="28A55381" w14:textId="3DB21023" w:rsidR="00DD376C" w:rsidRPr="00DD376C" w:rsidRDefault="00DD376C" w:rsidP="00DD376C">
      <w:pPr>
        <w:pStyle w:val="NormalWeb"/>
        <w:spacing w:before="0" w:beforeAutospacing="0" w:after="0" w:afterAutospacing="0" w:line="360" w:lineRule="auto"/>
        <w:jc w:val="both"/>
      </w:pPr>
      <w:r>
        <w:t>Artificial intelligence tools were used only for language refinement, grammar correction, and improvement of academic writing clarity without altering the original scientific content or study findings.</w:t>
      </w:r>
    </w:p>
    <w:p w14:paraId="56579218" w14:textId="77777777" w:rsidR="0066396A" w:rsidRDefault="0066396A" w:rsidP="00DD376C">
      <w:pPr>
        <w:pStyle w:val="ListParagraph1"/>
        <w:tabs>
          <w:tab w:val="left" w:pos="564"/>
        </w:tabs>
        <w:spacing w:before="240" w:after="0" w:line="360" w:lineRule="auto"/>
        <w:ind w:left="0" w:firstLine="0"/>
        <w:jc w:val="lowKashida"/>
        <w:rPr>
          <w:b/>
          <w:bCs/>
          <w:color w:val="000008"/>
          <w:sz w:val="32"/>
          <w:szCs w:val="32"/>
        </w:rPr>
      </w:pPr>
    </w:p>
    <w:p w14:paraId="43CC4681" w14:textId="77777777" w:rsidR="0066396A" w:rsidRDefault="0066396A" w:rsidP="00DD376C">
      <w:pPr>
        <w:pStyle w:val="ListParagraph1"/>
        <w:tabs>
          <w:tab w:val="left" w:pos="564"/>
        </w:tabs>
        <w:spacing w:before="240" w:after="0" w:line="360" w:lineRule="auto"/>
        <w:ind w:left="0" w:firstLine="0"/>
        <w:jc w:val="lowKashida"/>
        <w:rPr>
          <w:b/>
          <w:bCs/>
          <w:color w:val="000008"/>
          <w:sz w:val="32"/>
          <w:szCs w:val="32"/>
        </w:rPr>
      </w:pPr>
    </w:p>
    <w:p w14:paraId="02A92C76" w14:textId="77777777" w:rsidR="0066396A" w:rsidRDefault="0066396A" w:rsidP="00DD376C">
      <w:pPr>
        <w:pStyle w:val="ListParagraph1"/>
        <w:tabs>
          <w:tab w:val="left" w:pos="564"/>
        </w:tabs>
        <w:spacing w:before="240" w:after="0" w:line="360" w:lineRule="auto"/>
        <w:ind w:left="0" w:firstLine="0"/>
        <w:jc w:val="lowKashida"/>
        <w:rPr>
          <w:b/>
          <w:bCs/>
          <w:color w:val="000008"/>
          <w:sz w:val="32"/>
          <w:szCs w:val="32"/>
        </w:rPr>
      </w:pPr>
    </w:p>
    <w:p w14:paraId="34571F63" w14:textId="77777777" w:rsidR="0066396A" w:rsidRDefault="0066396A" w:rsidP="00DD376C">
      <w:pPr>
        <w:pStyle w:val="ListParagraph1"/>
        <w:tabs>
          <w:tab w:val="left" w:pos="564"/>
        </w:tabs>
        <w:spacing w:before="240" w:after="0" w:line="360" w:lineRule="auto"/>
        <w:ind w:left="0" w:firstLine="0"/>
        <w:jc w:val="lowKashida"/>
        <w:rPr>
          <w:b/>
          <w:bCs/>
          <w:color w:val="000008"/>
          <w:sz w:val="32"/>
          <w:szCs w:val="32"/>
        </w:rPr>
      </w:pPr>
    </w:p>
    <w:p w14:paraId="5B0DF57C" w14:textId="208F4BAE" w:rsidR="005E5F42" w:rsidRDefault="00406E42" w:rsidP="00DD376C">
      <w:pPr>
        <w:pStyle w:val="ListParagraph1"/>
        <w:tabs>
          <w:tab w:val="left" w:pos="564"/>
        </w:tabs>
        <w:spacing w:before="240" w:after="0" w:line="360" w:lineRule="auto"/>
        <w:ind w:left="0" w:firstLine="0"/>
        <w:jc w:val="lowKashida"/>
        <w:rPr>
          <w:b/>
          <w:bCs/>
          <w:color w:val="000008"/>
          <w:sz w:val="32"/>
          <w:szCs w:val="32"/>
        </w:rPr>
      </w:pPr>
      <w:r>
        <w:rPr>
          <w:b/>
          <w:bCs/>
          <w:color w:val="000008"/>
          <w:sz w:val="32"/>
          <w:szCs w:val="32"/>
        </w:rPr>
        <w:lastRenderedPageBreak/>
        <w:t>REFERENCES</w:t>
      </w:r>
    </w:p>
    <w:p w14:paraId="418F707C" w14:textId="77777777" w:rsidR="005E5F42" w:rsidRPr="00531513" w:rsidRDefault="00B16584">
      <w:pPr>
        <w:pStyle w:val="EndNoteBibliography"/>
        <w:spacing w:line="360" w:lineRule="auto"/>
        <w:ind w:left="369" w:hanging="369"/>
        <w:jc w:val="lowKashida"/>
      </w:pPr>
      <w:r w:rsidRPr="00531513">
        <w:fldChar w:fldCharType="begin"/>
      </w:r>
      <w:r w:rsidRPr="00531513">
        <w:instrText xml:space="preserve"> ADDIN EN.REFLIST </w:instrText>
      </w:r>
      <w:r w:rsidRPr="00531513">
        <w:fldChar w:fldCharType="separate"/>
      </w:r>
      <w:r w:rsidRPr="00531513">
        <w:t>1.</w:t>
      </w:r>
      <w:r w:rsidRPr="00531513">
        <w:tab/>
        <w:t>Almalki SA. Influence of motivation on academic performance among dental college students. Open access Macedonian journal of medical sciences. 2019;7(8):1374.</w:t>
      </w:r>
    </w:p>
    <w:p w14:paraId="36DB281A" w14:textId="77777777" w:rsidR="005E5F42" w:rsidRPr="00531513" w:rsidRDefault="00B16584">
      <w:pPr>
        <w:pStyle w:val="EndNoteBibliography"/>
        <w:spacing w:line="360" w:lineRule="auto"/>
        <w:ind w:left="369" w:hanging="369"/>
        <w:jc w:val="lowKashida"/>
      </w:pPr>
      <w:r w:rsidRPr="00531513">
        <w:t>2.</w:t>
      </w:r>
      <w:r w:rsidRPr="00531513">
        <w:tab/>
        <w:t>Turkyilmaz I, Hariri NH, Jahangiri L. Student’s perception of the impact of e-learning on dental education. J Contemp Dent Pract. 2019;20(5):616-21.</w:t>
      </w:r>
    </w:p>
    <w:p w14:paraId="109E4C3C" w14:textId="77777777" w:rsidR="005E5F42" w:rsidRPr="00531513" w:rsidRDefault="00B16584">
      <w:pPr>
        <w:pStyle w:val="EndNoteBibliography"/>
        <w:spacing w:line="360" w:lineRule="auto"/>
        <w:ind w:left="369" w:hanging="369"/>
        <w:jc w:val="lowKashida"/>
      </w:pPr>
      <w:r w:rsidRPr="00531513">
        <w:t>3.</w:t>
      </w:r>
      <w:r w:rsidRPr="00531513">
        <w:tab/>
        <w:t>Wilkinson T, Boohan M, Stevenson M. Does learning style influence academic performance in different forms of assessment? Journal of anatomy. 2014;224(3):304-8.</w:t>
      </w:r>
    </w:p>
    <w:p w14:paraId="23DF44A8" w14:textId="54F8E689" w:rsidR="005E5F42" w:rsidRPr="00531513" w:rsidRDefault="00B16584">
      <w:pPr>
        <w:pStyle w:val="EndNoteBibliography"/>
        <w:spacing w:line="360" w:lineRule="auto"/>
        <w:ind w:left="369" w:hanging="369"/>
        <w:jc w:val="lowKashida"/>
      </w:pPr>
      <w:r w:rsidRPr="00531513">
        <w:t>4.</w:t>
      </w:r>
      <w:r w:rsidRPr="00531513">
        <w:tab/>
        <w:t>Jennifer K, Hand K. Socioeconomic Factors Affecting Education. Retrieved from Classroom: https://classroom. synonym. com/socioeconomic …; 2018.</w:t>
      </w:r>
      <w:r w:rsidR="00F10FE1">
        <w:t>s</w:t>
      </w:r>
    </w:p>
    <w:p w14:paraId="4759B6F9" w14:textId="77777777" w:rsidR="005E5F42" w:rsidRPr="00531513" w:rsidRDefault="00B16584">
      <w:pPr>
        <w:pStyle w:val="EndNoteBibliography"/>
        <w:spacing w:line="360" w:lineRule="auto"/>
        <w:ind w:left="369" w:hanging="369"/>
        <w:jc w:val="lowKashida"/>
      </w:pPr>
      <w:r w:rsidRPr="00531513">
        <w:t>5.</w:t>
      </w:r>
      <w:r w:rsidRPr="00531513">
        <w:tab/>
        <w:t>Mansor AMMO. Factors Determining Academic Performance among Medical Students at Faculty of Medicine, University of Gezira, Sudan (2017): University of Gezira; 2018.</w:t>
      </w:r>
    </w:p>
    <w:p w14:paraId="57CD5568" w14:textId="77777777" w:rsidR="005E5F42" w:rsidRPr="00531513" w:rsidRDefault="00B16584">
      <w:pPr>
        <w:pStyle w:val="EndNoteBibliography"/>
        <w:spacing w:line="360" w:lineRule="auto"/>
        <w:ind w:left="369" w:hanging="369"/>
        <w:jc w:val="lowKashida"/>
      </w:pPr>
      <w:r w:rsidRPr="00531513">
        <w:t>6.</w:t>
      </w:r>
      <w:r w:rsidRPr="00531513">
        <w:tab/>
        <w:t>Díaz Cárdenas S, Arrieta Vergara K, Simancas-Pallares M. Internet addiction and academic performance in dental students. Revista Colombiana de Psiquiatria. 2019;48(4):198-207.</w:t>
      </w:r>
    </w:p>
    <w:p w14:paraId="31426F72" w14:textId="77777777" w:rsidR="001A79FE" w:rsidRDefault="00B16584" w:rsidP="001A79FE">
      <w:pPr>
        <w:pStyle w:val="EndNoteBibliography"/>
        <w:spacing w:line="360" w:lineRule="auto"/>
        <w:ind w:left="369" w:hanging="369"/>
        <w:jc w:val="lowKashida"/>
      </w:pPr>
      <w:r w:rsidRPr="00531513">
        <w:t>7.</w:t>
      </w:r>
      <w:r w:rsidRPr="00531513">
        <w:tab/>
        <w:t>Elagra MI, Rayyan MR, Alnemer OA, Alshehri MS, Alsaffar NS, Al-Habib RS, et al. Sleep quality among dental students and its association with academic performance. Journal of International Society of Preventive &amp; Community Dentistry. 2016;6(4):296.</w:t>
      </w:r>
    </w:p>
    <w:p w14:paraId="7B05E55C" w14:textId="7BA2D6AB" w:rsidR="001A79FE" w:rsidRDefault="001A79FE" w:rsidP="001A79FE">
      <w:pPr>
        <w:pStyle w:val="EndNoteBibliography"/>
        <w:spacing w:line="360" w:lineRule="auto"/>
        <w:ind w:left="369" w:hanging="369"/>
        <w:jc w:val="lowKashida"/>
      </w:pPr>
      <w:r>
        <w:t>8. Almojali AI, Almalki SA, Alothman AS, Masuadi EM, Alaqeel MK. The prevalence and association of stress with sleep quality among medical students. J Epidemiol Glob Health. 2017;7(3):169–174.</w:t>
      </w:r>
    </w:p>
    <w:p w14:paraId="2CC28F2F" w14:textId="2D6A1E62" w:rsidR="001A79FE" w:rsidRPr="00531513" w:rsidRDefault="001A79FE" w:rsidP="001A79FE">
      <w:pPr>
        <w:pStyle w:val="EndNoteBibliography"/>
        <w:spacing w:line="360" w:lineRule="auto"/>
        <w:ind w:left="369" w:hanging="369"/>
        <w:jc w:val="lowKashida"/>
      </w:pPr>
      <w:r>
        <w:t xml:space="preserve">9. </w:t>
      </w:r>
      <w:r w:rsidRPr="001A79FE">
        <w:t xml:space="preserve">Prinz P, Hertrich K, Hirschfelder U, de Zwaan M. Burnout, depression and depersonalisation – Psychological factors and coping strategies in dental and medical students. GMS Z Med Ausbild. 2012;29(1):Doc10. </w:t>
      </w:r>
    </w:p>
    <w:p w14:paraId="7A38E857" w14:textId="0F12159E" w:rsidR="00531513" w:rsidRPr="00531513" w:rsidRDefault="001A79FE">
      <w:pPr>
        <w:pStyle w:val="EndNoteBibliography"/>
        <w:spacing w:line="360" w:lineRule="auto"/>
        <w:ind w:left="369" w:hanging="369"/>
        <w:jc w:val="lowKashida"/>
      </w:pPr>
      <w:r>
        <w:t>10</w:t>
      </w:r>
      <w:r w:rsidR="00531513" w:rsidRPr="00531513">
        <w:t xml:space="preserve">. </w:t>
      </w:r>
      <w:r w:rsidR="00531513">
        <w:t>Iyer P, Aziz K, Ojcius DM. Impact of COVID-19 on dental education in the United States. J Dent Educ. 2020;84(6):718–722.</w:t>
      </w:r>
    </w:p>
    <w:p w14:paraId="5579D891" w14:textId="0D5BF641" w:rsidR="005E5F42" w:rsidRPr="0066396A" w:rsidRDefault="00B16584" w:rsidP="0066396A">
      <w:pPr>
        <w:spacing w:line="360" w:lineRule="auto"/>
        <w:ind w:left="369" w:hanging="369"/>
        <w:jc w:val="lowKashida"/>
        <w:sectPr w:rsidR="005E5F42" w:rsidRPr="0066396A" w:rsidSect="00BD2BCC">
          <w:footerReference w:type="default" r:id="rId14"/>
          <w:type w:val="nextColumn"/>
          <w:pgSz w:w="11900" w:h="16840"/>
          <w:pgMar w:top="1440" w:right="1440" w:bottom="1440" w:left="1440" w:header="720" w:footer="720" w:gutter="0"/>
          <w:cols w:space="720"/>
        </w:sectPr>
      </w:pPr>
      <w:r w:rsidRPr="00531513">
        <w:fldChar w:fldCharType="end"/>
      </w:r>
    </w:p>
    <w:p w14:paraId="1B78345B" w14:textId="77777777" w:rsidR="005E5F42" w:rsidRDefault="005E5F42" w:rsidP="0066396A">
      <w:pPr>
        <w:spacing w:before="87"/>
        <w:rPr>
          <w:rFonts w:asciiTheme="majorBidi" w:hAnsiTheme="majorBidi" w:cstheme="majorBidi"/>
        </w:rPr>
      </w:pPr>
    </w:p>
    <w:sectPr w:rsidR="005E5F42" w:rsidSect="0066396A">
      <w:type w:val="nextColumn"/>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3113" w14:textId="77777777" w:rsidR="00EA596C" w:rsidRDefault="00EA596C">
      <w:pPr>
        <w:spacing w:after="0" w:line="240" w:lineRule="auto"/>
      </w:pPr>
      <w:r>
        <w:separator/>
      </w:r>
    </w:p>
  </w:endnote>
  <w:endnote w:type="continuationSeparator" w:id="0">
    <w:p w14:paraId="7BB988A6" w14:textId="77777777" w:rsidR="00EA596C" w:rsidRDefault="00EA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8186" w14:textId="3EDE4143" w:rsidR="00BD2BCC" w:rsidRDefault="0066396A">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5A01" w14:textId="34DCD160" w:rsidR="0066396A" w:rsidRDefault="0066396A">
    <w:pPr>
      <w:pStyle w:val="Foo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46551"/>
      <w:docPartObj>
        <w:docPartGallery w:val="Page Numbers (Bottom of Page)"/>
        <w:docPartUnique/>
      </w:docPartObj>
    </w:sdtPr>
    <w:sdtEndPr>
      <w:rPr>
        <w:noProof/>
      </w:rPr>
    </w:sdtEndPr>
    <w:sdtContent>
      <w:p w14:paraId="24331B14" w14:textId="170E3416" w:rsidR="00DA7F30" w:rsidRDefault="00DA7F30">
        <w:pPr>
          <w:pStyle w:val="Footer"/>
        </w:pPr>
        <w:r>
          <w:fldChar w:fldCharType="begin"/>
        </w:r>
        <w:r>
          <w:instrText xml:space="preserve"> PAGE   \* MERGEFORMAT </w:instrText>
        </w:r>
        <w:r>
          <w:fldChar w:fldCharType="separate"/>
        </w:r>
        <w:r>
          <w:rPr>
            <w:noProof/>
          </w:rPr>
          <w:t>2</w:t>
        </w:r>
        <w:r>
          <w:rPr>
            <w:noProof/>
          </w:rPr>
          <w:fldChar w:fldCharType="end"/>
        </w:r>
      </w:p>
    </w:sdtContent>
  </w:sdt>
  <w:p w14:paraId="02204CF5" w14:textId="77777777" w:rsidR="00B16584" w:rsidRDefault="00B16584">
    <w:pPr>
      <w:pStyle w:val="Footer"/>
      <w:tabs>
        <w:tab w:val="clear" w:pos="4680"/>
        <w:tab w:val="clear" w:pos="9360"/>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325696"/>
    </w:sdtPr>
    <w:sdtEndPr>
      <w:rPr>
        <w:sz w:val="24"/>
        <w:szCs w:val="24"/>
      </w:rPr>
    </w:sdtEndPr>
    <w:sdtContent>
      <w:p w14:paraId="06806E4E" w14:textId="77777777" w:rsidR="00B16584" w:rsidRDefault="00B16584">
        <w:pPr>
          <w:pStyle w:val="Footer"/>
          <w:tabs>
            <w:tab w:val="clear" w:pos="4680"/>
            <w:tab w:val="clear" w:pos="9360"/>
            <w:tab w:val="center" w:pos="4153"/>
            <w:tab w:val="right" w:pos="8306"/>
          </w:tabs>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355A5">
          <w:rPr>
            <w:noProof/>
            <w:sz w:val="24"/>
            <w:szCs w:val="24"/>
          </w:rPr>
          <w:t>29</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27E5" w14:textId="77777777" w:rsidR="00EA596C" w:rsidRDefault="00EA596C">
      <w:pPr>
        <w:spacing w:after="0" w:line="240" w:lineRule="auto"/>
      </w:pPr>
      <w:r>
        <w:separator/>
      </w:r>
    </w:p>
  </w:footnote>
  <w:footnote w:type="continuationSeparator" w:id="0">
    <w:p w14:paraId="68BBD3B4" w14:textId="77777777" w:rsidR="00EA596C" w:rsidRDefault="00EA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lowerLetter"/>
      <w:lvlText w:val="%1)"/>
      <w:lvlJc w:val="left"/>
      <w:pPr>
        <w:ind w:left="1230" w:hanging="221"/>
      </w:pPr>
      <w:rPr>
        <w:rFonts w:ascii="Times New Roman" w:eastAsia="Times New Roman" w:hAnsi="Times New Roman" w:cs="Times New Roman" w:hint="default"/>
        <w:color w:val="000008"/>
        <w:spacing w:val="-5"/>
        <w:w w:val="101"/>
        <w:sz w:val="22"/>
        <w:szCs w:val="22"/>
        <w:lang w:val="en-US" w:eastAsia="en-US" w:bidi="ar-SA"/>
      </w:rPr>
    </w:lvl>
    <w:lvl w:ilvl="1">
      <w:numFmt w:val="bullet"/>
      <w:lvlText w:val="•"/>
      <w:lvlJc w:val="left"/>
      <w:pPr>
        <w:ind w:left="2032" w:hanging="221"/>
      </w:pPr>
      <w:rPr>
        <w:rFonts w:hint="default"/>
        <w:lang w:val="en-US" w:eastAsia="en-US" w:bidi="ar-SA"/>
      </w:rPr>
    </w:lvl>
    <w:lvl w:ilvl="2">
      <w:numFmt w:val="bullet"/>
      <w:lvlText w:val="•"/>
      <w:lvlJc w:val="left"/>
      <w:pPr>
        <w:ind w:left="2824" w:hanging="221"/>
      </w:pPr>
      <w:rPr>
        <w:rFonts w:hint="default"/>
        <w:lang w:val="en-US" w:eastAsia="en-US" w:bidi="ar-SA"/>
      </w:rPr>
    </w:lvl>
    <w:lvl w:ilvl="3">
      <w:numFmt w:val="bullet"/>
      <w:lvlText w:val="•"/>
      <w:lvlJc w:val="left"/>
      <w:pPr>
        <w:ind w:left="3616" w:hanging="221"/>
      </w:pPr>
      <w:rPr>
        <w:rFonts w:hint="default"/>
        <w:lang w:val="en-US" w:eastAsia="en-US" w:bidi="ar-SA"/>
      </w:rPr>
    </w:lvl>
    <w:lvl w:ilvl="4">
      <w:numFmt w:val="bullet"/>
      <w:lvlText w:val="•"/>
      <w:lvlJc w:val="left"/>
      <w:pPr>
        <w:ind w:left="4408" w:hanging="221"/>
      </w:pPr>
      <w:rPr>
        <w:rFonts w:hint="default"/>
        <w:lang w:val="en-US" w:eastAsia="en-US" w:bidi="ar-SA"/>
      </w:rPr>
    </w:lvl>
    <w:lvl w:ilvl="5">
      <w:numFmt w:val="bullet"/>
      <w:lvlText w:val="•"/>
      <w:lvlJc w:val="left"/>
      <w:pPr>
        <w:ind w:left="5200" w:hanging="221"/>
      </w:pPr>
      <w:rPr>
        <w:rFonts w:hint="default"/>
        <w:lang w:val="en-US" w:eastAsia="en-US" w:bidi="ar-SA"/>
      </w:rPr>
    </w:lvl>
    <w:lvl w:ilvl="6">
      <w:numFmt w:val="bullet"/>
      <w:lvlText w:val="•"/>
      <w:lvlJc w:val="left"/>
      <w:pPr>
        <w:ind w:left="5992" w:hanging="221"/>
      </w:pPr>
      <w:rPr>
        <w:rFonts w:hint="default"/>
        <w:lang w:val="en-US" w:eastAsia="en-US" w:bidi="ar-SA"/>
      </w:rPr>
    </w:lvl>
    <w:lvl w:ilvl="7">
      <w:numFmt w:val="bullet"/>
      <w:lvlText w:val="•"/>
      <w:lvlJc w:val="left"/>
      <w:pPr>
        <w:ind w:left="6784" w:hanging="221"/>
      </w:pPr>
      <w:rPr>
        <w:rFonts w:hint="default"/>
        <w:lang w:val="en-US" w:eastAsia="en-US" w:bidi="ar-SA"/>
      </w:rPr>
    </w:lvl>
    <w:lvl w:ilvl="8">
      <w:numFmt w:val="bullet"/>
      <w:lvlText w:val="•"/>
      <w:lvlJc w:val="left"/>
      <w:pPr>
        <w:ind w:left="7576" w:hanging="221"/>
      </w:pPr>
      <w:rPr>
        <w:rFonts w:hint="default"/>
        <w:lang w:val="en-US" w:eastAsia="en-US" w:bidi="ar-SA"/>
      </w:rPr>
    </w:lvl>
  </w:abstractNum>
  <w:abstractNum w:abstractNumId="1" w15:restartNumberingAfterBreak="0">
    <w:nsid w:val="B5E306ED"/>
    <w:multiLevelType w:val="multilevel"/>
    <w:tmpl w:val="B5E306ED"/>
    <w:lvl w:ilvl="0">
      <w:start w:val="3"/>
      <w:numFmt w:val="decimal"/>
      <w:lvlText w:val="%1-"/>
      <w:lvlJc w:val="left"/>
      <w:pPr>
        <w:ind w:left="310" w:hanging="197"/>
      </w:pPr>
      <w:rPr>
        <w:rFonts w:ascii="Times New Roman" w:eastAsia="Times New Roman" w:hAnsi="Times New Roman" w:cs="Times New Roman" w:hint="default"/>
        <w:color w:val="000008"/>
        <w:spacing w:val="-18"/>
        <w:w w:val="101"/>
        <w:sz w:val="22"/>
        <w:szCs w:val="22"/>
        <w:lang w:val="en-US" w:eastAsia="en-US" w:bidi="ar-SA"/>
      </w:rPr>
    </w:lvl>
    <w:lvl w:ilvl="1">
      <w:numFmt w:val="bullet"/>
      <w:lvlText w:val="•"/>
      <w:lvlJc w:val="left"/>
      <w:pPr>
        <w:ind w:left="1204" w:hanging="197"/>
      </w:pPr>
      <w:rPr>
        <w:rFonts w:hint="default"/>
        <w:lang w:val="en-US" w:eastAsia="en-US" w:bidi="ar-SA"/>
      </w:rPr>
    </w:lvl>
    <w:lvl w:ilvl="2">
      <w:numFmt w:val="bullet"/>
      <w:lvlText w:val="•"/>
      <w:lvlJc w:val="left"/>
      <w:pPr>
        <w:ind w:left="2088" w:hanging="197"/>
      </w:pPr>
      <w:rPr>
        <w:rFonts w:hint="default"/>
        <w:lang w:val="en-US" w:eastAsia="en-US" w:bidi="ar-SA"/>
      </w:rPr>
    </w:lvl>
    <w:lvl w:ilvl="3">
      <w:numFmt w:val="bullet"/>
      <w:lvlText w:val="•"/>
      <w:lvlJc w:val="left"/>
      <w:pPr>
        <w:ind w:left="2972" w:hanging="197"/>
      </w:pPr>
      <w:rPr>
        <w:rFonts w:hint="default"/>
        <w:lang w:val="en-US" w:eastAsia="en-US" w:bidi="ar-SA"/>
      </w:rPr>
    </w:lvl>
    <w:lvl w:ilvl="4">
      <w:numFmt w:val="bullet"/>
      <w:lvlText w:val="•"/>
      <w:lvlJc w:val="left"/>
      <w:pPr>
        <w:ind w:left="3856" w:hanging="197"/>
      </w:pPr>
      <w:rPr>
        <w:rFonts w:hint="default"/>
        <w:lang w:val="en-US" w:eastAsia="en-US" w:bidi="ar-SA"/>
      </w:rPr>
    </w:lvl>
    <w:lvl w:ilvl="5">
      <w:numFmt w:val="bullet"/>
      <w:lvlText w:val="•"/>
      <w:lvlJc w:val="left"/>
      <w:pPr>
        <w:ind w:left="4740" w:hanging="197"/>
      </w:pPr>
      <w:rPr>
        <w:rFonts w:hint="default"/>
        <w:lang w:val="en-US" w:eastAsia="en-US" w:bidi="ar-SA"/>
      </w:rPr>
    </w:lvl>
    <w:lvl w:ilvl="6">
      <w:numFmt w:val="bullet"/>
      <w:lvlText w:val="•"/>
      <w:lvlJc w:val="left"/>
      <w:pPr>
        <w:ind w:left="5624" w:hanging="197"/>
      </w:pPr>
      <w:rPr>
        <w:rFonts w:hint="default"/>
        <w:lang w:val="en-US" w:eastAsia="en-US" w:bidi="ar-SA"/>
      </w:rPr>
    </w:lvl>
    <w:lvl w:ilvl="7">
      <w:numFmt w:val="bullet"/>
      <w:lvlText w:val="•"/>
      <w:lvlJc w:val="left"/>
      <w:pPr>
        <w:ind w:left="6508" w:hanging="197"/>
      </w:pPr>
      <w:rPr>
        <w:rFonts w:hint="default"/>
        <w:lang w:val="en-US" w:eastAsia="en-US" w:bidi="ar-SA"/>
      </w:rPr>
    </w:lvl>
    <w:lvl w:ilvl="8">
      <w:numFmt w:val="bullet"/>
      <w:lvlText w:val="•"/>
      <w:lvlJc w:val="left"/>
      <w:pPr>
        <w:ind w:left="7392" w:hanging="197"/>
      </w:pPr>
      <w:rPr>
        <w:rFonts w:hint="default"/>
        <w:lang w:val="en-US" w:eastAsia="en-US" w:bidi="ar-SA"/>
      </w:rPr>
    </w:lvl>
  </w:abstractNum>
  <w:abstractNum w:abstractNumId="2" w15:restartNumberingAfterBreak="0">
    <w:nsid w:val="C8879AEF"/>
    <w:multiLevelType w:val="multilevel"/>
    <w:tmpl w:val="C8879AEF"/>
    <w:lvl w:ilvl="0">
      <w:start w:val="4"/>
      <w:numFmt w:val="upperLetter"/>
      <w:lvlText w:val="%1)"/>
      <w:lvlJc w:val="left"/>
      <w:pPr>
        <w:ind w:left="1289" w:hanging="280"/>
      </w:pPr>
      <w:rPr>
        <w:rFonts w:ascii="Times New Roman" w:eastAsia="Times New Roman" w:hAnsi="Times New Roman" w:cs="Times New Roman" w:hint="default"/>
        <w:color w:val="000008"/>
        <w:spacing w:val="-8"/>
        <w:w w:val="101"/>
        <w:sz w:val="22"/>
        <w:szCs w:val="22"/>
        <w:lang w:val="en-US" w:eastAsia="en-US" w:bidi="ar-SA"/>
      </w:rPr>
    </w:lvl>
    <w:lvl w:ilvl="1">
      <w:numFmt w:val="bullet"/>
      <w:lvlText w:val="•"/>
      <w:lvlJc w:val="left"/>
      <w:pPr>
        <w:ind w:left="2068" w:hanging="280"/>
      </w:pPr>
      <w:rPr>
        <w:rFonts w:hint="default"/>
        <w:lang w:val="en-US" w:eastAsia="en-US" w:bidi="ar-SA"/>
      </w:rPr>
    </w:lvl>
    <w:lvl w:ilvl="2">
      <w:numFmt w:val="bullet"/>
      <w:lvlText w:val="•"/>
      <w:lvlJc w:val="left"/>
      <w:pPr>
        <w:ind w:left="2856" w:hanging="280"/>
      </w:pPr>
      <w:rPr>
        <w:rFonts w:hint="default"/>
        <w:lang w:val="en-US" w:eastAsia="en-US" w:bidi="ar-SA"/>
      </w:rPr>
    </w:lvl>
    <w:lvl w:ilvl="3">
      <w:numFmt w:val="bullet"/>
      <w:lvlText w:val="•"/>
      <w:lvlJc w:val="left"/>
      <w:pPr>
        <w:ind w:left="3644" w:hanging="280"/>
      </w:pPr>
      <w:rPr>
        <w:rFonts w:hint="default"/>
        <w:lang w:val="en-US" w:eastAsia="en-US" w:bidi="ar-SA"/>
      </w:rPr>
    </w:lvl>
    <w:lvl w:ilvl="4">
      <w:numFmt w:val="bullet"/>
      <w:lvlText w:val="•"/>
      <w:lvlJc w:val="left"/>
      <w:pPr>
        <w:ind w:left="4432" w:hanging="280"/>
      </w:pPr>
      <w:rPr>
        <w:rFonts w:hint="default"/>
        <w:lang w:val="en-US" w:eastAsia="en-US" w:bidi="ar-SA"/>
      </w:rPr>
    </w:lvl>
    <w:lvl w:ilvl="5">
      <w:numFmt w:val="bullet"/>
      <w:lvlText w:val="•"/>
      <w:lvlJc w:val="left"/>
      <w:pPr>
        <w:ind w:left="5220" w:hanging="280"/>
      </w:pPr>
      <w:rPr>
        <w:rFonts w:hint="default"/>
        <w:lang w:val="en-US" w:eastAsia="en-US" w:bidi="ar-SA"/>
      </w:rPr>
    </w:lvl>
    <w:lvl w:ilvl="6">
      <w:numFmt w:val="bullet"/>
      <w:lvlText w:val="•"/>
      <w:lvlJc w:val="left"/>
      <w:pPr>
        <w:ind w:left="6008" w:hanging="280"/>
      </w:pPr>
      <w:rPr>
        <w:rFonts w:hint="default"/>
        <w:lang w:val="en-US" w:eastAsia="en-US" w:bidi="ar-SA"/>
      </w:rPr>
    </w:lvl>
    <w:lvl w:ilvl="7">
      <w:numFmt w:val="bullet"/>
      <w:lvlText w:val="•"/>
      <w:lvlJc w:val="left"/>
      <w:pPr>
        <w:ind w:left="6796" w:hanging="280"/>
      </w:pPr>
      <w:rPr>
        <w:rFonts w:hint="default"/>
        <w:lang w:val="en-US" w:eastAsia="en-US" w:bidi="ar-SA"/>
      </w:rPr>
    </w:lvl>
    <w:lvl w:ilvl="8">
      <w:numFmt w:val="bullet"/>
      <w:lvlText w:val="•"/>
      <w:lvlJc w:val="left"/>
      <w:pPr>
        <w:ind w:left="7584" w:hanging="280"/>
      </w:pPr>
      <w:rPr>
        <w:rFonts w:hint="default"/>
        <w:lang w:val="en-US" w:eastAsia="en-US" w:bidi="ar-SA"/>
      </w:rPr>
    </w:lvl>
  </w:abstractNum>
  <w:abstractNum w:abstractNumId="3" w15:restartNumberingAfterBreak="0">
    <w:nsid w:val="CF092B84"/>
    <w:multiLevelType w:val="multilevel"/>
    <w:tmpl w:val="CF092B84"/>
    <w:lvl w:ilvl="0">
      <w:start w:val="1"/>
      <w:numFmt w:val="decimal"/>
      <w:lvlText w:val="%1."/>
      <w:lvlJc w:val="left"/>
      <w:pPr>
        <w:ind w:left="310" w:hanging="378"/>
      </w:pPr>
      <w:rPr>
        <w:rFonts w:hint="default"/>
        <w:spacing w:val="-14"/>
        <w:w w:val="69"/>
        <w:lang w:val="en-US" w:eastAsia="en-US" w:bidi="ar-SA"/>
      </w:rPr>
    </w:lvl>
    <w:lvl w:ilvl="1">
      <w:numFmt w:val="bullet"/>
      <w:lvlText w:val="•"/>
      <w:lvlJc w:val="left"/>
      <w:pPr>
        <w:ind w:left="1204" w:hanging="378"/>
      </w:pPr>
      <w:rPr>
        <w:rFonts w:hint="default"/>
        <w:lang w:val="en-US" w:eastAsia="en-US" w:bidi="ar-SA"/>
      </w:rPr>
    </w:lvl>
    <w:lvl w:ilvl="2">
      <w:numFmt w:val="bullet"/>
      <w:lvlText w:val="•"/>
      <w:lvlJc w:val="left"/>
      <w:pPr>
        <w:ind w:left="2088" w:hanging="378"/>
      </w:pPr>
      <w:rPr>
        <w:rFonts w:hint="default"/>
        <w:lang w:val="en-US" w:eastAsia="en-US" w:bidi="ar-SA"/>
      </w:rPr>
    </w:lvl>
    <w:lvl w:ilvl="3">
      <w:numFmt w:val="bullet"/>
      <w:lvlText w:val="•"/>
      <w:lvlJc w:val="left"/>
      <w:pPr>
        <w:ind w:left="2972" w:hanging="378"/>
      </w:pPr>
      <w:rPr>
        <w:rFonts w:hint="default"/>
        <w:lang w:val="en-US" w:eastAsia="en-US" w:bidi="ar-SA"/>
      </w:rPr>
    </w:lvl>
    <w:lvl w:ilvl="4">
      <w:numFmt w:val="bullet"/>
      <w:lvlText w:val="•"/>
      <w:lvlJc w:val="left"/>
      <w:pPr>
        <w:ind w:left="3856" w:hanging="378"/>
      </w:pPr>
      <w:rPr>
        <w:rFonts w:hint="default"/>
        <w:lang w:val="en-US" w:eastAsia="en-US" w:bidi="ar-SA"/>
      </w:rPr>
    </w:lvl>
    <w:lvl w:ilvl="5">
      <w:numFmt w:val="bullet"/>
      <w:lvlText w:val="•"/>
      <w:lvlJc w:val="left"/>
      <w:pPr>
        <w:ind w:left="4740" w:hanging="378"/>
      </w:pPr>
      <w:rPr>
        <w:rFonts w:hint="default"/>
        <w:lang w:val="en-US" w:eastAsia="en-US" w:bidi="ar-SA"/>
      </w:rPr>
    </w:lvl>
    <w:lvl w:ilvl="6">
      <w:numFmt w:val="bullet"/>
      <w:lvlText w:val="•"/>
      <w:lvlJc w:val="left"/>
      <w:pPr>
        <w:ind w:left="5624" w:hanging="378"/>
      </w:pPr>
      <w:rPr>
        <w:rFonts w:hint="default"/>
        <w:lang w:val="en-US" w:eastAsia="en-US" w:bidi="ar-SA"/>
      </w:rPr>
    </w:lvl>
    <w:lvl w:ilvl="7">
      <w:numFmt w:val="bullet"/>
      <w:lvlText w:val="•"/>
      <w:lvlJc w:val="left"/>
      <w:pPr>
        <w:ind w:left="6508" w:hanging="378"/>
      </w:pPr>
      <w:rPr>
        <w:rFonts w:hint="default"/>
        <w:lang w:val="en-US" w:eastAsia="en-US" w:bidi="ar-SA"/>
      </w:rPr>
    </w:lvl>
    <w:lvl w:ilvl="8">
      <w:numFmt w:val="bullet"/>
      <w:lvlText w:val="•"/>
      <w:lvlJc w:val="left"/>
      <w:pPr>
        <w:ind w:left="7392" w:hanging="378"/>
      </w:pPr>
      <w:rPr>
        <w:rFonts w:hint="default"/>
        <w:lang w:val="en-US" w:eastAsia="en-US" w:bidi="ar-SA"/>
      </w:rPr>
    </w:lvl>
  </w:abstractNum>
  <w:abstractNum w:abstractNumId="4" w15:restartNumberingAfterBreak="0">
    <w:nsid w:val="DCBA6B53"/>
    <w:multiLevelType w:val="multilevel"/>
    <w:tmpl w:val="DCBA6B53"/>
    <w:lvl w:ilvl="0">
      <w:start w:val="30"/>
      <w:numFmt w:val="decimal"/>
      <w:lvlText w:val="%1."/>
      <w:lvlJc w:val="left"/>
      <w:pPr>
        <w:ind w:left="1331" w:hanging="322"/>
      </w:pPr>
      <w:rPr>
        <w:rFonts w:ascii="Times New Roman" w:eastAsia="Times New Roman" w:hAnsi="Times New Roman" w:cs="Times New Roman" w:hint="default"/>
        <w:b/>
        <w:bCs/>
        <w:color w:val="000008"/>
        <w:spacing w:val="-17"/>
        <w:w w:val="101"/>
        <w:sz w:val="22"/>
        <w:szCs w:val="22"/>
        <w:lang w:val="en-US" w:eastAsia="en-US" w:bidi="ar-SA"/>
      </w:rPr>
    </w:lvl>
    <w:lvl w:ilvl="1">
      <w:numFmt w:val="bullet"/>
      <w:lvlText w:val="•"/>
      <w:lvlJc w:val="left"/>
      <w:pPr>
        <w:ind w:left="2122" w:hanging="322"/>
      </w:pPr>
      <w:rPr>
        <w:rFonts w:hint="default"/>
        <w:lang w:val="en-US" w:eastAsia="en-US" w:bidi="ar-SA"/>
      </w:rPr>
    </w:lvl>
    <w:lvl w:ilvl="2">
      <w:numFmt w:val="bullet"/>
      <w:lvlText w:val="•"/>
      <w:lvlJc w:val="left"/>
      <w:pPr>
        <w:ind w:left="2904" w:hanging="322"/>
      </w:pPr>
      <w:rPr>
        <w:rFonts w:hint="default"/>
        <w:lang w:val="en-US" w:eastAsia="en-US" w:bidi="ar-SA"/>
      </w:rPr>
    </w:lvl>
    <w:lvl w:ilvl="3">
      <w:numFmt w:val="bullet"/>
      <w:lvlText w:val="•"/>
      <w:lvlJc w:val="left"/>
      <w:pPr>
        <w:ind w:left="3686" w:hanging="322"/>
      </w:pPr>
      <w:rPr>
        <w:rFonts w:hint="default"/>
        <w:lang w:val="en-US" w:eastAsia="en-US" w:bidi="ar-SA"/>
      </w:rPr>
    </w:lvl>
    <w:lvl w:ilvl="4">
      <w:numFmt w:val="bullet"/>
      <w:lvlText w:val="•"/>
      <w:lvlJc w:val="left"/>
      <w:pPr>
        <w:ind w:left="4468" w:hanging="322"/>
      </w:pPr>
      <w:rPr>
        <w:rFonts w:hint="default"/>
        <w:lang w:val="en-US" w:eastAsia="en-US" w:bidi="ar-SA"/>
      </w:rPr>
    </w:lvl>
    <w:lvl w:ilvl="5">
      <w:numFmt w:val="bullet"/>
      <w:lvlText w:val="•"/>
      <w:lvlJc w:val="left"/>
      <w:pPr>
        <w:ind w:left="5250" w:hanging="322"/>
      </w:pPr>
      <w:rPr>
        <w:rFonts w:hint="default"/>
        <w:lang w:val="en-US" w:eastAsia="en-US" w:bidi="ar-SA"/>
      </w:rPr>
    </w:lvl>
    <w:lvl w:ilvl="6">
      <w:numFmt w:val="bullet"/>
      <w:lvlText w:val="•"/>
      <w:lvlJc w:val="left"/>
      <w:pPr>
        <w:ind w:left="6032" w:hanging="322"/>
      </w:pPr>
      <w:rPr>
        <w:rFonts w:hint="default"/>
        <w:lang w:val="en-US" w:eastAsia="en-US" w:bidi="ar-SA"/>
      </w:rPr>
    </w:lvl>
    <w:lvl w:ilvl="7">
      <w:numFmt w:val="bullet"/>
      <w:lvlText w:val="•"/>
      <w:lvlJc w:val="left"/>
      <w:pPr>
        <w:ind w:left="6814" w:hanging="322"/>
      </w:pPr>
      <w:rPr>
        <w:rFonts w:hint="default"/>
        <w:lang w:val="en-US" w:eastAsia="en-US" w:bidi="ar-SA"/>
      </w:rPr>
    </w:lvl>
    <w:lvl w:ilvl="8">
      <w:numFmt w:val="bullet"/>
      <w:lvlText w:val="•"/>
      <w:lvlJc w:val="left"/>
      <w:pPr>
        <w:ind w:left="7596" w:hanging="322"/>
      </w:pPr>
      <w:rPr>
        <w:rFonts w:hint="default"/>
        <w:lang w:val="en-US" w:eastAsia="en-US" w:bidi="ar-SA"/>
      </w:rPr>
    </w:lvl>
  </w:abstractNum>
  <w:abstractNum w:abstractNumId="5" w15:restartNumberingAfterBreak="0">
    <w:nsid w:val="F4B5D9F5"/>
    <w:multiLevelType w:val="multilevel"/>
    <w:tmpl w:val="F4B5D9F5"/>
    <w:lvl w:ilvl="0">
      <w:start w:val="22"/>
      <w:numFmt w:val="decimal"/>
      <w:lvlText w:val="%1."/>
      <w:lvlJc w:val="left"/>
      <w:pPr>
        <w:ind w:left="1332" w:hanging="323"/>
      </w:pPr>
      <w:rPr>
        <w:rFonts w:ascii="Times New Roman" w:eastAsia="Times New Roman" w:hAnsi="Times New Roman" w:cs="Times New Roman" w:hint="default"/>
        <w:b/>
        <w:bCs/>
        <w:color w:val="000008"/>
        <w:spacing w:val="-17"/>
        <w:w w:val="101"/>
        <w:sz w:val="22"/>
        <w:szCs w:val="22"/>
        <w:lang w:val="en-US" w:eastAsia="en-US" w:bidi="ar-SA"/>
      </w:rPr>
    </w:lvl>
    <w:lvl w:ilvl="1">
      <w:numFmt w:val="bullet"/>
      <w:lvlText w:val="•"/>
      <w:lvlJc w:val="left"/>
      <w:pPr>
        <w:ind w:left="2122" w:hanging="323"/>
      </w:pPr>
      <w:rPr>
        <w:rFonts w:hint="default"/>
        <w:lang w:val="en-US" w:eastAsia="en-US" w:bidi="ar-SA"/>
      </w:rPr>
    </w:lvl>
    <w:lvl w:ilvl="2">
      <w:numFmt w:val="bullet"/>
      <w:lvlText w:val="•"/>
      <w:lvlJc w:val="left"/>
      <w:pPr>
        <w:ind w:left="2904" w:hanging="323"/>
      </w:pPr>
      <w:rPr>
        <w:rFonts w:hint="default"/>
        <w:lang w:val="en-US" w:eastAsia="en-US" w:bidi="ar-SA"/>
      </w:rPr>
    </w:lvl>
    <w:lvl w:ilvl="3">
      <w:numFmt w:val="bullet"/>
      <w:lvlText w:val="•"/>
      <w:lvlJc w:val="left"/>
      <w:pPr>
        <w:ind w:left="3686" w:hanging="323"/>
      </w:pPr>
      <w:rPr>
        <w:rFonts w:hint="default"/>
        <w:lang w:val="en-US" w:eastAsia="en-US" w:bidi="ar-SA"/>
      </w:rPr>
    </w:lvl>
    <w:lvl w:ilvl="4">
      <w:numFmt w:val="bullet"/>
      <w:lvlText w:val="•"/>
      <w:lvlJc w:val="left"/>
      <w:pPr>
        <w:ind w:left="4468" w:hanging="323"/>
      </w:pPr>
      <w:rPr>
        <w:rFonts w:hint="default"/>
        <w:lang w:val="en-US" w:eastAsia="en-US" w:bidi="ar-SA"/>
      </w:rPr>
    </w:lvl>
    <w:lvl w:ilvl="5">
      <w:numFmt w:val="bullet"/>
      <w:lvlText w:val="•"/>
      <w:lvlJc w:val="left"/>
      <w:pPr>
        <w:ind w:left="5250" w:hanging="323"/>
      </w:pPr>
      <w:rPr>
        <w:rFonts w:hint="default"/>
        <w:lang w:val="en-US" w:eastAsia="en-US" w:bidi="ar-SA"/>
      </w:rPr>
    </w:lvl>
    <w:lvl w:ilvl="6">
      <w:numFmt w:val="bullet"/>
      <w:lvlText w:val="•"/>
      <w:lvlJc w:val="left"/>
      <w:pPr>
        <w:ind w:left="6032" w:hanging="323"/>
      </w:pPr>
      <w:rPr>
        <w:rFonts w:hint="default"/>
        <w:lang w:val="en-US" w:eastAsia="en-US" w:bidi="ar-SA"/>
      </w:rPr>
    </w:lvl>
    <w:lvl w:ilvl="7">
      <w:numFmt w:val="bullet"/>
      <w:lvlText w:val="•"/>
      <w:lvlJc w:val="left"/>
      <w:pPr>
        <w:ind w:left="6814" w:hanging="323"/>
      </w:pPr>
      <w:rPr>
        <w:rFonts w:hint="default"/>
        <w:lang w:val="en-US" w:eastAsia="en-US" w:bidi="ar-SA"/>
      </w:rPr>
    </w:lvl>
    <w:lvl w:ilvl="8">
      <w:numFmt w:val="bullet"/>
      <w:lvlText w:val="•"/>
      <w:lvlJc w:val="left"/>
      <w:pPr>
        <w:ind w:left="7596" w:hanging="323"/>
      </w:pPr>
      <w:rPr>
        <w:rFonts w:hint="default"/>
        <w:lang w:val="en-US" w:eastAsia="en-US" w:bidi="ar-SA"/>
      </w:rPr>
    </w:lvl>
  </w:abstractNum>
  <w:abstractNum w:abstractNumId="6" w15:restartNumberingAfterBreak="0">
    <w:nsid w:val="0053208E"/>
    <w:multiLevelType w:val="multilevel"/>
    <w:tmpl w:val="0053208E"/>
    <w:lvl w:ilvl="0">
      <w:start w:val="1"/>
      <w:numFmt w:val="decimal"/>
      <w:lvlText w:val="%1"/>
      <w:lvlJc w:val="left"/>
      <w:pPr>
        <w:ind w:left="1008" w:hanging="560"/>
      </w:pPr>
      <w:rPr>
        <w:rFonts w:hint="default"/>
        <w:lang w:val="en-US" w:eastAsia="en-US" w:bidi="ar-SA"/>
      </w:rPr>
    </w:lvl>
    <w:lvl w:ilvl="1">
      <w:start w:val="1"/>
      <w:numFmt w:val="decimal"/>
      <w:lvlText w:val="%1.%2"/>
      <w:lvlJc w:val="left"/>
      <w:pPr>
        <w:ind w:left="1008" w:hanging="560"/>
      </w:pPr>
      <w:rPr>
        <w:rFonts w:ascii="Times New Roman" w:eastAsia="Times New Roman" w:hAnsi="Times New Roman" w:cs="Times New Roman" w:hint="default"/>
        <w:b/>
        <w:bCs/>
        <w:color w:val="000008"/>
        <w:spacing w:val="-19"/>
        <w:w w:val="100"/>
        <w:sz w:val="28"/>
        <w:szCs w:val="28"/>
        <w:lang w:val="en-US" w:eastAsia="en-US" w:bidi="ar-SA"/>
      </w:rPr>
    </w:lvl>
    <w:lvl w:ilvl="2">
      <w:start w:val="1"/>
      <w:numFmt w:val="decimal"/>
      <w:lvlText w:val="%1.%2.%3"/>
      <w:lvlJc w:val="left"/>
      <w:pPr>
        <w:ind w:left="1287" w:hanging="702"/>
      </w:pPr>
      <w:rPr>
        <w:rFonts w:ascii="Times New Roman" w:eastAsia="Times New Roman" w:hAnsi="Times New Roman" w:cs="Times New Roman" w:hint="default"/>
        <w:b/>
        <w:bCs/>
        <w:color w:val="000008"/>
        <w:spacing w:val="-19"/>
        <w:w w:val="101"/>
        <w:sz w:val="28"/>
        <w:szCs w:val="28"/>
        <w:lang w:val="en-US" w:eastAsia="en-US" w:bidi="ar-SA"/>
      </w:rPr>
    </w:lvl>
    <w:lvl w:ilvl="3">
      <w:numFmt w:val="bullet"/>
      <w:lvlText w:val="•"/>
      <w:lvlJc w:val="left"/>
      <w:pPr>
        <w:ind w:left="3031" w:hanging="702"/>
      </w:pPr>
      <w:rPr>
        <w:rFonts w:hint="default"/>
        <w:lang w:val="en-US" w:eastAsia="en-US" w:bidi="ar-SA"/>
      </w:rPr>
    </w:lvl>
    <w:lvl w:ilvl="4">
      <w:numFmt w:val="bullet"/>
      <w:lvlText w:val="•"/>
      <w:lvlJc w:val="left"/>
      <w:pPr>
        <w:ind w:left="3906" w:hanging="702"/>
      </w:pPr>
      <w:rPr>
        <w:rFonts w:hint="default"/>
        <w:lang w:val="en-US" w:eastAsia="en-US" w:bidi="ar-SA"/>
      </w:rPr>
    </w:lvl>
    <w:lvl w:ilvl="5">
      <w:numFmt w:val="bullet"/>
      <w:lvlText w:val="•"/>
      <w:lvlJc w:val="left"/>
      <w:pPr>
        <w:ind w:left="4782" w:hanging="702"/>
      </w:pPr>
      <w:rPr>
        <w:rFonts w:hint="default"/>
        <w:lang w:val="en-US" w:eastAsia="en-US" w:bidi="ar-SA"/>
      </w:rPr>
    </w:lvl>
    <w:lvl w:ilvl="6">
      <w:numFmt w:val="bullet"/>
      <w:lvlText w:val="•"/>
      <w:lvlJc w:val="left"/>
      <w:pPr>
        <w:ind w:left="5657" w:hanging="702"/>
      </w:pPr>
      <w:rPr>
        <w:rFonts w:hint="default"/>
        <w:lang w:val="en-US" w:eastAsia="en-US" w:bidi="ar-SA"/>
      </w:rPr>
    </w:lvl>
    <w:lvl w:ilvl="7">
      <w:numFmt w:val="bullet"/>
      <w:lvlText w:val="•"/>
      <w:lvlJc w:val="left"/>
      <w:pPr>
        <w:ind w:left="6533" w:hanging="702"/>
      </w:pPr>
      <w:rPr>
        <w:rFonts w:hint="default"/>
        <w:lang w:val="en-US" w:eastAsia="en-US" w:bidi="ar-SA"/>
      </w:rPr>
    </w:lvl>
    <w:lvl w:ilvl="8">
      <w:numFmt w:val="bullet"/>
      <w:lvlText w:val="•"/>
      <w:lvlJc w:val="left"/>
      <w:pPr>
        <w:ind w:left="7408" w:hanging="702"/>
      </w:pPr>
      <w:rPr>
        <w:rFonts w:hint="default"/>
        <w:lang w:val="en-US" w:eastAsia="en-US" w:bidi="ar-SA"/>
      </w:rPr>
    </w:lvl>
  </w:abstractNum>
  <w:abstractNum w:abstractNumId="7" w15:restartNumberingAfterBreak="0">
    <w:nsid w:val="0248C179"/>
    <w:multiLevelType w:val="multilevel"/>
    <w:tmpl w:val="0248C179"/>
    <w:lvl w:ilvl="0">
      <w:start w:val="1"/>
      <w:numFmt w:val="lowerLetter"/>
      <w:lvlText w:val="%1)"/>
      <w:lvlJc w:val="left"/>
      <w:pPr>
        <w:ind w:left="1230" w:hanging="221"/>
      </w:pPr>
      <w:rPr>
        <w:rFonts w:ascii="Times New Roman" w:eastAsia="Times New Roman" w:hAnsi="Times New Roman" w:cs="Times New Roman" w:hint="default"/>
        <w:color w:val="000008"/>
        <w:spacing w:val="-5"/>
        <w:w w:val="101"/>
        <w:sz w:val="22"/>
        <w:szCs w:val="22"/>
        <w:lang w:val="en-US" w:eastAsia="en-US" w:bidi="ar-SA"/>
      </w:rPr>
    </w:lvl>
    <w:lvl w:ilvl="1">
      <w:numFmt w:val="bullet"/>
      <w:lvlText w:val="•"/>
      <w:lvlJc w:val="left"/>
      <w:pPr>
        <w:ind w:left="2032" w:hanging="221"/>
      </w:pPr>
      <w:rPr>
        <w:rFonts w:hint="default"/>
        <w:lang w:val="en-US" w:eastAsia="en-US" w:bidi="ar-SA"/>
      </w:rPr>
    </w:lvl>
    <w:lvl w:ilvl="2">
      <w:numFmt w:val="bullet"/>
      <w:lvlText w:val="•"/>
      <w:lvlJc w:val="left"/>
      <w:pPr>
        <w:ind w:left="2824" w:hanging="221"/>
      </w:pPr>
      <w:rPr>
        <w:rFonts w:hint="default"/>
        <w:lang w:val="en-US" w:eastAsia="en-US" w:bidi="ar-SA"/>
      </w:rPr>
    </w:lvl>
    <w:lvl w:ilvl="3">
      <w:numFmt w:val="bullet"/>
      <w:lvlText w:val="•"/>
      <w:lvlJc w:val="left"/>
      <w:pPr>
        <w:ind w:left="3616" w:hanging="221"/>
      </w:pPr>
      <w:rPr>
        <w:rFonts w:hint="default"/>
        <w:lang w:val="en-US" w:eastAsia="en-US" w:bidi="ar-SA"/>
      </w:rPr>
    </w:lvl>
    <w:lvl w:ilvl="4">
      <w:numFmt w:val="bullet"/>
      <w:lvlText w:val="•"/>
      <w:lvlJc w:val="left"/>
      <w:pPr>
        <w:ind w:left="4408" w:hanging="221"/>
      </w:pPr>
      <w:rPr>
        <w:rFonts w:hint="default"/>
        <w:lang w:val="en-US" w:eastAsia="en-US" w:bidi="ar-SA"/>
      </w:rPr>
    </w:lvl>
    <w:lvl w:ilvl="5">
      <w:numFmt w:val="bullet"/>
      <w:lvlText w:val="•"/>
      <w:lvlJc w:val="left"/>
      <w:pPr>
        <w:ind w:left="5200" w:hanging="221"/>
      </w:pPr>
      <w:rPr>
        <w:rFonts w:hint="default"/>
        <w:lang w:val="en-US" w:eastAsia="en-US" w:bidi="ar-SA"/>
      </w:rPr>
    </w:lvl>
    <w:lvl w:ilvl="6">
      <w:numFmt w:val="bullet"/>
      <w:lvlText w:val="•"/>
      <w:lvlJc w:val="left"/>
      <w:pPr>
        <w:ind w:left="5992" w:hanging="221"/>
      </w:pPr>
      <w:rPr>
        <w:rFonts w:hint="default"/>
        <w:lang w:val="en-US" w:eastAsia="en-US" w:bidi="ar-SA"/>
      </w:rPr>
    </w:lvl>
    <w:lvl w:ilvl="7">
      <w:numFmt w:val="bullet"/>
      <w:lvlText w:val="•"/>
      <w:lvlJc w:val="left"/>
      <w:pPr>
        <w:ind w:left="6784" w:hanging="221"/>
      </w:pPr>
      <w:rPr>
        <w:rFonts w:hint="default"/>
        <w:lang w:val="en-US" w:eastAsia="en-US" w:bidi="ar-SA"/>
      </w:rPr>
    </w:lvl>
    <w:lvl w:ilvl="8">
      <w:numFmt w:val="bullet"/>
      <w:lvlText w:val="•"/>
      <w:lvlJc w:val="left"/>
      <w:pPr>
        <w:ind w:left="7576" w:hanging="221"/>
      </w:pPr>
      <w:rPr>
        <w:rFonts w:hint="default"/>
        <w:lang w:val="en-US" w:eastAsia="en-US" w:bidi="ar-SA"/>
      </w:rPr>
    </w:lvl>
  </w:abstractNum>
  <w:abstractNum w:abstractNumId="8" w15:restartNumberingAfterBreak="0">
    <w:nsid w:val="2470EC97"/>
    <w:multiLevelType w:val="multilevel"/>
    <w:tmpl w:val="2470EC97"/>
    <w:lvl w:ilvl="0">
      <w:start w:val="1"/>
      <w:numFmt w:val="lowerLetter"/>
      <w:lvlText w:val="%1)"/>
      <w:lvlJc w:val="left"/>
      <w:pPr>
        <w:ind w:left="1229" w:hanging="220"/>
      </w:pPr>
      <w:rPr>
        <w:rFonts w:ascii="Times New Roman" w:eastAsia="Times New Roman" w:hAnsi="Times New Roman" w:cs="Times New Roman" w:hint="default"/>
        <w:color w:val="000008"/>
        <w:spacing w:val="-5"/>
        <w:w w:val="101"/>
        <w:sz w:val="22"/>
        <w:szCs w:val="22"/>
        <w:lang w:val="en-US" w:eastAsia="en-US" w:bidi="ar-SA"/>
      </w:rPr>
    </w:lvl>
    <w:lvl w:ilvl="1">
      <w:numFmt w:val="bullet"/>
      <w:lvlText w:val="•"/>
      <w:lvlJc w:val="left"/>
      <w:pPr>
        <w:ind w:left="2014" w:hanging="220"/>
      </w:pPr>
      <w:rPr>
        <w:rFonts w:hint="default"/>
        <w:lang w:val="en-US" w:eastAsia="en-US" w:bidi="ar-SA"/>
      </w:rPr>
    </w:lvl>
    <w:lvl w:ilvl="2">
      <w:numFmt w:val="bullet"/>
      <w:lvlText w:val="•"/>
      <w:lvlJc w:val="left"/>
      <w:pPr>
        <w:ind w:left="2808" w:hanging="220"/>
      </w:pPr>
      <w:rPr>
        <w:rFonts w:hint="default"/>
        <w:lang w:val="en-US" w:eastAsia="en-US" w:bidi="ar-SA"/>
      </w:rPr>
    </w:lvl>
    <w:lvl w:ilvl="3">
      <w:numFmt w:val="bullet"/>
      <w:lvlText w:val="•"/>
      <w:lvlJc w:val="left"/>
      <w:pPr>
        <w:ind w:left="3602" w:hanging="220"/>
      </w:pPr>
      <w:rPr>
        <w:rFonts w:hint="default"/>
        <w:lang w:val="en-US" w:eastAsia="en-US" w:bidi="ar-SA"/>
      </w:rPr>
    </w:lvl>
    <w:lvl w:ilvl="4">
      <w:numFmt w:val="bullet"/>
      <w:lvlText w:val="•"/>
      <w:lvlJc w:val="left"/>
      <w:pPr>
        <w:ind w:left="4396" w:hanging="220"/>
      </w:pPr>
      <w:rPr>
        <w:rFonts w:hint="default"/>
        <w:lang w:val="en-US" w:eastAsia="en-US" w:bidi="ar-SA"/>
      </w:rPr>
    </w:lvl>
    <w:lvl w:ilvl="5">
      <w:numFmt w:val="bullet"/>
      <w:lvlText w:val="•"/>
      <w:lvlJc w:val="left"/>
      <w:pPr>
        <w:ind w:left="5190" w:hanging="220"/>
      </w:pPr>
      <w:rPr>
        <w:rFonts w:hint="default"/>
        <w:lang w:val="en-US" w:eastAsia="en-US" w:bidi="ar-SA"/>
      </w:rPr>
    </w:lvl>
    <w:lvl w:ilvl="6">
      <w:numFmt w:val="bullet"/>
      <w:lvlText w:val="•"/>
      <w:lvlJc w:val="left"/>
      <w:pPr>
        <w:ind w:left="5984" w:hanging="220"/>
      </w:pPr>
      <w:rPr>
        <w:rFonts w:hint="default"/>
        <w:lang w:val="en-US" w:eastAsia="en-US" w:bidi="ar-SA"/>
      </w:rPr>
    </w:lvl>
    <w:lvl w:ilvl="7">
      <w:numFmt w:val="bullet"/>
      <w:lvlText w:val="•"/>
      <w:lvlJc w:val="left"/>
      <w:pPr>
        <w:ind w:left="6778" w:hanging="220"/>
      </w:pPr>
      <w:rPr>
        <w:rFonts w:hint="default"/>
        <w:lang w:val="en-US" w:eastAsia="en-US" w:bidi="ar-SA"/>
      </w:rPr>
    </w:lvl>
    <w:lvl w:ilvl="8">
      <w:numFmt w:val="bullet"/>
      <w:lvlText w:val="•"/>
      <w:lvlJc w:val="left"/>
      <w:pPr>
        <w:ind w:left="7572" w:hanging="220"/>
      </w:pPr>
      <w:rPr>
        <w:rFonts w:hint="default"/>
        <w:lang w:val="en-US" w:eastAsia="en-US" w:bidi="ar-SA"/>
      </w:rPr>
    </w:lvl>
  </w:abstractNum>
  <w:abstractNum w:abstractNumId="9" w15:restartNumberingAfterBreak="0">
    <w:nsid w:val="25B654F3"/>
    <w:multiLevelType w:val="multilevel"/>
    <w:tmpl w:val="25B654F3"/>
    <w:lvl w:ilvl="0">
      <w:numFmt w:val="bullet"/>
      <w:lvlText w:val="➢"/>
      <w:lvlJc w:val="left"/>
      <w:pPr>
        <w:ind w:left="1010" w:hanging="269"/>
      </w:pPr>
      <w:rPr>
        <w:rFonts w:hint="default"/>
        <w:w w:val="133"/>
        <w:u w:val="thick" w:color="000000"/>
        <w:lang w:val="en-US" w:eastAsia="en-US" w:bidi="ar-SA"/>
      </w:rPr>
    </w:lvl>
    <w:lvl w:ilvl="1">
      <w:numFmt w:val="bullet"/>
      <w:lvlText w:val="•"/>
      <w:lvlJc w:val="left"/>
      <w:pPr>
        <w:ind w:left="1834" w:hanging="269"/>
      </w:pPr>
      <w:rPr>
        <w:rFonts w:hint="default"/>
        <w:lang w:val="en-US" w:eastAsia="en-US" w:bidi="ar-SA"/>
      </w:rPr>
    </w:lvl>
    <w:lvl w:ilvl="2">
      <w:numFmt w:val="bullet"/>
      <w:lvlText w:val="•"/>
      <w:lvlJc w:val="left"/>
      <w:pPr>
        <w:ind w:left="2648" w:hanging="269"/>
      </w:pPr>
      <w:rPr>
        <w:rFonts w:hint="default"/>
        <w:lang w:val="en-US" w:eastAsia="en-US" w:bidi="ar-SA"/>
      </w:rPr>
    </w:lvl>
    <w:lvl w:ilvl="3">
      <w:numFmt w:val="bullet"/>
      <w:lvlText w:val="•"/>
      <w:lvlJc w:val="left"/>
      <w:pPr>
        <w:ind w:left="3462" w:hanging="269"/>
      </w:pPr>
      <w:rPr>
        <w:rFonts w:hint="default"/>
        <w:lang w:val="en-US" w:eastAsia="en-US" w:bidi="ar-SA"/>
      </w:rPr>
    </w:lvl>
    <w:lvl w:ilvl="4">
      <w:numFmt w:val="bullet"/>
      <w:lvlText w:val="•"/>
      <w:lvlJc w:val="left"/>
      <w:pPr>
        <w:ind w:left="4276" w:hanging="269"/>
      </w:pPr>
      <w:rPr>
        <w:rFonts w:hint="default"/>
        <w:lang w:val="en-US" w:eastAsia="en-US" w:bidi="ar-SA"/>
      </w:rPr>
    </w:lvl>
    <w:lvl w:ilvl="5">
      <w:numFmt w:val="bullet"/>
      <w:lvlText w:val="•"/>
      <w:lvlJc w:val="left"/>
      <w:pPr>
        <w:ind w:left="5090" w:hanging="269"/>
      </w:pPr>
      <w:rPr>
        <w:rFonts w:hint="default"/>
        <w:lang w:val="en-US" w:eastAsia="en-US" w:bidi="ar-SA"/>
      </w:rPr>
    </w:lvl>
    <w:lvl w:ilvl="6">
      <w:numFmt w:val="bullet"/>
      <w:lvlText w:val="•"/>
      <w:lvlJc w:val="left"/>
      <w:pPr>
        <w:ind w:left="5904" w:hanging="269"/>
      </w:pPr>
      <w:rPr>
        <w:rFonts w:hint="default"/>
        <w:lang w:val="en-US" w:eastAsia="en-US" w:bidi="ar-SA"/>
      </w:rPr>
    </w:lvl>
    <w:lvl w:ilvl="7">
      <w:numFmt w:val="bullet"/>
      <w:lvlText w:val="•"/>
      <w:lvlJc w:val="left"/>
      <w:pPr>
        <w:ind w:left="6718" w:hanging="269"/>
      </w:pPr>
      <w:rPr>
        <w:rFonts w:hint="default"/>
        <w:lang w:val="en-US" w:eastAsia="en-US" w:bidi="ar-SA"/>
      </w:rPr>
    </w:lvl>
    <w:lvl w:ilvl="8">
      <w:numFmt w:val="bullet"/>
      <w:lvlText w:val="•"/>
      <w:lvlJc w:val="left"/>
      <w:pPr>
        <w:ind w:left="7532" w:hanging="269"/>
      </w:pPr>
      <w:rPr>
        <w:rFonts w:hint="default"/>
        <w:lang w:val="en-US" w:eastAsia="en-US" w:bidi="ar-SA"/>
      </w:rPr>
    </w:lvl>
  </w:abstractNum>
  <w:abstractNum w:abstractNumId="10" w15:restartNumberingAfterBreak="0">
    <w:nsid w:val="2A8F537B"/>
    <w:multiLevelType w:val="multilevel"/>
    <w:tmpl w:val="2A8F537B"/>
    <w:lvl w:ilvl="0">
      <w:start w:val="4"/>
      <w:numFmt w:val="upperLetter"/>
      <w:lvlText w:val="%1)"/>
      <w:lvlJc w:val="left"/>
      <w:pPr>
        <w:ind w:left="1289" w:hanging="280"/>
      </w:pPr>
      <w:rPr>
        <w:rFonts w:ascii="Times New Roman" w:eastAsia="Times New Roman" w:hAnsi="Times New Roman" w:cs="Times New Roman" w:hint="default"/>
        <w:color w:val="000008"/>
        <w:spacing w:val="-8"/>
        <w:w w:val="101"/>
        <w:sz w:val="22"/>
        <w:szCs w:val="22"/>
        <w:lang w:val="en-US" w:eastAsia="en-US" w:bidi="ar-SA"/>
      </w:rPr>
    </w:lvl>
    <w:lvl w:ilvl="1">
      <w:numFmt w:val="bullet"/>
      <w:lvlText w:val="•"/>
      <w:lvlJc w:val="left"/>
      <w:pPr>
        <w:ind w:left="2068" w:hanging="280"/>
      </w:pPr>
      <w:rPr>
        <w:rFonts w:hint="default"/>
        <w:lang w:val="en-US" w:eastAsia="en-US" w:bidi="ar-SA"/>
      </w:rPr>
    </w:lvl>
    <w:lvl w:ilvl="2">
      <w:numFmt w:val="bullet"/>
      <w:lvlText w:val="•"/>
      <w:lvlJc w:val="left"/>
      <w:pPr>
        <w:ind w:left="2856" w:hanging="280"/>
      </w:pPr>
      <w:rPr>
        <w:rFonts w:hint="default"/>
        <w:lang w:val="en-US" w:eastAsia="en-US" w:bidi="ar-SA"/>
      </w:rPr>
    </w:lvl>
    <w:lvl w:ilvl="3">
      <w:numFmt w:val="bullet"/>
      <w:lvlText w:val="•"/>
      <w:lvlJc w:val="left"/>
      <w:pPr>
        <w:ind w:left="3644" w:hanging="280"/>
      </w:pPr>
      <w:rPr>
        <w:rFonts w:hint="default"/>
        <w:lang w:val="en-US" w:eastAsia="en-US" w:bidi="ar-SA"/>
      </w:rPr>
    </w:lvl>
    <w:lvl w:ilvl="4">
      <w:numFmt w:val="bullet"/>
      <w:lvlText w:val="•"/>
      <w:lvlJc w:val="left"/>
      <w:pPr>
        <w:ind w:left="4432" w:hanging="280"/>
      </w:pPr>
      <w:rPr>
        <w:rFonts w:hint="default"/>
        <w:lang w:val="en-US" w:eastAsia="en-US" w:bidi="ar-SA"/>
      </w:rPr>
    </w:lvl>
    <w:lvl w:ilvl="5">
      <w:numFmt w:val="bullet"/>
      <w:lvlText w:val="•"/>
      <w:lvlJc w:val="left"/>
      <w:pPr>
        <w:ind w:left="5220" w:hanging="280"/>
      </w:pPr>
      <w:rPr>
        <w:rFonts w:hint="default"/>
        <w:lang w:val="en-US" w:eastAsia="en-US" w:bidi="ar-SA"/>
      </w:rPr>
    </w:lvl>
    <w:lvl w:ilvl="6">
      <w:numFmt w:val="bullet"/>
      <w:lvlText w:val="•"/>
      <w:lvlJc w:val="left"/>
      <w:pPr>
        <w:ind w:left="6008" w:hanging="280"/>
      </w:pPr>
      <w:rPr>
        <w:rFonts w:hint="default"/>
        <w:lang w:val="en-US" w:eastAsia="en-US" w:bidi="ar-SA"/>
      </w:rPr>
    </w:lvl>
    <w:lvl w:ilvl="7">
      <w:numFmt w:val="bullet"/>
      <w:lvlText w:val="•"/>
      <w:lvlJc w:val="left"/>
      <w:pPr>
        <w:ind w:left="6796" w:hanging="280"/>
      </w:pPr>
      <w:rPr>
        <w:rFonts w:hint="default"/>
        <w:lang w:val="en-US" w:eastAsia="en-US" w:bidi="ar-SA"/>
      </w:rPr>
    </w:lvl>
    <w:lvl w:ilvl="8">
      <w:numFmt w:val="bullet"/>
      <w:lvlText w:val="•"/>
      <w:lvlJc w:val="left"/>
      <w:pPr>
        <w:ind w:left="7584" w:hanging="280"/>
      </w:pPr>
      <w:rPr>
        <w:rFonts w:hint="default"/>
        <w:lang w:val="en-US" w:eastAsia="en-US" w:bidi="ar-SA"/>
      </w:rPr>
    </w:lvl>
  </w:abstractNum>
  <w:abstractNum w:abstractNumId="11" w15:restartNumberingAfterBreak="0">
    <w:nsid w:val="32E54310"/>
    <w:multiLevelType w:val="multilevel"/>
    <w:tmpl w:val="32E54310"/>
    <w:lvl w:ilvl="0">
      <w:start w:val="1"/>
      <w:numFmt w:val="bullet"/>
      <w:lvlText w:val="•"/>
      <w:lvlJc w:val="left"/>
      <w:pPr>
        <w:ind w:left="80"/>
      </w:pPr>
    </w:lvl>
    <w:lvl w:ilvl="1">
      <w:numFmt w:val="decimal"/>
      <w:lvlText w:val=""/>
      <w:lvlJc w:val="left"/>
      <w:pPr>
        <w:ind w:left="80"/>
      </w:pPr>
    </w:lvl>
    <w:lvl w:ilvl="2">
      <w:numFmt w:val="decimal"/>
      <w:lvlText w:val=""/>
      <w:lvlJc w:val="left"/>
      <w:pPr>
        <w:ind w:left="80"/>
      </w:pPr>
    </w:lvl>
    <w:lvl w:ilvl="3">
      <w:numFmt w:val="decimal"/>
      <w:lvlText w:val=""/>
      <w:lvlJc w:val="left"/>
      <w:pPr>
        <w:ind w:left="80"/>
      </w:pPr>
    </w:lvl>
    <w:lvl w:ilvl="4">
      <w:numFmt w:val="decimal"/>
      <w:lvlText w:val=""/>
      <w:lvlJc w:val="left"/>
      <w:pPr>
        <w:ind w:left="80"/>
      </w:pPr>
    </w:lvl>
    <w:lvl w:ilvl="5">
      <w:numFmt w:val="decimal"/>
      <w:lvlText w:val=""/>
      <w:lvlJc w:val="left"/>
      <w:pPr>
        <w:ind w:left="80"/>
      </w:pPr>
    </w:lvl>
    <w:lvl w:ilvl="6">
      <w:numFmt w:val="decimal"/>
      <w:lvlText w:val=""/>
      <w:lvlJc w:val="left"/>
      <w:pPr>
        <w:ind w:left="80"/>
      </w:pPr>
    </w:lvl>
    <w:lvl w:ilvl="7">
      <w:numFmt w:val="decimal"/>
      <w:lvlText w:val=""/>
      <w:lvlJc w:val="left"/>
      <w:pPr>
        <w:ind w:left="80"/>
      </w:pPr>
    </w:lvl>
    <w:lvl w:ilvl="8">
      <w:numFmt w:val="decimal"/>
      <w:lvlText w:val=""/>
      <w:lvlJc w:val="left"/>
      <w:pPr>
        <w:ind w:left="80"/>
      </w:pPr>
    </w:lvl>
  </w:abstractNum>
  <w:abstractNum w:abstractNumId="12" w15:restartNumberingAfterBreak="0">
    <w:nsid w:val="42D23B30"/>
    <w:multiLevelType w:val="hybridMultilevel"/>
    <w:tmpl w:val="A9D25D3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3EA1CB4"/>
    <w:multiLevelType w:val="multilevel"/>
    <w:tmpl w:val="B3D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DC07F"/>
    <w:multiLevelType w:val="multilevel"/>
    <w:tmpl w:val="4D4DC07F"/>
    <w:lvl w:ilvl="0">
      <w:start w:val="1"/>
      <w:numFmt w:val="lowerLetter"/>
      <w:lvlText w:val="%1)"/>
      <w:lvlJc w:val="left"/>
      <w:pPr>
        <w:ind w:left="1230" w:hanging="221"/>
      </w:pPr>
      <w:rPr>
        <w:rFonts w:ascii="Times New Roman" w:eastAsia="Times New Roman" w:hAnsi="Times New Roman" w:cs="Times New Roman" w:hint="default"/>
        <w:color w:val="000008"/>
        <w:spacing w:val="-5"/>
        <w:w w:val="101"/>
        <w:sz w:val="22"/>
        <w:szCs w:val="22"/>
        <w:lang w:val="en-US" w:eastAsia="en-US" w:bidi="ar-SA"/>
      </w:rPr>
    </w:lvl>
    <w:lvl w:ilvl="1">
      <w:numFmt w:val="bullet"/>
      <w:lvlText w:val="•"/>
      <w:lvlJc w:val="left"/>
      <w:pPr>
        <w:ind w:left="2032" w:hanging="221"/>
      </w:pPr>
      <w:rPr>
        <w:rFonts w:hint="default"/>
        <w:lang w:val="en-US" w:eastAsia="en-US" w:bidi="ar-SA"/>
      </w:rPr>
    </w:lvl>
    <w:lvl w:ilvl="2">
      <w:numFmt w:val="bullet"/>
      <w:lvlText w:val="•"/>
      <w:lvlJc w:val="left"/>
      <w:pPr>
        <w:ind w:left="2824" w:hanging="221"/>
      </w:pPr>
      <w:rPr>
        <w:rFonts w:hint="default"/>
        <w:lang w:val="en-US" w:eastAsia="en-US" w:bidi="ar-SA"/>
      </w:rPr>
    </w:lvl>
    <w:lvl w:ilvl="3">
      <w:numFmt w:val="bullet"/>
      <w:lvlText w:val="•"/>
      <w:lvlJc w:val="left"/>
      <w:pPr>
        <w:ind w:left="3616" w:hanging="221"/>
      </w:pPr>
      <w:rPr>
        <w:rFonts w:hint="default"/>
        <w:lang w:val="en-US" w:eastAsia="en-US" w:bidi="ar-SA"/>
      </w:rPr>
    </w:lvl>
    <w:lvl w:ilvl="4">
      <w:numFmt w:val="bullet"/>
      <w:lvlText w:val="•"/>
      <w:lvlJc w:val="left"/>
      <w:pPr>
        <w:ind w:left="4408" w:hanging="221"/>
      </w:pPr>
      <w:rPr>
        <w:rFonts w:hint="default"/>
        <w:lang w:val="en-US" w:eastAsia="en-US" w:bidi="ar-SA"/>
      </w:rPr>
    </w:lvl>
    <w:lvl w:ilvl="5">
      <w:numFmt w:val="bullet"/>
      <w:lvlText w:val="•"/>
      <w:lvlJc w:val="left"/>
      <w:pPr>
        <w:ind w:left="5200" w:hanging="221"/>
      </w:pPr>
      <w:rPr>
        <w:rFonts w:hint="default"/>
        <w:lang w:val="en-US" w:eastAsia="en-US" w:bidi="ar-SA"/>
      </w:rPr>
    </w:lvl>
    <w:lvl w:ilvl="6">
      <w:numFmt w:val="bullet"/>
      <w:lvlText w:val="•"/>
      <w:lvlJc w:val="left"/>
      <w:pPr>
        <w:ind w:left="5992" w:hanging="221"/>
      </w:pPr>
      <w:rPr>
        <w:rFonts w:hint="default"/>
        <w:lang w:val="en-US" w:eastAsia="en-US" w:bidi="ar-SA"/>
      </w:rPr>
    </w:lvl>
    <w:lvl w:ilvl="7">
      <w:numFmt w:val="bullet"/>
      <w:lvlText w:val="•"/>
      <w:lvlJc w:val="left"/>
      <w:pPr>
        <w:ind w:left="6784" w:hanging="221"/>
      </w:pPr>
      <w:rPr>
        <w:rFonts w:hint="default"/>
        <w:lang w:val="en-US" w:eastAsia="en-US" w:bidi="ar-SA"/>
      </w:rPr>
    </w:lvl>
    <w:lvl w:ilvl="8">
      <w:numFmt w:val="bullet"/>
      <w:lvlText w:val="•"/>
      <w:lvlJc w:val="left"/>
      <w:pPr>
        <w:ind w:left="7576" w:hanging="221"/>
      </w:pPr>
      <w:rPr>
        <w:rFonts w:hint="default"/>
        <w:lang w:val="en-US" w:eastAsia="en-US" w:bidi="ar-SA"/>
      </w:rPr>
    </w:lvl>
  </w:abstractNum>
  <w:abstractNum w:abstractNumId="15" w15:restartNumberingAfterBreak="0">
    <w:nsid w:val="56717B9F"/>
    <w:multiLevelType w:val="hybridMultilevel"/>
    <w:tmpl w:val="4D84315A"/>
    <w:lvl w:ilvl="0" w:tplc="13C4C828">
      <w:start w:val="5"/>
      <w:numFmt w:val="bullet"/>
      <w:lvlText w:val="-"/>
      <w:lvlJc w:val="left"/>
      <w:pPr>
        <w:ind w:left="720" w:hanging="360"/>
      </w:pPr>
      <w:rPr>
        <w:rFonts w:ascii="Times New Roman" w:eastAsia="Calibri" w:hAnsi="Times New Roman" w:cs="Times New Roman" w:hint="default"/>
        <w:b w:val="0"/>
        <w:i w:val="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56A54068"/>
    <w:multiLevelType w:val="hybridMultilevel"/>
    <w:tmpl w:val="C500380E"/>
    <w:lvl w:ilvl="0" w:tplc="DF323EE2">
      <w:start w:val="6"/>
      <w:numFmt w:val="decimal"/>
      <w:lvlText w:val="%1."/>
      <w:lvlJc w:val="left"/>
      <w:pPr>
        <w:ind w:left="450" w:hanging="360"/>
      </w:pPr>
      <w:rPr>
        <w:rFonts w:hint="default"/>
        <w:color w:val="000008"/>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7" w15:restartNumberingAfterBreak="0">
    <w:nsid w:val="570E0459"/>
    <w:multiLevelType w:val="hybridMultilevel"/>
    <w:tmpl w:val="913043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57BC159A"/>
    <w:multiLevelType w:val="hybridMultilevel"/>
    <w:tmpl w:val="9B547E52"/>
    <w:lvl w:ilvl="0" w:tplc="181E8C58">
      <w:start w:val="4"/>
      <w:numFmt w:val="decimal"/>
      <w:lvlText w:val="%1."/>
      <w:lvlJc w:val="left"/>
      <w:pPr>
        <w:ind w:left="720" w:hanging="360"/>
      </w:pPr>
      <w:rPr>
        <w:rFonts w:hint="default"/>
        <w:color w:val="000008"/>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9ADCABA"/>
    <w:multiLevelType w:val="multilevel"/>
    <w:tmpl w:val="59ADCABA"/>
    <w:lvl w:ilvl="0">
      <w:start w:val="2"/>
      <w:numFmt w:val="decimal"/>
      <w:lvlText w:val="%1"/>
      <w:lvlJc w:val="left"/>
      <w:pPr>
        <w:ind w:left="1008" w:hanging="560"/>
      </w:pPr>
      <w:rPr>
        <w:rFonts w:hint="default"/>
        <w:lang w:val="en-US" w:eastAsia="en-US" w:bidi="ar-SA"/>
      </w:rPr>
    </w:lvl>
    <w:lvl w:ilvl="1">
      <w:start w:val="1"/>
      <w:numFmt w:val="decimal"/>
      <w:lvlText w:val="%1.%2"/>
      <w:lvlJc w:val="left"/>
      <w:pPr>
        <w:ind w:left="1128" w:hanging="560"/>
      </w:pPr>
      <w:rPr>
        <w:rFonts w:hint="default"/>
        <w:b/>
        <w:bCs/>
        <w:spacing w:val="-22"/>
        <w:w w:val="100"/>
        <w:lang w:val="en-US" w:eastAsia="en-US" w:bidi="ar-SA"/>
      </w:rPr>
    </w:lvl>
    <w:lvl w:ilvl="2">
      <w:start w:val="1"/>
      <w:numFmt w:val="decimal"/>
      <w:lvlText w:val="%1.%2.%3"/>
      <w:lvlJc w:val="left"/>
      <w:pPr>
        <w:ind w:left="1287" w:hanging="702"/>
      </w:pPr>
      <w:rPr>
        <w:rFonts w:hint="default"/>
        <w:b/>
        <w:bCs/>
        <w:spacing w:val="-19"/>
        <w:w w:val="101"/>
        <w:lang w:val="en-US" w:eastAsia="en-US" w:bidi="ar-SA"/>
      </w:rPr>
    </w:lvl>
    <w:lvl w:ilvl="3">
      <w:numFmt w:val="bullet"/>
      <w:lvlText w:val="•"/>
      <w:lvlJc w:val="left"/>
      <w:pPr>
        <w:ind w:left="3031" w:hanging="702"/>
      </w:pPr>
      <w:rPr>
        <w:rFonts w:hint="default"/>
        <w:lang w:val="en-US" w:eastAsia="en-US" w:bidi="ar-SA"/>
      </w:rPr>
    </w:lvl>
    <w:lvl w:ilvl="4">
      <w:numFmt w:val="bullet"/>
      <w:lvlText w:val="•"/>
      <w:lvlJc w:val="left"/>
      <w:pPr>
        <w:ind w:left="3906" w:hanging="702"/>
      </w:pPr>
      <w:rPr>
        <w:rFonts w:hint="default"/>
        <w:lang w:val="en-US" w:eastAsia="en-US" w:bidi="ar-SA"/>
      </w:rPr>
    </w:lvl>
    <w:lvl w:ilvl="5">
      <w:numFmt w:val="bullet"/>
      <w:lvlText w:val="•"/>
      <w:lvlJc w:val="left"/>
      <w:pPr>
        <w:ind w:left="4782" w:hanging="702"/>
      </w:pPr>
      <w:rPr>
        <w:rFonts w:hint="default"/>
        <w:lang w:val="en-US" w:eastAsia="en-US" w:bidi="ar-SA"/>
      </w:rPr>
    </w:lvl>
    <w:lvl w:ilvl="6">
      <w:numFmt w:val="bullet"/>
      <w:lvlText w:val="•"/>
      <w:lvlJc w:val="left"/>
      <w:pPr>
        <w:ind w:left="5657" w:hanging="702"/>
      </w:pPr>
      <w:rPr>
        <w:rFonts w:hint="default"/>
        <w:lang w:val="en-US" w:eastAsia="en-US" w:bidi="ar-SA"/>
      </w:rPr>
    </w:lvl>
    <w:lvl w:ilvl="7">
      <w:numFmt w:val="bullet"/>
      <w:lvlText w:val="•"/>
      <w:lvlJc w:val="left"/>
      <w:pPr>
        <w:ind w:left="6533" w:hanging="702"/>
      </w:pPr>
      <w:rPr>
        <w:rFonts w:hint="default"/>
        <w:lang w:val="en-US" w:eastAsia="en-US" w:bidi="ar-SA"/>
      </w:rPr>
    </w:lvl>
    <w:lvl w:ilvl="8">
      <w:numFmt w:val="bullet"/>
      <w:lvlText w:val="•"/>
      <w:lvlJc w:val="left"/>
      <w:pPr>
        <w:ind w:left="7408" w:hanging="702"/>
      </w:pPr>
      <w:rPr>
        <w:rFonts w:hint="default"/>
        <w:lang w:val="en-US" w:eastAsia="en-US" w:bidi="ar-SA"/>
      </w:rPr>
    </w:lvl>
  </w:abstractNum>
  <w:abstractNum w:abstractNumId="20" w15:restartNumberingAfterBreak="0">
    <w:nsid w:val="5A241D34"/>
    <w:multiLevelType w:val="multilevel"/>
    <w:tmpl w:val="5A241D34"/>
    <w:lvl w:ilvl="0">
      <w:start w:val="1"/>
      <w:numFmt w:val="lowerLetter"/>
      <w:lvlText w:val="%1)"/>
      <w:lvlJc w:val="left"/>
      <w:pPr>
        <w:ind w:left="1230" w:hanging="221"/>
      </w:pPr>
      <w:rPr>
        <w:rFonts w:ascii="Times New Roman" w:eastAsia="Times New Roman" w:hAnsi="Times New Roman" w:cs="Times New Roman" w:hint="default"/>
        <w:color w:val="000008"/>
        <w:spacing w:val="-5"/>
        <w:w w:val="101"/>
        <w:sz w:val="22"/>
        <w:szCs w:val="22"/>
        <w:lang w:val="en-US" w:eastAsia="en-US" w:bidi="ar-SA"/>
      </w:rPr>
    </w:lvl>
    <w:lvl w:ilvl="1">
      <w:numFmt w:val="bullet"/>
      <w:lvlText w:val="•"/>
      <w:lvlJc w:val="left"/>
      <w:pPr>
        <w:ind w:left="2032" w:hanging="221"/>
      </w:pPr>
      <w:rPr>
        <w:rFonts w:hint="default"/>
        <w:lang w:val="en-US" w:eastAsia="en-US" w:bidi="ar-SA"/>
      </w:rPr>
    </w:lvl>
    <w:lvl w:ilvl="2">
      <w:numFmt w:val="bullet"/>
      <w:lvlText w:val="•"/>
      <w:lvlJc w:val="left"/>
      <w:pPr>
        <w:ind w:left="2824" w:hanging="221"/>
      </w:pPr>
      <w:rPr>
        <w:rFonts w:hint="default"/>
        <w:lang w:val="en-US" w:eastAsia="en-US" w:bidi="ar-SA"/>
      </w:rPr>
    </w:lvl>
    <w:lvl w:ilvl="3">
      <w:numFmt w:val="bullet"/>
      <w:lvlText w:val="•"/>
      <w:lvlJc w:val="left"/>
      <w:pPr>
        <w:ind w:left="3616" w:hanging="221"/>
      </w:pPr>
      <w:rPr>
        <w:rFonts w:hint="default"/>
        <w:lang w:val="en-US" w:eastAsia="en-US" w:bidi="ar-SA"/>
      </w:rPr>
    </w:lvl>
    <w:lvl w:ilvl="4">
      <w:numFmt w:val="bullet"/>
      <w:lvlText w:val="•"/>
      <w:lvlJc w:val="left"/>
      <w:pPr>
        <w:ind w:left="4408" w:hanging="221"/>
      </w:pPr>
      <w:rPr>
        <w:rFonts w:hint="default"/>
        <w:lang w:val="en-US" w:eastAsia="en-US" w:bidi="ar-SA"/>
      </w:rPr>
    </w:lvl>
    <w:lvl w:ilvl="5">
      <w:numFmt w:val="bullet"/>
      <w:lvlText w:val="•"/>
      <w:lvlJc w:val="left"/>
      <w:pPr>
        <w:ind w:left="5200" w:hanging="221"/>
      </w:pPr>
      <w:rPr>
        <w:rFonts w:hint="default"/>
        <w:lang w:val="en-US" w:eastAsia="en-US" w:bidi="ar-SA"/>
      </w:rPr>
    </w:lvl>
    <w:lvl w:ilvl="6">
      <w:numFmt w:val="bullet"/>
      <w:lvlText w:val="•"/>
      <w:lvlJc w:val="left"/>
      <w:pPr>
        <w:ind w:left="5992" w:hanging="221"/>
      </w:pPr>
      <w:rPr>
        <w:rFonts w:hint="default"/>
        <w:lang w:val="en-US" w:eastAsia="en-US" w:bidi="ar-SA"/>
      </w:rPr>
    </w:lvl>
    <w:lvl w:ilvl="7">
      <w:numFmt w:val="bullet"/>
      <w:lvlText w:val="•"/>
      <w:lvlJc w:val="left"/>
      <w:pPr>
        <w:ind w:left="6784" w:hanging="221"/>
      </w:pPr>
      <w:rPr>
        <w:rFonts w:hint="default"/>
        <w:lang w:val="en-US" w:eastAsia="en-US" w:bidi="ar-SA"/>
      </w:rPr>
    </w:lvl>
    <w:lvl w:ilvl="8">
      <w:numFmt w:val="bullet"/>
      <w:lvlText w:val="•"/>
      <w:lvlJc w:val="left"/>
      <w:pPr>
        <w:ind w:left="7576" w:hanging="221"/>
      </w:pPr>
      <w:rPr>
        <w:rFonts w:hint="default"/>
        <w:lang w:val="en-US" w:eastAsia="en-US" w:bidi="ar-SA"/>
      </w:rPr>
    </w:lvl>
  </w:abstractNum>
  <w:abstractNum w:abstractNumId="21" w15:restartNumberingAfterBreak="0">
    <w:nsid w:val="5D3455D1"/>
    <w:multiLevelType w:val="multilevel"/>
    <w:tmpl w:val="F63869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E1258B"/>
    <w:multiLevelType w:val="hybridMultilevel"/>
    <w:tmpl w:val="FA68FCC6"/>
    <w:lvl w:ilvl="0" w:tplc="1ECA8168">
      <w:start w:val="7"/>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1686B34"/>
    <w:multiLevelType w:val="hybridMultilevel"/>
    <w:tmpl w:val="175688B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2183CF9"/>
    <w:multiLevelType w:val="multilevel"/>
    <w:tmpl w:val="72183CF9"/>
    <w:lvl w:ilvl="0">
      <w:start w:val="1"/>
      <w:numFmt w:val="decimal"/>
      <w:lvlText w:val="%1."/>
      <w:lvlJc w:val="left"/>
      <w:pPr>
        <w:ind w:left="1225" w:hanging="216"/>
      </w:pPr>
      <w:rPr>
        <w:rFonts w:hint="default"/>
        <w:spacing w:val="-17"/>
        <w:w w:val="101"/>
        <w:lang w:val="en-US" w:eastAsia="en-US" w:bidi="ar-SA"/>
      </w:rPr>
    </w:lvl>
    <w:lvl w:ilvl="1">
      <w:numFmt w:val="bullet"/>
      <w:lvlText w:val="•"/>
      <w:lvlJc w:val="left"/>
      <w:pPr>
        <w:ind w:left="2014" w:hanging="216"/>
      </w:pPr>
      <w:rPr>
        <w:rFonts w:hint="default"/>
        <w:lang w:val="en-US" w:eastAsia="en-US" w:bidi="ar-SA"/>
      </w:rPr>
    </w:lvl>
    <w:lvl w:ilvl="2">
      <w:numFmt w:val="bullet"/>
      <w:lvlText w:val="•"/>
      <w:lvlJc w:val="left"/>
      <w:pPr>
        <w:ind w:left="2808" w:hanging="216"/>
      </w:pPr>
      <w:rPr>
        <w:rFonts w:hint="default"/>
        <w:lang w:val="en-US" w:eastAsia="en-US" w:bidi="ar-SA"/>
      </w:rPr>
    </w:lvl>
    <w:lvl w:ilvl="3">
      <w:numFmt w:val="bullet"/>
      <w:lvlText w:val="•"/>
      <w:lvlJc w:val="left"/>
      <w:pPr>
        <w:ind w:left="3602" w:hanging="216"/>
      </w:pPr>
      <w:rPr>
        <w:rFonts w:hint="default"/>
        <w:lang w:val="en-US" w:eastAsia="en-US" w:bidi="ar-SA"/>
      </w:rPr>
    </w:lvl>
    <w:lvl w:ilvl="4">
      <w:numFmt w:val="bullet"/>
      <w:lvlText w:val="•"/>
      <w:lvlJc w:val="left"/>
      <w:pPr>
        <w:ind w:left="4396" w:hanging="216"/>
      </w:pPr>
      <w:rPr>
        <w:rFonts w:hint="default"/>
        <w:lang w:val="en-US" w:eastAsia="en-US" w:bidi="ar-SA"/>
      </w:rPr>
    </w:lvl>
    <w:lvl w:ilvl="5">
      <w:numFmt w:val="bullet"/>
      <w:lvlText w:val="•"/>
      <w:lvlJc w:val="left"/>
      <w:pPr>
        <w:ind w:left="5190" w:hanging="216"/>
      </w:pPr>
      <w:rPr>
        <w:rFonts w:hint="default"/>
        <w:lang w:val="en-US" w:eastAsia="en-US" w:bidi="ar-SA"/>
      </w:rPr>
    </w:lvl>
    <w:lvl w:ilvl="6">
      <w:numFmt w:val="bullet"/>
      <w:lvlText w:val="•"/>
      <w:lvlJc w:val="left"/>
      <w:pPr>
        <w:ind w:left="5984" w:hanging="216"/>
      </w:pPr>
      <w:rPr>
        <w:rFonts w:hint="default"/>
        <w:lang w:val="en-US" w:eastAsia="en-US" w:bidi="ar-SA"/>
      </w:rPr>
    </w:lvl>
    <w:lvl w:ilvl="7">
      <w:numFmt w:val="bullet"/>
      <w:lvlText w:val="•"/>
      <w:lvlJc w:val="left"/>
      <w:pPr>
        <w:ind w:left="6778" w:hanging="216"/>
      </w:pPr>
      <w:rPr>
        <w:rFonts w:hint="default"/>
        <w:lang w:val="en-US" w:eastAsia="en-US" w:bidi="ar-SA"/>
      </w:rPr>
    </w:lvl>
    <w:lvl w:ilvl="8">
      <w:numFmt w:val="bullet"/>
      <w:lvlText w:val="•"/>
      <w:lvlJc w:val="left"/>
      <w:pPr>
        <w:ind w:left="7572" w:hanging="216"/>
      </w:pPr>
      <w:rPr>
        <w:rFonts w:hint="default"/>
        <w:lang w:val="en-US" w:eastAsia="en-US" w:bidi="ar-SA"/>
      </w:rPr>
    </w:lvl>
  </w:abstractNum>
  <w:abstractNum w:abstractNumId="25" w15:restartNumberingAfterBreak="0">
    <w:nsid w:val="73345667"/>
    <w:multiLevelType w:val="hybridMultilevel"/>
    <w:tmpl w:val="DFA6A894"/>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7E9312A2"/>
    <w:multiLevelType w:val="hybridMultilevel"/>
    <w:tmpl w:val="DF24022E"/>
    <w:lvl w:ilvl="0" w:tplc="20000001">
      <w:start w:val="1"/>
      <w:numFmt w:val="bullet"/>
      <w:lvlText w:val=""/>
      <w:lvlJc w:val="left"/>
      <w:pPr>
        <w:ind w:left="450" w:hanging="360"/>
      </w:pPr>
      <w:rPr>
        <w:rFonts w:ascii="Symbol" w:hAnsi="Symbol" w:hint="default"/>
      </w:rPr>
    </w:lvl>
    <w:lvl w:ilvl="1" w:tplc="20000003" w:tentative="1">
      <w:start w:val="1"/>
      <w:numFmt w:val="bullet"/>
      <w:lvlText w:val="o"/>
      <w:lvlJc w:val="left"/>
      <w:pPr>
        <w:ind w:left="1170" w:hanging="360"/>
      </w:pPr>
      <w:rPr>
        <w:rFonts w:ascii="Courier New" w:hAnsi="Courier New" w:cs="Courier New" w:hint="default"/>
      </w:rPr>
    </w:lvl>
    <w:lvl w:ilvl="2" w:tplc="20000005" w:tentative="1">
      <w:start w:val="1"/>
      <w:numFmt w:val="bullet"/>
      <w:lvlText w:val=""/>
      <w:lvlJc w:val="left"/>
      <w:pPr>
        <w:ind w:left="1890" w:hanging="360"/>
      </w:pPr>
      <w:rPr>
        <w:rFonts w:ascii="Wingdings" w:hAnsi="Wingdings" w:hint="default"/>
      </w:rPr>
    </w:lvl>
    <w:lvl w:ilvl="3" w:tplc="20000001" w:tentative="1">
      <w:start w:val="1"/>
      <w:numFmt w:val="bullet"/>
      <w:lvlText w:val=""/>
      <w:lvlJc w:val="left"/>
      <w:pPr>
        <w:ind w:left="2610" w:hanging="360"/>
      </w:pPr>
      <w:rPr>
        <w:rFonts w:ascii="Symbol" w:hAnsi="Symbol" w:hint="default"/>
      </w:rPr>
    </w:lvl>
    <w:lvl w:ilvl="4" w:tplc="20000003" w:tentative="1">
      <w:start w:val="1"/>
      <w:numFmt w:val="bullet"/>
      <w:lvlText w:val="o"/>
      <w:lvlJc w:val="left"/>
      <w:pPr>
        <w:ind w:left="3330" w:hanging="360"/>
      </w:pPr>
      <w:rPr>
        <w:rFonts w:ascii="Courier New" w:hAnsi="Courier New" w:cs="Courier New" w:hint="default"/>
      </w:rPr>
    </w:lvl>
    <w:lvl w:ilvl="5" w:tplc="20000005" w:tentative="1">
      <w:start w:val="1"/>
      <w:numFmt w:val="bullet"/>
      <w:lvlText w:val=""/>
      <w:lvlJc w:val="left"/>
      <w:pPr>
        <w:ind w:left="4050" w:hanging="360"/>
      </w:pPr>
      <w:rPr>
        <w:rFonts w:ascii="Wingdings" w:hAnsi="Wingdings" w:hint="default"/>
      </w:rPr>
    </w:lvl>
    <w:lvl w:ilvl="6" w:tplc="20000001" w:tentative="1">
      <w:start w:val="1"/>
      <w:numFmt w:val="bullet"/>
      <w:lvlText w:val=""/>
      <w:lvlJc w:val="left"/>
      <w:pPr>
        <w:ind w:left="4770" w:hanging="360"/>
      </w:pPr>
      <w:rPr>
        <w:rFonts w:ascii="Symbol" w:hAnsi="Symbol" w:hint="default"/>
      </w:rPr>
    </w:lvl>
    <w:lvl w:ilvl="7" w:tplc="20000003" w:tentative="1">
      <w:start w:val="1"/>
      <w:numFmt w:val="bullet"/>
      <w:lvlText w:val="o"/>
      <w:lvlJc w:val="left"/>
      <w:pPr>
        <w:ind w:left="5490" w:hanging="360"/>
      </w:pPr>
      <w:rPr>
        <w:rFonts w:ascii="Courier New" w:hAnsi="Courier New" w:cs="Courier New" w:hint="default"/>
      </w:rPr>
    </w:lvl>
    <w:lvl w:ilvl="8" w:tplc="20000005" w:tentative="1">
      <w:start w:val="1"/>
      <w:numFmt w:val="bullet"/>
      <w:lvlText w:val=""/>
      <w:lvlJc w:val="left"/>
      <w:pPr>
        <w:ind w:left="6210" w:hanging="360"/>
      </w:pPr>
      <w:rPr>
        <w:rFonts w:ascii="Wingdings" w:hAnsi="Wingdings" w:hint="default"/>
      </w:rPr>
    </w:lvl>
  </w:abstractNum>
  <w:abstractNum w:abstractNumId="27" w15:restartNumberingAfterBreak="0">
    <w:nsid w:val="7E9B4DDC"/>
    <w:multiLevelType w:val="hybridMultilevel"/>
    <w:tmpl w:val="5442C8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88483239">
    <w:abstractNumId w:val="11"/>
  </w:num>
  <w:num w:numId="2" w16cid:durableId="1876698366">
    <w:abstractNumId w:val="6"/>
  </w:num>
  <w:num w:numId="3" w16cid:durableId="1312782772">
    <w:abstractNumId w:val="3"/>
  </w:num>
  <w:num w:numId="4" w16cid:durableId="1244797111">
    <w:abstractNumId w:val="19"/>
  </w:num>
  <w:num w:numId="5" w16cid:durableId="1455903350">
    <w:abstractNumId w:val="1"/>
  </w:num>
  <w:num w:numId="6" w16cid:durableId="253322608">
    <w:abstractNumId w:val="9"/>
  </w:num>
  <w:num w:numId="7" w16cid:durableId="1486781790">
    <w:abstractNumId w:val="24"/>
  </w:num>
  <w:num w:numId="8" w16cid:durableId="1597784729">
    <w:abstractNumId w:val="7"/>
  </w:num>
  <w:num w:numId="9" w16cid:durableId="1218274667">
    <w:abstractNumId w:val="0"/>
  </w:num>
  <w:num w:numId="10" w16cid:durableId="554781826">
    <w:abstractNumId w:val="10"/>
  </w:num>
  <w:num w:numId="11" w16cid:durableId="2040155763">
    <w:abstractNumId w:val="20"/>
  </w:num>
  <w:num w:numId="12" w16cid:durableId="971056628">
    <w:abstractNumId w:val="2"/>
  </w:num>
  <w:num w:numId="13" w16cid:durableId="1808668200">
    <w:abstractNumId w:val="14"/>
  </w:num>
  <w:num w:numId="14" w16cid:durableId="1293899252">
    <w:abstractNumId w:val="5"/>
  </w:num>
  <w:num w:numId="15" w16cid:durableId="556740106">
    <w:abstractNumId w:val="8"/>
  </w:num>
  <w:num w:numId="16" w16cid:durableId="862867332">
    <w:abstractNumId w:val="4"/>
  </w:num>
  <w:num w:numId="17" w16cid:durableId="1423914064">
    <w:abstractNumId w:val="27"/>
  </w:num>
  <w:num w:numId="18" w16cid:durableId="1288900892">
    <w:abstractNumId w:val="25"/>
  </w:num>
  <w:num w:numId="19" w16cid:durableId="1386293908">
    <w:abstractNumId w:val="13"/>
  </w:num>
  <w:num w:numId="20" w16cid:durableId="2126456999">
    <w:abstractNumId w:val="21"/>
  </w:num>
  <w:num w:numId="21" w16cid:durableId="569003189">
    <w:abstractNumId w:val="18"/>
  </w:num>
  <w:num w:numId="22" w16cid:durableId="699166333">
    <w:abstractNumId w:val="23"/>
  </w:num>
  <w:num w:numId="23" w16cid:durableId="1725635872">
    <w:abstractNumId w:val="22"/>
  </w:num>
  <w:num w:numId="24" w16cid:durableId="159347177">
    <w:abstractNumId w:val="12"/>
  </w:num>
  <w:num w:numId="25" w16cid:durableId="1970941226">
    <w:abstractNumId w:val="16"/>
  </w:num>
  <w:num w:numId="26" w16cid:durableId="1539468033">
    <w:abstractNumId w:val="17"/>
  </w:num>
  <w:num w:numId="27" w16cid:durableId="1990594867">
    <w:abstractNumId w:val="26"/>
  </w:num>
  <w:num w:numId="28" w16cid:durableId="2025856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42"/>
    <w:rsid w:val="00007E8D"/>
    <w:rsid w:val="00097970"/>
    <w:rsid w:val="00127F0B"/>
    <w:rsid w:val="0014792D"/>
    <w:rsid w:val="001934DD"/>
    <w:rsid w:val="001A409C"/>
    <w:rsid w:val="001A79FE"/>
    <w:rsid w:val="001C4167"/>
    <w:rsid w:val="001E5497"/>
    <w:rsid w:val="001F7C42"/>
    <w:rsid w:val="0020611D"/>
    <w:rsid w:val="0026179F"/>
    <w:rsid w:val="00267970"/>
    <w:rsid w:val="002E4928"/>
    <w:rsid w:val="00324CFC"/>
    <w:rsid w:val="0032664B"/>
    <w:rsid w:val="00340F7D"/>
    <w:rsid w:val="00347181"/>
    <w:rsid w:val="003722A4"/>
    <w:rsid w:val="003B5E84"/>
    <w:rsid w:val="00406E42"/>
    <w:rsid w:val="00463D34"/>
    <w:rsid w:val="00493650"/>
    <w:rsid w:val="004C7578"/>
    <w:rsid w:val="004D2D2C"/>
    <w:rsid w:val="004E45D7"/>
    <w:rsid w:val="005177FE"/>
    <w:rsid w:val="00531513"/>
    <w:rsid w:val="00534729"/>
    <w:rsid w:val="005874FE"/>
    <w:rsid w:val="005A4705"/>
    <w:rsid w:val="005A4D14"/>
    <w:rsid w:val="005A7CD2"/>
    <w:rsid w:val="005B2D78"/>
    <w:rsid w:val="005C63F5"/>
    <w:rsid w:val="005E4DF3"/>
    <w:rsid w:val="005E5F42"/>
    <w:rsid w:val="005F37DD"/>
    <w:rsid w:val="00623449"/>
    <w:rsid w:val="00625433"/>
    <w:rsid w:val="0066396A"/>
    <w:rsid w:val="0067096B"/>
    <w:rsid w:val="00683C1D"/>
    <w:rsid w:val="00686233"/>
    <w:rsid w:val="006C34E1"/>
    <w:rsid w:val="006C5475"/>
    <w:rsid w:val="006F5594"/>
    <w:rsid w:val="007272E6"/>
    <w:rsid w:val="00774149"/>
    <w:rsid w:val="007C559F"/>
    <w:rsid w:val="007E5005"/>
    <w:rsid w:val="008043E0"/>
    <w:rsid w:val="00805D08"/>
    <w:rsid w:val="00806CC0"/>
    <w:rsid w:val="00851B5D"/>
    <w:rsid w:val="00855D6E"/>
    <w:rsid w:val="008660E0"/>
    <w:rsid w:val="008B70E6"/>
    <w:rsid w:val="008F34D4"/>
    <w:rsid w:val="00956DA4"/>
    <w:rsid w:val="009B4E14"/>
    <w:rsid w:val="009D7A2E"/>
    <w:rsid w:val="009E4FA2"/>
    <w:rsid w:val="00A36DF5"/>
    <w:rsid w:val="00A61A20"/>
    <w:rsid w:val="00A66E16"/>
    <w:rsid w:val="00AB6F47"/>
    <w:rsid w:val="00AD456D"/>
    <w:rsid w:val="00AF0DC8"/>
    <w:rsid w:val="00B16584"/>
    <w:rsid w:val="00B50B89"/>
    <w:rsid w:val="00BB6EAC"/>
    <w:rsid w:val="00BD2BCC"/>
    <w:rsid w:val="00C167A3"/>
    <w:rsid w:val="00C355A5"/>
    <w:rsid w:val="00C40B1A"/>
    <w:rsid w:val="00C84E13"/>
    <w:rsid w:val="00CA13FF"/>
    <w:rsid w:val="00CA45B2"/>
    <w:rsid w:val="00CC0D4C"/>
    <w:rsid w:val="00CC28BA"/>
    <w:rsid w:val="00D35128"/>
    <w:rsid w:val="00D50867"/>
    <w:rsid w:val="00D50A42"/>
    <w:rsid w:val="00DA3C53"/>
    <w:rsid w:val="00DA7F30"/>
    <w:rsid w:val="00DD335D"/>
    <w:rsid w:val="00DD376C"/>
    <w:rsid w:val="00E15BC5"/>
    <w:rsid w:val="00E5067E"/>
    <w:rsid w:val="00E52C41"/>
    <w:rsid w:val="00EA596C"/>
    <w:rsid w:val="00ED3E4B"/>
    <w:rsid w:val="00F10FE1"/>
    <w:rsid w:val="00FA5C48"/>
    <w:rsid w:val="00FF63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545969"/>
  <w15:docId w15:val="{5EA6CE93-38C8-4F78-A03F-2D40D6D1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nhideWhenUsed="1" w:qFormat="1"/>
    <w:lsdException w:name="heading 3" w:uiPriority="9"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B2D78"/>
    <w:pPr>
      <w:widowControl w:val="0"/>
      <w:autoSpaceDE w:val="0"/>
      <w:autoSpaceDN w:val="0"/>
    </w:pPr>
    <w:rPr>
      <w:rFonts w:eastAsia="Times New Roman"/>
      <w:sz w:val="22"/>
      <w:szCs w:val="22"/>
      <w:lang w:val="en-US" w:eastAsia="en-US"/>
    </w:rPr>
  </w:style>
  <w:style w:type="paragraph" w:styleId="Heading1">
    <w:name w:val="heading 1"/>
    <w:basedOn w:val="Normal"/>
    <w:next w:val="Normal"/>
    <w:uiPriority w:val="1"/>
    <w:qFormat/>
    <w:pPr>
      <w:spacing w:before="87"/>
      <w:ind w:left="730"/>
      <w:outlineLvl w:val="0"/>
    </w:pPr>
    <w:rPr>
      <w:b/>
      <w:bCs/>
      <w:sz w:val="32"/>
      <w:szCs w:val="32"/>
    </w:rPr>
  </w:style>
  <w:style w:type="paragraph" w:styleId="Heading2">
    <w:name w:val="heading 2"/>
    <w:basedOn w:val="Normal"/>
    <w:next w:val="Normal"/>
    <w:unhideWhenUsed/>
    <w:qFormat/>
    <w:pPr>
      <w:ind w:left="730"/>
      <w:outlineLvl w:val="1"/>
    </w:pPr>
    <w:rPr>
      <w:b/>
      <w:bCs/>
      <w:i/>
      <w:sz w:val="32"/>
      <w:szCs w:val="32"/>
    </w:rPr>
  </w:style>
  <w:style w:type="paragraph" w:styleId="Heading3">
    <w:name w:val="heading 3"/>
    <w:basedOn w:val="Normal"/>
    <w:next w:val="Normal"/>
    <w:link w:val="Heading3Char"/>
    <w:uiPriority w:val="9"/>
    <w:unhideWhenUsed/>
    <w:qFormat/>
    <w:pPr>
      <w:ind w:left="1007" w:hanging="559"/>
      <w:outlineLvl w:val="2"/>
    </w:pPr>
    <w:rPr>
      <w:b/>
      <w:bCs/>
      <w:sz w:val="28"/>
      <w:szCs w:val="28"/>
    </w:rPr>
  </w:style>
  <w:style w:type="paragraph" w:styleId="Heading4">
    <w:name w:val="heading 4"/>
    <w:basedOn w:val="Normal"/>
    <w:next w:val="Normal"/>
    <w:uiPriority w:val="1"/>
    <w:qFormat/>
    <w:pPr>
      <w:spacing w:before="178"/>
      <w:ind w:left="1287" w:hanging="70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uiPriority w:val="99"/>
    <w:unhideWhenUsed/>
    <w:qFormat/>
    <w:pPr>
      <w:tabs>
        <w:tab w:val="center" w:pos="4680"/>
        <w:tab w:val="right" w:pos="9360"/>
      </w:tabs>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1"/>
    <w:qFormat/>
    <w:pPr>
      <w:ind w:left="1332" w:hanging="324"/>
    </w:pPr>
  </w:style>
  <w:style w:type="paragraph" w:customStyle="1" w:styleId="EndNoteBibliography">
    <w:name w:val="EndNote Bibliography"/>
    <w:basedOn w:val="Normal"/>
    <w:qFormat/>
  </w:style>
  <w:style w:type="paragraph" w:customStyle="1" w:styleId="TableParagraph">
    <w:name w:val="Table Paragraph"/>
    <w:basedOn w:val="Normal"/>
    <w:uiPriority w:val="1"/>
    <w:qFormat/>
    <w:pPr>
      <w:spacing w:line="254" w:lineRule="exact"/>
      <w:ind w:left="104"/>
    </w:pPr>
  </w:style>
  <w:style w:type="paragraph" w:styleId="Header">
    <w:name w:val="header"/>
    <w:basedOn w:val="Normal"/>
    <w:link w:val="HeaderChar"/>
    <w:rsid w:val="00C40B1A"/>
    <w:pPr>
      <w:tabs>
        <w:tab w:val="center" w:pos="4513"/>
        <w:tab w:val="right" w:pos="9026"/>
      </w:tabs>
      <w:spacing w:after="0" w:line="240" w:lineRule="auto"/>
    </w:pPr>
  </w:style>
  <w:style w:type="character" w:customStyle="1" w:styleId="HeaderChar">
    <w:name w:val="Header Char"/>
    <w:basedOn w:val="DefaultParagraphFont"/>
    <w:link w:val="Header"/>
    <w:rsid w:val="00C40B1A"/>
    <w:rPr>
      <w:rFonts w:eastAsia="Times New Roman"/>
      <w:sz w:val="22"/>
      <w:szCs w:val="22"/>
      <w:lang w:val="en-US" w:eastAsia="en-US"/>
    </w:rPr>
  </w:style>
  <w:style w:type="paragraph" w:styleId="NormalWeb">
    <w:name w:val="Normal (Web)"/>
    <w:basedOn w:val="Normal"/>
    <w:uiPriority w:val="99"/>
    <w:unhideWhenUsed/>
    <w:rsid w:val="0032664B"/>
    <w:pPr>
      <w:widowControl/>
      <w:autoSpaceDE/>
      <w:autoSpaceDN/>
      <w:spacing w:before="100" w:beforeAutospacing="1" w:after="100" w:afterAutospacing="1" w:line="240" w:lineRule="auto"/>
    </w:pPr>
    <w:rPr>
      <w:sz w:val="24"/>
      <w:szCs w:val="24"/>
    </w:rPr>
  </w:style>
  <w:style w:type="character" w:styleId="Strong">
    <w:name w:val="Strong"/>
    <w:basedOn w:val="DefaultParagraphFont"/>
    <w:uiPriority w:val="22"/>
    <w:qFormat/>
    <w:rsid w:val="0032664B"/>
    <w:rPr>
      <w:b/>
      <w:bCs/>
    </w:rPr>
  </w:style>
  <w:style w:type="character" w:customStyle="1" w:styleId="whitespace-normal">
    <w:name w:val="whitespace-normal"/>
    <w:basedOn w:val="DefaultParagraphFont"/>
    <w:rsid w:val="0032664B"/>
  </w:style>
  <w:style w:type="character" w:styleId="Emphasis">
    <w:name w:val="Emphasis"/>
    <w:basedOn w:val="DefaultParagraphFont"/>
    <w:uiPriority w:val="20"/>
    <w:qFormat/>
    <w:rsid w:val="0032664B"/>
    <w:rPr>
      <w:i/>
      <w:iCs/>
    </w:rPr>
  </w:style>
  <w:style w:type="paragraph" w:styleId="ListParagraph">
    <w:name w:val="List Paragraph"/>
    <w:basedOn w:val="Normal"/>
    <w:uiPriority w:val="99"/>
    <w:rsid w:val="006C5475"/>
    <w:pPr>
      <w:ind w:left="720"/>
      <w:contextualSpacing/>
    </w:pPr>
  </w:style>
  <w:style w:type="character" w:customStyle="1" w:styleId="Heading3Char">
    <w:name w:val="Heading 3 Char"/>
    <w:basedOn w:val="DefaultParagraphFont"/>
    <w:link w:val="Heading3"/>
    <w:uiPriority w:val="9"/>
    <w:rsid w:val="005E4DF3"/>
    <w:rPr>
      <w:rFonts w:eastAsia="Times New Roman"/>
      <w:b/>
      <w:bCs/>
      <w:sz w:val="28"/>
      <w:szCs w:val="28"/>
      <w:lang w:val="en-US" w:eastAsia="en-US"/>
    </w:rPr>
  </w:style>
  <w:style w:type="character" w:customStyle="1" w:styleId="FooterChar">
    <w:name w:val="Footer Char"/>
    <w:basedOn w:val="DefaultParagraphFont"/>
    <w:link w:val="Footer"/>
    <w:uiPriority w:val="99"/>
    <w:rsid w:val="00DA7F30"/>
    <w:rPr>
      <w:rFonts w:eastAsia="Times New Roman"/>
      <w:sz w:val="22"/>
      <w:szCs w:val="22"/>
      <w:lang w:val="en-US" w:eastAsia="en-US"/>
    </w:rPr>
  </w:style>
  <w:style w:type="table" w:styleId="GridTable4-Accent1">
    <w:name w:val="Grid Table 4 Accent 1"/>
    <w:basedOn w:val="TableNormal"/>
    <w:uiPriority w:val="49"/>
    <w:rsid w:val="00DD33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A61A2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463D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11E8F4F-6A3F-4394-AA82-9B9DBA9747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2389</TotalTime>
  <Pages>21</Pages>
  <Words>5553</Words>
  <Characters>31656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sharif</dc:creator>
  <cp:lastModifiedBy>Motaz Suliman</cp:lastModifiedBy>
  <cp:revision>26</cp:revision>
  <cp:lastPrinted>2022-08-29T14:29:00Z</cp:lastPrinted>
  <dcterms:created xsi:type="dcterms:W3CDTF">2026-05-20T06:59:00Z</dcterms:created>
  <dcterms:modified xsi:type="dcterms:W3CDTF">2026-06-08T12:33:00Z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1033-11.24.5</vt:lpwstr>
  </property>
  <property fmtid="{D5CDD505-2E9C-101B-9397-08002B2CF9AE}" pid="3" name="ICV">
    <vt:lpwstr>7ACFC23A552D2B9A1D59346336411513</vt:lpwstr>
  </property>
</Properties>
</file>