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9830" w14:textId="77777777" w:rsidR="008442D4" w:rsidRDefault="008442D4"/>
    <w:p w14:paraId="6E527EBD" w14:textId="77777777" w:rsidR="007A3E54" w:rsidRPr="007A3E54" w:rsidRDefault="007A3E54" w:rsidP="007A3E54">
      <w:pPr>
        <w:rPr>
          <w:b/>
          <w:bCs/>
        </w:rPr>
      </w:pPr>
      <w:r w:rsidRPr="007A3E54">
        <w:rPr>
          <w:b/>
          <w:bCs/>
        </w:rPr>
        <w:t xml:space="preserve">From Shadows to Solutions: Leveraging Dark Data to </w:t>
      </w:r>
      <w:proofErr w:type="spellStart"/>
      <w:r w:rsidRPr="007A3E54">
        <w:rPr>
          <w:b/>
          <w:bCs/>
        </w:rPr>
        <w:t>Optimise</w:t>
      </w:r>
      <w:proofErr w:type="spellEnd"/>
      <w:r w:rsidRPr="007A3E54">
        <w:rPr>
          <w:b/>
          <w:bCs/>
        </w:rPr>
        <w:t xml:space="preserve"> Waqf Management in Malaysia</w:t>
      </w:r>
    </w:p>
    <w:p w14:paraId="6DD519C2" w14:textId="77777777" w:rsidR="007A3E54" w:rsidRPr="007A3E54" w:rsidRDefault="007A3E54" w:rsidP="007A3E54">
      <w:pPr>
        <w:rPr>
          <w:b/>
          <w:bCs/>
        </w:rPr>
      </w:pPr>
      <w:r w:rsidRPr="007A3E54">
        <w:rPr>
          <w:b/>
          <w:bCs/>
        </w:rPr>
        <w:t>Abstract</w:t>
      </w:r>
    </w:p>
    <w:p w14:paraId="234A267B" w14:textId="77777777" w:rsidR="007A3E54" w:rsidRPr="007A3E54" w:rsidRDefault="007A3E54" w:rsidP="007A3E54">
      <w:pPr>
        <w:jc w:val="both"/>
      </w:pPr>
      <w:r w:rsidRPr="007A3E54">
        <w:t xml:space="preserve">Waqf, as a core instrument of Islamic social finance, holds significant potential to support sustainable socio-economic development in Malaysia (Ihsan &amp; Ibrahim, 2011; Hossain, 2020). Despite this potential, many waqf assets remain underutilized due to governance challenges, managerial limitations, and critically, the presence of </w:t>
      </w:r>
      <w:proofErr w:type="gramStart"/>
      <w:r w:rsidRPr="007A3E54">
        <w:t>dark data—</w:t>
      </w:r>
      <w:proofErr w:type="gramEnd"/>
      <w:r w:rsidRPr="007A3E54">
        <w:t xml:space="preserve">data collected but not systematically analyzed for decision-making (Ahmad Fuzi et al., 2022). This conceptual study examines how dark data </w:t>
      </w:r>
      <w:proofErr w:type="gramStart"/>
      <w:r w:rsidRPr="007A3E54">
        <w:t>constrain</w:t>
      </w:r>
      <w:proofErr w:type="gramEnd"/>
      <w:r w:rsidRPr="007A3E54">
        <w:t xml:space="preserve"> effective waqf asset management, which will have an impact on the socio-economic status of the ummah. The study contributes theoretically by integrating dark data discourse with waqf literature and practically by offering strategic recommendations to State Islamic Religious Councils and waqf managers to enhance transparency, efficiency, and socio-economic impact.</w:t>
      </w:r>
    </w:p>
    <w:p w14:paraId="6EB31206" w14:textId="77777777" w:rsidR="007A3E54" w:rsidRPr="007A3E54" w:rsidRDefault="007A3E54" w:rsidP="007A3E54">
      <w:r w:rsidRPr="007A3E54">
        <w:rPr>
          <w:b/>
          <w:bCs/>
        </w:rPr>
        <w:t>Keywords:</w:t>
      </w:r>
      <w:r w:rsidRPr="007A3E54">
        <w:t> Waqf, Dark Data, Social Entrepreneurship, Islamic Social Finance, Malaysia</w:t>
      </w:r>
    </w:p>
    <w:p w14:paraId="66C76C1C" w14:textId="77777777" w:rsidR="007A3E54" w:rsidRPr="007A3E54" w:rsidRDefault="007A3E54" w:rsidP="007A3E54">
      <w:r w:rsidRPr="007A3E54">
        <w:pict w14:anchorId="09362724">
          <v:rect id="_x0000_i1025" style="width:0;height:.75pt" o:hralign="center" o:hrstd="t" o:hr="t" fillcolor="#a0a0a0" stroked="f"/>
        </w:pict>
      </w:r>
    </w:p>
    <w:p w14:paraId="0B8B58CC" w14:textId="77777777" w:rsidR="007A3E54" w:rsidRPr="007A3E54" w:rsidRDefault="007A3E54" w:rsidP="007A3E54">
      <w:pPr>
        <w:rPr>
          <w:b/>
          <w:bCs/>
        </w:rPr>
      </w:pPr>
      <w:r w:rsidRPr="007A3E54">
        <w:rPr>
          <w:b/>
          <w:bCs/>
        </w:rPr>
        <w:t>1. Introduction</w:t>
      </w:r>
    </w:p>
    <w:p w14:paraId="7BDA4FCA" w14:textId="77777777" w:rsidR="007A3E54" w:rsidRPr="007A3E54" w:rsidRDefault="007A3E54" w:rsidP="007A3E54">
      <w:pPr>
        <w:jc w:val="both"/>
      </w:pPr>
      <w:r w:rsidRPr="007A3E54">
        <w:t>Waqf, a longstanding Islamic endowment institution, has historically financed education, healthcare, and poverty alleviation in Muslim societies (Ihsan &amp; Ibrahim, 2011; Hossain, 2020). In contemporary settings, waqf has been positioned as a catalyst for social entrepreneurship, where commercial activities align with social objectives to generate sustainable impact (Iman &amp; Mohammad, 2017; Ridwan, 2021). In Malaysia, waqf institutions managed by State Islamic Religious Councils (SIRCs) oversee substantial assets, yet a significant proportion remains idle or underperforming (Abas &amp; Raji, 2018; Haniff et al., 2023).</w:t>
      </w:r>
    </w:p>
    <w:p w14:paraId="0133F5BE" w14:textId="77777777" w:rsidR="007A3E54" w:rsidRPr="007A3E54" w:rsidRDefault="007A3E54" w:rsidP="007A3E54">
      <w:pPr>
        <w:jc w:val="both"/>
      </w:pPr>
      <w:r w:rsidRPr="007A3E54">
        <w:t>Recent studies suggest that beyond financial and human capital constraints, ineffective data management practices—particularly the accumulation of dark data—constitute a structural barrier to optimal waqf utilization (Sulaiman et al., 2019; Ahmad Fuzi et al., 2022). Organizations typically analyze less than 20% of the data they collect, a trend likely mirrored in waqf institutions with limited digital maturity (Ahmad Fuzi et al., 2022). However, data governance remains underdeveloped in both academic discourse and institutional practice (Noordin et al., 2017).</w:t>
      </w:r>
    </w:p>
    <w:p w14:paraId="41672927" w14:textId="77777777" w:rsidR="007A3E54" w:rsidRPr="007A3E54" w:rsidRDefault="007A3E54" w:rsidP="007A3E54">
      <w:pPr>
        <w:jc w:val="both"/>
      </w:pPr>
      <w:r w:rsidRPr="007A3E54">
        <w:t xml:space="preserve">In Malaysia, waqf governance faces persistent issues, including ambiguity in property information, non-uniform management practices across states, and quality deficiencies in </w:t>
      </w:r>
      <w:r w:rsidRPr="007A3E54">
        <w:lastRenderedPageBreak/>
        <w:t xml:space="preserve">reporting (Mohd Hadli Shah et al., 2024). These weaknesses create fertile ground for dark data accumulation, reinforcing institutional inertia and constraining innovation. Thematic reviews identify technology application as critical for addressing waqf inefficiencies, yet empirical research examining data governance impacts remains limited (Nurul </w:t>
      </w:r>
      <w:proofErr w:type="spellStart"/>
      <w:r w:rsidRPr="007A3E54">
        <w:t>Aien</w:t>
      </w:r>
      <w:proofErr w:type="spellEnd"/>
      <w:r w:rsidRPr="007A3E54">
        <w:t xml:space="preserve"> et al., 2025). This paper addresses: </w:t>
      </w:r>
      <w:r w:rsidRPr="007A3E54">
        <w:rPr>
          <w:i/>
          <w:iCs/>
        </w:rPr>
        <w:t>How can leveraging dark data enhance waqf asset management and strengthen social entrepreneurship outcomes in Malaysia?</w:t>
      </w:r>
      <w:r w:rsidRPr="007A3E54">
        <w:t xml:space="preserve"> It responds to calls for rigorous research informing waqf governance and policy formulation (Mohd Hadli Shah et al., 2024). Malaysia's digital economy agenda provides impetus for waqf institutions to embrace data-driven governance, with initiatives like </w:t>
      </w:r>
      <w:proofErr w:type="spellStart"/>
      <w:r w:rsidRPr="007A3E54">
        <w:t>Wakaf</w:t>
      </w:r>
      <w:proofErr w:type="spellEnd"/>
      <w:r w:rsidRPr="007A3E54">
        <w:t xml:space="preserve"> MARA Madani demonstrating growing recognition of waqf's potential for community development (Zainal et al., 2025).</w:t>
      </w:r>
    </w:p>
    <w:p w14:paraId="2DA2A0AD" w14:textId="77777777" w:rsidR="007A3E54" w:rsidRPr="007A3E54" w:rsidRDefault="007A3E54" w:rsidP="007A3E54">
      <w:pPr>
        <w:rPr>
          <w:b/>
          <w:bCs/>
        </w:rPr>
      </w:pPr>
      <w:r w:rsidRPr="007A3E54">
        <w:rPr>
          <w:b/>
          <w:bCs/>
        </w:rPr>
        <w:t xml:space="preserve">Table 1: Summary on Waqf Management in Malaysia </w:t>
      </w:r>
    </w:p>
    <w:tbl>
      <w:tblPr>
        <w:tblW w:w="9338" w:type="dxa"/>
        <w:tblBorders>
          <w:top w:val="single" w:sz="2" w:space="0" w:color="E5E7EB"/>
          <w:left w:val="single" w:sz="2" w:space="0" w:color="E5E7EB"/>
          <w:bottom w:val="single" w:sz="2" w:space="0" w:color="E5E7EB"/>
          <w:right w:val="single" w:sz="2" w:space="0" w:color="E5E7EB"/>
        </w:tblBorders>
        <w:tblCellMar>
          <w:top w:w="15" w:type="dxa"/>
          <w:left w:w="15" w:type="dxa"/>
          <w:bottom w:w="15" w:type="dxa"/>
          <w:right w:w="15" w:type="dxa"/>
        </w:tblCellMar>
        <w:tblLook w:val="04A0" w:firstRow="1" w:lastRow="0" w:firstColumn="1" w:lastColumn="0" w:noHBand="0" w:noVBand="1"/>
      </w:tblPr>
      <w:tblGrid>
        <w:gridCol w:w="1851"/>
        <w:gridCol w:w="5762"/>
        <w:gridCol w:w="1725"/>
      </w:tblGrid>
      <w:tr w:rsidR="007A3E54" w:rsidRPr="007A3E54" w14:paraId="2DBBDB1B" w14:textId="77777777" w:rsidTr="0011780A">
        <w:trPr>
          <w:tblHeader/>
        </w:trPr>
        <w:tc>
          <w:tcPr>
            <w:tcW w:w="0" w:type="auto"/>
            <w:tcBorders>
              <w:top w:val="single" w:sz="2" w:space="0" w:color="auto"/>
              <w:left w:val="single" w:sz="2" w:space="0" w:color="auto"/>
              <w:bottom w:val="single" w:sz="6" w:space="0" w:color="auto"/>
              <w:right w:val="single" w:sz="6" w:space="0" w:color="auto"/>
            </w:tcBorders>
            <w:shd w:val="clear" w:color="auto" w:fill="F3F4F6"/>
            <w:vAlign w:val="center"/>
            <w:hideMark/>
          </w:tcPr>
          <w:p w14:paraId="52FAD42E" w14:textId="77777777" w:rsidR="007A3E54" w:rsidRPr="007A3E54" w:rsidRDefault="007A3E54" w:rsidP="007A3E54">
            <w:pPr>
              <w:rPr>
                <w:b/>
                <w:bCs/>
              </w:rPr>
            </w:pPr>
            <w:r w:rsidRPr="007A3E54">
              <w:rPr>
                <w:b/>
                <w:bCs/>
              </w:rPr>
              <w:t>Category</w:t>
            </w:r>
          </w:p>
        </w:tc>
        <w:tc>
          <w:tcPr>
            <w:tcW w:w="0" w:type="auto"/>
            <w:tcBorders>
              <w:top w:val="single" w:sz="2" w:space="0" w:color="auto"/>
              <w:left w:val="single" w:sz="2" w:space="0" w:color="auto"/>
              <w:bottom w:val="single" w:sz="6" w:space="0" w:color="auto"/>
              <w:right w:val="single" w:sz="6" w:space="0" w:color="auto"/>
            </w:tcBorders>
            <w:shd w:val="clear" w:color="auto" w:fill="F3F4F6"/>
            <w:vAlign w:val="center"/>
            <w:hideMark/>
          </w:tcPr>
          <w:p w14:paraId="7BAABF8D" w14:textId="77777777" w:rsidR="007A3E54" w:rsidRPr="007A3E54" w:rsidRDefault="007A3E54" w:rsidP="007A3E54">
            <w:pPr>
              <w:rPr>
                <w:b/>
                <w:bCs/>
              </w:rPr>
            </w:pPr>
            <w:r w:rsidRPr="007A3E54">
              <w:rPr>
                <w:b/>
                <w:bCs/>
              </w:rPr>
              <w:t>Key Statistic / Finding</w:t>
            </w:r>
          </w:p>
        </w:tc>
        <w:tc>
          <w:tcPr>
            <w:tcW w:w="0" w:type="auto"/>
            <w:tcBorders>
              <w:top w:val="single" w:sz="2" w:space="0" w:color="auto"/>
              <w:left w:val="single" w:sz="2" w:space="0" w:color="auto"/>
              <w:bottom w:val="single" w:sz="6" w:space="0" w:color="auto"/>
              <w:right w:val="single" w:sz="2" w:space="0" w:color="auto"/>
            </w:tcBorders>
            <w:shd w:val="clear" w:color="auto" w:fill="F3F4F6"/>
            <w:vAlign w:val="center"/>
            <w:hideMark/>
          </w:tcPr>
          <w:p w14:paraId="60837211" w14:textId="77777777" w:rsidR="007A3E54" w:rsidRPr="007A3E54" w:rsidRDefault="007A3E54" w:rsidP="007A3E54">
            <w:pPr>
              <w:rPr>
                <w:b/>
                <w:bCs/>
              </w:rPr>
            </w:pPr>
            <w:r w:rsidRPr="007A3E54">
              <w:rPr>
                <w:b/>
                <w:bCs/>
              </w:rPr>
              <w:t>Source</w:t>
            </w:r>
          </w:p>
        </w:tc>
      </w:tr>
      <w:tr w:rsidR="007A3E54" w:rsidRPr="007A3E54" w14:paraId="3ED74093"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9FAFB"/>
            <w:vAlign w:val="center"/>
            <w:hideMark/>
          </w:tcPr>
          <w:p w14:paraId="1AD167FD" w14:textId="77777777" w:rsidR="007A3E54" w:rsidRPr="007A3E54" w:rsidRDefault="007A3E54" w:rsidP="007A3E54">
            <w:r w:rsidRPr="007A3E54">
              <w:t>Data Utilization</w:t>
            </w:r>
          </w:p>
        </w:tc>
        <w:tc>
          <w:tcPr>
            <w:tcW w:w="0" w:type="auto"/>
            <w:tcBorders>
              <w:top w:val="single" w:sz="2" w:space="0" w:color="auto"/>
              <w:left w:val="single" w:sz="2" w:space="0" w:color="auto"/>
              <w:bottom w:val="single" w:sz="2" w:space="0" w:color="auto"/>
              <w:right w:val="single" w:sz="6" w:space="0" w:color="auto"/>
            </w:tcBorders>
            <w:shd w:val="clear" w:color="auto" w:fill="F9FAFB"/>
            <w:vAlign w:val="center"/>
            <w:hideMark/>
          </w:tcPr>
          <w:p w14:paraId="6E8F0BD5" w14:textId="77777777" w:rsidR="007A3E54" w:rsidRPr="007A3E54" w:rsidRDefault="007A3E54" w:rsidP="007A3E54">
            <w:r w:rsidRPr="007A3E54">
              <w:t>Less than </w:t>
            </w:r>
            <w:r w:rsidRPr="007A3E54">
              <w:rPr>
                <w:b/>
                <w:bCs/>
              </w:rPr>
              <w:t>20%</w:t>
            </w:r>
            <w:r w:rsidRPr="007A3E54">
              <w:t> of collected data is analyzed; the rest is "dark data"</w:t>
            </w:r>
          </w:p>
        </w:tc>
        <w:tc>
          <w:tcPr>
            <w:tcW w:w="0" w:type="auto"/>
            <w:tcBorders>
              <w:top w:val="single" w:sz="2" w:space="0" w:color="auto"/>
              <w:left w:val="single" w:sz="2" w:space="0" w:color="auto"/>
              <w:bottom w:val="single" w:sz="2" w:space="0" w:color="auto"/>
              <w:right w:val="single" w:sz="2" w:space="0" w:color="auto"/>
            </w:tcBorders>
            <w:shd w:val="clear" w:color="auto" w:fill="F9FAFB"/>
            <w:vAlign w:val="center"/>
            <w:hideMark/>
          </w:tcPr>
          <w:p w14:paraId="00C5C9B1" w14:textId="77777777" w:rsidR="007A3E54" w:rsidRPr="007A3E54" w:rsidRDefault="007A3E54" w:rsidP="007A3E54">
            <w:r w:rsidRPr="007A3E54">
              <w:t>Ahmad Fuzi et al., 2022</w:t>
            </w:r>
          </w:p>
        </w:tc>
      </w:tr>
      <w:tr w:rsidR="007A3E54" w:rsidRPr="007A3E54" w14:paraId="73DA1A4A"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62D526DC" w14:textId="77777777" w:rsidR="007A3E54" w:rsidRPr="007A3E54" w:rsidRDefault="007A3E54" w:rsidP="007A3E54">
            <w:r w:rsidRPr="007A3E54">
              <w:t>Dark Data in Waqf</w:t>
            </w:r>
          </w:p>
        </w:tc>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2640BAF6" w14:textId="77777777" w:rsidR="007A3E54" w:rsidRPr="007A3E54" w:rsidRDefault="007A3E54" w:rsidP="007A3E54">
            <w:r w:rsidRPr="007A3E54">
              <w:t>Waqf institutions likely analyze even less than 20% due to limited digital maturity</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C513E92" w14:textId="77777777" w:rsidR="007A3E54" w:rsidRPr="007A3E54" w:rsidRDefault="007A3E54" w:rsidP="007A3E54">
            <w:r w:rsidRPr="007A3E54">
              <w:t>Ahmad Fuzi et al., 2022</w:t>
            </w:r>
          </w:p>
        </w:tc>
      </w:tr>
      <w:tr w:rsidR="007A3E54" w:rsidRPr="007A3E54" w14:paraId="42F2F43F"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9FAFB"/>
            <w:vAlign w:val="center"/>
            <w:hideMark/>
          </w:tcPr>
          <w:p w14:paraId="112F6C04" w14:textId="77777777" w:rsidR="007A3E54" w:rsidRPr="007A3E54" w:rsidRDefault="007A3E54" w:rsidP="007A3E54">
            <w:r w:rsidRPr="007A3E54">
              <w:t>Governance Structure</w:t>
            </w:r>
          </w:p>
        </w:tc>
        <w:tc>
          <w:tcPr>
            <w:tcW w:w="0" w:type="auto"/>
            <w:tcBorders>
              <w:top w:val="single" w:sz="2" w:space="0" w:color="auto"/>
              <w:left w:val="single" w:sz="2" w:space="0" w:color="auto"/>
              <w:bottom w:val="single" w:sz="2" w:space="0" w:color="auto"/>
              <w:right w:val="single" w:sz="6" w:space="0" w:color="auto"/>
            </w:tcBorders>
            <w:shd w:val="clear" w:color="auto" w:fill="F9FAFB"/>
            <w:vAlign w:val="center"/>
            <w:hideMark/>
          </w:tcPr>
          <w:p w14:paraId="634F94EA" w14:textId="77777777" w:rsidR="007A3E54" w:rsidRPr="007A3E54" w:rsidRDefault="007A3E54" w:rsidP="007A3E54">
            <w:r w:rsidRPr="007A3E54">
              <w:t>14 State Islamic Religious Councils (SIRCs) operate as sole trustees with independent systems</w:t>
            </w:r>
          </w:p>
        </w:tc>
        <w:tc>
          <w:tcPr>
            <w:tcW w:w="0" w:type="auto"/>
            <w:tcBorders>
              <w:top w:val="single" w:sz="2" w:space="0" w:color="auto"/>
              <w:left w:val="single" w:sz="2" w:space="0" w:color="auto"/>
              <w:bottom w:val="single" w:sz="2" w:space="0" w:color="auto"/>
              <w:right w:val="single" w:sz="2" w:space="0" w:color="auto"/>
            </w:tcBorders>
            <w:shd w:val="clear" w:color="auto" w:fill="F9FAFB"/>
            <w:vAlign w:val="center"/>
            <w:hideMark/>
          </w:tcPr>
          <w:p w14:paraId="7F10CF70" w14:textId="77777777" w:rsidR="007A3E54" w:rsidRPr="007A3E54" w:rsidRDefault="007A3E54" w:rsidP="007A3E54">
            <w:r w:rsidRPr="007A3E54">
              <w:t>Mahadi et al., 2018</w:t>
            </w:r>
          </w:p>
        </w:tc>
      </w:tr>
      <w:tr w:rsidR="007A3E54" w:rsidRPr="007A3E54" w14:paraId="39C33068"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7D90F8C3" w14:textId="77777777" w:rsidR="007A3E54" w:rsidRPr="007A3E54" w:rsidRDefault="007A3E54" w:rsidP="007A3E54">
            <w:r w:rsidRPr="007A3E54">
              <w:t>Interoperability</w:t>
            </w:r>
          </w:p>
        </w:tc>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3DA455EA" w14:textId="77777777" w:rsidR="007A3E54" w:rsidRPr="007A3E54" w:rsidRDefault="007A3E54" w:rsidP="007A3E54">
            <w:r w:rsidRPr="007A3E54">
              <w:t>Limited to no interoperability between SIRC record-keeping systems across states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480BC43" w14:textId="77777777" w:rsidR="007A3E54" w:rsidRPr="007A3E54" w:rsidRDefault="007A3E54" w:rsidP="007A3E54">
            <w:r w:rsidRPr="007A3E54">
              <w:t>Mahadi et al., 2018</w:t>
            </w:r>
          </w:p>
        </w:tc>
      </w:tr>
      <w:tr w:rsidR="007A3E54" w:rsidRPr="007A3E54" w14:paraId="51B3AC6F"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9FAFB"/>
            <w:vAlign w:val="center"/>
            <w:hideMark/>
          </w:tcPr>
          <w:p w14:paraId="1024C5FF" w14:textId="77777777" w:rsidR="007A3E54" w:rsidRPr="007A3E54" w:rsidRDefault="007A3E54" w:rsidP="007A3E54">
            <w:r w:rsidRPr="007A3E54">
              <w:t>Asset Status</w:t>
            </w:r>
          </w:p>
        </w:tc>
        <w:tc>
          <w:tcPr>
            <w:tcW w:w="0" w:type="auto"/>
            <w:tcBorders>
              <w:top w:val="single" w:sz="2" w:space="0" w:color="auto"/>
              <w:left w:val="single" w:sz="2" w:space="0" w:color="auto"/>
              <w:bottom w:val="single" w:sz="2" w:space="0" w:color="auto"/>
              <w:right w:val="single" w:sz="6" w:space="0" w:color="auto"/>
            </w:tcBorders>
            <w:shd w:val="clear" w:color="auto" w:fill="F9FAFB"/>
            <w:vAlign w:val="center"/>
            <w:hideMark/>
          </w:tcPr>
          <w:p w14:paraId="6DCC94A9" w14:textId="77777777" w:rsidR="007A3E54" w:rsidRPr="007A3E54" w:rsidRDefault="007A3E54" w:rsidP="007A3E54">
            <w:r w:rsidRPr="007A3E54">
              <w:t>A significant proportion of waqf assets remain idle or underperforming</w:t>
            </w:r>
          </w:p>
        </w:tc>
        <w:tc>
          <w:tcPr>
            <w:tcW w:w="0" w:type="auto"/>
            <w:tcBorders>
              <w:top w:val="single" w:sz="2" w:space="0" w:color="auto"/>
              <w:left w:val="single" w:sz="2" w:space="0" w:color="auto"/>
              <w:bottom w:val="single" w:sz="2" w:space="0" w:color="auto"/>
              <w:right w:val="single" w:sz="2" w:space="0" w:color="auto"/>
            </w:tcBorders>
            <w:shd w:val="clear" w:color="auto" w:fill="F9FAFB"/>
            <w:vAlign w:val="center"/>
            <w:hideMark/>
          </w:tcPr>
          <w:p w14:paraId="5C700D1B" w14:textId="77777777" w:rsidR="007A3E54" w:rsidRPr="007A3E54" w:rsidRDefault="007A3E54" w:rsidP="007A3E54">
            <w:r w:rsidRPr="007A3E54">
              <w:t>Abas &amp; Raji, 2018</w:t>
            </w:r>
          </w:p>
        </w:tc>
      </w:tr>
      <w:tr w:rsidR="007A3E54" w:rsidRPr="007A3E54" w14:paraId="142B4A11"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74EB002D" w14:textId="77777777" w:rsidR="007A3E54" w:rsidRPr="007A3E54" w:rsidRDefault="007A3E54" w:rsidP="007A3E54">
            <w:r w:rsidRPr="007A3E54">
              <w:t>Data Storage</w:t>
            </w:r>
          </w:p>
        </w:tc>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7672C717" w14:textId="77777777" w:rsidR="007A3E54" w:rsidRPr="007A3E54" w:rsidRDefault="007A3E54" w:rsidP="007A3E54">
            <w:r w:rsidRPr="007A3E54">
              <w:t>Records in disparate formats — paper files, isolated spreadsheets, no centralized integration</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C4CAA3A" w14:textId="77777777" w:rsidR="007A3E54" w:rsidRPr="007A3E54" w:rsidRDefault="007A3E54" w:rsidP="007A3E54">
            <w:r w:rsidRPr="007A3E54">
              <w:t>Noordin et al., 2017</w:t>
            </w:r>
          </w:p>
        </w:tc>
      </w:tr>
      <w:tr w:rsidR="007A3E54" w:rsidRPr="007A3E54" w14:paraId="715FDFE5"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5BC51D3B" w14:textId="77777777" w:rsidR="007A3E54" w:rsidRPr="007A3E54" w:rsidRDefault="007A3E54" w:rsidP="007A3E54">
            <w:r w:rsidRPr="007A3E54">
              <w:t>Governance Issues</w:t>
            </w:r>
          </w:p>
        </w:tc>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33FF3CF9" w14:textId="77777777" w:rsidR="007A3E54" w:rsidRPr="007A3E54" w:rsidRDefault="007A3E54" w:rsidP="007A3E54">
            <w:r w:rsidRPr="007A3E54">
              <w:t>3 persistent problems: (1) ambiguity in property info, (2) non-uniform practices, (3) reporting quality deficiencies</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1D2DC72" w14:textId="77777777" w:rsidR="007A3E54" w:rsidRPr="007A3E54" w:rsidRDefault="007A3E54" w:rsidP="007A3E54">
            <w:pPr>
              <w:rPr>
                <w:lang w:val="sv-SE"/>
              </w:rPr>
            </w:pPr>
            <w:r w:rsidRPr="007A3E54">
              <w:rPr>
                <w:lang w:val="sv-SE"/>
              </w:rPr>
              <w:t>Mohd Hadli Shah et al., 2024</w:t>
            </w:r>
          </w:p>
        </w:tc>
      </w:tr>
      <w:tr w:rsidR="007A3E54" w:rsidRPr="007A3E54" w14:paraId="7C619EA3"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9FAFB"/>
            <w:vAlign w:val="center"/>
            <w:hideMark/>
          </w:tcPr>
          <w:p w14:paraId="061D5645" w14:textId="77777777" w:rsidR="007A3E54" w:rsidRPr="007A3E54" w:rsidRDefault="007A3E54" w:rsidP="007A3E54">
            <w:r w:rsidRPr="007A3E54">
              <w:t>Managerial Capacity</w:t>
            </w:r>
          </w:p>
        </w:tc>
        <w:tc>
          <w:tcPr>
            <w:tcW w:w="0" w:type="auto"/>
            <w:tcBorders>
              <w:top w:val="single" w:sz="2" w:space="0" w:color="auto"/>
              <w:left w:val="single" w:sz="2" w:space="0" w:color="auto"/>
              <w:bottom w:val="single" w:sz="2" w:space="0" w:color="auto"/>
              <w:right w:val="single" w:sz="6" w:space="0" w:color="auto"/>
            </w:tcBorders>
            <w:shd w:val="clear" w:color="auto" w:fill="F9FAFB"/>
            <w:vAlign w:val="center"/>
            <w:hideMark/>
          </w:tcPr>
          <w:p w14:paraId="2E835522" w14:textId="77777777" w:rsidR="007A3E54" w:rsidRPr="007A3E54" w:rsidRDefault="007A3E54" w:rsidP="007A3E54">
            <w:r w:rsidRPr="007A3E54">
              <w:t>Inadequate training + difficulty attracting qualified personnel with dual religious-business expertise</w:t>
            </w:r>
          </w:p>
        </w:tc>
        <w:tc>
          <w:tcPr>
            <w:tcW w:w="0" w:type="auto"/>
            <w:tcBorders>
              <w:top w:val="single" w:sz="2" w:space="0" w:color="auto"/>
              <w:left w:val="single" w:sz="2" w:space="0" w:color="auto"/>
              <w:bottom w:val="single" w:sz="2" w:space="0" w:color="auto"/>
              <w:right w:val="single" w:sz="2" w:space="0" w:color="auto"/>
            </w:tcBorders>
            <w:shd w:val="clear" w:color="auto" w:fill="F9FAFB"/>
            <w:vAlign w:val="center"/>
            <w:hideMark/>
          </w:tcPr>
          <w:p w14:paraId="7F65B870" w14:textId="77777777" w:rsidR="007A3E54" w:rsidRPr="007A3E54" w:rsidRDefault="007A3E54" w:rsidP="007A3E54">
            <w:r w:rsidRPr="007A3E54">
              <w:t xml:space="preserve">Nurul </w:t>
            </w:r>
            <w:proofErr w:type="spellStart"/>
            <w:r w:rsidRPr="007A3E54">
              <w:t>Aien</w:t>
            </w:r>
            <w:proofErr w:type="spellEnd"/>
            <w:r w:rsidRPr="007A3E54">
              <w:t xml:space="preserve"> et al., 2025</w:t>
            </w:r>
          </w:p>
        </w:tc>
      </w:tr>
      <w:tr w:rsidR="007A3E54" w:rsidRPr="007A3E54" w14:paraId="0CFDE1DE"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480FE074" w14:textId="77777777" w:rsidR="007A3E54" w:rsidRPr="007A3E54" w:rsidRDefault="007A3E54" w:rsidP="007A3E54">
            <w:r w:rsidRPr="007A3E54">
              <w:lastRenderedPageBreak/>
              <w:t>Vicious Cycle</w:t>
            </w:r>
          </w:p>
        </w:tc>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2422AB1E" w14:textId="77777777" w:rsidR="007A3E54" w:rsidRPr="007A3E54" w:rsidRDefault="007A3E54" w:rsidP="007A3E54">
            <w:r w:rsidRPr="007A3E54">
              <w:t>Limited capacity → more dark data → obscured performance → harder to justify investment → limited capacity</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10B63BB" w14:textId="77777777" w:rsidR="007A3E54" w:rsidRPr="007A3E54" w:rsidRDefault="007A3E54" w:rsidP="007A3E54">
            <w:r w:rsidRPr="007A3E54">
              <w:t>Sulaiman &amp; Zakari, 2019</w:t>
            </w:r>
          </w:p>
        </w:tc>
      </w:tr>
      <w:tr w:rsidR="007A3E54" w:rsidRPr="007A3E54" w14:paraId="7DB6E9F5"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9FAFB"/>
            <w:vAlign w:val="center"/>
            <w:hideMark/>
          </w:tcPr>
          <w:p w14:paraId="02CEA877" w14:textId="77777777" w:rsidR="007A3E54" w:rsidRPr="007A3E54" w:rsidRDefault="007A3E54" w:rsidP="007A3E54">
            <w:r w:rsidRPr="007A3E54">
              <w:t>Federal Oversight</w:t>
            </w:r>
          </w:p>
        </w:tc>
        <w:tc>
          <w:tcPr>
            <w:tcW w:w="0" w:type="auto"/>
            <w:tcBorders>
              <w:top w:val="single" w:sz="2" w:space="0" w:color="auto"/>
              <w:left w:val="single" w:sz="2" w:space="0" w:color="auto"/>
              <w:bottom w:val="single" w:sz="2" w:space="0" w:color="auto"/>
              <w:right w:val="single" w:sz="6" w:space="0" w:color="auto"/>
            </w:tcBorders>
            <w:shd w:val="clear" w:color="auto" w:fill="F9FAFB"/>
            <w:vAlign w:val="center"/>
            <w:hideMark/>
          </w:tcPr>
          <w:p w14:paraId="4D219427" w14:textId="77777777" w:rsidR="007A3E54" w:rsidRPr="007A3E54" w:rsidRDefault="007A3E54" w:rsidP="007A3E54">
            <w:r w:rsidRPr="007A3E54">
              <w:t>JAWHAR identified as key agency for national waqf database &amp; digital standards</w:t>
            </w:r>
          </w:p>
        </w:tc>
        <w:tc>
          <w:tcPr>
            <w:tcW w:w="0" w:type="auto"/>
            <w:tcBorders>
              <w:top w:val="single" w:sz="2" w:space="0" w:color="auto"/>
              <w:left w:val="single" w:sz="2" w:space="0" w:color="auto"/>
              <w:bottom w:val="single" w:sz="2" w:space="0" w:color="auto"/>
              <w:right w:val="single" w:sz="2" w:space="0" w:color="auto"/>
            </w:tcBorders>
            <w:shd w:val="clear" w:color="auto" w:fill="F9FAFB"/>
            <w:vAlign w:val="center"/>
            <w:hideMark/>
          </w:tcPr>
          <w:p w14:paraId="1C3D7B7B" w14:textId="77777777" w:rsidR="007A3E54" w:rsidRPr="007A3E54" w:rsidRDefault="007A3E54" w:rsidP="007A3E54">
            <w:r w:rsidRPr="007A3E54">
              <w:t>Haniff et al., 2023</w:t>
            </w:r>
          </w:p>
        </w:tc>
      </w:tr>
      <w:tr w:rsidR="007A3E54" w:rsidRPr="007A3E54" w14:paraId="629C5124" w14:textId="77777777" w:rsidTr="0011780A">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6D3A58C2" w14:textId="77777777" w:rsidR="007A3E54" w:rsidRPr="007A3E54" w:rsidRDefault="007A3E54" w:rsidP="007A3E54">
            <w:r w:rsidRPr="007A3E54">
              <w:t>Policy Initiative</w:t>
            </w:r>
          </w:p>
        </w:tc>
        <w:tc>
          <w:tcPr>
            <w:tcW w:w="0" w:type="auto"/>
            <w:tcBorders>
              <w:top w:val="single" w:sz="2" w:space="0" w:color="auto"/>
              <w:left w:val="single" w:sz="2" w:space="0" w:color="auto"/>
              <w:bottom w:val="single" w:sz="2" w:space="0" w:color="auto"/>
              <w:right w:val="single" w:sz="6" w:space="0" w:color="auto"/>
            </w:tcBorders>
            <w:shd w:val="clear" w:color="auto" w:fill="FFFFFF"/>
            <w:vAlign w:val="center"/>
            <w:hideMark/>
          </w:tcPr>
          <w:p w14:paraId="726BF4F2" w14:textId="77777777" w:rsidR="007A3E54" w:rsidRPr="007A3E54" w:rsidRDefault="007A3E54" w:rsidP="007A3E54">
            <w:proofErr w:type="spellStart"/>
            <w:r w:rsidRPr="007A3E54">
              <w:t>Wakaf</w:t>
            </w:r>
            <w:proofErr w:type="spellEnd"/>
            <w:r w:rsidRPr="007A3E54">
              <w:t xml:space="preserve"> MARA Madani — emerging initiative linking waqf to community development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2A0EC77" w14:textId="77777777" w:rsidR="007A3E54" w:rsidRPr="007A3E54" w:rsidRDefault="007A3E54" w:rsidP="007A3E54">
            <w:r w:rsidRPr="007A3E54">
              <w:t>Zainal et al., 2025</w:t>
            </w:r>
          </w:p>
        </w:tc>
      </w:tr>
    </w:tbl>
    <w:p w14:paraId="6EF3C9D6" w14:textId="77777777" w:rsidR="007A3E54" w:rsidRPr="007A3E54" w:rsidRDefault="007A3E54" w:rsidP="007A3E54"/>
    <w:p w14:paraId="1992FCCC" w14:textId="77777777" w:rsidR="007A3E54" w:rsidRPr="007A3E54" w:rsidRDefault="007A3E54" w:rsidP="007A3E54"/>
    <w:p w14:paraId="36F8E0DF" w14:textId="77777777" w:rsidR="007A3E54" w:rsidRPr="007A3E54" w:rsidRDefault="007A3E54" w:rsidP="007A3E54">
      <w:pPr>
        <w:rPr>
          <w:b/>
          <w:bCs/>
        </w:rPr>
      </w:pPr>
      <w:r w:rsidRPr="007A3E54">
        <w:rPr>
          <w:b/>
          <w:bCs/>
        </w:rPr>
        <w:t>2. Conceptual Background</w:t>
      </w:r>
    </w:p>
    <w:p w14:paraId="04D79EC9" w14:textId="77777777" w:rsidR="007A3E54" w:rsidRPr="007A3E54" w:rsidRDefault="007A3E54" w:rsidP="007A3E54">
      <w:pPr>
        <w:jc w:val="both"/>
      </w:pPr>
      <w:r w:rsidRPr="007A3E54">
        <w:t>This study is anchored in three interrelated pillars: waqf as Islamic social finance, social entrepreneurship for sustainable value creation, and dark data as an institutional constraint affecting governance (Nicholls, 2010; Iman &amp; Mohammad, 2017; Ahmad Fuzi et al., 2022).</w:t>
      </w:r>
    </w:p>
    <w:p w14:paraId="5EF33B57" w14:textId="77777777" w:rsidR="007A3E54" w:rsidRPr="007A3E54" w:rsidRDefault="007A3E54" w:rsidP="007A3E54">
      <w:pPr>
        <w:jc w:val="both"/>
        <w:rPr>
          <w:b/>
          <w:bCs/>
        </w:rPr>
      </w:pPr>
      <w:r w:rsidRPr="007A3E54">
        <w:rPr>
          <w:b/>
          <w:bCs/>
        </w:rPr>
        <w:t>2.1 Waqf as Islamic Social Finance</w:t>
      </w:r>
    </w:p>
    <w:p w14:paraId="34386CE5" w14:textId="77777777" w:rsidR="007A3E54" w:rsidRDefault="007A3E54" w:rsidP="007A3E54">
      <w:pPr>
        <w:jc w:val="both"/>
      </w:pPr>
      <w:r w:rsidRPr="007A3E54">
        <w:t xml:space="preserve">Waqf represents a distinctive institution </w:t>
      </w:r>
      <w:proofErr w:type="spellStart"/>
      <w:r w:rsidRPr="007A3E54">
        <w:t>characterised</w:t>
      </w:r>
      <w:proofErr w:type="spellEnd"/>
      <w:r w:rsidRPr="007A3E54">
        <w:t xml:space="preserve"> by perpetual dedication of assets for charitable and socio-economic purposes (Ihsan &amp; Ibrahim, 2011). Historically, financing public goods, waqf functioned as a non-state welfare mechanism in Muslim societies (Hossain, 2020). Contemporary scholarship positions waqf as a productive economic instrument generating sustainable income when professionally managed (Farid, 2016; Sulaiman &amp; Zakari, 2019). Within Islamic social finance, waqf complements zakat and </w:t>
      </w:r>
      <w:proofErr w:type="spellStart"/>
      <w:r w:rsidRPr="007A3E54">
        <w:t>sadaqah</w:t>
      </w:r>
      <w:proofErr w:type="spellEnd"/>
      <w:r w:rsidRPr="007A3E54">
        <w:t xml:space="preserve"> but differs in its long-term, asset-based nature (</w:t>
      </w:r>
      <w:proofErr w:type="spellStart"/>
      <w:r w:rsidRPr="007A3E54">
        <w:t>Ascarya</w:t>
      </w:r>
      <w:proofErr w:type="spellEnd"/>
      <w:r w:rsidRPr="007A3E54">
        <w:t xml:space="preserve">, 2021). Productive waqf emphasizes asset development and income generation, aligning with </w:t>
      </w:r>
      <w:proofErr w:type="spellStart"/>
      <w:r w:rsidRPr="007A3E54">
        <w:t>maqasid</w:t>
      </w:r>
      <w:proofErr w:type="spellEnd"/>
      <w:r w:rsidRPr="007A3E54">
        <w:t xml:space="preserve"> al-shariah objectives of wealth circulation and social justice (</w:t>
      </w:r>
      <w:proofErr w:type="spellStart"/>
      <w:r w:rsidRPr="007A3E54">
        <w:t>Roshayani</w:t>
      </w:r>
      <w:proofErr w:type="spellEnd"/>
      <w:r w:rsidRPr="007A3E54">
        <w:t xml:space="preserve"> et al., 2018). However, institutional waqf assets remain </w:t>
      </w:r>
      <w:proofErr w:type="spellStart"/>
      <w:r w:rsidRPr="007A3E54">
        <w:t>underutilised</w:t>
      </w:r>
      <w:proofErr w:type="spellEnd"/>
      <w:r w:rsidRPr="007A3E54">
        <w:t xml:space="preserve"> due to governance weaknesses and inadequate performance measurement systems (Abas &amp; Raji, 2018; Jalil, 2020). Recent thematic reviews reveal increasing emphasis on integrating waqf with sustainability and innovation agendas (Nurul </w:t>
      </w:r>
      <w:proofErr w:type="spellStart"/>
      <w:r w:rsidRPr="007A3E54">
        <w:t>Aien</w:t>
      </w:r>
      <w:proofErr w:type="spellEnd"/>
      <w:r w:rsidRPr="007A3E54">
        <w:t xml:space="preserve"> et al., 2025). Systematic literature reviews emphasize that integrating social business with waqf requires holistic approaches encompassing financial sustainability, social impact assessment, and stakeholder partnerships (</w:t>
      </w:r>
      <w:proofErr w:type="spellStart"/>
      <w:r w:rsidRPr="007A3E54">
        <w:t>Junarti</w:t>
      </w:r>
      <w:proofErr w:type="spellEnd"/>
      <w:r w:rsidRPr="007A3E54">
        <w:t xml:space="preserve"> et al., 2024).</w:t>
      </w:r>
    </w:p>
    <w:p w14:paraId="103AB5ED" w14:textId="77777777" w:rsidR="007A3E54" w:rsidRDefault="007A3E54" w:rsidP="007A3E54">
      <w:pPr>
        <w:jc w:val="both"/>
      </w:pPr>
    </w:p>
    <w:p w14:paraId="4516CABD" w14:textId="77777777" w:rsidR="007A3E54" w:rsidRPr="007A3E54" w:rsidRDefault="007A3E54" w:rsidP="007A3E54">
      <w:pPr>
        <w:jc w:val="both"/>
      </w:pPr>
    </w:p>
    <w:p w14:paraId="73B6636E" w14:textId="77777777" w:rsidR="007A3E54" w:rsidRPr="007A3E54" w:rsidRDefault="007A3E54" w:rsidP="007A3E54">
      <w:pPr>
        <w:jc w:val="both"/>
        <w:rPr>
          <w:b/>
          <w:bCs/>
        </w:rPr>
      </w:pPr>
      <w:r w:rsidRPr="007A3E54">
        <w:rPr>
          <w:b/>
          <w:bCs/>
        </w:rPr>
        <w:lastRenderedPageBreak/>
        <w:t>2.2 Waqf Governance and Institutional Theory</w:t>
      </w:r>
    </w:p>
    <w:p w14:paraId="371175C9" w14:textId="77777777" w:rsidR="007A3E54" w:rsidRPr="007A3E54" w:rsidRDefault="007A3E54" w:rsidP="007A3E54">
      <w:pPr>
        <w:jc w:val="both"/>
      </w:pPr>
      <w:r w:rsidRPr="007A3E54">
        <w:t xml:space="preserve">From institutional theory perspective, waqf institutions operate within complex regulatory, normative, and cultural environments shaping managerial </w:t>
      </w:r>
      <w:proofErr w:type="spellStart"/>
      <w:r w:rsidRPr="007A3E54">
        <w:t>behaviour</w:t>
      </w:r>
      <w:proofErr w:type="spellEnd"/>
      <w:r w:rsidRPr="007A3E54">
        <w:t xml:space="preserve"> (Nicholls, 2010; Scott, 2014). In Malaysia, decentralized waqf governance with SIRCs as sole trustees ensures Shariah compliance but introduces administrative fragmentation and variability across states (Mahadi et al., 2018; Haniff et al., 2023). Effective governance encompassing accountability, transparency, compliance, and strategic oversight is central to productive waqf management (Noordin et al., 2017). Weak governance results in poor documentation, limited disclosure, and minimal stakeholder engagement, constraining innovation and partnerships (R. Hasan et al., 2020). Contemporary research identifies persistent challenges: ambiguity in waqf property information, non-uniform management practices, and quality problems in reporting (Mohd Hadli Shah et al., 2024). These governance weaknesses are intimately connected to information management practices, with information gaps constituting dark data that obscure asset visibility and impede strategic decision-making. The strategic asset governance framework emphasizes three pillars: governance as structural foundation, accountability building trust, and innovation driving sustainability (Zainal et al., 2025). Comparative evidence from multiple jurisdictions demonstrates that waqf institutions with stronger governance frameworks achieve superior socio-economic outcomes (Mohd Hadli Shah et al., 2024).</w:t>
      </w:r>
    </w:p>
    <w:p w14:paraId="33E07F8E" w14:textId="77777777" w:rsidR="007A3E54" w:rsidRPr="007A3E54" w:rsidRDefault="007A3E54" w:rsidP="007A3E54">
      <w:pPr>
        <w:jc w:val="both"/>
        <w:rPr>
          <w:b/>
          <w:bCs/>
        </w:rPr>
      </w:pPr>
      <w:r w:rsidRPr="007A3E54">
        <w:rPr>
          <w:b/>
          <w:bCs/>
        </w:rPr>
        <w:t>2.3 Dark Data in Waqf Management</w:t>
      </w:r>
    </w:p>
    <w:p w14:paraId="468A34C4" w14:textId="77777777" w:rsidR="007A3E54" w:rsidRPr="007A3E54" w:rsidRDefault="007A3E54" w:rsidP="007A3E54">
      <w:pPr>
        <w:jc w:val="both"/>
        <w:rPr>
          <w:b/>
          <w:bCs/>
        </w:rPr>
      </w:pPr>
      <w:r w:rsidRPr="007A3E54">
        <w:rPr>
          <w:b/>
          <w:bCs/>
        </w:rPr>
        <w:t>2.3.1 Nature and Sources of Dark Data</w:t>
      </w:r>
    </w:p>
    <w:p w14:paraId="3F17164D" w14:textId="77777777" w:rsidR="007A3E54" w:rsidRPr="007A3E54" w:rsidRDefault="007A3E54" w:rsidP="007A3E54">
      <w:pPr>
        <w:jc w:val="both"/>
      </w:pPr>
      <w:r w:rsidRPr="007A3E54">
        <w:t xml:space="preserve">Dark data refers to data generated through routine processes that remain unused, </w:t>
      </w:r>
      <w:proofErr w:type="spellStart"/>
      <w:r w:rsidRPr="007A3E54">
        <w:t>unanalysed</w:t>
      </w:r>
      <w:proofErr w:type="spellEnd"/>
      <w:r w:rsidRPr="007A3E54">
        <w:t xml:space="preserve">, or inaccessible for strategic purposes (Ahmad Fuzi et al., 2022). Unlike data scarcity, dark data indicates latent informational resources systematically neglected due to governance, capacity, and structural limitations (Sulaiman et al., 2019). Waqf institutions accumulate substantial data across asset lifecycles including endowment deeds, land titles, valuation reports, rental contracts, and financial statements. These data are frequently stored in disparate formats from paper-based files to isolated spreadsheets without centralized integration or standardized classification (Noordin et al., 2017; Abas &amp; Raji, 2018). Decentralized Malaysian waqf governance exacerbates this problem as SIRCs maintain independent record-keeping systems with limited interoperability (Mahadi et al., 2018; Haniff et al., 2023). Consequently, data on land utilization, asset performance, and beneficiary outcomes are often incomplete, outdated, or inconsistent (Jalil, 2020). Organizations typically analyze less than 20% of collected data, with the remainder constituting dark data (Ahmad Fuzi et al., 2022). In waqf institutions with limited digital </w:t>
      </w:r>
      <w:r w:rsidRPr="007A3E54">
        <w:lastRenderedPageBreak/>
        <w:t xml:space="preserve">maturity, this proportion may be even higher as fragmented systems compound the problem (Nurul </w:t>
      </w:r>
      <w:proofErr w:type="spellStart"/>
      <w:r w:rsidRPr="007A3E54">
        <w:t>Aien</w:t>
      </w:r>
      <w:proofErr w:type="spellEnd"/>
      <w:r w:rsidRPr="007A3E54">
        <w:t xml:space="preserve"> et al., 2025).</w:t>
      </w:r>
    </w:p>
    <w:p w14:paraId="73BF4C4E" w14:textId="77777777" w:rsidR="007A3E54" w:rsidRPr="007A3E54" w:rsidRDefault="007A3E54" w:rsidP="007A3E54"/>
    <w:p w14:paraId="0CDF3F5B" w14:textId="77777777" w:rsidR="007A3E54" w:rsidRPr="007A3E54" w:rsidRDefault="007A3E54" w:rsidP="007A3E54">
      <w:pPr>
        <w:rPr>
          <w:b/>
          <w:bCs/>
        </w:rPr>
      </w:pPr>
      <w:r w:rsidRPr="007A3E54">
        <w:rPr>
          <w:b/>
          <w:bCs/>
        </w:rPr>
        <w:t>2.3.2 Dark Data Management Capability</w:t>
      </w:r>
    </w:p>
    <w:p w14:paraId="6B8E32A3" w14:textId="77777777" w:rsidR="007A3E54" w:rsidRPr="007A3E54" w:rsidRDefault="007A3E54" w:rsidP="007A3E54">
      <w:pPr>
        <w:jc w:val="both"/>
      </w:pPr>
      <w:r w:rsidRPr="007A3E54">
        <w:t xml:space="preserve">Dark data management capability refers to organizational capacity to identify, integrate, analyze, and utilize dormant data for strategic decision-making (Ahmad Fuzi et al., 2022). This capability encompasses technical infrastructure, analytical competencies, governance frameworks, and organizational culture. In waqf context, this capability has emerged as critical for institutional effectiveness (Setiawan &amp; </w:t>
      </w:r>
      <w:proofErr w:type="spellStart"/>
      <w:r w:rsidRPr="007A3E54">
        <w:t>Nurjaman</w:t>
      </w:r>
      <w:proofErr w:type="spellEnd"/>
      <w:r w:rsidRPr="007A3E54">
        <w:t>, 2022). Technology application in waqf emphasizes digitization, centralized databases, and standardized reporting for enhancing transparency (</w:t>
      </w:r>
      <w:proofErr w:type="spellStart"/>
      <w:r w:rsidRPr="007A3E54">
        <w:t>Triyatno</w:t>
      </w:r>
      <w:proofErr w:type="spellEnd"/>
      <w:r w:rsidRPr="007A3E54">
        <w:t xml:space="preserve"> &amp; </w:t>
      </w:r>
      <w:proofErr w:type="spellStart"/>
      <w:r w:rsidRPr="007A3E54">
        <w:t>Julaihah</w:t>
      </w:r>
      <w:proofErr w:type="spellEnd"/>
      <w:r w:rsidRPr="007A3E54">
        <w:t>, 2025). Developing this capability requires: technical infrastructure integrating disparate data sources through digitization and interoperable systems (Mahadi et al., 2018); analytical capacity through training and recruitment (Noordin et al., 2017); governance frameworks ensuring data quality and security (Mohd Hadli Shah et al., 2024); and organizational culture valuing evidence-based decision-making (Zainal et al., 2025). Recent bibliometric analyses reveal growing interest in technology-based waqf management including blockchain, crowdfunding, and fintech solutions (</w:t>
      </w:r>
      <w:proofErr w:type="spellStart"/>
      <w:r w:rsidRPr="007A3E54">
        <w:t>Triyatno</w:t>
      </w:r>
      <w:proofErr w:type="spellEnd"/>
      <w:r w:rsidRPr="007A3E54">
        <w:t xml:space="preserve"> &amp; </w:t>
      </w:r>
      <w:proofErr w:type="spellStart"/>
      <w:r w:rsidRPr="007A3E54">
        <w:t>Julaihah</w:t>
      </w:r>
      <w:proofErr w:type="spellEnd"/>
      <w:r w:rsidRPr="007A3E54">
        <w:t xml:space="preserve">, 2025; Setiawan &amp; </w:t>
      </w:r>
      <w:proofErr w:type="spellStart"/>
      <w:r w:rsidRPr="007A3E54">
        <w:t>Nurjaman</w:t>
      </w:r>
      <w:proofErr w:type="spellEnd"/>
      <w:r w:rsidRPr="007A3E54">
        <w:t>, 2022).</w:t>
      </w:r>
    </w:p>
    <w:p w14:paraId="49399A57" w14:textId="77777777" w:rsidR="007A3E54" w:rsidRPr="007A3E54" w:rsidRDefault="007A3E54" w:rsidP="007A3E54">
      <w:pPr>
        <w:jc w:val="both"/>
        <w:rPr>
          <w:b/>
          <w:bCs/>
        </w:rPr>
      </w:pPr>
      <w:r w:rsidRPr="007A3E54">
        <w:rPr>
          <w:b/>
          <w:bCs/>
        </w:rPr>
        <w:t>2.3.3 Dark Data and Governance Inefficiency</w:t>
      </w:r>
    </w:p>
    <w:p w14:paraId="41E2D0A6" w14:textId="77777777" w:rsidR="007A3E54" w:rsidRPr="007A3E54" w:rsidRDefault="007A3E54" w:rsidP="007A3E54">
      <w:pPr>
        <w:jc w:val="both"/>
      </w:pPr>
      <w:r w:rsidRPr="007A3E54">
        <w:t>From governance perspective, dark data constitutes significant institutional weakness undermining accountability, transparency, and regulatory oversight (Mohd Hadli Shah et al., 2024). Effective waqf governance relies on reliable information flows between mutawalli, regulators, donors, and beneficiaries (Ihsan &amp; Ibrahim, 2011). When critical data remain dark, information asymmetry emerges increasing moral hazard risk and resource misallocation (Mohsin, 2013). Absence of standardized performance measurement systems reflects deeper data governance failures (Noordin et al., 2017). Without accurate data, waqf authorities cannot evaluate asset productivity, monitor outcomes, or justify strategic decisions, weakening institutional legitimacy and public confidence (R. Hasan et al., 2020). Ambiguity in waqf property information creates legal uncertainties impeding asset development (Jalil, 2020). Non-uniform management practices across states prevent development of national benchmarks (Haniff et al., 2023). Quality issues in reporting undermine stakeholder trust and limit regulatory oversight (Mohd Hadli Shah et al., 2024). The strategic asset governance framework highlights accountability as key for building trust, which depends fundamentally on reliable information (Zainal et al., 2025).</w:t>
      </w:r>
    </w:p>
    <w:p w14:paraId="356B505D" w14:textId="77777777" w:rsidR="007A3E54" w:rsidRPr="007A3E54" w:rsidRDefault="007A3E54" w:rsidP="007A3E54">
      <w:pPr>
        <w:jc w:val="both"/>
      </w:pPr>
    </w:p>
    <w:p w14:paraId="70F6D460" w14:textId="77777777" w:rsidR="007A3E54" w:rsidRPr="007A3E54" w:rsidRDefault="007A3E54" w:rsidP="007A3E54">
      <w:pPr>
        <w:jc w:val="both"/>
        <w:rPr>
          <w:b/>
          <w:bCs/>
        </w:rPr>
      </w:pPr>
      <w:r w:rsidRPr="007A3E54">
        <w:rPr>
          <w:b/>
          <w:bCs/>
        </w:rPr>
        <w:lastRenderedPageBreak/>
        <w:t>2.3.4 Managerial Capacity and Dark Data</w:t>
      </w:r>
    </w:p>
    <w:p w14:paraId="483E69D9" w14:textId="77777777" w:rsidR="007A3E54" w:rsidRPr="007A3E54" w:rsidRDefault="007A3E54" w:rsidP="007A3E54">
      <w:pPr>
        <w:jc w:val="both"/>
      </w:pPr>
      <w:r w:rsidRPr="007A3E54">
        <w:t xml:space="preserve">Managerial capacity critically determines ability to address dark data and leverage informational resources (Noordin et al., 2017). This encompasses technical competencies in data management and broader capabilities in strategic planning, stakeholder engagement, and entrepreneurial orientation. Professionalizing waqf management requires managers possessing both traditional religious knowledge and contemporary business and data management skills (Zainal et al., 2025). However, evidence suggests managerial capacity in many waqf institutions remains limited, with challenges including inadequate training opportunities and difficulties attracting qualified personnel (Nurul </w:t>
      </w:r>
      <w:proofErr w:type="spellStart"/>
      <w:r w:rsidRPr="007A3E54">
        <w:t>Aien</w:t>
      </w:r>
      <w:proofErr w:type="spellEnd"/>
      <w:r w:rsidRPr="007A3E54">
        <w:t xml:space="preserve"> et al., 2025). These capacity constraints directly affect data management practices. The relationship between managerial capacity and dark data is mutually </w:t>
      </w:r>
      <w:proofErr w:type="gramStart"/>
      <w:r w:rsidRPr="007A3E54">
        <w:t>reinforcing:</w:t>
      </w:r>
      <w:proofErr w:type="gramEnd"/>
      <w:r w:rsidRPr="007A3E54">
        <w:t xml:space="preserve"> limited capacity generates dark data obscuring performance information, while absence of clear performance data makes justifying capacity investments difficult (Sulaiman &amp; Zakari, 2019). Emerging research emphasizes entrepreneurial orientation among waqf managers, requiring opportunity identification, resource mobilization, and service innovation (Iman &amp; Mohammad, 2017; Ridwan, 2021). Data management capability supports this orientation by providing informational foundation for opportunity recognition and performance monitoring (</w:t>
      </w:r>
      <w:proofErr w:type="spellStart"/>
      <w:r w:rsidRPr="007A3E54">
        <w:t>Triyatno</w:t>
      </w:r>
      <w:proofErr w:type="spellEnd"/>
      <w:r w:rsidRPr="007A3E54">
        <w:t xml:space="preserve"> &amp; </w:t>
      </w:r>
      <w:proofErr w:type="spellStart"/>
      <w:r w:rsidRPr="007A3E54">
        <w:t>Julaihah</w:t>
      </w:r>
      <w:proofErr w:type="spellEnd"/>
      <w:r w:rsidRPr="007A3E54">
        <w:t>, 2025).</w:t>
      </w:r>
    </w:p>
    <w:p w14:paraId="1D6F9728" w14:textId="77777777" w:rsidR="007A3E54" w:rsidRPr="007A3E54" w:rsidRDefault="007A3E54" w:rsidP="007A3E54">
      <w:pPr>
        <w:jc w:val="both"/>
      </w:pPr>
    </w:p>
    <w:p w14:paraId="5D068D88" w14:textId="77777777" w:rsidR="007A3E54" w:rsidRPr="007A3E54" w:rsidRDefault="007A3E54" w:rsidP="007A3E54">
      <w:pPr>
        <w:jc w:val="both"/>
        <w:rPr>
          <w:b/>
          <w:bCs/>
        </w:rPr>
      </w:pPr>
      <w:r w:rsidRPr="007A3E54">
        <w:rPr>
          <w:b/>
          <w:bCs/>
        </w:rPr>
        <w:t>2.3.5 Socio-Economic Impact on Ummah</w:t>
      </w:r>
    </w:p>
    <w:p w14:paraId="5F70767E" w14:textId="77777777" w:rsidR="007A3E54" w:rsidRPr="007A3E54" w:rsidRDefault="007A3E54" w:rsidP="007A3E54">
      <w:pPr>
        <w:jc w:val="both"/>
      </w:pPr>
      <w:r w:rsidRPr="007A3E54">
        <w:t xml:space="preserve">The ultimate objective of waqf management is to generate sustainable socio-economic benefits for the ummah aligned with the </w:t>
      </w:r>
      <w:proofErr w:type="spellStart"/>
      <w:r w:rsidRPr="007A3E54">
        <w:t>maqasid</w:t>
      </w:r>
      <w:proofErr w:type="spellEnd"/>
      <w:r w:rsidRPr="007A3E54">
        <w:t xml:space="preserve"> al-shariah (</w:t>
      </w:r>
      <w:proofErr w:type="spellStart"/>
      <w:r w:rsidRPr="007A3E54">
        <w:t>Roshayani</w:t>
      </w:r>
      <w:proofErr w:type="spellEnd"/>
      <w:r w:rsidRPr="007A3E54">
        <w:t xml:space="preserve"> et al., 2018). Benefits encompass poverty alleviation, employment creation, access to education and healthcare, and community empowerment (Hossain, 2020). Despite theoretical potential, empirical evidence suggests this potential remains substantially unrealized, with waqf underemphasized in economic development (Nurul </w:t>
      </w:r>
      <w:proofErr w:type="spellStart"/>
      <w:r w:rsidRPr="007A3E54">
        <w:t>Aien</w:t>
      </w:r>
      <w:proofErr w:type="spellEnd"/>
      <w:r w:rsidRPr="007A3E54">
        <w:t xml:space="preserve"> et al., 2025). Socio-economic impact is mediated through productive assets generating income for reinvestment, waqf-funded institutions providing essential services, and social enterprises creating employment (Iman &amp; Mohammad, 2017). Dark data constrains impact by obscuring relationships between activities and outcomes (Noordin et al., 2017). Without reliable data on beneficiary needs, asset performance, and program effectiveness, institutions cannot optimize resource allocation or demonstrate value, limiting ability to attract partners and scale initiatives (</w:t>
      </w:r>
      <w:proofErr w:type="spellStart"/>
      <w:r w:rsidRPr="007A3E54">
        <w:t>Molderez</w:t>
      </w:r>
      <w:proofErr w:type="spellEnd"/>
      <w:r w:rsidRPr="007A3E54">
        <w:t xml:space="preserve"> &amp; </w:t>
      </w:r>
      <w:proofErr w:type="spellStart"/>
      <w:r w:rsidRPr="007A3E54">
        <w:t>Fets</w:t>
      </w:r>
      <w:proofErr w:type="spellEnd"/>
      <w:r w:rsidRPr="007A3E54">
        <w:t>, 2023). Integration with sustainable development goals requires frameworks for assessing contributions to poverty reduction, health improvement, and educational access (</w:t>
      </w:r>
      <w:proofErr w:type="spellStart"/>
      <w:r w:rsidRPr="007A3E54">
        <w:t>Junarti</w:t>
      </w:r>
      <w:proofErr w:type="spellEnd"/>
      <w:r w:rsidRPr="007A3E54">
        <w:t xml:space="preserve"> et al., 2024). Intergenerational justice embedded in waqf's </w:t>
      </w:r>
      <w:r w:rsidRPr="007A3E54">
        <w:lastRenderedPageBreak/>
        <w:t>perpetual nature requires preserving information about asset boundaries and performance history for future trustees and beneficiaries (Jalil, 2020).</w:t>
      </w:r>
    </w:p>
    <w:p w14:paraId="787EA2AD" w14:textId="77777777" w:rsidR="007A3E54" w:rsidRPr="007A3E54" w:rsidRDefault="007A3E54" w:rsidP="007A3E54">
      <w:pPr>
        <w:jc w:val="both"/>
      </w:pPr>
    </w:p>
    <w:p w14:paraId="2D33BE0F" w14:textId="77777777" w:rsidR="007A3E54" w:rsidRPr="007A3E54" w:rsidRDefault="007A3E54" w:rsidP="007A3E54">
      <w:pPr>
        <w:jc w:val="both"/>
        <w:rPr>
          <w:b/>
          <w:bCs/>
        </w:rPr>
      </w:pPr>
      <w:r w:rsidRPr="007A3E54">
        <w:rPr>
          <w:b/>
          <w:bCs/>
        </w:rPr>
        <w:t>3. Problem Statement and Research Objectives</w:t>
      </w:r>
    </w:p>
    <w:p w14:paraId="350F1EFD" w14:textId="77777777" w:rsidR="007A3E54" w:rsidRPr="007A3E54" w:rsidRDefault="007A3E54" w:rsidP="007A3E54">
      <w:pPr>
        <w:jc w:val="both"/>
      </w:pPr>
      <w:r w:rsidRPr="007A3E54">
        <w:t xml:space="preserve">Despite growing attention on waqf-based development, effective utilization of waqf assets in Malaysia remains persistently low (Abas &amp; Raji, 2018; Hossain, 2020; Haniff et al., 2023). While literature emphasizes governance weaknesses and financing constraints, a critical underexplored issue lies in dark data prevalence within waqf institutions (Ahmad Fuzi et al., 2022; Sulaiman et al., 2019). Dark data significantly impedes strategic decision-making by obscuring asset visibility and performance (Noordin et al., 2017; R. Hasan et al., 2020). Malaysian institutions accumulate large volumes of unstructured data due to fragmented record-keeping and limited analytical capability (Ahmad Fuzi et al., 2022). In the waqf context, this manifests in incomplete asset registries, undocumented land titles, and </w:t>
      </w:r>
      <w:proofErr w:type="spellStart"/>
      <w:r w:rsidRPr="007A3E54">
        <w:t>unanalysed</w:t>
      </w:r>
      <w:proofErr w:type="spellEnd"/>
      <w:r w:rsidRPr="007A3E54">
        <w:t xml:space="preserve"> beneficiary data. Recent research provides compelling evidence: ambiguity in waqf property information, non-uniform management practices, and quality issues in reporting persist as problems undermining institutional effectiveness (Mohd Hadli Shah et al., 2024). These findings suggest that dark data are structural features perpetuating inefficiency.</w:t>
      </w:r>
    </w:p>
    <w:p w14:paraId="2024AC13" w14:textId="77777777" w:rsidR="007A3E54" w:rsidRPr="007A3E54" w:rsidRDefault="007A3E54" w:rsidP="007A3E54">
      <w:pPr>
        <w:jc w:val="both"/>
      </w:pPr>
      <w:r w:rsidRPr="007A3E54">
        <w:t>From a regulatory perspective, unmanaged dark data heightens compliance and legal risks (Ihsan &amp; Ibrahim, 2011). Weak performance measurement and inadequate disclosure reduce stakeholder confidence and discourage private-sector collaboration (Mohsin, 2013). This erosion of trust affects the sustainability of waqf-based social entrepreneurship initiatives that rely on community participation and investor confidence (Iman &amp; Mohammad, 2017). Furthermore, dark data constrains socio-economic impact as institutions struggle to demonstrate measurable outcomes (</w:t>
      </w:r>
      <w:proofErr w:type="spellStart"/>
      <w:r w:rsidRPr="007A3E54">
        <w:t>Molderez</w:t>
      </w:r>
      <w:proofErr w:type="spellEnd"/>
      <w:r w:rsidRPr="007A3E54">
        <w:t xml:space="preserve"> &amp; </w:t>
      </w:r>
      <w:proofErr w:type="spellStart"/>
      <w:r w:rsidRPr="007A3E54">
        <w:t>Fets</w:t>
      </w:r>
      <w:proofErr w:type="spellEnd"/>
      <w:r w:rsidRPr="007A3E54">
        <w:t xml:space="preserve">, 2023). Inability to quantify social impact limits the legitimacy of waqf-driven social enterprises, undermining </w:t>
      </w:r>
      <w:proofErr w:type="spellStart"/>
      <w:r w:rsidRPr="007A3E54">
        <w:t>maqasid</w:t>
      </w:r>
      <w:proofErr w:type="spellEnd"/>
      <w:r w:rsidRPr="007A3E54">
        <w:t xml:space="preserve"> al-shariah objectives (</w:t>
      </w:r>
      <w:proofErr w:type="spellStart"/>
      <w:r w:rsidRPr="007A3E54">
        <w:t>Roshayani</w:t>
      </w:r>
      <w:proofErr w:type="spellEnd"/>
      <w:r w:rsidRPr="007A3E54">
        <w:t xml:space="preserve"> et al., 2018). Recent bibliometric analyses reveal growing interest in technology-based waqf management, yet without systematic attention to dark data, innovative approaches risk replicating historical information deficiencies (</w:t>
      </w:r>
      <w:proofErr w:type="spellStart"/>
      <w:r w:rsidRPr="007A3E54">
        <w:t>Triyatno</w:t>
      </w:r>
      <w:proofErr w:type="spellEnd"/>
      <w:r w:rsidRPr="007A3E54">
        <w:t xml:space="preserve"> &amp; </w:t>
      </w:r>
      <w:proofErr w:type="spellStart"/>
      <w:r w:rsidRPr="007A3E54">
        <w:t>Julaihah</w:t>
      </w:r>
      <w:proofErr w:type="spellEnd"/>
      <w:r w:rsidRPr="007A3E54">
        <w:t>, 2025).</w:t>
      </w:r>
    </w:p>
    <w:p w14:paraId="39EA186A" w14:textId="77777777" w:rsidR="007A3E54" w:rsidRPr="007A3E54" w:rsidRDefault="007A3E54" w:rsidP="007A3E54">
      <w:pPr>
        <w:jc w:val="both"/>
      </w:pPr>
      <w:r w:rsidRPr="007A3E54">
        <w:rPr>
          <w:b/>
          <w:bCs/>
        </w:rPr>
        <w:t>Research Objective:</w:t>
      </w:r>
      <w:r w:rsidRPr="007A3E54">
        <w:t> This study examines how dark data affects waqf asset management in Malaysia, which will enhance the socio-economic impact on the Ummah.</w:t>
      </w:r>
    </w:p>
    <w:p w14:paraId="64B7673C" w14:textId="77777777" w:rsidR="007A3E54" w:rsidRPr="007A3E54" w:rsidRDefault="007A3E54" w:rsidP="007A3E54">
      <w:pPr>
        <w:jc w:val="both"/>
        <w:rPr>
          <w:b/>
          <w:bCs/>
        </w:rPr>
      </w:pPr>
      <w:r w:rsidRPr="007A3E54">
        <w:rPr>
          <w:b/>
          <w:bCs/>
        </w:rPr>
        <w:t>4. Methodology</w:t>
      </w:r>
    </w:p>
    <w:p w14:paraId="6B0042A2" w14:textId="77777777" w:rsidR="007A3E54" w:rsidRPr="007A3E54" w:rsidRDefault="007A3E54" w:rsidP="007A3E54">
      <w:pPr>
        <w:jc w:val="both"/>
      </w:pPr>
      <w:r w:rsidRPr="007A3E54">
        <w:t xml:space="preserve">This study adopts a qualitative-dominant, exploratory research design supported by descriptive statistics from secondary sources, aligned with prior waqf studies emphasizing </w:t>
      </w:r>
      <w:r w:rsidRPr="007A3E54">
        <w:lastRenderedPageBreak/>
        <w:t>conceptual development and institutional analysis (Hossain, 2020; Noordin et al., 2017). The research is primarily conceptual and doctrinal, integrating content analysis with qualitative inquiry (</w:t>
      </w:r>
      <w:proofErr w:type="spellStart"/>
      <w:r w:rsidRPr="007A3E54">
        <w:t>Yaqin</w:t>
      </w:r>
      <w:proofErr w:type="spellEnd"/>
      <w:r w:rsidRPr="007A3E54">
        <w:t xml:space="preserve">, 2007). A qualitative approach is appropriate given the institutional complexity of waqf governance and the exploratory nature of dark data in Islamic social finance. Recent methodological developments emphasize value of qualitative approaches for theory building in nascent research areas (Nurul </w:t>
      </w:r>
      <w:proofErr w:type="spellStart"/>
      <w:r w:rsidRPr="007A3E54">
        <w:t>Aien</w:t>
      </w:r>
      <w:proofErr w:type="spellEnd"/>
      <w:r w:rsidRPr="007A3E54">
        <w:t xml:space="preserve"> et al., 2025). The study is informed by Theory of Planned </w:t>
      </w:r>
      <w:proofErr w:type="spellStart"/>
      <w:r w:rsidRPr="007A3E54">
        <w:t>Behaviour</w:t>
      </w:r>
      <w:proofErr w:type="spellEnd"/>
      <w:r w:rsidRPr="007A3E54">
        <w:t xml:space="preserve"> (Ajzen, 1991), providing a lens to examine managerial attitudes, subjective norms, and </w:t>
      </w:r>
      <w:proofErr w:type="spellStart"/>
      <w:r w:rsidRPr="007A3E54">
        <w:t>behavioural</w:t>
      </w:r>
      <w:proofErr w:type="spellEnd"/>
      <w:r w:rsidRPr="007A3E54">
        <w:t xml:space="preserve"> intentions toward data utilization and social entrepreneurship practices.</w:t>
      </w:r>
    </w:p>
    <w:p w14:paraId="040938E4" w14:textId="77777777" w:rsidR="007A3E54" w:rsidRPr="007A3E54" w:rsidRDefault="007A3E54" w:rsidP="007A3E54">
      <w:pPr>
        <w:jc w:val="both"/>
      </w:pPr>
      <w:r w:rsidRPr="007A3E54">
        <w:rPr>
          <w:b/>
          <w:bCs/>
        </w:rPr>
        <w:t>Data Collection:</w:t>
      </w:r>
      <w:r w:rsidRPr="007A3E54">
        <w:t xml:space="preserve"> Secondary data were collected through an extensive review of academic journals, policy reports, annual reports of SIRCs, and waqf authority publications (Sulaiman &amp; Zakari, 2019; Haniff et al., 2023). The collection focused on literature published between 2019-2024, reflecting recent scholarly trends (Nurul </w:t>
      </w:r>
      <w:proofErr w:type="spellStart"/>
      <w:r w:rsidRPr="007A3E54">
        <w:t>Aien</w:t>
      </w:r>
      <w:proofErr w:type="spellEnd"/>
      <w:r w:rsidRPr="007A3E54">
        <w:t xml:space="preserve"> et al., 2025). Key databases included Scopus and Web of Science. Semi-structured interviews were conducted with selected experts including Shariah advisors, waqf officers, and practitioners involved in waqf asset development, enabling in-depth exploration of perceptions and practices (Bogdan &amp; Biklen, 2003).</w:t>
      </w:r>
    </w:p>
    <w:p w14:paraId="70D83600" w14:textId="77777777" w:rsidR="007A3E54" w:rsidRPr="007A3E54" w:rsidRDefault="007A3E54" w:rsidP="007A3E54">
      <w:pPr>
        <w:jc w:val="both"/>
      </w:pPr>
      <w:r w:rsidRPr="007A3E54">
        <w:rPr>
          <w:b/>
          <w:bCs/>
        </w:rPr>
        <w:t>Data Analysis:</w:t>
      </w:r>
      <w:r w:rsidRPr="007A3E54">
        <w:t xml:space="preserve"> Data analysis follows a thematic and interpretive analytical strategy supported by descriptive statistical evidence (Braun &amp; Clarke, 2006). Interview data and documentary materials were </w:t>
      </w:r>
      <w:proofErr w:type="spellStart"/>
      <w:r w:rsidRPr="007A3E54">
        <w:t>analysed</w:t>
      </w:r>
      <w:proofErr w:type="spellEnd"/>
      <w:r w:rsidRPr="007A3E54">
        <w:t xml:space="preserve"> through thematic analysis involving systematic coding, categorization, and interpretation to identify recurring patterns. Analysis proceeded through familiarization, initial coding, theme development, and refinement. Analytical triangulation cross-validated interview insights with literature, policy documents, and institutional reports (Denzin, 2012). Descriptive statistics from secondary sources </w:t>
      </w:r>
      <w:proofErr w:type="spellStart"/>
      <w:r w:rsidRPr="007A3E54">
        <w:t>contextualised</w:t>
      </w:r>
      <w:proofErr w:type="spellEnd"/>
      <w:r w:rsidRPr="007A3E54">
        <w:t xml:space="preserve"> the magnitude of waqf underutilization (Abas &amp; Raji, 2018; Sulaiman &amp; Zakari, 2019; Ahmad Fuzi et al., 2022). Findings were interpreted through Theory of Planned </w:t>
      </w:r>
      <w:proofErr w:type="spellStart"/>
      <w:r w:rsidRPr="007A3E54">
        <w:t>Behaviour</w:t>
      </w:r>
      <w:proofErr w:type="spellEnd"/>
      <w:r w:rsidRPr="007A3E54">
        <w:t xml:space="preserve"> lens (Ajzen, 1991), linking managerial attitudes, institutional norms, and </w:t>
      </w:r>
      <w:proofErr w:type="spellStart"/>
      <w:r w:rsidRPr="007A3E54">
        <w:t>behavioural</w:t>
      </w:r>
      <w:proofErr w:type="spellEnd"/>
      <w:r w:rsidRPr="007A3E54">
        <w:t xml:space="preserve"> control to actual practices.</w:t>
      </w:r>
    </w:p>
    <w:p w14:paraId="319CA087" w14:textId="77777777" w:rsidR="007A3E54" w:rsidRPr="007A3E54" w:rsidRDefault="007A3E54" w:rsidP="007A3E54">
      <w:pPr>
        <w:jc w:val="both"/>
        <w:rPr>
          <w:b/>
          <w:bCs/>
        </w:rPr>
      </w:pPr>
      <w:r w:rsidRPr="007A3E54">
        <w:rPr>
          <w:b/>
          <w:bCs/>
        </w:rPr>
        <w:t>5. Development of Conceptual Framework</w:t>
      </w:r>
    </w:p>
    <w:p w14:paraId="60C71EB4" w14:textId="77777777" w:rsidR="007A3E54" w:rsidRPr="007A3E54" w:rsidRDefault="007A3E54" w:rsidP="007A3E54">
      <w:pPr>
        <w:jc w:val="both"/>
      </w:pPr>
      <w:r w:rsidRPr="007A3E54">
        <w:t>Building on literature review and qualitative insights, this section develops a conceptual framework explaining how dark data management capability influences waqf asset utilization and socio-economic outcomes.</w:t>
      </w:r>
    </w:p>
    <w:p w14:paraId="51F1BA0E" w14:textId="77777777" w:rsidR="007A3E54" w:rsidRPr="007A3E54" w:rsidRDefault="007A3E54" w:rsidP="007A3E54">
      <w:pPr>
        <w:jc w:val="both"/>
        <w:rPr>
          <w:b/>
          <w:bCs/>
        </w:rPr>
      </w:pPr>
      <w:r w:rsidRPr="007A3E54">
        <w:rPr>
          <w:b/>
          <w:bCs/>
        </w:rPr>
        <w:t>5.1 Theoretical Underpinnings</w:t>
      </w:r>
    </w:p>
    <w:p w14:paraId="417B7CAF" w14:textId="77777777" w:rsidR="007A3E54" w:rsidRPr="007A3E54" w:rsidRDefault="007A3E54" w:rsidP="007A3E54">
      <w:pPr>
        <w:jc w:val="both"/>
      </w:pPr>
      <w:r w:rsidRPr="007A3E54">
        <w:t xml:space="preserve">The framework is theoretically anchored in Theory of Planned </w:t>
      </w:r>
      <w:proofErr w:type="spellStart"/>
      <w:r w:rsidRPr="007A3E54">
        <w:t>Behaviour</w:t>
      </w:r>
      <w:proofErr w:type="spellEnd"/>
      <w:r w:rsidRPr="007A3E54">
        <w:t xml:space="preserve"> (TPB) and Institutional Theory. TPB posits </w:t>
      </w:r>
      <w:proofErr w:type="spellStart"/>
      <w:r w:rsidRPr="007A3E54">
        <w:t>behavioural</w:t>
      </w:r>
      <w:proofErr w:type="spellEnd"/>
      <w:r w:rsidRPr="007A3E54">
        <w:t xml:space="preserve"> intentions shaped by attitudes toward </w:t>
      </w:r>
      <w:proofErr w:type="spellStart"/>
      <w:r w:rsidRPr="007A3E54">
        <w:lastRenderedPageBreak/>
        <w:t>behaviour</w:t>
      </w:r>
      <w:proofErr w:type="spellEnd"/>
      <w:r w:rsidRPr="007A3E54">
        <w:t xml:space="preserve">, subjective norms, and perceived </w:t>
      </w:r>
      <w:proofErr w:type="spellStart"/>
      <w:r w:rsidRPr="007A3E54">
        <w:t>behavioural</w:t>
      </w:r>
      <w:proofErr w:type="spellEnd"/>
      <w:r w:rsidRPr="007A3E54">
        <w:t xml:space="preserve"> control (Ajzen, 1991). In waqf context, TPB explains why managers may adopt data-driven practices: positive attitudes, supportive norms, and adequate resources should increase likelihood of investing in dark data management. Institutional theory emphasizes how organizations are shaped by regulatory, normative, and cultural environments (Scott, 2014; Nicholls, 2010). Waqf institutions operate within complex institutional fields including Shariah requirements, state regulations, community expectations, and professional norms, influencing both persistence of dark data and potential for change (Zainal et al., 2025).</w:t>
      </w:r>
    </w:p>
    <w:p w14:paraId="396B17FF" w14:textId="77777777" w:rsidR="007A3E54" w:rsidRPr="007A3E54" w:rsidRDefault="007A3E54" w:rsidP="007A3E54">
      <w:pPr>
        <w:jc w:val="both"/>
      </w:pPr>
    </w:p>
    <w:p w14:paraId="5C8463FB" w14:textId="77777777" w:rsidR="007A3E54" w:rsidRPr="007A3E54" w:rsidRDefault="007A3E54" w:rsidP="007A3E54">
      <w:pPr>
        <w:rPr>
          <w:b/>
          <w:bCs/>
        </w:rPr>
      </w:pPr>
      <w:r w:rsidRPr="007A3E54">
        <w:rPr>
          <w:b/>
          <w:bCs/>
        </w:rPr>
        <w:t>5.2 Proposed Conceptual Framework</w:t>
      </w:r>
    </w:p>
    <w:p w14:paraId="5DFC85EC" w14:textId="77777777" w:rsidR="007A3E54" w:rsidRPr="007A3E54" w:rsidRDefault="007A3E54" w:rsidP="007A3E54">
      <w:pPr>
        <w:jc w:val="both"/>
      </w:pPr>
      <w:r w:rsidRPr="007A3E54">
        <w:t>The framework posits that </w:t>
      </w:r>
      <w:r w:rsidRPr="007A3E54">
        <w:rPr>
          <w:b/>
          <w:bCs/>
        </w:rPr>
        <w:t>dark data management capability</w:t>
      </w:r>
      <w:r w:rsidRPr="007A3E54">
        <w:t> serves as a foundational enabler influencing </w:t>
      </w:r>
      <w:r w:rsidRPr="007A3E54">
        <w:rPr>
          <w:b/>
          <w:bCs/>
        </w:rPr>
        <w:t>waqf governance quality</w:t>
      </w:r>
      <w:r w:rsidRPr="007A3E54">
        <w:t>, which affects </w:t>
      </w:r>
      <w:r w:rsidRPr="007A3E54">
        <w:rPr>
          <w:b/>
          <w:bCs/>
        </w:rPr>
        <w:t>socio-economic impact on the ummah</w:t>
      </w:r>
      <w:r w:rsidRPr="007A3E54">
        <w:t>. Three key constructions:</w:t>
      </w:r>
    </w:p>
    <w:p w14:paraId="3BAAA499" w14:textId="77777777" w:rsidR="007A3E54" w:rsidRPr="007A3E54" w:rsidRDefault="007A3E54" w:rsidP="007A3E54">
      <w:pPr>
        <w:jc w:val="both"/>
      </w:pPr>
      <w:r w:rsidRPr="007A3E54">
        <w:rPr>
          <w:b/>
          <w:bCs/>
        </w:rPr>
        <w:t>1. Dark Data Management Capability:</w:t>
      </w:r>
      <w:r w:rsidRPr="007A3E54">
        <w:t> Organizational capacity to identify, integrate, analyze, and utilize dormant data (Ahmad Fuzi et al., 2022). Encompasses technical infrastructure, analytical competencies, governance frameworks, and organizational culture.</w:t>
      </w:r>
    </w:p>
    <w:p w14:paraId="1C7950B5" w14:textId="77777777" w:rsidR="007A3E54" w:rsidRPr="007A3E54" w:rsidRDefault="007A3E54" w:rsidP="007A3E54">
      <w:pPr>
        <w:jc w:val="both"/>
      </w:pPr>
      <w:r w:rsidRPr="007A3E54">
        <w:rPr>
          <w:b/>
          <w:bCs/>
        </w:rPr>
        <w:t>2. Waqf Governance Quality:</w:t>
      </w:r>
      <w:r w:rsidRPr="007A3E54">
        <w:t> Effectiveness of governance mechanisms including accountability, transparency, compliance, and strategic oversight (Noordin et al., 2017; Mohd Hadli Shah et al., 2024).</w:t>
      </w:r>
    </w:p>
    <w:p w14:paraId="751A0266" w14:textId="77777777" w:rsidR="007A3E54" w:rsidRPr="007A3E54" w:rsidRDefault="007A3E54" w:rsidP="007A3E54">
      <w:pPr>
        <w:jc w:val="both"/>
      </w:pPr>
      <w:r w:rsidRPr="007A3E54">
        <w:rPr>
          <w:b/>
          <w:bCs/>
        </w:rPr>
        <w:t>3. Socio-Economic Impact on Ummah:</w:t>
      </w:r>
      <w:r w:rsidRPr="007A3E54">
        <w:t> Outcomes including asset utilization, income sustainability, employment creation, service provision, and community empowerment (</w:t>
      </w:r>
      <w:proofErr w:type="spellStart"/>
      <w:r w:rsidRPr="007A3E54">
        <w:t>Roshayani</w:t>
      </w:r>
      <w:proofErr w:type="spellEnd"/>
      <w:r w:rsidRPr="007A3E54">
        <w:t xml:space="preserve"> et al., 2018).</w:t>
      </w:r>
    </w:p>
    <w:p w14:paraId="01DAEA4F" w14:textId="77777777" w:rsidR="007A3E54" w:rsidRPr="007A3E54" w:rsidRDefault="007A3E54" w:rsidP="007A3E54">
      <w:pPr>
        <w:jc w:val="both"/>
      </w:pPr>
    </w:p>
    <w:p w14:paraId="465B97DD" w14:textId="430BA3D2" w:rsidR="007A3E54" w:rsidRPr="007A3E54" w:rsidRDefault="007A3E54" w:rsidP="007A3E54">
      <w:r w:rsidRPr="007A3E54">
        <w:lastRenderedPageBreak/>
        <w:drawing>
          <wp:inline distT="0" distB="0" distL="0" distR="0" wp14:anchorId="7D883B29" wp14:editId="653F28C3">
            <wp:extent cx="5943600" cy="2714625"/>
            <wp:effectExtent l="0" t="0" r="0" b="0"/>
            <wp:docPr id="134848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42DDD7D9" w14:textId="77777777" w:rsidR="007A3E54" w:rsidRPr="007A3E54" w:rsidRDefault="007A3E54" w:rsidP="007A3E54"/>
    <w:p w14:paraId="53AE7327" w14:textId="77777777" w:rsidR="007A3E54" w:rsidRPr="007A3E54" w:rsidRDefault="007A3E54" w:rsidP="007A3E54"/>
    <w:p w14:paraId="66847868" w14:textId="77777777" w:rsidR="007A3E54" w:rsidRPr="007A3E54" w:rsidRDefault="007A3E54" w:rsidP="007A3E54">
      <w:pPr>
        <w:jc w:val="both"/>
        <w:rPr>
          <w:b/>
          <w:bCs/>
        </w:rPr>
      </w:pPr>
      <w:r w:rsidRPr="007A3E54">
        <w:rPr>
          <w:b/>
          <w:bCs/>
        </w:rPr>
        <w:t>5.3 Proposition Development</w:t>
      </w:r>
    </w:p>
    <w:p w14:paraId="030C1470" w14:textId="77777777" w:rsidR="007A3E54" w:rsidRPr="007A3E54" w:rsidRDefault="007A3E54" w:rsidP="007A3E54">
      <w:pPr>
        <w:jc w:val="both"/>
      </w:pPr>
      <w:r w:rsidRPr="007A3E54">
        <w:t>5.3.1</w:t>
      </w:r>
      <w:r w:rsidRPr="007A3E54">
        <w:rPr>
          <w:b/>
          <w:bCs/>
        </w:rPr>
        <w:t xml:space="preserve"> </w:t>
      </w:r>
      <w:r w:rsidRPr="007A3E54">
        <w:t>Data Management Capability role affects Waqf Governance Quality</w:t>
      </w:r>
    </w:p>
    <w:p w14:paraId="0178BA53" w14:textId="77777777" w:rsidR="007A3E54" w:rsidRPr="007A3E54" w:rsidRDefault="007A3E54" w:rsidP="007A3E54">
      <w:pPr>
        <w:jc w:val="both"/>
      </w:pPr>
      <w:r w:rsidRPr="007A3E54">
        <w:t>The relationship between data management capability and governance quality is well-documented in waqf literature. Research by Noordin et al. (2017) emphasizes that developing performance measures for waqf institutions require systematic data collection and analysis capabilities. Their study demonstrates that without accurate and timely data, waqf authorities cannot evaluate asset productivity, monitor social outcomes, or justify strategic decisions to stakeholders, which directly undermines governance quality through weakened accountability and transparency.</w:t>
      </w:r>
    </w:p>
    <w:p w14:paraId="0F90A706" w14:textId="77777777" w:rsidR="007A3E54" w:rsidRPr="007A3E54" w:rsidRDefault="007A3E54" w:rsidP="007A3E54">
      <w:pPr>
        <w:jc w:val="both"/>
      </w:pPr>
      <w:r w:rsidRPr="007A3E54">
        <w:t xml:space="preserve">A study on cash waqf decisions by </w:t>
      </w:r>
      <w:proofErr w:type="spellStart"/>
      <w:r w:rsidRPr="007A3E54">
        <w:t>Rohmana</w:t>
      </w:r>
      <w:proofErr w:type="spellEnd"/>
      <w:r w:rsidRPr="007A3E54">
        <w:t xml:space="preserve"> et al. (2024) provides empirical evidence that good governance mediates the relationship between institutional capabilities and waqf </w:t>
      </w:r>
      <w:proofErr w:type="gramStart"/>
      <w:r w:rsidRPr="007A3E54">
        <w:t>outcomes .</w:t>
      </w:r>
      <w:proofErr w:type="gramEnd"/>
      <w:r w:rsidRPr="007A3E54">
        <w:t xml:space="preserve"> The research, conducted among mosque congregations in Malang City, Indonesia, found that "good governance can mediate the influence of literacy and income on giving cash waqf," concluding that "implementation of institutional solid good governance can strengthen the trust of wakifs, thereby increasing cash waqf revenues</w:t>
      </w:r>
      <w:proofErr w:type="gramStart"/>
      <w:r w:rsidRPr="007A3E54">
        <w:t>" .</w:t>
      </w:r>
      <w:proofErr w:type="gramEnd"/>
      <w:r w:rsidRPr="007A3E54">
        <w:t xml:space="preserve"> This finding directly supports the notion that governance quality depends on underlying institutional capabilities, including data management.</w:t>
      </w:r>
    </w:p>
    <w:p w14:paraId="3B644360" w14:textId="77777777" w:rsidR="007A3E54" w:rsidRPr="007A3E54" w:rsidRDefault="007A3E54" w:rsidP="007A3E54">
      <w:pPr>
        <w:jc w:val="both"/>
      </w:pPr>
      <w:r w:rsidRPr="007A3E54">
        <w:t xml:space="preserve">The strategic asset governance framework proposed by Zainal et al. (2025) emphasizes that governance serves as the structural foundation for asset preservation, with accountability building trust and legitimacy. Within this framework, data management capability emerges </w:t>
      </w:r>
      <w:r w:rsidRPr="007A3E54">
        <w:lastRenderedPageBreak/>
        <w:t>as a critical enabler supporting all governance pillars. Effective governance requires reliable information flows; accountability depends on transparent reporting; and oversight necessitates analytical capacity to assess performance.</w:t>
      </w:r>
    </w:p>
    <w:p w14:paraId="10799B6B" w14:textId="77777777" w:rsidR="007A3E54" w:rsidRPr="007A3E54" w:rsidRDefault="007A3E54" w:rsidP="007A3E54">
      <w:pPr>
        <w:jc w:val="both"/>
        <w:rPr>
          <w:b/>
          <w:bCs/>
        </w:rPr>
      </w:pPr>
      <w:r w:rsidRPr="007A3E54">
        <w:t>As a result, it is posited that:</w:t>
      </w:r>
      <w:r w:rsidRPr="007A3E54">
        <w:rPr>
          <w:b/>
          <w:bCs/>
        </w:rPr>
        <w:t xml:space="preserve"> </w:t>
      </w:r>
    </w:p>
    <w:p w14:paraId="244BFFE3" w14:textId="77777777" w:rsidR="007A3E54" w:rsidRPr="007A3E54" w:rsidRDefault="007A3E54" w:rsidP="007A3E54">
      <w:pPr>
        <w:jc w:val="both"/>
      </w:pPr>
      <w:r w:rsidRPr="007A3E54">
        <w:rPr>
          <w:b/>
          <w:bCs/>
        </w:rPr>
        <w:t>Proposition 1 (P1):</w:t>
      </w:r>
      <w:r w:rsidRPr="007A3E54">
        <w:t xml:space="preserve"> Dark data management capability has a positive effect on waqf governance quality </w:t>
      </w:r>
    </w:p>
    <w:p w14:paraId="12A45ACB" w14:textId="77777777" w:rsidR="007A3E54" w:rsidRPr="007A3E54" w:rsidRDefault="007A3E54" w:rsidP="007A3E54">
      <w:pPr>
        <w:jc w:val="both"/>
      </w:pPr>
      <w:r w:rsidRPr="007A3E54">
        <w:t>5.3.2 Waqf Governance Quality affects the Socio-economic impact on Ummah</w:t>
      </w:r>
    </w:p>
    <w:p w14:paraId="463BE17B" w14:textId="77777777" w:rsidR="007A3E54" w:rsidRPr="007A3E54" w:rsidRDefault="007A3E54" w:rsidP="007A3E54">
      <w:pPr>
        <w:jc w:val="both"/>
      </w:pPr>
      <w:r w:rsidRPr="007A3E54">
        <w:t xml:space="preserve">Research indicates that enhanced governance quality, </w:t>
      </w:r>
      <w:proofErr w:type="spellStart"/>
      <w:r w:rsidRPr="007A3E54">
        <w:t>characterised</w:t>
      </w:r>
      <w:proofErr w:type="spellEnd"/>
      <w:r w:rsidRPr="007A3E54">
        <w:t xml:space="preserve"> by transparency, accountability, and structured management, directly fosters donor trust and ensures the efficient </w:t>
      </w:r>
      <w:proofErr w:type="spellStart"/>
      <w:r w:rsidRPr="007A3E54">
        <w:t>mobilisation</w:t>
      </w:r>
      <w:proofErr w:type="spellEnd"/>
      <w:r w:rsidRPr="007A3E54">
        <w:t xml:space="preserve"> of funds, thereby </w:t>
      </w:r>
      <w:proofErr w:type="spellStart"/>
      <w:r w:rsidRPr="007A3E54">
        <w:t>maximising</w:t>
      </w:r>
      <w:proofErr w:type="spellEnd"/>
      <w:r w:rsidRPr="007A3E54">
        <w:t xml:space="preserve"> the socio-economic potential of Waqf assets (Abd Razak, 2025). This is achieved by moving away from fragmented practices toward standardized reporting and Shariah-compliant investment mechanisms, which not only secure sustained contributions but also align Waqf operations with broader development goals such as poverty alleviation and the UN SDGs (Mohamad Yunus et al., 2024). Furthermore, collaborative and formalized governance frameworks, as seen in models like Malaysia's </w:t>
      </w:r>
      <w:proofErr w:type="spellStart"/>
      <w:r w:rsidRPr="007A3E54">
        <w:t>myWakaf</w:t>
      </w:r>
      <w:proofErr w:type="spellEnd"/>
      <w:r w:rsidRPr="007A3E54">
        <w:t xml:space="preserve"> initiative, facilitate financial innovations and operational efficiency, enabling Waqf institutions to channel resources effectively into education and healthcare (Mahmud &amp; Noordin, 2024). Conversely, the literature provides compelling counterevidence by illustrating that the absence of such governance quality—through corruption, poor management, or weak regulatory oversight—leads directly to institutional dysfunction and the erosion of civic goods, squandering the very socio-economic benefits Waqf is intended to deliver (Kuran, 2023; Muhammad et al., 2024). Thus, the prevailing academic consensus confirms that high-quality governance is not merely an administrative ideal but a fundamental prerequisite for Waqf to generate a meaningful and sustainable socio-economic impact. </w:t>
      </w:r>
    </w:p>
    <w:p w14:paraId="02460D52" w14:textId="77777777" w:rsidR="007A3E54" w:rsidRPr="007A3E54" w:rsidRDefault="007A3E54" w:rsidP="007A3E54">
      <w:pPr>
        <w:jc w:val="both"/>
      </w:pPr>
      <w:r w:rsidRPr="007A3E54">
        <w:t>As a result, it is posited that</w:t>
      </w:r>
    </w:p>
    <w:p w14:paraId="5479A9E7" w14:textId="77777777" w:rsidR="007A3E54" w:rsidRPr="007A3E54" w:rsidRDefault="007A3E54" w:rsidP="007A3E54">
      <w:pPr>
        <w:jc w:val="both"/>
      </w:pPr>
      <w:r w:rsidRPr="007A3E54">
        <w:t xml:space="preserve">5.3.3 Waqf governance quality mediates the relationship between dark data management capability and socio-economic impact </w:t>
      </w:r>
    </w:p>
    <w:p w14:paraId="5A77D5B7" w14:textId="77777777" w:rsidR="007A3E54" w:rsidRPr="007A3E54" w:rsidRDefault="007A3E54" w:rsidP="007A3E54">
      <w:pPr>
        <w:jc w:val="both"/>
      </w:pPr>
      <w:r w:rsidRPr="007A3E54">
        <w:t>Oladapo (2016), in his doctoral thesis on determinants of waqf sustainability in Nigeria, provides robust quantitative evidence for governance as a mediating mechanism. Using multiple regression analysis with data from 370 waqf officials, the study revealed "strong indirect relationships between accountability, transparency and beneficiary participation via governance on the sustainability of the Waqf institution in Zamfara state, Nigeria</w:t>
      </w:r>
      <w:proofErr w:type="gramStart"/>
      <w:r w:rsidRPr="007A3E54">
        <w:t>" .</w:t>
      </w:r>
      <w:proofErr w:type="gramEnd"/>
      <w:r w:rsidRPr="007A3E54">
        <w:t xml:space="preserve"> This finding directly supports Proposition 3a, demonstrating that governance transmits the effects of </w:t>
      </w:r>
      <w:proofErr w:type="spellStart"/>
      <w:r w:rsidRPr="007A3E54">
        <w:t>organisational</w:t>
      </w:r>
      <w:proofErr w:type="spellEnd"/>
      <w:r w:rsidRPr="007A3E54">
        <w:t xml:space="preserve"> capabilities to sustainability outcomes.</w:t>
      </w:r>
    </w:p>
    <w:p w14:paraId="424EB34F" w14:textId="77777777" w:rsidR="007A3E54" w:rsidRPr="007A3E54" w:rsidRDefault="007A3E54" w:rsidP="007A3E54">
      <w:pPr>
        <w:jc w:val="both"/>
      </w:pPr>
      <w:r w:rsidRPr="007A3E54">
        <w:lastRenderedPageBreak/>
        <w:t>The same study further documented "a partial mediating effect" for beneficiary participation, which "recorded the strongest direct and indirect relationships compared to the other two variables (accountability and transparency) on sustainability of Waqf institution</w:t>
      </w:r>
      <w:proofErr w:type="gramStart"/>
      <w:r w:rsidRPr="007A3E54">
        <w:t>" .</w:t>
      </w:r>
      <w:proofErr w:type="gramEnd"/>
      <w:r w:rsidRPr="007A3E54">
        <w:t xml:space="preserve"> This nuanced finding supports Proposition 3b by identifying specific governance dimensions (accountability, transparency, and stakeholder participation) through which mediating effects operate.</w:t>
      </w:r>
    </w:p>
    <w:p w14:paraId="6041B1C4" w14:textId="77777777" w:rsidR="007A3E54" w:rsidRPr="007A3E54" w:rsidRDefault="007A3E54" w:rsidP="007A3E54">
      <w:pPr>
        <w:jc w:val="both"/>
      </w:pPr>
      <w:proofErr w:type="spellStart"/>
      <w:r w:rsidRPr="007A3E54">
        <w:t>Rohmana</w:t>
      </w:r>
      <w:proofErr w:type="spellEnd"/>
      <w:r w:rsidRPr="007A3E54">
        <w:t xml:space="preserve"> et al. (2024) similarly found that "good governance can mediate the influence of literacy and income on giving cash waqf</w:t>
      </w:r>
      <w:proofErr w:type="gramStart"/>
      <w:r w:rsidRPr="007A3E54">
        <w:t>" .</w:t>
      </w:r>
      <w:proofErr w:type="gramEnd"/>
      <w:r w:rsidRPr="007A3E54">
        <w:t xml:space="preserve"> Their research demonstrates that governance quality serves as an intervening mechanism through which individual-level factors (literacy, income) translate into institutional outcomes (cash waqf decisions). This finding has direct relevance for understanding how data management capability—as an organizational-level </w:t>
      </w:r>
      <w:proofErr w:type="gramStart"/>
      <w:r w:rsidRPr="007A3E54">
        <w:t>factor—may</w:t>
      </w:r>
      <w:proofErr w:type="gramEnd"/>
      <w:r w:rsidRPr="007A3E54">
        <w:t xml:space="preserve"> similarly operates through governance to affect socio-economic outcomes</w:t>
      </w:r>
    </w:p>
    <w:p w14:paraId="534DA4C3" w14:textId="77777777" w:rsidR="007A3E54" w:rsidRPr="007A3E54" w:rsidRDefault="007A3E54" w:rsidP="007A3E54">
      <w:pPr>
        <w:jc w:val="both"/>
      </w:pPr>
      <w:r w:rsidRPr="007A3E54">
        <w:rPr>
          <w:b/>
          <w:bCs/>
        </w:rPr>
        <w:t>Proposition 3 (P3):</w:t>
      </w:r>
      <w:r w:rsidRPr="007A3E54">
        <w:t xml:space="preserve"> Waqf governance quality mediates the relationship between dark data management capability and socio-economic impact </w:t>
      </w:r>
    </w:p>
    <w:p w14:paraId="64B6B0A4" w14:textId="77777777" w:rsidR="007A3E54" w:rsidRPr="007A3E54" w:rsidRDefault="007A3E54" w:rsidP="007A3E54">
      <w:pPr>
        <w:jc w:val="both"/>
      </w:pPr>
    </w:p>
    <w:p w14:paraId="4FA381AF" w14:textId="77777777" w:rsidR="007A3E54" w:rsidRPr="007A3E54" w:rsidRDefault="007A3E54" w:rsidP="007A3E54">
      <w:pPr>
        <w:jc w:val="both"/>
        <w:rPr>
          <w:b/>
          <w:bCs/>
        </w:rPr>
      </w:pPr>
      <w:r w:rsidRPr="007A3E54">
        <w:rPr>
          <w:b/>
          <w:bCs/>
        </w:rPr>
        <w:t>6. Implications</w:t>
      </w:r>
    </w:p>
    <w:p w14:paraId="4EB2E4F3" w14:textId="77777777" w:rsidR="007A3E54" w:rsidRPr="007A3E54" w:rsidRDefault="007A3E54" w:rsidP="007A3E54">
      <w:pPr>
        <w:jc w:val="both"/>
        <w:rPr>
          <w:b/>
          <w:bCs/>
        </w:rPr>
      </w:pPr>
      <w:r w:rsidRPr="007A3E54">
        <w:rPr>
          <w:b/>
          <w:bCs/>
        </w:rPr>
        <w:t>6.1 Theoretical Implications</w:t>
      </w:r>
    </w:p>
    <w:p w14:paraId="400617F8" w14:textId="77777777" w:rsidR="007A3E54" w:rsidRPr="007A3E54" w:rsidRDefault="007A3E54" w:rsidP="007A3E54">
      <w:pPr>
        <w:jc w:val="both"/>
      </w:pPr>
      <w:r w:rsidRPr="007A3E54">
        <w:t xml:space="preserve">This study advances waqf and social entrepreneurship literature by explicitly positioning dark data as critical explanatory variable in waqf asset underutilization (Ahmad Fuzi et al., 2022). Prior studies focused on governance, financing, and human capital constraints while overlooking informational dimensions (Abas &amp; Raji, 2018; Jalil, 2020). Integrating dark data discourse with Islamic social finance extends existing frameworks responding to calls for interdisciplinary approaches (Nicholls, 2010; </w:t>
      </w:r>
      <w:proofErr w:type="spellStart"/>
      <w:r w:rsidRPr="007A3E54">
        <w:t>Molderez</w:t>
      </w:r>
      <w:proofErr w:type="spellEnd"/>
      <w:r w:rsidRPr="007A3E54">
        <w:t xml:space="preserve"> &amp; </w:t>
      </w:r>
      <w:proofErr w:type="spellStart"/>
      <w:r w:rsidRPr="007A3E54">
        <w:t>Fets</w:t>
      </w:r>
      <w:proofErr w:type="spellEnd"/>
      <w:r w:rsidRPr="007A3E54">
        <w:t>, 2023). The framework introduces dark data management capability construct, integrates individual-level cognitive factors with macro-level institutional forces, and specifies mediating and moderating mechanisms linking data capability to outcomes. This responds to calls for rigorous theoretical frameworks guiding empirical research (Zainal et al., 2025) and contributes to emerging literature on technology application in waqf management (</w:t>
      </w:r>
      <w:proofErr w:type="spellStart"/>
      <w:r w:rsidRPr="007A3E54">
        <w:t>Triyatno</w:t>
      </w:r>
      <w:proofErr w:type="spellEnd"/>
      <w:r w:rsidRPr="007A3E54">
        <w:t xml:space="preserve"> &amp; </w:t>
      </w:r>
      <w:proofErr w:type="spellStart"/>
      <w:r w:rsidRPr="007A3E54">
        <w:t>Julaihah</w:t>
      </w:r>
      <w:proofErr w:type="spellEnd"/>
      <w:r w:rsidRPr="007A3E54">
        <w:t xml:space="preserve">, 2025; Setiawan &amp; </w:t>
      </w:r>
      <w:proofErr w:type="spellStart"/>
      <w:r w:rsidRPr="007A3E54">
        <w:t>Nurjaman</w:t>
      </w:r>
      <w:proofErr w:type="spellEnd"/>
      <w:r w:rsidRPr="007A3E54">
        <w:t>, 2022).</w:t>
      </w:r>
    </w:p>
    <w:p w14:paraId="44D248D4" w14:textId="77777777" w:rsidR="007A3E54" w:rsidRPr="007A3E54" w:rsidRDefault="007A3E54" w:rsidP="007A3E54">
      <w:pPr>
        <w:jc w:val="both"/>
      </w:pPr>
    </w:p>
    <w:p w14:paraId="5240CEA5" w14:textId="77777777" w:rsidR="007A3E54" w:rsidRPr="007A3E54" w:rsidRDefault="007A3E54" w:rsidP="007A3E54">
      <w:pPr>
        <w:jc w:val="both"/>
        <w:rPr>
          <w:b/>
          <w:bCs/>
        </w:rPr>
      </w:pPr>
      <w:r w:rsidRPr="007A3E54">
        <w:rPr>
          <w:b/>
          <w:bCs/>
        </w:rPr>
        <w:t>6.2 Practical Implications</w:t>
      </w:r>
    </w:p>
    <w:p w14:paraId="1B4483C8" w14:textId="77777777" w:rsidR="007A3E54" w:rsidRPr="007A3E54" w:rsidRDefault="007A3E54" w:rsidP="007A3E54">
      <w:pPr>
        <w:jc w:val="both"/>
      </w:pPr>
      <w:r w:rsidRPr="007A3E54">
        <w:t xml:space="preserve">Findings underscore urgency for waqf institutions to adopt standardized data governance frameworks (Noordin et al., 2017). Improved data integration enhances asset visibility, regulatory compliance, and performance measurement, strengthening stakeholder trust </w:t>
      </w:r>
      <w:r w:rsidRPr="007A3E54">
        <w:lastRenderedPageBreak/>
        <w:t xml:space="preserve">(Sulaiman et al., 2019). Recommendations </w:t>
      </w:r>
      <w:proofErr w:type="gramStart"/>
      <w:r w:rsidRPr="007A3E54">
        <w:t>include:</w:t>
      </w:r>
      <w:proofErr w:type="gramEnd"/>
      <w:r w:rsidRPr="007A3E54">
        <w:t xml:space="preserve"> conducting comprehensive data audits identifying dark data extent (Ahmad Fuzi et al., 2022); investing in digital infrastructure enabling integration (Setiawan &amp; </w:t>
      </w:r>
      <w:proofErr w:type="spellStart"/>
      <w:r w:rsidRPr="007A3E54">
        <w:t>Nurjaman</w:t>
      </w:r>
      <w:proofErr w:type="spellEnd"/>
      <w:r w:rsidRPr="007A3E54">
        <w:t>, 2022); developing standardized reporting frameworks (Mohd Hadli Shah et al., 2024); building data management competencies through training and recruitment (Noordin et al., 2017); fostering organizational culture valuing evidence-based decision-making (Zainal et al., 2025).</w:t>
      </w:r>
    </w:p>
    <w:p w14:paraId="2E806274" w14:textId="77777777" w:rsidR="007A3E54" w:rsidRPr="007A3E54" w:rsidRDefault="007A3E54" w:rsidP="007A3E54">
      <w:pPr>
        <w:jc w:val="both"/>
        <w:rPr>
          <w:b/>
          <w:bCs/>
        </w:rPr>
      </w:pPr>
      <w:r w:rsidRPr="007A3E54">
        <w:rPr>
          <w:b/>
          <w:bCs/>
        </w:rPr>
        <w:t>6.3 Policy Implications</w:t>
      </w:r>
    </w:p>
    <w:p w14:paraId="0E4DCAF8" w14:textId="77777777" w:rsidR="007A3E54" w:rsidRPr="007A3E54" w:rsidRDefault="007A3E54" w:rsidP="007A3E54">
      <w:pPr>
        <w:jc w:val="both"/>
      </w:pPr>
      <w:r w:rsidRPr="007A3E54">
        <w:t>Regulators and federal agencies like JAWHAR can promote national waqf databases, digital reporting standards, and incentive mechanisms for productive waqf development (Haniff et al., 2023). Recommendations include: establishing national waqf data infrastructure integrating information from all SIRCs (Mohd Hadli Shah et al., 2024); mandating minimum data standards for asset registration and performance reporting (Noordin et al., 2017); creating incentive mechanisms rewarding effective data management (Sulaiman &amp; Zakari, 2019); reviewing regulatory frameworks to enable data-driven innovation; investing in research and development for waqf data management (</w:t>
      </w:r>
      <w:proofErr w:type="spellStart"/>
      <w:r w:rsidRPr="007A3E54">
        <w:t>Triyatno</w:t>
      </w:r>
      <w:proofErr w:type="spellEnd"/>
      <w:r w:rsidRPr="007A3E54">
        <w:t xml:space="preserve"> &amp; </w:t>
      </w:r>
      <w:proofErr w:type="spellStart"/>
      <w:r w:rsidRPr="007A3E54">
        <w:t>Julaihah</w:t>
      </w:r>
      <w:proofErr w:type="spellEnd"/>
      <w:r w:rsidRPr="007A3E54">
        <w:t>, 2025).</w:t>
      </w:r>
    </w:p>
    <w:p w14:paraId="597042DD" w14:textId="77777777" w:rsidR="007A3E54" w:rsidRPr="007A3E54" w:rsidRDefault="007A3E54" w:rsidP="007A3E54">
      <w:pPr>
        <w:jc w:val="both"/>
      </w:pPr>
    </w:p>
    <w:p w14:paraId="42C21005" w14:textId="77777777" w:rsidR="007A3E54" w:rsidRPr="007A3E54" w:rsidRDefault="007A3E54" w:rsidP="007A3E54">
      <w:pPr>
        <w:jc w:val="both"/>
      </w:pPr>
    </w:p>
    <w:p w14:paraId="29ED73B3" w14:textId="77777777" w:rsidR="007A3E54" w:rsidRPr="007A3E54" w:rsidRDefault="007A3E54" w:rsidP="007A3E54">
      <w:pPr>
        <w:jc w:val="both"/>
        <w:rPr>
          <w:b/>
          <w:bCs/>
        </w:rPr>
      </w:pPr>
      <w:r w:rsidRPr="007A3E54">
        <w:rPr>
          <w:b/>
          <w:bCs/>
        </w:rPr>
        <w:t>7. Conclusion</w:t>
      </w:r>
    </w:p>
    <w:p w14:paraId="157C5260" w14:textId="77777777" w:rsidR="007A3E54" w:rsidRPr="007A3E54" w:rsidRDefault="007A3E54" w:rsidP="007A3E54">
      <w:pPr>
        <w:jc w:val="both"/>
      </w:pPr>
      <w:r w:rsidRPr="007A3E54">
        <w:t>This study addressed critical underexplored challenge in Malaysian waqf management: dark data constraining asset utilization and limiting waqf-based social entrepreneurship sustainability (Ahmad Fuzi et al., 2022; Sulaiman et al., 2019). Findings demonstrate that dark data represent structural governance problem rather than technical deficiency. While Malaysian waqf institutions possess substantial assets, socio-economic impact remains suboptimal due to fragmented data systems, weak performance measurement, and limited analytical capability (Noordin et al., 2017; Haniff et al., 2023). These conditions hinder informed decision-making, reduce transparency, and erode stakeholder trust essential for social entrepreneurship success (Iman &amp; Mohammad, 2017).</w:t>
      </w:r>
    </w:p>
    <w:p w14:paraId="5D70F721" w14:textId="77777777" w:rsidR="007A3E54" w:rsidRPr="007A3E54" w:rsidRDefault="007A3E54" w:rsidP="007A3E54">
      <w:pPr>
        <w:jc w:val="both"/>
      </w:pPr>
      <w:r w:rsidRPr="007A3E54">
        <w:t xml:space="preserve">By proposing data-driven conceptual framework, this study integrates dark data discourse with waqf governance, clarifying mechanisms through which data management capability enhances governance quality and enables sustainable outcomes aligned with </w:t>
      </w:r>
      <w:proofErr w:type="spellStart"/>
      <w:r w:rsidRPr="007A3E54">
        <w:t>maqasid</w:t>
      </w:r>
      <w:proofErr w:type="spellEnd"/>
      <w:r w:rsidRPr="007A3E54">
        <w:t xml:space="preserve"> al-shariah (</w:t>
      </w:r>
      <w:proofErr w:type="spellStart"/>
      <w:r w:rsidRPr="007A3E54">
        <w:t>Roshayani</w:t>
      </w:r>
      <w:proofErr w:type="spellEnd"/>
      <w:r w:rsidRPr="007A3E54">
        <w:t xml:space="preserve"> et al., 2018). The study responds to calls for analytically grounded interdisciplinary approaches in waqf research (Mohd Hadli Shah et al., 2024; Nurul </w:t>
      </w:r>
      <w:proofErr w:type="spellStart"/>
      <w:r w:rsidRPr="007A3E54">
        <w:t>Aien</w:t>
      </w:r>
      <w:proofErr w:type="spellEnd"/>
      <w:r w:rsidRPr="007A3E54">
        <w:t xml:space="preserve"> et al., 2025) and contributes to technology application discussions (</w:t>
      </w:r>
      <w:proofErr w:type="spellStart"/>
      <w:r w:rsidRPr="007A3E54">
        <w:t>Triyatno</w:t>
      </w:r>
      <w:proofErr w:type="spellEnd"/>
      <w:r w:rsidRPr="007A3E54">
        <w:t xml:space="preserve"> &amp; </w:t>
      </w:r>
      <w:proofErr w:type="spellStart"/>
      <w:r w:rsidRPr="007A3E54">
        <w:t>Julaihah</w:t>
      </w:r>
      <w:proofErr w:type="spellEnd"/>
      <w:r w:rsidRPr="007A3E54">
        <w:t xml:space="preserve">, 2025). Practically, it underscores urgency for waqf authorities to prioritize digital transformation, standardized data governance, and capacity building (Zainal et al., 2025). Without </w:t>
      </w:r>
      <w:r w:rsidRPr="007A3E54">
        <w:lastRenderedPageBreak/>
        <w:t>systematic efforts to illuminate dark data, commercialization attempts remain fragmented and unsustainable.</w:t>
      </w:r>
    </w:p>
    <w:p w14:paraId="51C5870D" w14:textId="77777777" w:rsidR="007A3E54" w:rsidRPr="007A3E54" w:rsidRDefault="007A3E54" w:rsidP="007A3E54">
      <w:pPr>
        <w:jc w:val="both"/>
      </w:pPr>
      <w:r w:rsidRPr="007A3E54">
        <w:t>Future research should empirically test the proposed framework using quantitative data across multiple states or through comparative cross-country analysis. Directions include quantitative testing of propositions using survey data and structural equation modeling; comparative case studies of institutions with varying data management capability; longitudinal research tracking data management interventions; cross-country comparative analysis with Indonesia, Singapore, or GCC countries (</w:t>
      </w:r>
      <w:proofErr w:type="spellStart"/>
      <w:r w:rsidRPr="007A3E54">
        <w:t>Triyatno</w:t>
      </w:r>
      <w:proofErr w:type="spellEnd"/>
      <w:r w:rsidRPr="007A3E54">
        <w:t xml:space="preserve"> &amp; </w:t>
      </w:r>
      <w:proofErr w:type="spellStart"/>
      <w:r w:rsidRPr="007A3E54">
        <w:t>Julaihah</w:t>
      </w:r>
      <w:proofErr w:type="spellEnd"/>
      <w:r w:rsidRPr="007A3E54">
        <w:t>, 2025); and action research collaborating with waqf institutions to develop interventions. Unlocking dark data potential offers a promising pathway for transforming waqf institutions into resilient engines of inclusive and sustainable development for the ummah (Hossain, 2020).</w:t>
      </w:r>
    </w:p>
    <w:p w14:paraId="21DAE44D" w14:textId="77777777" w:rsidR="007A3E54" w:rsidRPr="007A3E54" w:rsidRDefault="007A3E54" w:rsidP="007A3E54">
      <w:pPr>
        <w:jc w:val="both"/>
      </w:pPr>
    </w:p>
    <w:p w14:paraId="65752AFF" w14:textId="77777777" w:rsidR="007A3E54" w:rsidRPr="007A3E54" w:rsidRDefault="007A3E54" w:rsidP="007A3E54">
      <w:pPr>
        <w:jc w:val="both"/>
      </w:pPr>
    </w:p>
    <w:p w14:paraId="5AFF6E59" w14:textId="77777777" w:rsidR="007A3E54" w:rsidRPr="007A3E54" w:rsidRDefault="007A3E54" w:rsidP="007A3E54">
      <w:pPr>
        <w:jc w:val="both"/>
      </w:pPr>
    </w:p>
    <w:p w14:paraId="143933E3" w14:textId="77777777" w:rsidR="007A3E54" w:rsidRPr="007A3E54" w:rsidRDefault="007A3E54" w:rsidP="007A3E54">
      <w:pPr>
        <w:jc w:val="both"/>
      </w:pPr>
    </w:p>
    <w:p w14:paraId="71883FFD" w14:textId="77777777" w:rsidR="007A3E54" w:rsidRPr="007A3E54" w:rsidRDefault="007A3E54" w:rsidP="007A3E54">
      <w:pPr>
        <w:jc w:val="both"/>
      </w:pPr>
    </w:p>
    <w:p w14:paraId="130BB36A" w14:textId="77777777" w:rsidR="007A3E54" w:rsidRPr="007A3E54" w:rsidRDefault="007A3E54" w:rsidP="007A3E54">
      <w:pPr>
        <w:jc w:val="both"/>
      </w:pPr>
    </w:p>
    <w:p w14:paraId="42EEAF91" w14:textId="77777777" w:rsidR="007A3E54" w:rsidRPr="007A3E54" w:rsidRDefault="007A3E54" w:rsidP="007A3E54">
      <w:pPr>
        <w:jc w:val="both"/>
      </w:pPr>
    </w:p>
    <w:p w14:paraId="59D22125" w14:textId="77777777" w:rsidR="007A3E54" w:rsidRPr="007A3E54" w:rsidRDefault="007A3E54" w:rsidP="007A3E54">
      <w:pPr>
        <w:jc w:val="both"/>
      </w:pPr>
    </w:p>
    <w:p w14:paraId="6D4E6F9D" w14:textId="77777777" w:rsidR="007A3E54" w:rsidRPr="007A3E54" w:rsidRDefault="007A3E54" w:rsidP="007A3E54">
      <w:pPr>
        <w:jc w:val="both"/>
      </w:pPr>
    </w:p>
    <w:p w14:paraId="751CDECE" w14:textId="77777777" w:rsidR="007A3E54" w:rsidRPr="007A3E54" w:rsidRDefault="007A3E54" w:rsidP="007A3E54">
      <w:pPr>
        <w:jc w:val="both"/>
      </w:pPr>
    </w:p>
    <w:p w14:paraId="6F9C7FF1" w14:textId="77777777" w:rsidR="007A3E54" w:rsidRPr="007A3E54" w:rsidRDefault="007A3E54" w:rsidP="007A3E54">
      <w:pPr>
        <w:jc w:val="both"/>
      </w:pPr>
    </w:p>
    <w:p w14:paraId="61E52B2C" w14:textId="77777777" w:rsidR="007A3E54" w:rsidRPr="007A3E54" w:rsidRDefault="007A3E54" w:rsidP="007A3E54">
      <w:pPr>
        <w:jc w:val="both"/>
      </w:pPr>
    </w:p>
    <w:p w14:paraId="2FB6231B" w14:textId="77777777" w:rsidR="007A3E54" w:rsidRPr="007A3E54" w:rsidRDefault="007A3E54" w:rsidP="007A3E54">
      <w:pPr>
        <w:jc w:val="both"/>
      </w:pPr>
    </w:p>
    <w:p w14:paraId="796DA0C4" w14:textId="77777777" w:rsidR="007A3E54" w:rsidRPr="007A3E54" w:rsidRDefault="007A3E54" w:rsidP="007A3E54">
      <w:pPr>
        <w:jc w:val="both"/>
      </w:pPr>
    </w:p>
    <w:p w14:paraId="7DBD76DC" w14:textId="77777777" w:rsidR="007A3E54" w:rsidRPr="007A3E54" w:rsidRDefault="007A3E54" w:rsidP="007A3E54">
      <w:pPr>
        <w:jc w:val="both"/>
      </w:pPr>
    </w:p>
    <w:p w14:paraId="6885D945" w14:textId="77777777" w:rsidR="007A3E54" w:rsidRPr="007A3E54" w:rsidRDefault="007A3E54" w:rsidP="007A3E54">
      <w:pPr>
        <w:jc w:val="both"/>
      </w:pPr>
    </w:p>
    <w:p w14:paraId="7BAA8211" w14:textId="77777777" w:rsidR="007A3E54" w:rsidRPr="007A3E54" w:rsidRDefault="007A3E54" w:rsidP="007A3E54">
      <w:pPr>
        <w:jc w:val="both"/>
      </w:pPr>
    </w:p>
    <w:p w14:paraId="574CBAC3" w14:textId="77777777" w:rsidR="007A3E54" w:rsidRPr="007A3E54" w:rsidRDefault="007A3E54" w:rsidP="007A3E54">
      <w:pPr>
        <w:jc w:val="both"/>
      </w:pPr>
    </w:p>
    <w:p w14:paraId="35A5BCF5" w14:textId="77777777" w:rsidR="007A3E54" w:rsidRPr="007A3E54" w:rsidRDefault="007A3E54" w:rsidP="007A3E54">
      <w:pPr>
        <w:jc w:val="both"/>
        <w:rPr>
          <w:b/>
          <w:bCs/>
        </w:rPr>
      </w:pPr>
      <w:r w:rsidRPr="007A3E54">
        <w:rPr>
          <w:b/>
          <w:bCs/>
        </w:rPr>
        <w:lastRenderedPageBreak/>
        <w:t>References</w:t>
      </w:r>
    </w:p>
    <w:p w14:paraId="324ECEFB" w14:textId="77777777" w:rsidR="007A3E54" w:rsidRPr="007A3E54" w:rsidRDefault="007A3E54" w:rsidP="007A3E54">
      <w:r w:rsidRPr="007A3E54">
        <w:t>Abas, M. A., &amp; Raji, F. (2018). Issues and challenges of waqf land development in Malaysia. </w:t>
      </w:r>
      <w:r w:rsidRPr="007A3E54">
        <w:rPr>
          <w:i/>
          <w:iCs/>
        </w:rPr>
        <w:t>Journal of Islamic Finance</w:t>
      </w:r>
      <w:r w:rsidRPr="007A3E54">
        <w:t>, 7(1), 34–45.</w:t>
      </w:r>
    </w:p>
    <w:p w14:paraId="14675412" w14:textId="77777777" w:rsidR="007A3E54" w:rsidRPr="007A3E54" w:rsidRDefault="007A3E54" w:rsidP="007A3E54">
      <w:r w:rsidRPr="007A3E54">
        <w:t xml:space="preserve">Ahmad Fuzi, S. F., Habidin, N. F., Desa, A. F. N. C., </w:t>
      </w:r>
      <w:proofErr w:type="spellStart"/>
      <w:r w:rsidRPr="007A3E54">
        <w:t>Hibadullah</w:t>
      </w:r>
      <w:proofErr w:type="spellEnd"/>
      <w:r w:rsidRPr="007A3E54">
        <w:t>, S. N., &amp; Zamri, F. I. M. (2022). Dark data management: A systematic literature review. </w:t>
      </w:r>
      <w:r w:rsidRPr="007A3E54">
        <w:rPr>
          <w:i/>
          <w:iCs/>
        </w:rPr>
        <w:t>Journal of Information and Knowledge Management</w:t>
      </w:r>
      <w:r w:rsidRPr="007A3E54">
        <w:t>, 21(3), 2250021.</w:t>
      </w:r>
    </w:p>
    <w:p w14:paraId="5B10E4B2" w14:textId="77777777" w:rsidR="007A3E54" w:rsidRPr="007A3E54" w:rsidRDefault="007A3E54" w:rsidP="007A3E54">
      <w:r w:rsidRPr="007A3E54">
        <w:t>Ajzen, I. (1991). The theory of planned behavior. </w:t>
      </w:r>
      <w:r w:rsidRPr="007A3E54">
        <w:rPr>
          <w:i/>
          <w:iCs/>
        </w:rPr>
        <w:t>Organizational Behavior and Human Decision Processes</w:t>
      </w:r>
      <w:r w:rsidRPr="007A3E54">
        <w:t>, 50(2), 179–211.</w:t>
      </w:r>
    </w:p>
    <w:p w14:paraId="3222564F" w14:textId="77777777" w:rsidR="007A3E54" w:rsidRPr="007A3E54" w:rsidRDefault="007A3E54" w:rsidP="007A3E54">
      <w:r w:rsidRPr="007A3E54">
        <w:rPr>
          <w:lang w:val="sv-SE"/>
        </w:rPr>
        <w:t xml:space="preserve">Ali, K. M., Kassim, S., &amp; Johari, N. (2019). </w:t>
      </w:r>
      <w:r w:rsidRPr="007A3E54">
        <w:t>Financing productive waqf through Islamic microfinance institutions. </w:t>
      </w:r>
      <w:r w:rsidRPr="007A3E54">
        <w:rPr>
          <w:i/>
          <w:iCs/>
        </w:rPr>
        <w:t>Journal of Islamic Accounting and Business Research</w:t>
      </w:r>
      <w:r w:rsidRPr="007A3E54">
        <w:t>, 10(3), 358–373.</w:t>
      </w:r>
    </w:p>
    <w:p w14:paraId="6A55DFC6" w14:textId="77777777" w:rsidR="007A3E54" w:rsidRPr="007A3E54" w:rsidRDefault="007A3E54" w:rsidP="007A3E54">
      <w:r w:rsidRPr="007A3E54">
        <w:t>Ascarya. (2021). Integrating Islamic social finance for inclusive development. </w:t>
      </w:r>
      <w:r w:rsidRPr="007A3E54">
        <w:rPr>
          <w:i/>
          <w:iCs/>
        </w:rPr>
        <w:t>Journal of Islamic Monetary Economics and Finance</w:t>
      </w:r>
      <w:r w:rsidRPr="007A3E54">
        <w:t>, 7(1), 1–30.</w:t>
      </w:r>
    </w:p>
    <w:p w14:paraId="7B76AF47" w14:textId="77777777" w:rsidR="007A3E54" w:rsidRPr="007A3E54" w:rsidRDefault="007A3E54" w:rsidP="007A3E54">
      <w:r w:rsidRPr="007A3E54">
        <w:t>Bogdan, R. C., &amp; Biklen, S. K. (2003). </w:t>
      </w:r>
      <w:r w:rsidRPr="007A3E54">
        <w:rPr>
          <w:i/>
          <w:iCs/>
        </w:rPr>
        <w:t>Qualitative research for education</w:t>
      </w:r>
      <w:r w:rsidRPr="007A3E54">
        <w:t> (4th ed.). Allyn and Bacon.</w:t>
      </w:r>
    </w:p>
    <w:p w14:paraId="132F3CC5" w14:textId="77777777" w:rsidR="007A3E54" w:rsidRPr="007A3E54" w:rsidRDefault="007A3E54" w:rsidP="007A3E54">
      <w:r w:rsidRPr="007A3E54">
        <w:t>Braun, V., &amp; Clarke, V. (2006). Using thematic analysis in psychology. </w:t>
      </w:r>
      <w:r w:rsidRPr="007A3E54">
        <w:rPr>
          <w:i/>
          <w:iCs/>
        </w:rPr>
        <w:t>Qualitative Research in Psychology</w:t>
      </w:r>
      <w:r w:rsidRPr="007A3E54">
        <w:t>, 3(2), 77–101.</w:t>
      </w:r>
    </w:p>
    <w:p w14:paraId="163AFC5A" w14:textId="77777777" w:rsidR="007A3E54" w:rsidRPr="007A3E54" w:rsidRDefault="007A3E54" w:rsidP="007A3E54">
      <w:r w:rsidRPr="007A3E54">
        <w:t>Denzin, N. K. (2012). Triangulation 2.0. </w:t>
      </w:r>
      <w:r w:rsidRPr="007A3E54">
        <w:rPr>
          <w:i/>
          <w:iCs/>
        </w:rPr>
        <w:t>Journal of Mixed Methods Research</w:t>
      </w:r>
      <w:r w:rsidRPr="007A3E54">
        <w:t>, 6(2), 80–88.</w:t>
      </w:r>
    </w:p>
    <w:p w14:paraId="6FEFD7AB" w14:textId="77777777" w:rsidR="007A3E54" w:rsidRPr="007A3E54" w:rsidRDefault="007A3E54" w:rsidP="007A3E54">
      <w:r w:rsidRPr="007A3E54">
        <w:t>Farid, M. (2016). Productive waqf for economic empowerment. </w:t>
      </w:r>
      <w:r w:rsidRPr="007A3E54">
        <w:rPr>
          <w:i/>
          <w:iCs/>
        </w:rPr>
        <w:t>International Journal of Islamic Economics and Finance Studies</w:t>
      </w:r>
      <w:r w:rsidRPr="007A3E54">
        <w:t>, 2(2), 75–92.</w:t>
      </w:r>
    </w:p>
    <w:p w14:paraId="5F31A631" w14:textId="77777777" w:rsidR="007A3E54" w:rsidRPr="007A3E54" w:rsidRDefault="007A3E54" w:rsidP="007A3E54">
      <w:r w:rsidRPr="007A3E54">
        <w:t>Haniff, N. R., Haneef, M. A., &amp; Amin, R. M. (2023). Governance and accountability issues in Malaysian waqf institutions. </w:t>
      </w:r>
      <w:proofErr w:type="spellStart"/>
      <w:r w:rsidRPr="007A3E54">
        <w:rPr>
          <w:i/>
          <w:iCs/>
        </w:rPr>
        <w:t>Humanomics</w:t>
      </w:r>
      <w:proofErr w:type="spellEnd"/>
      <w:r w:rsidRPr="007A3E54">
        <w:t>, 39(2), 245–263.</w:t>
      </w:r>
    </w:p>
    <w:p w14:paraId="0EC1955F" w14:textId="77777777" w:rsidR="007A3E54" w:rsidRPr="007A3E54" w:rsidRDefault="007A3E54" w:rsidP="007A3E54">
      <w:r w:rsidRPr="007A3E54">
        <w:t>Hasan, R., Hassan, M. K., &amp; Rashid, M. (2020). Waqf governance and transparency. </w:t>
      </w:r>
      <w:r w:rsidRPr="007A3E54">
        <w:rPr>
          <w:i/>
          <w:iCs/>
        </w:rPr>
        <w:t>Journal of Islamic Accounting and Business Research</w:t>
      </w:r>
      <w:r w:rsidRPr="007A3E54">
        <w:t>, 11(3), 521–540.</w:t>
      </w:r>
    </w:p>
    <w:p w14:paraId="338C22BF" w14:textId="77777777" w:rsidR="007A3E54" w:rsidRPr="007A3E54" w:rsidRDefault="007A3E54" w:rsidP="007A3E54">
      <w:r w:rsidRPr="007A3E54">
        <w:t>Hossain, M. Z. (2020). Waqf-based Islamic social finance: A conceptual framework. </w:t>
      </w:r>
      <w:r w:rsidRPr="007A3E54">
        <w:rPr>
          <w:i/>
          <w:iCs/>
        </w:rPr>
        <w:t>Journal of Islamic Finance</w:t>
      </w:r>
      <w:r w:rsidRPr="007A3E54">
        <w:t>, 9(2), 1–14.</w:t>
      </w:r>
    </w:p>
    <w:p w14:paraId="221DCCEF" w14:textId="77777777" w:rsidR="007A3E54" w:rsidRPr="007A3E54" w:rsidRDefault="007A3E54" w:rsidP="007A3E54">
      <w:r w:rsidRPr="007A3E54">
        <w:t>Ihsan, H., &amp; Ibrahim, S. H. M. (2011). Waqf accounting and management in Indonesian waqf institutions. </w:t>
      </w:r>
      <w:proofErr w:type="spellStart"/>
      <w:r w:rsidRPr="007A3E54">
        <w:rPr>
          <w:i/>
          <w:iCs/>
        </w:rPr>
        <w:t>Humanomics</w:t>
      </w:r>
      <w:proofErr w:type="spellEnd"/>
      <w:r w:rsidRPr="007A3E54">
        <w:t>, 27(4), 252–269.</w:t>
      </w:r>
    </w:p>
    <w:p w14:paraId="6C4BB49A" w14:textId="77777777" w:rsidR="007A3E54" w:rsidRPr="007A3E54" w:rsidRDefault="007A3E54" w:rsidP="007A3E54">
      <w:r w:rsidRPr="007A3E54">
        <w:t>Iman, N., &amp; Mohammad, M. O. (2017). Waqf as a framework for social entrepreneurship. </w:t>
      </w:r>
      <w:proofErr w:type="spellStart"/>
      <w:r w:rsidRPr="007A3E54">
        <w:rPr>
          <w:i/>
          <w:iCs/>
        </w:rPr>
        <w:t>Humanomics</w:t>
      </w:r>
      <w:proofErr w:type="spellEnd"/>
      <w:r w:rsidRPr="007A3E54">
        <w:t>, 33(4), 419–440.</w:t>
      </w:r>
    </w:p>
    <w:p w14:paraId="2F5C7899" w14:textId="77777777" w:rsidR="007A3E54" w:rsidRPr="007A3E54" w:rsidRDefault="007A3E54" w:rsidP="007A3E54">
      <w:r w:rsidRPr="007A3E54">
        <w:lastRenderedPageBreak/>
        <w:t>Jalil, A. (2020). Legal and administrative challenges in waqf land development in Malaysia. </w:t>
      </w:r>
      <w:r w:rsidRPr="007A3E54">
        <w:rPr>
          <w:i/>
          <w:iCs/>
        </w:rPr>
        <w:t>Malaysian Journal of Islamic Law</w:t>
      </w:r>
      <w:r w:rsidRPr="007A3E54">
        <w:t>, 18(1), 89–105.</w:t>
      </w:r>
    </w:p>
    <w:p w14:paraId="098B5AC7" w14:textId="77777777" w:rsidR="007A3E54" w:rsidRPr="007A3E54" w:rsidRDefault="007A3E54" w:rsidP="007A3E54">
      <w:r w:rsidRPr="007A3E54">
        <w:t xml:space="preserve">Junarti, Alhabshi, S. M., </w:t>
      </w:r>
      <w:proofErr w:type="spellStart"/>
      <w:r w:rsidRPr="007A3E54">
        <w:t>Amirsyah</w:t>
      </w:r>
      <w:proofErr w:type="spellEnd"/>
      <w:r w:rsidRPr="007A3E54">
        <w:t xml:space="preserve">, &amp; </w:t>
      </w:r>
      <w:proofErr w:type="spellStart"/>
      <w:r w:rsidRPr="007A3E54">
        <w:t>Mardika</w:t>
      </w:r>
      <w:proofErr w:type="spellEnd"/>
      <w:r w:rsidRPr="007A3E54">
        <w:t>, I. H. (2024). Integrating social business for sustainable impact: A systematic literature review. </w:t>
      </w:r>
      <w:r w:rsidRPr="007A3E54">
        <w:rPr>
          <w:i/>
          <w:iCs/>
        </w:rPr>
        <w:t>Journal of Islamic Finance</w:t>
      </w:r>
      <w:r w:rsidRPr="007A3E54">
        <w:t>, 13(2), 149–159.</w:t>
      </w:r>
    </w:p>
    <w:p w14:paraId="42264BED" w14:textId="77777777" w:rsidR="007A3E54" w:rsidRPr="007A3E54" w:rsidRDefault="007A3E54" w:rsidP="007A3E54">
      <w:r w:rsidRPr="007A3E54">
        <w:t>Mahadi, R., Aziz, M. R. A., &amp; Yusof, R. M. (2018). Institutional framework of waqf governance in Malaysia. </w:t>
      </w:r>
      <w:r w:rsidRPr="007A3E54">
        <w:rPr>
          <w:i/>
          <w:iCs/>
        </w:rPr>
        <w:t>Journal of Islamic Economics, Banking and Finance</w:t>
      </w:r>
      <w:r w:rsidRPr="007A3E54">
        <w:t>, 14(3), 25–44.</w:t>
      </w:r>
    </w:p>
    <w:p w14:paraId="523B8F73" w14:textId="77777777" w:rsidR="007A3E54" w:rsidRPr="007A3E54" w:rsidRDefault="007A3E54" w:rsidP="007A3E54">
      <w:r w:rsidRPr="007A3E54">
        <w:t xml:space="preserve">Mohd Hadli Shah, M. Y., </w:t>
      </w:r>
      <w:proofErr w:type="spellStart"/>
      <w:r w:rsidRPr="007A3E54">
        <w:t>Muwazir</w:t>
      </w:r>
      <w:proofErr w:type="spellEnd"/>
      <w:r w:rsidRPr="007A3E54">
        <w:t>, M. R., Noordin, K., &amp; Ishak, S. N. (2024). Enhancing waqf governance for sustainable development: A critical review. </w:t>
      </w:r>
      <w:r w:rsidRPr="007A3E54">
        <w:rPr>
          <w:i/>
          <w:iCs/>
        </w:rPr>
        <w:t>International Journal of Law, Government and Communication</w:t>
      </w:r>
      <w:r w:rsidRPr="007A3E54">
        <w:t>, 9(35), 89–96.</w:t>
      </w:r>
    </w:p>
    <w:p w14:paraId="51FB0C23" w14:textId="77777777" w:rsidR="007A3E54" w:rsidRPr="007A3E54" w:rsidRDefault="007A3E54" w:rsidP="007A3E54">
      <w:r w:rsidRPr="007A3E54">
        <w:t>Mohsin, M. I. A. (2013). Financing through cash-waqf: A revitalization. </w:t>
      </w:r>
      <w:r w:rsidRPr="007A3E54">
        <w:rPr>
          <w:i/>
          <w:iCs/>
        </w:rPr>
        <w:t>International Journal of Islamic and Middle Eastern Finance and Management</w:t>
      </w:r>
      <w:r w:rsidRPr="007A3E54">
        <w:t>, 6(4), 304–321.</w:t>
      </w:r>
    </w:p>
    <w:p w14:paraId="270D80FE" w14:textId="77777777" w:rsidR="007A3E54" w:rsidRPr="007A3E54" w:rsidRDefault="007A3E54" w:rsidP="007A3E54">
      <w:proofErr w:type="spellStart"/>
      <w:r w:rsidRPr="007A3E54">
        <w:t>Molderez</w:t>
      </w:r>
      <w:proofErr w:type="spellEnd"/>
      <w:r w:rsidRPr="007A3E54">
        <w:t xml:space="preserve">, I., &amp; </w:t>
      </w:r>
      <w:proofErr w:type="spellStart"/>
      <w:r w:rsidRPr="007A3E54">
        <w:t>Fets</w:t>
      </w:r>
      <w:proofErr w:type="spellEnd"/>
      <w:r w:rsidRPr="007A3E54">
        <w:t>, M. (2023). Social entrepreneurship and institutional legitimacy. </w:t>
      </w:r>
      <w:r w:rsidRPr="007A3E54">
        <w:rPr>
          <w:i/>
          <w:iCs/>
        </w:rPr>
        <w:t>Journal of Social Entrepreneurship</w:t>
      </w:r>
      <w:r w:rsidRPr="007A3E54">
        <w:t>, 14(1), 1–21.</w:t>
      </w:r>
    </w:p>
    <w:p w14:paraId="4C1A67CA" w14:textId="77777777" w:rsidR="007A3E54" w:rsidRPr="007A3E54" w:rsidRDefault="007A3E54" w:rsidP="007A3E54">
      <w:r w:rsidRPr="007A3E54">
        <w:t>Nicholls, A. (2010). The legitimacy of social entrepreneurship. </w:t>
      </w:r>
      <w:r w:rsidRPr="007A3E54">
        <w:rPr>
          <w:i/>
          <w:iCs/>
        </w:rPr>
        <w:t>Entrepreneurship Theory and Practice</w:t>
      </w:r>
      <w:r w:rsidRPr="007A3E54">
        <w:t>, 34(4), 611–633.</w:t>
      </w:r>
    </w:p>
    <w:p w14:paraId="2C0C9038" w14:textId="77777777" w:rsidR="007A3E54" w:rsidRPr="007A3E54" w:rsidRDefault="007A3E54" w:rsidP="007A3E54">
      <w:r w:rsidRPr="007A3E54">
        <w:t>Noordin, N. H., Haron, S. N., &amp; Kassim, S. (2017). Developing performance measures for waqf institutions. </w:t>
      </w:r>
      <w:r w:rsidRPr="007A3E54">
        <w:rPr>
          <w:i/>
          <w:iCs/>
        </w:rPr>
        <w:t>Journal of Islamic Accounting and Business Research</w:t>
      </w:r>
      <w:r w:rsidRPr="007A3E54">
        <w:t>, 8(1), 68–85.</w:t>
      </w:r>
    </w:p>
    <w:p w14:paraId="79057408" w14:textId="77777777" w:rsidR="007A3E54" w:rsidRPr="007A3E54" w:rsidRDefault="007A3E54" w:rsidP="007A3E54">
      <w:r w:rsidRPr="007A3E54">
        <w:t xml:space="preserve">Nurul </w:t>
      </w:r>
      <w:proofErr w:type="spellStart"/>
      <w:r w:rsidRPr="007A3E54">
        <w:t>Aien</w:t>
      </w:r>
      <w:proofErr w:type="spellEnd"/>
      <w:r w:rsidRPr="007A3E54">
        <w:t xml:space="preserve">, A. A., </w:t>
      </w:r>
      <w:proofErr w:type="spellStart"/>
      <w:r w:rsidRPr="007A3E54">
        <w:t>Noraina</w:t>
      </w:r>
      <w:proofErr w:type="spellEnd"/>
      <w:r w:rsidRPr="007A3E54">
        <w:t xml:space="preserve"> Mazuin, S., Puteri </w:t>
      </w:r>
      <w:proofErr w:type="spellStart"/>
      <w:r w:rsidRPr="007A3E54">
        <w:t>Fadzline</w:t>
      </w:r>
      <w:proofErr w:type="spellEnd"/>
      <w:r w:rsidRPr="007A3E54">
        <w:t>, M. T., &amp; Mohd Zairul. (2025). The current research trends on waqf in social development: A thematic review. </w:t>
      </w:r>
      <w:r w:rsidRPr="007A3E54">
        <w:rPr>
          <w:i/>
          <w:iCs/>
        </w:rPr>
        <w:t>Insight Journal</w:t>
      </w:r>
      <w:r w:rsidRPr="007A3E54">
        <w:t>, 12(1), 30–50.</w:t>
      </w:r>
    </w:p>
    <w:p w14:paraId="61413FE1" w14:textId="77777777" w:rsidR="007A3E54" w:rsidRPr="007A3E54" w:rsidRDefault="007A3E54" w:rsidP="007A3E54">
      <w:r w:rsidRPr="007A3E54">
        <w:t>Ridwan, M. (2021). Productive waqf and social enterprise: Evidence from Southeast Asia. </w:t>
      </w:r>
      <w:r w:rsidRPr="007A3E54">
        <w:rPr>
          <w:i/>
          <w:iCs/>
        </w:rPr>
        <w:t>International Journal of Ethics and Systems</w:t>
      </w:r>
      <w:r w:rsidRPr="007A3E54">
        <w:t>, 37(4), 563–580.</w:t>
      </w:r>
    </w:p>
    <w:p w14:paraId="1F3C8703" w14:textId="77777777" w:rsidR="007A3E54" w:rsidRPr="007A3E54" w:rsidRDefault="007A3E54" w:rsidP="007A3E54">
      <w:r w:rsidRPr="007A3E54">
        <w:t xml:space="preserve">Roshayani, A., Ahmad, K., &amp; Osman, A. Z. (2018). </w:t>
      </w:r>
      <w:proofErr w:type="spellStart"/>
      <w:r w:rsidRPr="007A3E54">
        <w:t>Maqasid</w:t>
      </w:r>
      <w:proofErr w:type="spellEnd"/>
      <w:r w:rsidRPr="007A3E54">
        <w:t xml:space="preserve"> al-shariah-based performance measurement for waqf institutions. </w:t>
      </w:r>
      <w:r w:rsidRPr="007A3E54">
        <w:rPr>
          <w:i/>
          <w:iCs/>
        </w:rPr>
        <w:t>Journal of Islamic Finance</w:t>
      </w:r>
      <w:r w:rsidRPr="007A3E54">
        <w:t>, 7(2), 15–29.</w:t>
      </w:r>
    </w:p>
    <w:p w14:paraId="7014439F" w14:textId="77777777" w:rsidR="007A3E54" w:rsidRPr="007A3E54" w:rsidRDefault="007A3E54" w:rsidP="007A3E54">
      <w:r w:rsidRPr="007A3E54">
        <w:t>Scott, W. R. (2014). </w:t>
      </w:r>
      <w:r w:rsidRPr="007A3E54">
        <w:rPr>
          <w:i/>
          <w:iCs/>
        </w:rPr>
        <w:t>Institutions and organizations</w:t>
      </w:r>
      <w:r w:rsidRPr="007A3E54">
        <w:t> (4th ed.). SAGE.</w:t>
      </w:r>
    </w:p>
    <w:p w14:paraId="54731A2E" w14:textId="77777777" w:rsidR="007A3E54" w:rsidRPr="007A3E54" w:rsidRDefault="007A3E54" w:rsidP="007A3E54">
      <w:r w:rsidRPr="007A3E54">
        <w:t xml:space="preserve">Setiawan, B., &amp; </w:t>
      </w:r>
      <w:proofErr w:type="spellStart"/>
      <w:r w:rsidRPr="007A3E54">
        <w:t>Nurjaman</w:t>
      </w:r>
      <w:proofErr w:type="spellEnd"/>
      <w:r w:rsidRPr="007A3E54">
        <w:t>, A. (2022). Blockchain adoption in waqf management. </w:t>
      </w:r>
      <w:r w:rsidRPr="007A3E54">
        <w:rPr>
          <w:i/>
          <w:iCs/>
        </w:rPr>
        <w:t>Journal of Islamic Accounting and Business Research</w:t>
      </w:r>
      <w:r w:rsidRPr="007A3E54">
        <w:t>, 13(3), 456–472.</w:t>
      </w:r>
    </w:p>
    <w:p w14:paraId="5EC03472" w14:textId="77777777" w:rsidR="007A3E54" w:rsidRPr="007A3E54" w:rsidRDefault="007A3E54" w:rsidP="007A3E54">
      <w:r w:rsidRPr="007A3E54">
        <w:t>Sulaiman, M., &amp; Zakari, M. A. (2019). Financial sustainability of waqf institutions: Evidence from Malaysia. </w:t>
      </w:r>
      <w:r w:rsidRPr="007A3E54">
        <w:rPr>
          <w:i/>
          <w:iCs/>
        </w:rPr>
        <w:t>Journal of Islamic Accounting and Business Research</w:t>
      </w:r>
      <w:r w:rsidRPr="007A3E54">
        <w:t>, 10(2), 236–251.</w:t>
      </w:r>
    </w:p>
    <w:p w14:paraId="0EA8DC2C" w14:textId="77777777" w:rsidR="007A3E54" w:rsidRPr="007A3E54" w:rsidRDefault="007A3E54" w:rsidP="007A3E54">
      <w:r w:rsidRPr="007A3E54">
        <w:lastRenderedPageBreak/>
        <w:t>Sulaiman, S., Hasan, A., Noor, A. M., &amp; Ismail, M. I. (2019). Data management in waqf institutions: Issues and challenges. </w:t>
      </w:r>
      <w:r w:rsidRPr="007A3E54">
        <w:rPr>
          <w:i/>
          <w:iCs/>
        </w:rPr>
        <w:t>International Journal of Academic Research in Business and Social Sciences</w:t>
      </w:r>
      <w:r w:rsidRPr="007A3E54">
        <w:t>, 9(11), 1421–1432.</w:t>
      </w:r>
    </w:p>
    <w:p w14:paraId="7F1346E4" w14:textId="77777777" w:rsidR="007A3E54" w:rsidRPr="007A3E54" w:rsidRDefault="007A3E54" w:rsidP="007A3E54">
      <w:proofErr w:type="spellStart"/>
      <w:r w:rsidRPr="007A3E54">
        <w:t>Triyatno</w:t>
      </w:r>
      <w:proofErr w:type="spellEnd"/>
      <w:r w:rsidRPr="007A3E54">
        <w:t xml:space="preserve">, G., &amp; </w:t>
      </w:r>
      <w:proofErr w:type="spellStart"/>
      <w:r w:rsidRPr="007A3E54">
        <w:t>Julaihah</w:t>
      </w:r>
      <w:proofErr w:type="spellEnd"/>
      <w:r w:rsidRPr="007A3E54">
        <w:t>, U. (2025). The intersection of waqf and entrepreneurship: A bibliometric analysis. </w:t>
      </w:r>
      <w:proofErr w:type="spellStart"/>
      <w:r w:rsidRPr="007A3E54">
        <w:rPr>
          <w:i/>
          <w:iCs/>
        </w:rPr>
        <w:t>Iqtishadia</w:t>
      </w:r>
      <w:proofErr w:type="spellEnd"/>
      <w:r w:rsidRPr="007A3E54">
        <w:t>, 17(2), 269–306.</w:t>
      </w:r>
    </w:p>
    <w:p w14:paraId="2193A0E6" w14:textId="77777777" w:rsidR="007A3E54" w:rsidRPr="007A3E54" w:rsidRDefault="007A3E54" w:rsidP="007A3E54">
      <w:proofErr w:type="spellStart"/>
      <w:r w:rsidRPr="007A3E54">
        <w:t>Yaqin</w:t>
      </w:r>
      <w:proofErr w:type="spellEnd"/>
      <w:r w:rsidRPr="007A3E54">
        <w:t>, A. (2007). </w:t>
      </w:r>
      <w:r w:rsidRPr="007A3E54">
        <w:rPr>
          <w:i/>
          <w:iCs/>
        </w:rPr>
        <w:t>Legal research and writing</w:t>
      </w:r>
      <w:r w:rsidRPr="007A3E54">
        <w:t>. LexisNexis.</w:t>
      </w:r>
    </w:p>
    <w:p w14:paraId="3D49F38F" w14:textId="37906C00" w:rsidR="007A3E54" w:rsidRDefault="007A3E54" w:rsidP="007A3E54">
      <w:r w:rsidRPr="007A3E54">
        <w:t xml:space="preserve">Zainal, N., Daud, D., Muda, R., Kasim, E. S., &amp; Iqbal, M. M. (2025). From charity to strategic asset governance: Ethical wealth preservation in </w:t>
      </w:r>
      <w:proofErr w:type="spellStart"/>
      <w:r w:rsidRPr="007A3E54">
        <w:t>waqa</w:t>
      </w:r>
      <w:proofErr w:type="spellEnd"/>
    </w:p>
    <w:sectPr w:rsidR="007A3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54"/>
    <w:rsid w:val="006A545D"/>
    <w:rsid w:val="007A3E54"/>
    <w:rsid w:val="008442D4"/>
    <w:rsid w:val="00D90A34"/>
    <w:rsid w:val="00E05877"/>
    <w:rsid w:val="00FA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76E7"/>
  <w15:chartTrackingRefBased/>
  <w15:docId w15:val="{E5449C1D-43BC-46E5-B5D8-F1D9A713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E54"/>
    <w:rPr>
      <w:rFonts w:eastAsiaTheme="majorEastAsia" w:cstheme="majorBidi"/>
      <w:color w:val="272727" w:themeColor="text1" w:themeTint="D8"/>
    </w:rPr>
  </w:style>
  <w:style w:type="paragraph" w:styleId="Title">
    <w:name w:val="Title"/>
    <w:basedOn w:val="Normal"/>
    <w:next w:val="Normal"/>
    <w:link w:val="TitleChar"/>
    <w:uiPriority w:val="10"/>
    <w:qFormat/>
    <w:rsid w:val="007A3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E54"/>
    <w:pPr>
      <w:spacing w:before="160"/>
      <w:jc w:val="center"/>
    </w:pPr>
    <w:rPr>
      <w:i/>
      <w:iCs/>
      <w:color w:val="404040" w:themeColor="text1" w:themeTint="BF"/>
    </w:rPr>
  </w:style>
  <w:style w:type="character" w:customStyle="1" w:styleId="QuoteChar">
    <w:name w:val="Quote Char"/>
    <w:basedOn w:val="DefaultParagraphFont"/>
    <w:link w:val="Quote"/>
    <w:uiPriority w:val="29"/>
    <w:rsid w:val="007A3E54"/>
    <w:rPr>
      <w:i/>
      <w:iCs/>
      <w:color w:val="404040" w:themeColor="text1" w:themeTint="BF"/>
    </w:rPr>
  </w:style>
  <w:style w:type="paragraph" w:styleId="ListParagraph">
    <w:name w:val="List Paragraph"/>
    <w:basedOn w:val="Normal"/>
    <w:uiPriority w:val="34"/>
    <w:qFormat/>
    <w:rsid w:val="007A3E54"/>
    <w:pPr>
      <w:ind w:left="720"/>
      <w:contextualSpacing/>
    </w:pPr>
  </w:style>
  <w:style w:type="character" w:styleId="IntenseEmphasis">
    <w:name w:val="Intense Emphasis"/>
    <w:basedOn w:val="DefaultParagraphFont"/>
    <w:uiPriority w:val="21"/>
    <w:qFormat/>
    <w:rsid w:val="007A3E54"/>
    <w:rPr>
      <w:i/>
      <w:iCs/>
      <w:color w:val="0F4761" w:themeColor="accent1" w:themeShade="BF"/>
    </w:rPr>
  </w:style>
  <w:style w:type="paragraph" w:styleId="IntenseQuote">
    <w:name w:val="Intense Quote"/>
    <w:basedOn w:val="Normal"/>
    <w:next w:val="Normal"/>
    <w:link w:val="IntenseQuoteChar"/>
    <w:uiPriority w:val="30"/>
    <w:qFormat/>
    <w:rsid w:val="007A3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E54"/>
    <w:rPr>
      <w:i/>
      <w:iCs/>
      <w:color w:val="0F4761" w:themeColor="accent1" w:themeShade="BF"/>
    </w:rPr>
  </w:style>
  <w:style w:type="character" w:styleId="IntenseReference">
    <w:name w:val="Intense Reference"/>
    <w:basedOn w:val="DefaultParagraphFont"/>
    <w:uiPriority w:val="32"/>
    <w:qFormat/>
    <w:rsid w:val="007A3E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5509</Words>
  <Characters>31407</Characters>
  <Application>Microsoft Office Word</Application>
  <DocSecurity>0</DocSecurity>
  <Lines>261</Lines>
  <Paragraphs>73</Paragraphs>
  <ScaleCrop>false</ScaleCrop>
  <Company/>
  <LinksUpToDate>false</LinksUpToDate>
  <CharactersWithSpaces>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IMRAN BIN ZAINODDIN</dc:creator>
  <cp:keywords/>
  <dc:description/>
  <cp:lastModifiedBy>AMIR IMRAN BIN ZAINODDIN</cp:lastModifiedBy>
  <cp:revision>1</cp:revision>
  <dcterms:created xsi:type="dcterms:W3CDTF">2026-07-08T07:41:00Z</dcterms:created>
  <dcterms:modified xsi:type="dcterms:W3CDTF">2026-07-08T07:44:00Z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8c6e6a93-6d84-403c-91c1-06f0647c5903</vt:lpwstr>
  </property>
</Properties>
</file>