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DBD" w:rsidRPr="00FC2184" w:rsidRDefault="00126DBD" w:rsidP="00126DBD">
      <w:pPr>
        <w:spacing w:after="0" w:line="240" w:lineRule="auto"/>
        <w:ind w:firstLine="720"/>
        <w:jc w:val="center"/>
      </w:pPr>
      <w:r>
        <w:rPr>
          <w:b/>
        </w:rPr>
        <w:t>Effect of International Migration on Unemployment and Poverty in Nigeria: 1985 - 2020</w:t>
      </w:r>
    </w:p>
    <w:p w:rsidR="00126DBD" w:rsidRDefault="00126DBD" w:rsidP="00126DBD">
      <w:pPr>
        <w:spacing w:after="0" w:line="240" w:lineRule="auto"/>
        <w:ind w:firstLine="720"/>
        <w:contextualSpacing/>
        <w:jc w:val="center"/>
      </w:pPr>
      <w:r>
        <w:t>Dr Ijeoma Blessing Unachukwu</w:t>
      </w:r>
    </w:p>
    <w:p w:rsidR="00126DBD" w:rsidRDefault="00126DBD" w:rsidP="00126DBD">
      <w:pPr>
        <w:spacing w:after="0" w:line="240" w:lineRule="auto"/>
        <w:ind w:firstLine="720"/>
        <w:contextualSpacing/>
        <w:jc w:val="center"/>
      </w:pPr>
      <w:r w:rsidRPr="00FC2184">
        <w:t xml:space="preserve">Department of </w:t>
      </w:r>
      <w:r>
        <w:t>Economics Education</w:t>
      </w:r>
    </w:p>
    <w:p w:rsidR="00126DBD" w:rsidRPr="00FC2184" w:rsidRDefault="00126DBD" w:rsidP="00126DBD">
      <w:pPr>
        <w:spacing w:after="0" w:line="240" w:lineRule="auto"/>
        <w:ind w:firstLine="720"/>
        <w:contextualSpacing/>
        <w:jc w:val="center"/>
      </w:pPr>
      <w:r>
        <w:t>School of Arts and Social Sciences</w:t>
      </w:r>
    </w:p>
    <w:p w:rsidR="00126DBD" w:rsidRPr="00FC2184" w:rsidRDefault="00126DBD" w:rsidP="00126DBD">
      <w:pPr>
        <w:spacing w:after="0" w:line="240" w:lineRule="auto"/>
        <w:contextualSpacing/>
        <w:jc w:val="center"/>
      </w:pPr>
      <w:r>
        <w:t>Federal College of Education Technical, Umunze</w:t>
      </w:r>
      <w:r w:rsidRPr="00FC2184">
        <w:t xml:space="preserve">, </w:t>
      </w:r>
      <w:r>
        <w:t>Ana</w:t>
      </w:r>
      <w:r w:rsidRPr="00FC2184">
        <w:t>mbra State, Nigeria</w:t>
      </w:r>
    </w:p>
    <w:p w:rsidR="00126DBD" w:rsidRPr="00FC2184" w:rsidRDefault="00126DBD" w:rsidP="00126DBD">
      <w:pPr>
        <w:spacing w:after="0" w:line="240" w:lineRule="auto"/>
        <w:ind w:firstLine="720"/>
        <w:contextualSpacing/>
        <w:jc w:val="center"/>
      </w:pPr>
      <w:r>
        <w:t>(Corresponding Author: Dr Ijeoma Blessing Unachukwu)</w:t>
      </w:r>
    </w:p>
    <w:p w:rsidR="00126DBD" w:rsidRDefault="00126DBD" w:rsidP="00126DBD">
      <w:pPr>
        <w:spacing w:after="0" w:line="240" w:lineRule="auto"/>
        <w:jc w:val="center"/>
      </w:pPr>
    </w:p>
    <w:p w:rsidR="00126DBD" w:rsidRPr="00B2254B" w:rsidRDefault="00D2268A" w:rsidP="00126DBD">
      <w:pPr>
        <w:spacing w:after="0" w:line="240" w:lineRule="auto"/>
        <w:jc w:val="center"/>
      </w:pPr>
      <w:r>
        <w:t>Anukam Chidozirim Stephen</w:t>
      </w:r>
    </w:p>
    <w:p w:rsidR="00126DBD" w:rsidRPr="00B2254B" w:rsidRDefault="00D2268A" w:rsidP="00126DBD">
      <w:pPr>
        <w:spacing w:after="0" w:line="240" w:lineRule="auto"/>
        <w:jc w:val="center"/>
      </w:pPr>
      <w:r>
        <w:t>Department of Corporative and Rural Development</w:t>
      </w:r>
    </w:p>
    <w:p w:rsidR="00D2268A" w:rsidRDefault="00126DBD" w:rsidP="00126DBD">
      <w:pPr>
        <w:spacing w:after="0" w:line="240" w:lineRule="auto"/>
        <w:jc w:val="center"/>
      </w:pPr>
      <w:r w:rsidRPr="00B2254B">
        <w:t>Univesity</w:t>
      </w:r>
      <w:r w:rsidR="00D2268A">
        <w:t xml:space="preserve"> of Agriculture and Environmental Sciences</w:t>
      </w:r>
    </w:p>
    <w:p w:rsidR="00126DBD" w:rsidRDefault="00D2268A" w:rsidP="00126DBD">
      <w:pPr>
        <w:spacing w:after="0" w:line="240" w:lineRule="auto"/>
        <w:jc w:val="center"/>
      </w:pPr>
      <w:r>
        <w:t>Umuagwo, Imo</w:t>
      </w:r>
      <w:r w:rsidR="00126DBD" w:rsidRPr="00B2254B">
        <w:t xml:space="preserve"> State</w:t>
      </w:r>
      <w:r>
        <w:t>, Nigeria</w:t>
      </w:r>
    </w:p>
    <w:p w:rsidR="00126DBD" w:rsidRDefault="00126DBD" w:rsidP="00A812A0">
      <w:pPr>
        <w:spacing w:after="0" w:line="240" w:lineRule="auto"/>
        <w:ind w:left="0" w:right="359" w:firstLine="0"/>
        <w:jc w:val="center"/>
        <w:rPr>
          <w:b/>
        </w:rPr>
      </w:pPr>
    </w:p>
    <w:p w:rsidR="00E04CD2" w:rsidRPr="00A812A0" w:rsidRDefault="001F29B6" w:rsidP="00D2268A">
      <w:pPr>
        <w:spacing w:after="0" w:line="240" w:lineRule="auto"/>
        <w:ind w:left="0" w:right="359" w:firstLine="720"/>
        <w:jc w:val="left"/>
      </w:pPr>
      <w:r w:rsidRPr="00A812A0">
        <w:rPr>
          <w:b/>
        </w:rPr>
        <w:t>ABSTRAC</w:t>
      </w:r>
      <w:r w:rsidR="005649E8" w:rsidRPr="00A812A0">
        <w:rPr>
          <w:b/>
        </w:rPr>
        <w:t>T</w:t>
      </w:r>
    </w:p>
    <w:p w:rsidR="00E04CD2" w:rsidRPr="00A812A0" w:rsidRDefault="001F29B6" w:rsidP="00A812A0">
      <w:pPr>
        <w:spacing w:after="0" w:line="240" w:lineRule="auto"/>
        <w:ind w:left="720" w:right="0" w:firstLine="0"/>
      </w:pPr>
      <w:r w:rsidRPr="00A812A0">
        <w:t>This study examined the effect of international migration, on unemployment, and poverty in Nige</w:t>
      </w:r>
      <w:r w:rsidR="00A812A0">
        <w:t xml:space="preserve">ria from </w:t>
      </w:r>
      <w:r w:rsidRPr="00A812A0">
        <w:t xml:space="preserve">1985-2020). The data used in this study were obtained from Central Bank of Nigeria (CBN) statistical bulletin (2020), World Development Indicators and the KOF Swiss Economic Institute. These comprises of annual data of the following variables unemployment rate and poverty index serves as the dependent variables in the two models respectively while international migration remittances, Globalization Index, and Adult literacy rate serves as the independent variables. The test statistics used in the analysis of data was; Auto Regressive Distributed Lag (ARDL). The results showed that; International migration proxy by international migration remittances has a positive and significant relationship with unemployment and a negative and significant relationship with poverty in Nigeria. it was recommended that; Enlightenment campaigns directed at recipients of remittances regarding the benefit of investing remittance money in small and medium scale enterprises be encouraged rather than using the money as a substitute for labor income; Nigerian governments and their agencies should manage the economy properly and put up policies that can help to eliminate poverty which has been identified as the major force that pushes its citizens into migration. In other words, the formulation of National Migration Policy in 2015 is not enough. There is need to develop an accompanying policy on poverty reduction to propel the migration policy to success; the need for Government to encourage globalization, by embarking on trade liberalization policies in order to accelerate and sustain industrial growth and in turn a reduce poverty. They should also monitor the movement of factor inputs as well as imported and exported goods both in and out the country by way of creating a well secured boarders across the country and a strong and efficient Custom Officials.  </w:t>
      </w:r>
    </w:p>
    <w:p w:rsidR="00A812A0" w:rsidRDefault="001F29B6" w:rsidP="00A812A0">
      <w:pPr>
        <w:spacing w:after="0" w:line="240" w:lineRule="auto"/>
        <w:ind w:left="720" w:right="100" w:firstLine="0"/>
        <w:jc w:val="left"/>
      </w:pPr>
      <w:r w:rsidRPr="00A812A0">
        <w:rPr>
          <w:b/>
        </w:rPr>
        <w:t xml:space="preserve">Keywords: </w:t>
      </w:r>
      <w:r w:rsidRPr="00A812A0">
        <w:t xml:space="preserve">International </w:t>
      </w:r>
      <w:r w:rsidR="00D2268A" w:rsidRPr="00A812A0">
        <w:t>migration, international remittance, unemployment, poverty, globalization</w:t>
      </w:r>
    </w:p>
    <w:p w:rsidR="00A812A0" w:rsidRDefault="00A812A0" w:rsidP="00A812A0">
      <w:pPr>
        <w:spacing w:after="0" w:line="240" w:lineRule="auto"/>
        <w:ind w:left="720" w:right="100" w:firstLine="0"/>
        <w:jc w:val="left"/>
      </w:pPr>
    </w:p>
    <w:p w:rsidR="00E04CD2" w:rsidRDefault="00A812A0" w:rsidP="00A812A0">
      <w:pPr>
        <w:spacing w:after="0" w:line="240" w:lineRule="auto"/>
        <w:ind w:left="0" w:right="100" w:firstLine="0"/>
        <w:jc w:val="left"/>
      </w:pPr>
      <w:r>
        <w:rPr>
          <w:b/>
        </w:rPr>
        <w:t>1.</w:t>
      </w:r>
      <w:r>
        <w:tab/>
      </w:r>
      <w:r w:rsidR="001F29B6" w:rsidRPr="00A812A0">
        <w:rPr>
          <w:b/>
        </w:rPr>
        <w:t xml:space="preserve">INTRODUCTION </w:t>
      </w:r>
    </w:p>
    <w:p w:rsidR="00A812A0" w:rsidRDefault="00A812A0" w:rsidP="00D2268A">
      <w:pPr>
        <w:spacing w:after="0" w:line="240" w:lineRule="auto"/>
        <w:ind w:left="720" w:right="28" w:firstLine="710"/>
      </w:pPr>
      <w:r>
        <w:t>I</w:t>
      </w:r>
      <w:r w:rsidR="001F29B6">
        <w:t>nternational migration has been identified as one of the pathways out of poverty by poor people from the developing countries, especially from Sub-Saharan Africa (SSA) countries (Rufai et al. 2019). The growth rate of net migration in the region has been identified as the highest in the world (Darkwah and Verter 2014; Ogunniyi et al. 2017). International migration is a factor that impacts the welfare of the household, the home community, and in the end, the whole economy in various ways (Fonta et al. 2011; Nwaru et al. 2011).</w:t>
      </w:r>
      <w:r>
        <w:t xml:space="preserve"> </w:t>
      </w:r>
      <w:r w:rsidR="001F29B6">
        <w:t xml:space="preserve">Interestingly, Nigeria remains a major contributor to the net migration in the World. According to the World Development Indicator, the country was responsible for about 17% of the net migration in Sub-Saharan region in 2017 (ILO 2019). Various </w:t>
      </w:r>
      <w:r w:rsidR="001F29B6">
        <w:lastRenderedPageBreak/>
        <w:t>factors (push and pull) are often responsible for the movement of people away from their usual places of residence. In Nigeria, high levels of unemployment, migrant remittances, population growth (Darkwah and Verter 2014), unstable politics, ethno-religious conflicts, and poverty (Adepoju 2009; Young 2013) are the major factors promoting the massive movement of both men and women across and outside the country (Darkwah and Verter 2014). Poor economic conditions and high levels of poverty also force people to move as they search for better living conditions, especially the youth and young adults Ghebru et al. (2018). Migration in most cases does not only empower the migrant but is also known for its relationship with the geographical and occupational mobility of labor, as the probability of moving within occupations is often higher with migration (Ghebru et</w:t>
      </w:r>
      <w:r>
        <w:t xml:space="preserve"> al. 2018; Basso et al. 2018).</w:t>
      </w:r>
    </w:p>
    <w:p w:rsidR="00E04CD2" w:rsidRDefault="001F29B6" w:rsidP="00D2268A">
      <w:pPr>
        <w:tabs>
          <w:tab w:val="left" w:pos="9360"/>
        </w:tabs>
        <w:spacing w:after="0" w:line="240" w:lineRule="auto"/>
        <w:ind w:left="720" w:right="28" w:firstLine="710"/>
      </w:pPr>
      <w:r>
        <w:t>International migration all over the world has been playing important roles in the respective economies. Cross-border migration is among the strong factors that are driving globalization in recent decades. The patterns of this movement over the years have been changing the size, structure and efficiency of labor markets, culture, political situations, and people in many countries across the globe.  Labor market of Nigeria is fraught with high rate of unemployment and sluggish wage adjustment not explicitly determined by market forces. More irreconcilable is that unemployment continues to increase in the face of consistent economic growth. Further, wages respond sluggishly to inflation rate, thereby worsening workers’ welfare. High unemployment rate could be attributed to the composition of the country’s population. Specifically, the youth constitute more than 60 per cent of total population but less than 30 per cent were able to secure employment (NBS, 2010). Furthermore, young people are confronted with lack of demand for their newly acquired skills, often not matching those required by the demand side of the labor market (IOM, 2010). Also, the country has been experiencing rapid expansion of educational system which directly leads to increase in the supply of educated manpower above the corresponding demand (Okafor, 2011). These factors have continuously enlarged the poverty rate in Nigeria. According to the National Bureau of Statistics (2020), 40.1% of Nigeria’s population is classified as poor, this entails that around 4 in 10 Nigerians have real per capita expenditures below 137,430 Naira per year. As per the 2018/19 Nigeria Living Standards Survey, over 80 million Nigerians fell below the poverty line before the covid-19 pandemic. The current estimate suggests that the joint effects of the pandemic and population growth rate may warrant pushing additional 10 million people into the poverty line, with Nigeria set to have over a hundred million poor people by 2022. The rural poor in Nigeria have even pulsating poverty incidence as high as 52.1% compared to 18.5% in urban areas (NBS Nigeria Living Standard Survey, 2019; Lain &amp; Vishwanath 2021).  Against the background of this paper; the study examines the nexus between international migration, unemployment, and poverty in Nigeria.</w:t>
      </w:r>
    </w:p>
    <w:p w:rsidR="00E04CD2" w:rsidRPr="00A812A0" w:rsidRDefault="001F29B6" w:rsidP="00A812A0">
      <w:pPr>
        <w:pStyle w:val="Heading2"/>
        <w:spacing w:after="0" w:line="240" w:lineRule="auto"/>
        <w:ind w:left="-5" w:right="100" w:firstLine="725"/>
        <w:rPr>
          <w:i w:val="0"/>
        </w:rPr>
      </w:pPr>
      <w:r w:rsidRPr="00A812A0">
        <w:rPr>
          <w:i w:val="0"/>
        </w:rPr>
        <w:t xml:space="preserve">Objective of the study </w:t>
      </w:r>
    </w:p>
    <w:p w:rsidR="00E04CD2" w:rsidRDefault="001F29B6" w:rsidP="00D2268A">
      <w:pPr>
        <w:spacing w:after="0" w:line="240" w:lineRule="auto"/>
        <w:ind w:left="720" w:right="28" w:firstLine="0"/>
      </w:pPr>
      <w:r>
        <w:t xml:space="preserve">The broad objective of this study is to examine the effect of international migration on unemployment, and poverty in Nigeria. However, the specific objectives are: </w:t>
      </w:r>
    </w:p>
    <w:p w:rsidR="00E04CD2" w:rsidRDefault="001F29B6" w:rsidP="00D2268A">
      <w:pPr>
        <w:numPr>
          <w:ilvl w:val="0"/>
          <w:numId w:val="1"/>
        </w:numPr>
        <w:spacing w:after="0" w:line="240" w:lineRule="auto"/>
        <w:ind w:right="28" w:hanging="360"/>
      </w:pPr>
      <w:r>
        <w:t xml:space="preserve">To examine the relationship between migrant remittance and unemployment in Nigeria </w:t>
      </w:r>
    </w:p>
    <w:p w:rsidR="00E04CD2" w:rsidRDefault="001F29B6" w:rsidP="00A812A0">
      <w:pPr>
        <w:numPr>
          <w:ilvl w:val="0"/>
          <w:numId w:val="1"/>
        </w:numPr>
        <w:spacing w:after="0" w:line="240" w:lineRule="auto"/>
        <w:ind w:right="359" w:hanging="360"/>
      </w:pPr>
      <w:r>
        <w:t xml:space="preserve">To examine the relationship between migrant remittance and poverty in Nigeria </w:t>
      </w:r>
    </w:p>
    <w:p w:rsidR="00E04CD2" w:rsidRDefault="00E04CD2" w:rsidP="00A812A0">
      <w:pPr>
        <w:spacing w:after="0" w:line="240" w:lineRule="auto"/>
        <w:ind w:left="0" w:right="0" w:firstLine="0"/>
        <w:jc w:val="left"/>
      </w:pPr>
    </w:p>
    <w:p w:rsidR="00E04CD2" w:rsidRDefault="00A812A0" w:rsidP="00A812A0">
      <w:pPr>
        <w:pStyle w:val="Heading1"/>
        <w:spacing w:after="0" w:line="240" w:lineRule="auto"/>
        <w:ind w:left="-5" w:right="100"/>
        <w:rPr>
          <w:i w:val="0"/>
        </w:rPr>
      </w:pPr>
      <w:r>
        <w:rPr>
          <w:i w:val="0"/>
        </w:rPr>
        <w:t>2</w:t>
      </w:r>
      <w:r>
        <w:rPr>
          <w:i w:val="0"/>
        </w:rPr>
        <w:tab/>
      </w:r>
      <w:r w:rsidR="001F29B6" w:rsidRPr="00A812A0">
        <w:rPr>
          <w:i w:val="0"/>
        </w:rPr>
        <w:t xml:space="preserve">REVIEW RELARED LITERATURE </w:t>
      </w:r>
    </w:p>
    <w:p w:rsidR="00A812A0" w:rsidRPr="00A812A0" w:rsidRDefault="00A812A0" w:rsidP="00A812A0">
      <w:pPr>
        <w:ind w:left="0" w:firstLine="0"/>
        <w:rPr>
          <w:b/>
          <w:lang w:eastAsia="en-GB" w:bidi="ar-SA"/>
        </w:rPr>
      </w:pPr>
      <w:r>
        <w:rPr>
          <w:lang w:eastAsia="en-GB" w:bidi="ar-SA"/>
        </w:rPr>
        <w:tab/>
      </w:r>
      <w:r w:rsidRPr="00A812A0">
        <w:rPr>
          <w:b/>
          <w:lang w:eastAsia="en-GB" w:bidi="ar-SA"/>
        </w:rPr>
        <w:t>Conceptual Clarification</w:t>
      </w:r>
    </w:p>
    <w:p w:rsidR="00E04CD2" w:rsidRDefault="001F29B6" w:rsidP="00D2268A">
      <w:pPr>
        <w:spacing w:after="0" w:line="240" w:lineRule="auto"/>
        <w:ind w:left="720" w:right="28" w:firstLine="725"/>
      </w:pPr>
      <w:r>
        <w:t xml:space="preserve">International Migration refers to change of residence over national boundaries, e.g. Nigeria to the USA. An international migrant is someone who moves to a different country. International migrants are further classified as legal immigrants, illegal immigrants, and refugees. Legal immigrants are those who moved with the legal permission of the receiver nation, illegal immigrants are those who moved without legal permission, and refugees are those crossed an international boundary to escape persecution. International migrants can also be said as individuals who are strictly considered to have left their country of birth for another country based on one or more of the factors mentioned </w:t>
      </w:r>
      <w:r w:rsidR="00A812A0">
        <w:t xml:space="preserve">above. Ifedi &amp; Ezechi, (2018). </w:t>
      </w:r>
      <w:r>
        <w:t>Unemployment is often defined by the classical economists as the excess supply of labor over the demand for labor which is cause by adjustment in real wage. The Classical or real-wage unemployment occurs when real wages for job are set above the market clearing level, causing number of job-seekers to exceed the number of vacancies. Unemployment as defined by International Labor Organization (2009) is a state of joblessness which occurs when people are without jobs and they have actively sought work within the past four weeks.</w:t>
      </w:r>
    </w:p>
    <w:p w:rsidR="00E04CD2" w:rsidRPr="00A812A0" w:rsidRDefault="00A812A0" w:rsidP="00A812A0">
      <w:pPr>
        <w:pStyle w:val="Heading2"/>
        <w:tabs>
          <w:tab w:val="center" w:pos="1815"/>
        </w:tabs>
        <w:spacing w:after="0" w:line="240" w:lineRule="auto"/>
        <w:ind w:left="-15" w:right="0" w:firstLine="0"/>
        <w:rPr>
          <w:i w:val="0"/>
        </w:rPr>
      </w:pPr>
      <w:r>
        <w:rPr>
          <w:i w:val="0"/>
        </w:rPr>
        <w:tab/>
      </w:r>
      <w:r w:rsidR="001F29B6" w:rsidRPr="00A812A0">
        <w:rPr>
          <w:i w:val="0"/>
        </w:rPr>
        <w:t xml:space="preserve">Theoretical Literature </w:t>
      </w:r>
    </w:p>
    <w:p w:rsidR="00E04CD2" w:rsidRDefault="001F29B6" w:rsidP="00D2268A">
      <w:pPr>
        <w:spacing w:after="0" w:line="240" w:lineRule="auto"/>
        <w:ind w:left="720" w:right="28" w:firstLine="725"/>
      </w:pPr>
      <w:r>
        <w:t>This study follows a version of the neoclassical macroeconomic theory linking migration with labor market condition developed by Kahanec et al. (2010). The theory recognizes the influence of labor union in wage and employment determination in the face of immigration. Meanwhile, Pryymachenko (2011) modifies the model to capture the case of source countries. Specifically, the author pays attention to migration effect. Since the focus of this paper is on how migration influences the unemployment and poverty, the Pryymachenko model is chosen as a framework. However, the study relaxes the assumption of full employment found in the Pyrrmachenko (2011)</w:t>
      </w:r>
      <w:r w:rsidR="00A812A0">
        <w:t xml:space="preserve">. </w:t>
      </w:r>
      <w:r>
        <w:t xml:space="preserve">Altruistic behaviour has been suggested in the literature in the attempt to explain the motivation that underlies a migrant’s decision to remit. Altruism is an ethical doctrine which was coined by the French philosopher, Auguste Comte (1852), as a description of the ethical doctrine he favoured. Proponents of altruism hypothesis suggest that individual family members are obligated to help each other and that this explains migrant remittance decisions, Rapport and Docquier, (2006). The doctrine suggests that migrants will be willing to transmit resources to make up for the income shortfall of family members for either their consumption or investment. Altruism hypothesis suggests that a migrant will willingly sacrifice his or her own well-being or interest for the sake of the welfare of relations due to the love and concern they may have for their relation’s welfare. </w:t>
      </w:r>
    </w:p>
    <w:p w:rsidR="00E04CD2" w:rsidRPr="00D2268A" w:rsidRDefault="00A812A0" w:rsidP="00A812A0">
      <w:pPr>
        <w:pStyle w:val="Heading2"/>
        <w:tabs>
          <w:tab w:val="center" w:pos="1743"/>
        </w:tabs>
        <w:spacing w:after="0" w:line="240" w:lineRule="auto"/>
        <w:ind w:left="-15" w:right="0" w:firstLine="0"/>
        <w:rPr>
          <w:i w:val="0"/>
        </w:rPr>
      </w:pPr>
      <w:r>
        <w:tab/>
      </w:r>
      <w:r w:rsidR="001F29B6" w:rsidRPr="00D2268A">
        <w:rPr>
          <w:i w:val="0"/>
        </w:rPr>
        <w:t xml:space="preserve">Empirical Literature </w:t>
      </w:r>
    </w:p>
    <w:p w:rsidR="00A812A0" w:rsidRDefault="001F29B6" w:rsidP="00D2268A">
      <w:pPr>
        <w:spacing w:after="0" w:line="240" w:lineRule="auto"/>
        <w:ind w:left="720" w:right="28" w:firstLine="725"/>
      </w:pPr>
      <w:r>
        <w:t xml:space="preserve">Okeke, (2021), examined the impact of international migrant remittances on unemployment rate in Nigeria using two-stage least squares (2SLS) method to identify the impact of remittances on unemployment rate in Nigeria. Findings reveal that international remittances affect unemployment negatively and there exists a unidirectional causality between international migrant remittances and unemployment without feedback. The study recommends that the government and other stakeholder should map out programmes that will sensitize majority of the Nigerian populace on the benefit of investing remittance money so as to become entrepreneurs, create job opportunities and become employers of labour. </w:t>
      </w:r>
    </w:p>
    <w:p w:rsidR="00A812A0" w:rsidRDefault="001F29B6" w:rsidP="00D2268A">
      <w:pPr>
        <w:spacing w:after="0" w:line="240" w:lineRule="auto"/>
        <w:ind w:left="720" w:right="28" w:firstLine="725"/>
      </w:pPr>
      <w:r>
        <w:t xml:space="preserve">Nwosu, Eteng, Ekpechu, Nnam, Ukah, Eyisi, &amp; Orakwe, (2022), examined factors that propel youths to engage in migration in spite of the dangers, as well as the relationship between bad governance, illegal migration and modern slavery. Therefore, the study adopted qualitative research design using in-depth interviews to elicit information from participants. Twenty-five youths from Umuozu community, Isiala-Mbano Imo State, Nigeria was selected through stratified sampling technique. Descriptive statistics was used for data analysis. Findings revealed that youths are aware of the dangers inherent in illegal migration yet, majority of them were willing to risk migrating to foreign countries. Hence, there is urgent need for governments in Nigeria to institute measures to reduce poverty and educate the youths in order to discourage illegal migration—the foundation for modern-day slavery. </w:t>
      </w:r>
    </w:p>
    <w:p w:rsidR="003C7E14" w:rsidRDefault="001F29B6" w:rsidP="00D2268A">
      <w:pPr>
        <w:spacing w:after="0" w:line="240" w:lineRule="auto"/>
        <w:ind w:left="720" w:right="28" w:firstLine="725"/>
      </w:pPr>
      <w:r>
        <w:t>Esquivel and Huerta-Pineda (2006) investigated the effect of remittances on poverty condition among Mexican households and find out that receiving remittance reduces the household's probability of being in food-based and in capabilities-based poverty by 7.7 and 6.6 percentage points respectively. The authors concluded that these effects represent a reduction of around 36 and 23 percent in the corresponding poverty rates for a typical remittance-receiving household vis-a-vis a comparable non-</w:t>
      </w:r>
      <w:r w:rsidR="003C7E14">
        <w:t>remittance receiving household.</w:t>
      </w:r>
    </w:p>
    <w:p w:rsidR="00E04CD2" w:rsidRDefault="001F29B6" w:rsidP="00D2268A">
      <w:pPr>
        <w:spacing w:after="0" w:line="240" w:lineRule="auto"/>
        <w:ind w:left="720" w:right="28" w:firstLine="725"/>
      </w:pPr>
      <w:r>
        <w:t xml:space="preserve">Evidence from the prevailing literature on international migration demonstrated that scanty studies have been done to the best of our knowledge in the developed and developing countries to fathom the effect of international migration on unemployment and poverty. However, the number of such studies is limited in Africa and specifically very scarce in Nigeria. Few of the past studies dwelt on the economic, political and socio-cultural factors that result in human trafficking, which is a form of migration. However, this study adopts the models of Okeke, (2021), who examined the impact of international migrant remittances on unemployment rate in Nigeria and Esquivel &amp; Huerta-Pineda (2006) who investigated the effect of international remittances on poverty condition among Mexican. </w:t>
      </w:r>
    </w:p>
    <w:p w:rsidR="00E04CD2" w:rsidRDefault="00E04CD2" w:rsidP="00A812A0">
      <w:pPr>
        <w:spacing w:after="0" w:line="240" w:lineRule="auto"/>
        <w:ind w:left="0" w:right="0" w:firstLine="0"/>
        <w:jc w:val="left"/>
      </w:pPr>
    </w:p>
    <w:p w:rsidR="00E04CD2" w:rsidRPr="00B50897" w:rsidRDefault="00B50897" w:rsidP="00A812A0">
      <w:pPr>
        <w:pStyle w:val="Heading1"/>
        <w:spacing w:after="0" w:line="240" w:lineRule="auto"/>
        <w:ind w:left="-5" w:right="100"/>
        <w:rPr>
          <w:i w:val="0"/>
        </w:rPr>
      </w:pPr>
      <w:r>
        <w:rPr>
          <w:i w:val="0"/>
        </w:rPr>
        <w:t>3.</w:t>
      </w:r>
      <w:r>
        <w:rPr>
          <w:i w:val="0"/>
        </w:rPr>
        <w:tab/>
      </w:r>
      <w:r w:rsidR="001F29B6" w:rsidRPr="00B50897">
        <w:rPr>
          <w:i w:val="0"/>
        </w:rPr>
        <w:t xml:space="preserve">METHODOLOGY </w:t>
      </w:r>
    </w:p>
    <w:p w:rsidR="00B50897" w:rsidRDefault="001F29B6" w:rsidP="00D2268A">
      <w:pPr>
        <w:spacing w:after="0" w:line="240" w:lineRule="auto"/>
        <w:ind w:left="720" w:right="28" w:firstLine="725"/>
      </w:pPr>
      <w:r>
        <w:t xml:space="preserve">The research designed adopted in this study is expo factor research design. This is ideal for conducting social research when is not possible or acceptable to manipulate the characteristics of human participant.  Two models </w:t>
      </w:r>
      <w:r w:rsidR="00B50897">
        <w:t>were</w:t>
      </w:r>
      <w:r>
        <w:t xml:space="preserve"> explored to examine the nexus between international migration, unemployment, and poverty in Nigeria. The first model was adopted from the model of Okeke, (2021), who examined the impact of international migrant remittances on unemployment rate in Nigeria, while the second model was adopted from the model of Esquivel &amp; Huerta-Pineda (2006) who investigated the effect of international remittances on poverty condition among Mexican. However, the first model will examine the relationship between international migration and unemployment in Nigeria, while the second model will used to examine the relationship between international migration and poverty in Nigeria. </w:t>
      </w:r>
      <w:r w:rsidR="00B50897">
        <w:t>The models are stated as thus:</w:t>
      </w:r>
    </w:p>
    <w:p w:rsidR="00B50897" w:rsidRDefault="001F29B6" w:rsidP="00D2268A">
      <w:pPr>
        <w:spacing w:after="0" w:line="240" w:lineRule="auto"/>
        <w:ind w:right="28" w:firstLine="710"/>
      </w:pPr>
      <w:r>
        <w:t xml:space="preserve">UNR = </w:t>
      </w:r>
      <w:r>
        <w:rPr>
          <w:noProof/>
          <w:lang w:bidi="ar-SA"/>
        </w:rPr>
        <w:drawing>
          <wp:inline distT="0" distB="0" distL="0" distR="0">
            <wp:extent cx="142875" cy="180975"/>
            <wp:effectExtent l="0" t="0" r="0" b="0"/>
            <wp:docPr id="1346" name="Picture 1346"/>
            <wp:cNvGraphicFramePr/>
            <a:graphic xmlns:a="http://schemas.openxmlformats.org/drawingml/2006/main">
              <a:graphicData uri="http://schemas.openxmlformats.org/drawingml/2006/picture">
                <pic:pic xmlns:pic="http://schemas.openxmlformats.org/drawingml/2006/picture">
                  <pic:nvPicPr>
                    <pic:cNvPr id="1346" name="Picture 1346"/>
                    <pic:cNvPicPr/>
                  </pic:nvPicPr>
                  <pic:blipFill>
                    <a:blip r:embed="rId7"/>
                    <a:stretch>
                      <a:fillRect/>
                    </a:stretch>
                  </pic:blipFill>
                  <pic:spPr>
                    <a:xfrm>
                      <a:off x="0" y="0"/>
                      <a:ext cx="142875" cy="180975"/>
                    </a:xfrm>
                    <a:prstGeom prst="rect">
                      <a:avLst/>
                    </a:prstGeom>
                  </pic:spPr>
                </pic:pic>
              </a:graphicData>
            </a:graphic>
          </wp:inline>
        </w:drawing>
      </w:r>
      <w:r w:rsidR="00B50897">
        <w:t xml:space="preserve">(MREM, GOI, LTRA) </w:t>
      </w:r>
      <w:r w:rsidR="00B50897">
        <w:tab/>
      </w:r>
      <w:r w:rsidR="00B50897">
        <w:tab/>
      </w:r>
      <w:r w:rsidR="00B50897">
        <w:tab/>
      </w:r>
      <w:r w:rsidR="00B50897">
        <w:tab/>
        <w:t xml:space="preserve">                                     3.1</w:t>
      </w:r>
    </w:p>
    <w:p w:rsidR="00E04CD2" w:rsidRDefault="001F29B6" w:rsidP="00D2268A">
      <w:pPr>
        <w:spacing w:after="0" w:line="240" w:lineRule="auto"/>
        <w:ind w:right="118" w:firstLine="710"/>
      </w:pPr>
      <w:r>
        <w:t xml:space="preserve">POVIDX= </w:t>
      </w:r>
      <w:r>
        <w:rPr>
          <w:noProof/>
          <w:lang w:bidi="ar-SA"/>
        </w:rPr>
        <w:drawing>
          <wp:inline distT="0" distB="0" distL="0" distR="0">
            <wp:extent cx="142875" cy="180975"/>
            <wp:effectExtent l="0" t="0" r="0"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7"/>
                    <a:stretch>
                      <a:fillRect/>
                    </a:stretch>
                  </pic:blipFill>
                  <pic:spPr>
                    <a:xfrm>
                      <a:off x="0" y="0"/>
                      <a:ext cx="142875" cy="180975"/>
                    </a:xfrm>
                    <a:prstGeom prst="rect">
                      <a:avLst/>
                    </a:prstGeom>
                  </pic:spPr>
                </pic:pic>
              </a:graphicData>
            </a:graphic>
          </wp:inline>
        </w:drawing>
      </w:r>
      <w:r>
        <w:t xml:space="preserve">(MREM, GOI, LTRA)  </w:t>
      </w:r>
      <w:r>
        <w:tab/>
      </w:r>
      <w:r>
        <w:tab/>
      </w:r>
      <w:r w:rsidR="00B50897">
        <w:t xml:space="preserve">                                                 3.2</w:t>
      </w:r>
      <w:r>
        <w:t xml:space="preserve"> </w:t>
      </w:r>
    </w:p>
    <w:p w:rsidR="00E04CD2" w:rsidRDefault="001F29B6" w:rsidP="00B50897">
      <w:pPr>
        <w:spacing w:after="0" w:line="240" w:lineRule="auto"/>
        <w:ind w:left="-5" w:right="353" w:firstLine="725"/>
      </w:pPr>
      <w:r>
        <w:t xml:space="preserve">Where:  </w:t>
      </w:r>
    </w:p>
    <w:p w:rsidR="00E04CD2" w:rsidRDefault="001F29B6" w:rsidP="00B50897">
      <w:pPr>
        <w:spacing w:after="0" w:line="240" w:lineRule="auto"/>
        <w:ind w:left="-5" w:right="353" w:firstLine="725"/>
      </w:pPr>
      <w:r>
        <w:t xml:space="preserve">UNR = represents unemployment rate </w:t>
      </w:r>
    </w:p>
    <w:p w:rsidR="00E04CD2" w:rsidRDefault="001F29B6" w:rsidP="00B50897">
      <w:pPr>
        <w:spacing w:after="0" w:line="240" w:lineRule="auto"/>
        <w:ind w:left="-5" w:right="353" w:firstLine="725"/>
      </w:pPr>
      <w:r>
        <w:t xml:space="preserve">POVIDX= poverty index  </w:t>
      </w:r>
    </w:p>
    <w:p w:rsidR="00E04CD2" w:rsidRDefault="001F29B6" w:rsidP="00B50897">
      <w:pPr>
        <w:spacing w:after="0" w:line="240" w:lineRule="auto"/>
        <w:ind w:left="-5" w:right="353" w:firstLine="725"/>
      </w:pPr>
      <w:r>
        <w:t xml:space="preserve">MREM= migrant remittance recieved </w:t>
      </w:r>
    </w:p>
    <w:p w:rsidR="00E04CD2" w:rsidRDefault="001F29B6" w:rsidP="00B50897">
      <w:pPr>
        <w:spacing w:after="0" w:line="240" w:lineRule="auto"/>
        <w:ind w:left="-5" w:right="353" w:firstLine="725"/>
      </w:pPr>
      <w:r>
        <w:t xml:space="preserve">GOI= globalization index  </w:t>
      </w:r>
    </w:p>
    <w:p w:rsidR="00E04CD2" w:rsidRDefault="001F29B6" w:rsidP="00B50897">
      <w:pPr>
        <w:spacing w:after="0" w:line="240" w:lineRule="auto"/>
        <w:ind w:left="-5" w:right="353" w:firstLine="725"/>
      </w:pPr>
      <w:r>
        <w:t xml:space="preserve">LTRA= adult literacy rate </w:t>
      </w:r>
    </w:p>
    <w:p w:rsidR="00B50897" w:rsidRDefault="00B50897" w:rsidP="00B50897">
      <w:pPr>
        <w:spacing w:after="0" w:line="240" w:lineRule="auto"/>
        <w:ind w:left="-5" w:right="353" w:firstLine="725"/>
      </w:pPr>
    </w:p>
    <w:p w:rsidR="00E04CD2" w:rsidRDefault="00B50897" w:rsidP="00A812A0">
      <w:pPr>
        <w:pStyle w:val="Heading1"/>
        <w:spacing w:after="0" w:line="240" w:lineRule="auto"/>
        <w:ind w:left="-5" w:right="0"/>
      </w:pPr>
      <w:r>
        <w:rPr>
          <w:i w:val="0"/>
        </w:rPr>
        <w:t>4.0</w:t>
      </w:r>
      <w:r>
        <w:rPr>
          <w:i w:val="0"/>
        </w:rPr>
        <w:tab/>
        <w:t xml:space="preserve">DATA PRESENTATION </w:t>
      </w:r>
      <w:r w:rsidR="001F29B6">
        <w:rPr>
          <w:i w:val="0"/>
        </w:rPr>
        <w:t xml:space="preserve">ANALYSIS AND INTERPRETATION </w:t>
      </w:r>
    </w:p>
    <w:p w:rsidR="00E04CD2" w:rsidRDefault="00B50897" w:rsidP="00D2268A">
      <w:pPr>
        <w:spacing w:after="0" w:line="240" w:lineRule="auto"/>
        <w:ind w:left="720" w:right="28" w:firstLine="720"/>
      </w:pPr>
      <w:r>
        <w:t>From Table 4.1 above, Adult literacy rate (LTRA) wa</w:t>
      </w:r>
      <w:r w:rsidR="00D2268A">
        <w:t>s integrated of order zero (I~</w:t>
      </w:r>
      <w:r>
        <w:t>(0)) as it was stationary at level form. While unemployment rate (UNR), migrant remittance (MREM), globalization index (GOI), and poverty index (POVIDX) weren’t not stationary at level form, but became stationary after first difference which implies that the variables (MREM, POVIDX, GOI) were integrated of order one (I ~ (1)). The decision is based on the fact the ADF statistics that is greater than the ADF critical values at 5%, we reject H</w:t>
      </w:r>
      <w:r>
        <w:rPr>
          <w:vertAlign w:val="subscript"/>
        </w:rPr>
        <w:t>0</w:t>
      </w:r>
      <w:r>
        <w:t xml:space="preserve"> and conclude that the variable is stationary. Since the variables are integrated of order one and zero and none of the variables is integrated of order two. We therefore, apply the ARDL bound co-integration test.</w:t>
      </w:r>
    </w:p>
    <w:p w:rsidR="00E04CD2" w:rsidRPr="00B50897" w:rsidRDefault="001F29B6" w:rsidP="00B50897">
      <w:pPr>
        <w:pStyle w:val="Heading2"/>
        <w:spacing w:after="0" w:line="240" w:lineRule="auto"/>
        <w:ind w:left="-5" w:right="100" w:firstLine="725"/>
        <w:jc w:val="center"/>
        <w:rPr>
          <w:i w:val="0"/>
          <w:sz w:val="20"/>
          <w:szCs w:val="20"/>
        </w:rPr>
      </w:pPr>
      <w:r w:rsidRPr="00B50897">
        <w:rPr>
          <w:i w:val="0"/>
          <w:sz w:val="20"/>
          <w:szCs w:val="20"/>
        </w:rPr>
        <w:t xml:space="preserve">Table 4.1: </w:t>
      </w:r>
      <w:r w:rsidRPr="00B50897">
        <w:rPr>
          <w:b w:val="0"/>
          <w:i w:val="0"/>
          <w:sz w:val="20"/>
          <w:szCs w:val="20"/>
        </w:rPr>
        <w:t xml:space="preserve">Summary of ADF </w:t>
      </w:r>
      <w:r w:rsidR="00B50897" w:rsidRPr="00B50897">
        <w:rPr>
          <w:b w:val="0"/>
          <w:i w:val="0"/>
          <w:sz w:val="20"/>
          <w:szCs w:val="20"/>
        </w:rPr>
        <w:t xml:space="preserve">Test Results </w:t>
      </w:r>
      <w:r w:rsidRPr="00B50897">
        <w:rPr>
          <w:b w:val="0"/>
          <w:i w:val="0"/>
          <w:sz w:val="20"/>
          <w:szCs w:val="20"/>
        </w:rPr>
        <w:t xml:space="preserve">at 5% </w:t>
      </w:r>
      <w:r w:rsidR="00B50897" w:rsidRPr="00B50897">
        <w:rPr>
          <w:b w:val="0"/>
          <w:i w:val="0"/>
          <w:sz w:val="20"/>
          <w:szCs w:val="20"/>
        </w:rPr>
        <w:t>Critical Value</w:t>
      </w:r>
    </w:p>
    <w:tbl>
      <w:tblPr>
        <w:tblStyle w:val="TableGrid"/>
        <w:tblW w:w="8730" w:type="dxa"/>
        <w:tblInd w:w="735" w:type="dxa"/>
        <w:tblCellMar>
          <w:top w:w="16" w:type="dxa"/>
          <w:left w:w="105" w:type="dxa"/>
          <w:right w:w="51" w:type="dxa"/>
        </w:tblCellMar>
        <w:tblLook w:val="04A0"/>
      </w:tblPr>
      <w:tblGrid>
        <w:gridCol w:w="1530"/>
        <w:gridCol w:w="1890"/>
        <w:gridCol w:w="1350"/>
        <w:gridCol w:w="2118"/>
        <w:gridCol w:w="1842"/>
      </w:tblGrid>
      <w:tr w:rsidR="00E04CD2" w:rsidRPr="00B50897" w:rsidTr="00D2268A">
        <w:trPr>
          <w:trHeight w:val="466"/>
        </w:trPr>
        <w:tc>
          <w:tcPr>
            <w:tcW w:w="153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5" w:right="0" w:firstLine="0"/>
              <w:jc w:val="left"/>
              <w:rPr>
                <w:b/>
                <w:sz w:val="20"/>
                <w:szCs w:val="20"/>
              </w:rPr>
            </w:pPr>
            <w:r w:rsidRPr="0040742D">
              <w:rPr>
                <w:b/>
                <w:sz w:val="20"/>
                <w:szCs w:val="20"/>
              </w:rPr>
              <w:t>V</w:t>
            </w:r>
            <w:r w:rsidR="0040742D" w:rsidRPr="0040742D">
              <w:rPr>
                <w:b/>
                <w:sz w:val="20"/>
                <w:szCs w:val="20"/>
              </w:rPr>
              <w:t xml:space="preserve">ariable </w:t>
            </w:r>
          </w:p>
        </w:tc>
        <w:tc>
          <w:tcPr>
            <w:tcW w:w="189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tabs>
                <w:tab w:val="right" w:pos="1724"/>
              </w:tabs>
              <w:spacing w:after="0" w:line="240" w:lineRule="auto"/>
              <w:ind w:left="0" w:right="0" w:firstLine="0"/>
              <w:jc w:val="left"/>
              <w:rPr>
                <w:b/>
                <w:sz w:val="20"/>
                <w:szCs w:val="20"/>
              </w:rPr>
            </w:pPr>
            <w:r w:rsidRPr="0040742D">
              <w:rPr>
                <w:b/>
                <w:sz w:val="20"/>
                <w:szCs w:val="20"/>
              </w:rPr>
              <w:t xml:space="preserve">ADF </w:t>
            </w:r>
            <w:r w:rsidRPr="0040742D">
              <w:rPr>
                <w:b/>
                <w:sz w:val="20"/>
                <w:szCs w:val="20"/>
              </w:rPr>
              <w:tab/>
            </w:r>
            <w:r w:rsidR="0040742D" w:rsidRPr="0040742D">
              <w:rPr>
                <w:b/>
                <w:sz w:val="20"/>
                <w:szCs w:val="20"/>
              </w:rPr>
              <w:t xml:space="preserve">Test </w:t>
            </w:r>
          </w:p>
          <w:p w:rsidR="00E04CD2" w:rsidRPr="0040742D" w:rsidRDefault="0040742D" w:rsidP="00A812A0">
            <w:pPr>
              <w:spacing w:after="0" w:line="240" w:lineRule="auto"/>
              <w:ind w:left="5" w:right="0" w:firstLine="0"/>
              <w:jc w:val="left"/>
              <w:rPr>
                <w:b/>
                <w:sz w:val="20"/>
                <w:szCs w:val="20"/>
              </w:rPr>
            </w:pPr>
            <w:r w:rsidRPr="0040742D">
              <w:rPr>
                <w:b/>
                <w:sz w:val="20"/>
                <w:szCs w:val="20"/>
              </w:rPr>
              <w:t xml:space="preserve">Statistics </w:t>
            </w:r>
          </w:p>
        </w:tc>
        <w:tc>
          <w:tcPr>
            <w:tcW w:w="1350" w:type="dxa"/>
            <w:tcBorders>
              <w:top w:val="single" w:sz="4" w:space="0" w:color="000000"/>
              <w:left w:val="single" w:sz="4" w:space="0" w:color="000000"/>
              <w:bottom w:val="single" w:sz="4" w:space="0" w:color="000000"/>
              <w:right w:val="single" w:sz="4" w:space="0" w:color="000000"/>
            </w:tcBorders>
          </w:tcPr>
          <w:p w:rsidR="00E04CD2" w:rsidRPr="0040742D" w:rsidRDefault="0040742D" w:rsidP="00A812A0">
            <w:pPr>
              <w:spacing w:after="0" w:line="240" w:lineRule="auto"/>
              <w:ind w:left="0" w:right="0" w:firstLine="0"/>
              <w:jc w:val="left"/>
              <w:rPr>
                <w:b/>
                <w:sz w:val="20"/>
                <w:szCs w:val="20"/>
              </w:rPr>
            </w:pPr>
            <w:r w:rsidRPr="0040742D">
              <w:rPr>
                <w:b/>
                <w:sz w:val="20"/>
                <w:szCs w:val="20"/>
              </w:rPr>
              <w:t xml:space="preserve">Critical Value </w:t>
            </w:r>
            <w:r w:rsidR="001F29B6" w:rsidRPr="0040742D">
              <w:rPr>
                <w:b/>
                <w:sz w:val="20"/>
                <w:szCs w:val="20"/>
              </w:rPr>
              <w:t xml:space="preserve">5% </w:t>
            </w:r>
          </w:p>
        </w:tc>
        <w:tc>
          <w:tcPr>
            <w:tcW w:w="2118" w:type="dxa"/>
            <w:tcBorders>
              <w:top w:val="single" w:sz="4" w:space="0" w:color="000000"/>
              <w:left w:val="single" w:sz="4" w:space="0" w:color="000000"/>
              <w:bottom w:val="single" w:sz="4" w:space="0" w:color="000000"/>
              <w:right w:val="single" w:sz="4" w:space="0" w:color="000000"/>
            </w:tcBorders>
          </w:tcPr>
          <w:p w:rsidR="00E04CD2" w:rsidRPr="0040742D" w:rsidRDefault="0040742D" w:rsidP="00A812A0">
            <w:pPr>
              <w:tabs>
                <w:tab w:val="right" w:pos="1845"/>
              </w:tabs>
              <w:spacing w:after="0" w:line="240" w:lineRule="auto"/>
              <w:ind w:left="0" w:right="0" w:firstLine="0"/>
              <w:jc w:val="left"/>
              <w:rPr>
                <w:b/>
                <w:sz w:val="20"/>
                <w:szCs w:val="20"/>
              </w:rPr>
            </w:pPr>
            <w:r w:rsidRPr="0040742D">
              <w:rPr>
                <w:b/>
                <w:sz w:val="20"/>
                <w:szCs w:val="20"/>
              </w:rPr>
              <w:t xml:space="preserve">Order </w:t>
            </w:r>
            <w:r w:rsidRPr="0040742D">
              <w:rPr>
                <w:b/>
                <w:sz w:val="20"/>
                <w:szCs w:val="20"/>
              </w:rPr>
              <w:tab/>
              <w:t xml:space="preserve">of </w:t>
            </w:r>
          </w:p>
          <w:p w:rsidR="00E04CD2" w:rsidRPr="0040742D" w:rsidRDefault="0040742D" w:rsidP="00A812A0">
            <w:pPr>
              <w:spacing w:after="0" w:line="240" w:lineRule="auto"/>
              <w:ind w:left="5" w:right="0" w:firstLine="0"/>
              <w:rPr>
                <w:b/>
                <w:sz w:val="20"/>
                <w:szCs w:val="20"/>
              </w:rPr>
            </w:pPr>
            <w:r w:rsidRPr="0040742D">
              <w:rPr>
                <w:b/>
                <w:sz w:val="20"/>
                <w:szCs w:val="20"/>
              </w:rPr>
              <w:t xml:space="preserve">Integration </w:t>
            </w:r>
          </w:p>
        </w:tc>
        <w:tc>
          <w:tcPr>
            <w:tcW w:w="1842" w:type="dxa"/>
            <w:tcBorders>
              <w:top w:val="single" w:sz="4" w:space="0" w:color="000000"/>
              <w:left w:val="single" w:sz="4" w:space="0" w:color="000000"/>
              <w:bottom w:val="single" w:sz="4" w:space="0" w:color="000000"/>
              <w:right w:val="single" w:sz="4" w:space="0" w:color="000000"/>
            </w:tcBorders>
          </w:tcPr>
          <w:p w:rsidR="00E04CD2" w:rsidRPr="0040742D" w:rsidRDefault="0040742D" w:rsidP="00A812A0">
            <w:pPr>
              <w:spacing w:after="0" w:line="240" w:lineRule="auto"/>
              <w:ind w:left="0" w:right="0" w:firstLine="0"/>
              <w:jc w:val="left"/>
              <w:rPr>
                <w:b/>
                <w:sz w:val="20"/>
                <w:szCs w:val="20"/>
              </w:rPr>
            </w:pPr>
            <w:r w:rsidRPr="0040742D">
              <w:rPr>
                <w:b/>
                <w:sz w:val="20"/>
                <w:szCs w:val="20"/>
              </w:rPr>
              <w:t xml:space="preserve">Decision  Rule </w:t>
            </w:r>
          </w:p>
        </w:tc>
      </w:tr>
      <w:tr w:rsidR="00E04CD2" w:rsidRPr="00B50897" w:rsidTr="00D2268A">
        <w:trPr>
          <w:trHeight w:val="223"/>
        </w:trPr>
        <w:tc>
          <w:tcPr>
            <w:tcW w:w="153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UNR </w:t>
            </w:r>
          </w:p>
        </w:tc>
        <w:tc>
          <w:tcPr>
            <w:tcW w:w="189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-5.0338 </w:t>
            </w:r>
          </w:p>
        </w:tc>
        <w:tc>
          <w:tcPr>
            <w:tcW w:w="135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-2.9511 </w:t>
            </w:r>
          </w:p>
        </w:tc>
        <w:tc>
          <w:tcPr>
            <w:tcW w:w="2118"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(1) </w:t>
            </w:r>
          </w:p>
        </w:tc>
        <w:tc>
          <w:tcPr>
            <w:tcW w:w="1842"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r w:rsidR="00E04CD2" w:rsidRPr="00B50897" w:rsidTr="00D2268A">
        <w:trPr>
          <w:trHeight w:val="241"/>
        </w:trPr>
        <w:tc>
          <w:tcPr>
            <w:tcW w:w="153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POVIDX </w:t>
            </w:r>
          </w:p>
        </w:tc>
        <w:tc>
          <w:tcPr>
            <w:tcW w:w="189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-5.7639 </w:t>
            </w:r>
          </w:p>
        </w:tc>
        <w:tc>
          <w:tcPr>
            <w:tcW w:w="135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-2.9511 </w:t>
            </w:r>
          </w:p>
        </w:tc>
        <w:tc>
          <w:tcPr>
            <w:tcW w:w="2118"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(1) </w:t>
            </w:r>
          </w:p>
        </w:tc>
        <w:tc>
          <w:tcPr>
            <w:tcW w:w="1842"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r w:rsidR="00E04CD2" w:rsidRPr="00B50897" w:rsidTr="00D2268A">
        <w:trPr>
          <w:trHeight w:val="169"/>
        </w:trPr>
        <w:tc>
          <w:tcPr>
            <w:tcW w:w="153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MREM </w:t>
            </w:r>
          </w:p>
        </w:tc>
        <w:tc>
          <w:tcPr>
            <w:tcW w:w="189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-3.8242 </w:t>
            </w:r>
          </w:p>
        </w:tc>
        <w:tc>
          <w:tcPr>
            <w:tcW w:w="135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-2.9511 </w:t>
            </w:r>
          </w:p>
        </w:tc>
        <w:tc>
          <w:tcPr>
            <w:tcW w:w="2118"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(1) </w:t>
            </w:r>
          </w:p>
        </w:tc>
        <w:tc>
          <w:tcPr>
            <w:tcW w:w="1842"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r w:rsidR="00E04CD2" w:rsidRPr="00B50897" w:rsidTr="00D2268A">
        <w:trPr>
          <w:trHeight w:val="169"/>
        </w:trPr>
        <w:tc>
          <w:tcPr>
            <w:tcW w:w="153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GOI </w:t>
            </w:r>
          </w:p>
        </w:tc>
        <w:tc>
          <w:tcPr>
            <w:tcW w:w="189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-5.9018 </w:t>
            </w:r>
          </w:p>
        </w:tc>
        <w:tc>
          <w:tcPr>
            <w:tcW w:w="135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-2.9511 </w:t>
            </w:r>
          </w:p>
        </w:tc>
        <w:tc>
          <w:tcPr>
            <w:tcW w:w="2118"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(1) </w:t>
            </w:r>
          </w:p>
        </w:tc>
        <w:tc>
          <w:tcPr>
            <w:tcW w:w="1842"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r w:rsidR="00E04CD2" w:rsidRPr="00B50897" w:rsidTr="00D2268A">
        <w:trPr>
          <w:trHeight w:val="178"/>
        </w:trPr>
        <w:tc>
          <w:tcPr>
            <w:tcW w:w="153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LTRA </w:t>
            </w:r>
          </w:p>
        </w:tc>
        <w:tc>
          <w:tcPr>
            <w:tcW w:w="189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 xml:space="preserve">-3.0849 </w:t>
            </w:r>
          </w:p>
        </w:tc>
        <w:tc>
          <w:tcPr>
            <w:tcW w:w="1350"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-2.9484 </w:t>
            </w:r>
          </w:p>
        </w:tc>
        <w:tc>
          <w:tcPr>
            <w:tcW w:w="2118"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(0) </w:t>
            </w:r>
          </w:p>
        </w:tc>
        <w:tc>
          <w:tcPr>
            <w:tcW w:w="1842" w:type="dxa"/>
            <w:tcBorders>
              <w:top w:val="single" w:sz="4" w:space="0" w:color="000000"/>
              <w:left w:val="single" w:sz="4" w:space="0" w:color="000000"/>
              <w:bottom w:val="single" w:sz="4" w:space="0" w:color="000000"/>
              <w:right w:val="single" w:sz="4" w:space="0" w:color="000000"/>
            </w:tcBorders>
          </w:tcPr>
          <w:p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bl>
    <w:p w:rsidR="00E04CD2" w:rsidRPr="00B50897" w:rsidRDefault="001F29B6" w:rsidP="00B50897">
      <w:pPr>
        <w:pStyle w:val="Heading2"/>
        <w:spacing w:after="0" w:line="240" w:lineRule="auto"/>
        <w:ind w:left="-5" w:right="100"/>
        <w:jc w:val="center"/>
        <w:rPr>
          <w:b w:val="0"/>
          <w:sz w:val="20"/>
          <w:szCs w:val="20"/>
        </w:rPr>
      </w:pPr>
      <w:r w:rsidRPr="00B50897">
        <w:rPr>
          <w:b w:val="0"/>
          <w:sz w:val="20"/>
          <w:szCs w:val="20"/>
        </w:rPr>
        <w:t xml:space="preserve">Source: Authors </w:t>
      </w:r>
      <w:r w:rsidR="00B50897" w:rsidRPr="00B50897">
        <w:rPr>
          <w:b w:val="0"/>
          <w:sz w:val="20"/>
          <w:szCs w:val="20"/>
        </w:rPr>
        <w:t>Computation with E-views 12</w:t>
      </w:r>
    </w:p>
    <w:p w:rsidR="00E04CD2" w:rsidRDefault="001F29B6" w:rsidP="00A812A0">
      <w:pPr>
        <w:spacing w:after="0" w:line="240" w:lineRule="auto"/>
        <w:ind w:left="-5" w:right="353"/>
      </w:pPr>
      <w:r>
        <w:t xml:space="preserve">  </w:t>
      </w:r>
    </w:p>
    <w:p w:rsidR="00B06F30" w:rsidRDefault="001F29B6" w:rsidP="00D2268A">
      <w:pPr>
        <w:tabs>
          <w:tab w:val="left" w:pos="9360"/>
        </w:tabs>
        <w:spacing w:after="0" w:line="240" w:lineRule="auto"/>
        <w:ind w:left="720" w:right="28" w:firstLine="725"/>
      </w:pPr>
      <w:r>
        <w:t>A necessary condition for testing for ARDL bound co-integrating test is that each of the variables be integrated of either of order one or zero or both (Pesaran, Shin and Smith, 2001). Since all the variables are integrated of order one and zero, we proceeded to estimate the ARDL bound test. The null hypothesis of ARDL bound co-integration is that the variables are not co</w:t>
      </w:r>
      <w:r w:rsidR="0040742D">
        <w:t>-</w:t>
      </w:r>
      <w:r>
        <w:t>integrated as against the alternative that they are co</w:t>
      </w:r>
      <w:r w:rsidR="0040742D">
        <w:t>-</w:t>
      </w:r>
      <w:r>
        <w:t xml:space="preserve">integrated. The decision rule is to reject the null hypothesis if the F-statistics is greater than the upper bound critical values at </w:t>
      </w:r>
      <w:r w:rsidR="0040742D">
        <w:t>chosen level of significance.</w:t>
      </w:r>
      <w:r w:rsidR="00B06F30">
        <w:t xml:space="preserve"> From Table 4.2 the F-statistics for the model one is 5.112 and that of mode two is 4.742, both greater than the upper (I1) bound of 3.67 at 5% level of significance. Thus, we reject the null hypothesis and conclude that there is presence of co-integration in both models. This implies that there is a long run relationship between international migration, Unemployment rate, and poverty in Nigeria. Since there is a long run relationship, we therefore estimate the short run and long run ARDL analysis. </w:t>
      </w:r>
    </w:p>
    <w:p w:rsidR="00E04CD2" w:rsidRPr="0040742D" w:rsidRDefault="001F29B6" w:rsidP="00B06F30">
      <w:pPr>
        <w:pStyle w:val="Heading2"/>
        <w:spacing w:after="0" w:line="240" w:lineRule="auto"/>
        <w:ind w:left="-5" w:right="100" w:firstLine="725"/>
        <w:jc w:val="center"/>
        <w:rPr>
          <w:i w:val="0"/>
          <w:sz w:val="20"/>
          <w:szCs w:val="20"/>
        </w:rPr>
      </w:pPr>
      <w:r w:rsidRPr="0040742D">
        <w:rPr>
          <w:i w:val="0"/>
          <w:sz w:val="20"/>
          <w:szCs w:val="20"/>
        </w:rPr>
        <w:t xml:space="preserve">Table 4.2: ARDL Bound Co-integration (5% critical value) Test Result for the </w:t>
      </w:r>
      <w:r w:rsidR="00B06F30" w:rsidRPr="0040742D">
        <w:rPr>
          <w:i w:val="0"/>
          <w:sz w:val="20"/>
          <w:szCs w:val="20"/>
        </w:rPr>
        <w:t>Models</w:t>
      </w:r>
    </w:p>
    <w:tbl>
      <w:tblPr>
        <w:tblStyle w:val="TableGrid"/>
        <w:tblW w:w="8640" w:type="dxa"/>
        <w:tblInd w:w="825" w:type="dxa"/>
        <w:tblCellMar>
          <w:left w:w="105" w:type="dxa"/>
          <w:right w:w="50" w:type="dxa"/>
        </w:tblCellMar>
        <w:tblLook w:val="04A0"/>
      </w:tblPr>
      <w:tblGrid>
        <w:gridCol w:w="1260"/>
        <w:gridCol w:w="1170"/>
        <w:gridCol w:w="450"/>
        <w:gridCol w:w="1800"/>
        <w:gridCol w:w="1980"/>
        <w:gridCol w:w="1980"/>
      </w:tblGrid>
      <w:tr w:rsidR="00E04CD2" w:rsidRPr="0040742D" w:rsidTr="00D2268A">
        <w:trPr>
          <w:trHeight w:val="239"/>
        </w:trPr>
        <w:tc>
          <w:tcPr>
            <w:tcW w:w="1260" w:type="dxa"/>
            <w:vMerge w:val="restart"/>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5" w:right="0" w:firstLine="0"/>
              <w:jc w:val="left"/>
              <w:rPr>
                <w:sz w:val="20"/>
                <w:szCs w:val="20"/>
              </w:rPr>
            </w:pPr>
            <w:r w:rsidRPr="0040742D">
              <w:rPr>
                <w:b/>
                <w:sz w:val="20"/>
                <w:szCs w:val="20"/>
              </w:rPr>
              <w:t xml:space="preserve">Model </w:t>
            </w:r>
          </w:p>
        </w:tc>
        <w:tc>
          <w:tcPr>
            <w:tcW w:w="1170" w:type="dxa"/>
            <w:vMerge w:val="restart"/>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5" w:right="0" w:firstLine="0"/>
              <w:jc w:val="left"/>
              <w:rPr>
                <w:sz w:val="20"/>
                <w:szCs w:val="20"/>
              </w:rPr>
            </w:pPr>
            <w:r w:rsidRPr="0040742D">
              <w:rPr>
                <w:b/>
                <w:sz w:val="20"/>
                <w:szCs w:val="20"/>
              </w:rPr>
              <w:t xml:space="preserve">F-Statistics </w:t>
            </w:r>
          </w:p>
        </w:tc>
        <w:tc>
          <w:tcPr>
            <w:tcW w:w="450" w:type="dxa"/>
            <w:vMerge w:val="restart"/>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rPr>
                <w:sz w:val="20"/>
                <w:szCs w:val="20"/>
              </w:rPr>
            </w:pPr>
            <w:r w:rsidRPr="0040742D">
              <w:rPr>
                <w:b/>
                <w:sz w:val="20"/>
                <w:szCs w:val="20"/>
              </w:rPr>
              <w:t xml:space="preserve">K </w:t>
            </w:r>
          </w:p>
        </w:tc>
        <w:tc>
          <w:tcPr>
            <w:tcW w:w="1800" w:type="dxa"/>
            <w:vMerge w:val="restart"/>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jc w:val="left"/>
              <w:rPr>
                <w:sz w:val="20"/>
                <w:szCs w:val="20"/>
              </w:rPr>
            </w:pPr>
            <w:r w:rsidRPr="0040742D">
              <w:rPr>
                <w:b/>
                <w:sz w:val="20"/>
                <w:szCs w:val="20"/>
              </w:rPr>
              <w:t xml:space="preserve">Significance level </w:t>
            </w:r>
          </w:p>
        </w:tc>
        <w:tc>
          <w:tcPr>
            <w:tcW w:w="3960" w:type="dxa"/>
            <w:gridSpan w:val="2"/>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jc w:val="left"/>
              <w:rPr>
                <w:sz w:val="20"/>
                <w:szCs w:val="20"/>
              </w:rPr>
            </w:pPr>
            <w:r w:rsidRPr="0040742D">
              <w:rPr>
                <w:b/>
                <w:sz w:val="20"/>
                <w:szCs w:val="20"/>
              </w:rPr>
              <w:t xml:space="preserve">Critical Bound Value </w:t>
            </w:r>
          </w:p>
        </w:tc>
      </w:tr>
      <w:tr w:rsidR="00E04CD2" w:rsidRPr="0040742D" w:rsidTr="00D2268A">
        <w:trPr>
          <w:trHeight w:val="149"/>
        </w:trPr>
        <w:tc>
          <w:tcPr>
            <w:tcW w:w="1260" w:type="dxa"/>
            <w:vMerge/>
            <w:tcBorders>
              <w:top w:val="nil"/>
              <w:left w:val="single" w:sz="4" w:space="0" w:color="000000"/>
              <w:bottom w:val="single" w:sz="4" w:space="0" w:color="000000"/>
              <w:right w:val="single" w:sz="4" w:space="0" w:color="000000"/>
            </w:tcBorders>
          </w:tcPr>
          <w:p w:rsidR="00E04CD2" w:rsidRPr="0040742D" w:rsidRDefault="00E04CD2" w:rsidP="00A812A0">
            <w:pPr>
              <w:spacing w:after="0" w:line="240" w:lineRule="auto"/>
              <w:ind w:left="0" w:right="0" w:firstLine="0"/>
              <w:jc w:val="left"/>
              <w:rPr>
                <w:sz w:val="20"/>
                <w:szCs w:val="20"/>
              </w:rPr>
            </w:pPr>
          </w:p>
        </w:tc>
        <w:tc>
          <w:tcPr>
            <w:tcW w:w="1170" w:type="dxa"/>
            <w:vMerge/>
            <w:tcBorders>
              <w:top w:val="nil"/>
              <w:left w:val="single" w:sz="4" w:space="0" w:color="000000"/>
              <w:bottom w:val="single" w:sz="4" w:space="0" w:color="000000"/>
              <w:right w:val="single" w:sz="4" w:space="0" w:color="000000"/>
            </w:tcBorders>
          </w:tcPr>
          <w:p w:rsidR="00E04CD2" w:rsidRPr="0040742D" w:rsidRDefault="00E04CD2" w:rsidP="00A812A0">
            <w:pPr>
              <w:spacing w:after="0" w:line="240" w:lineRule="auto"/>
              <w:ind w:left="0" w:right="0" w:firstLine="0"/>
              <w:jc w:val="left"/>
              <w:rPr>
                <w:sz w:val="20"/>
                <w:szCs w:val="20"/>
              </w:rPr>
            </w:pPr>
          </w:p>
        </w:tc>
        <w:tc>
          <w:tcPr>
            <w:tcW w:w="450" w:type="dxa"/>
            <w:vMerge/>
            <w:tcBorders>
              <w:top w:val="nil"/>
              <w:left w:val="single" w:sz="4" w:space="0" w:color="000000"/>
              <w:bottom w:val="single" w:sz="4" w:space="0" w:color="000000"/>
              <w:right w:val="single" w:sz="4" w:space="0" w:color="000000"/>
            </w:tcBorders>
          </w:tcPr>
          <w:p w:rsidR="00E04CD2" w:rsidRPr="0040742D" w:rsidRDefault="00E04CD2" w:rsidP="00A812A0">
            <w:pPr>
              <w:spacing w:after="0" w:line="240" w:lineRule="auto"/>
              <w:ind w:left="0" w:right="0" w:firstLine="0"/>
              <w:jc w:val="left"/>
              <w:rPr>
                <w:sz w:val="20"/>
                <w:szCs w:val="20"/>
              </w:rPr>
            </w:pPr>
          </w:p>
        </w:tc>
        <w:tc>
          <w:tcPr>
            <w:tcW w:w="1800" w:type="dxa"/>
            <w:vMerge/>
            <w:tcBorders>
              <w:top w:val="nil"/>
              <w:left w:val="single" w:sz="4" w:space="0" w:color="000000"/>
              <w:bottom w:val="single" w:sz="4" w:space="0" w:color="000000"/>
              <w:right w:val="single" w:sz="4" w:space="0" w:color="000000"/>
            </w:tcBorders>
          </w:tcPr>
          <w:p w:rsidR="00E04CD2" w:rsidRPr="0040742D" w:rsidRDefault="00E04CD2" w:rsidP="00A812A0">
            <w:pPr>
              <w:spacing w:after="0" w:line="240" w:lineRule="auto"/>
              <w:ind w:left="0" w:right="0" w:firstLine="0"/>
              <w:jc w:val="left"/>
              <w:rPr>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tabs>
                <w:tab w:val="right" w:pos="1826"/>
              </w:tabs>
              <w:spacing w:after="0" w:line="240" w:lineRule="auto"/>
              <w:ind w:left="0" w:right="0" w:firstLine="0"/>
              <w:jc w:val="left"/>
              <w:rPr>
                <w:sz w:val="20"/>
                <w:szCs w:val="20"/>
              </w:rPr>
            </w:pPr>
            <w:r w:rsidRPr="0040742D">
              <w:rPr>
                <w:b/>
                <w:sz w:val="20"/>
                <w:szCs w:val="20"/>
              </w:rPr>
              <w:t xml:space="preserve">10 </w:t>
            </w:r>
            <w:r w:rsidRPr="0040742D">
              <w:rPr>
                <w:b/>
                <w:sz w:val="20"/>
                <w:szCs w:val="20"/>
              </w:rPr>
              <w:tab/>
              <w:t>(Lower</w:t>
            </w:r>
            <w:r w:rsidR="0040742D">
              <w:rPr>
                <w:b/>
                <w:sz w:val="20"/>
                <w:szCs w:val="20"/>
              </w:rPr>
              <w:t xml:space="preserve"> </w:t>
            </w:r>
            <w:r w:rsidR="0040742D" w:rsidRPr="0040742D">
              <w:rPr>
                <w:b/>
                <w:sz w:val="20"/>
                <w:szCs w:val="20"/>
              </w:rPr>
              <w:t>Bound)</w:t>
            </w:r>
            <w:r w:rsidR="0040742D">
              <w:rPr>
                <w:b/>
                <w:sz w:val="20"/>
                <w:szCs w:val="20"/>
              </w:rPr>
              <w:t xml:space="preserve"> </w:t>
            </w:r>
            <w:r w:rsidRPr="0040742D">
              <w:rPr>
                <w:b/>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jc w:val="left"/>
              <w:rPr>
                <w:sz w:val="20"/>
                <w:szCs w:val="20"/>
              </w:rPr>
            </w:pPr>
            <w:r w:rsidRPr="0040742D">
              <w:rPr>
                <w:b/>
                <w:sz w:val="20"/>
                <w:szCs w:val="20"/>
              </w:rPr>
              <w:t xml:space="preserve">11 (Upper Bound) </w:t>
            </w:r>
          </w:p>
        </w:tc>
      </w:tr>
      <w:tr w:rsidR="00E04CD2" w:rsidRPr="0040742D" w:rsidTr="00D2268A">
        <w:trPr>
          <w:trHeight w:val="194"/>
        </w:trPr>
        <w:tc>
          <w:tcPr>
            <w:tcW w:w="1260" w:type="dxa"/>
            <w:tcBorders>
              <w:top w:val="single" w:sz="4" w:space="0" w:color="000000"/>
              <w:left w:val="single" w:sz="4" w:space="0" w:color="000000"/>
              <w:bottom w:val="single" w:sz="4" w:space="0" w:color="000000"/>
              <w:right w:val="single" w:sz="4" w:space="0" w:color="000000"/>
            </w:tcBorders>
          </w:tcPr>
          <w:p w:rsidR="00E04CD2" w:rsidRPr="00B06F30" w:rsidRDefault="00B06F30" w:rsidP="00A812A0">
            <w:pPr>
              <w:spacing w:after="0" w:line="240" w:lineRule="auto"/>
              <w:ind w:left="5" w:right="0" w:firstLine="0"/>
              <w:jc w:val="left"/>
              <w:rPr>
                <w:sz w:val="20"/>
                <w:szCs w:val="20"/>
              </w:rPr>
            </w:pPr>
            <w:r w:rsidRPr="00B06F30">
              <w:rPr>
                <w:sz w:val="20"/>
                <w:szCs w:val="20"/>
              </w:rPr>
              <w:t>3.1</w:t>
            </w:r>
          </w:p>
        </w:tc>
        <w:tc>
          <w:tcPr>
            <w:tcW w:w="117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5" w:right="0" w:firstLine="0"/>
              <w:jc w:val="left"/>
              <w:rPr>
                <w:sz w:val="20"/>
                <w:szCs w:val="20"/>
              </w:rPr>
            </w:pPr>
            <w:r w:rsidRPr="0040742D">
              <w:rPr>
                <w:sz w:val="20"/>
                <w:szCs w:val="20"/>
              </w:rPr>
              <w:t xml:space="preserve">5.112 </w:t>
            </w:r>
          </w:p>
        </w:tc>
        <w:tc>
          <w:tcPr>
            <w:tcW w:w="45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jc w:val="left"/>
              <w:rPr>
                <w:sz w:val="20"/>
                <w:szCs w:val="20"/>
              </w:rPr>
            </w:pPr>
            <w:r w:rsidRPr="0040742D">
              <w:rPr>
                <w:sz w:val="20"/>
                <w:szCs w:val="20"/>
              </w:rPr>
              <w:t xml:space="preserve">3 </w:t>
            </w:r>
          </w:p>
        </w:tc>
        <w:tc>
          <w:tcPr>
            <w:tcW w:w="180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tabs>
                <w:tab w:val="center" w:pos="1406"/>
              </w:tabs>
              <w:spacing w:after="0" w:line="240" w:lineRule="auto"/>
              <w:ind w:left="0" w:right="0" w:firstLine="0"/>
              <w:jc w:val="left"/>
              <w:rPr>
                <w:sz w:val="20"/>
                <w:szCs w:val="20"/>
              </w:rPr>
            </w:pPr>
            <w:r w:rsidRPr="0040742D">
              <w:rPr>
                <w:sz w:val="20"/>
                <w:szCs w:val="20"/>
              </w:rPr>
              <w:t xml:space="preserve">5% </w:t>
            </w:r>
            <w:r w:rsidRPr="0040742D">
              <w:rPr>
                <w:sz w:val="20"/>
                <w:szCs w:val="20"/>
              </w:rPr>
              <w:tab/>
            </w:r>
          </w:p>
        </w:tc>
        <w:tc>
          <w:tcPr>
            <w:tcW w:w="198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tabs>
                <w:tab w:val="center" w:pos="761"/>
              </w:tabs>
              <w:spacing w:after="0" w:line="240" w:lineRule="auto"/>
              <w:ind w:left="0" w:right="0" w:firstLine="0"/>
              <w:jc w:val="left"/>
              <w:rPr>
                <w:sz w:val="20"/>
                <w:szCs w:val="20"/>
              </w:rPr>
            </w:pPr>
            <w:r w:rsidRPr="0040742D">
              <w:rPr>
                <w:sz w:val="20"/>
                <w:szCs w:val="20"/>
              </w:rPr>
              <w:t xml:space="preserve">2.79 </w:t>
            </w:r>
            <w:r w:rsidRPr="0040742D">
              <w:rPr>
                <w:sz w:val="20"/>
                <w:szCs w:val="20"/>
              </w:rPr>
              <w:tab/>
            </w:r>
          </w:p>
        </w:tc>
        <w:tc>
          <w:tcPr>
            <w:tcW w:w="198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jc w:val="left"/>
              <w:rPr>
                <w:sz w:val="20"/>
                <w:szCs w:val="20"/>
              </w:rPr>
            </w:pPr>
            <w:r w:rsidRPr="0040742D">
              <w:rPr>
                <w:sz w:val="20"/>
                <w:szCs w:val="20"/>
              </w:rPr>
              <w:t xml:space="preserve">3.67 </w:t>
            </w:r>
          </w:p>
        </w:tc>
      </w:tr>
      <w:tr w:rsidR="00E04CD2" w:rsidRPr="0040742D" w:rsidTr="00D2268A">
        <w:trPr>
          <w:trHeight w:val="140"/>
        </w:trPr>
        <w:tc>
          <w:tcPr>
            <w:tcW w:w="1260" w:type="dxa"/>
            <w:tcBorders>
              <w:top w:val="single" w:sz="4" w:space="0" w:color="000000"/>
              <w:left w:val="single" w:sz="4" w:space="0" w:color="000000"/>
              <w:bottom w:val="single" w:sz="4" w:space="0" w:color="000000"/>
              <w:right w:val="single" w:sz="4" w:space="0" w:color="000000"/>
            </w:tcBorders>
          </w:tcPr>
          <w:p w:rsidR="00E04CD2" w:rsidRPr="00B06F30" w:rsidRDefault="00B06F30" w:rsidP="00A812A0">
            <w:pPr>
              <w:spacing w:after="0" w:line="240" w:lineRule="auto"/>
              <w:ind w:left="5" w:right="0" w:firstLine="0"/>
              <w:jc w:val="left"/>
              <w:rPr>
                <w:sz w:val="20"/>
                <w:szCs w:val="20"/>
              </w:rPr>
            </w:pPr>
            <w:r w:rsidRPr="00B06F30">
              <w:rPr>
                <w:sz w:val="20"/>
                <w:szCs w:val="20"/>
              </w:rPr>
              <w:t>3.2</w:t>
            </w:r>
          </w:p>
        </w:tc>
        <w:tc>
          <w:tcPr>
            <w:tcW w:w="117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5" w:right="0" w:firstLine="0"/>
              <w:jc w:val="left"/>
              <w:rPr>
                <w:sz w:val="20"/>
                <w:szCs w:val="20"/>
              </w:rPr>
            </w:pPr>
            <w:r w:rsidRPr="0040742D">
              <w:rPr>
                <w:sz w:val="20"/>
                <w:szCs w:val="20"/>
              </w:rPr>
              <w:t xml:space="preserve">4.742 </w:t>
            </w:r>
          </w:p>
        </w:tc>
        <w:tc>
          <w:tcPr>
            <w:tcW w:w="45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jc w:val="left"/>
              <w:rPr>
                <w:sz w:val="20"/>
                <w:szCs w:val="20"/>
              </w:rPr>
            </w:pPr>
            <w:r w:rsidRPr="0040742D">
              <w:rPr>
                <w:sz w:val="20"/>
                <w:szCs w:val="20"/>
              </w:rPr>
              <w:t xml:space="preserve">3 </w:t>
            </w:r>
          </w:p>
        </w:tc>
        <w:tc>
          <w:tcPr>
            <w:tcW w:w="180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jc w:val="left"/>
              <w:rPr>
                <w:sz w:val="20"/>
                <w:szCs w:val="20"/>
              </w:rPr>
            </w:pPr>
            <w:r w:rsidRPr="0040742D">
              <w:rPr>
                <w:sz w:val="20"/>
                <w:szCs w:val="20"/>
              </w:rPr>
              <w:t xml:space="preserve">5% </w:t>
            </w:r>
          </w:p>
        </w:tc>
        <w:tc>
          <w:tcPr>
            <w:tcW w:w="198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jc w:val="left"/>
              <w:rPr>
                <w:sz w:val="20"/>
                <w:szCs w:val="20"/>
              </w:rPr>
            </w:pPr>
            <w:r w:rsidRPr="0040742D">
              <w:rPr>
                <w:sz w:val="20"/>
                <w:szCs w:val="20"/>
              </w:rPr>
              <w:t xml:space="preserve">2.79 </w:t>
            </w:r>
          </w:p>
        </w:tc>
        <w:tc>
          <w:tcPr>
            <w:tcW w:w="1980" w:type="dxa"/>
            <w:tcBorders>
              <w:top w:val="single" w:sz="4" w:space="0" w:color="000000"/>
              <w:left w:val="single" w:sz="4" w:space="0" w:color="000000"/>
              <w:bottom w:val="single" w:sz="4" w:space="0" w:color="000000"/>
              <w:right w:val="single" w:sz="4" w:space="0" w:color="000000"/>
            </w:tcBorders>
          </w:tcPr>
          <w:p w:rsidR="00E04CD2" w:rsidRPr="0040742D" w:rsidRDefault="001F29B6" w:rsidP="00A812A0">
            <w:pPr>
              <w:spacing w:after="0" w:line="240" w:lineRule="auto"/>
              <w:ind w:left="0" w:right="0" w:firstLine="0"/>
              <w:jc w:val="left"/>
              <w:rPr>
                <w:sz w:val="20"/>
                <w:szCs w:val="20"/>
              </w:rPr>
            </w:pPr>
            <w:r w:rsidRPr="0040742D">
              <w:rPr>
                <w:sz w:val="20"/>
                <w:szCs w:val="20"/>
              </w:rPr>
              <w:t xml:space="preserve">3.67 </w:t>
            </w:r>
          </w:p>
        </w:tc>
      </w:tr>
    </w:tbl>
    <w:p w:rsidR="00E04CD2" w:rsidRPr="00B06F30" w:rsidRDefault="001F29B6" w:rsidP="00B06F30">
      <w:pPr>
        <w:pStyle w:val="Heading2"/>
        <w:spacing w:after="0" w:line="240" w:lineRule="auto"/>
        <w:ind w:left="-5" w:right="100"/>
        <w:jc w:val="center"/>
        <w:rPr>
          <w:b w:val="0"/>
          <w:sz w:val="20"/>
          <w:szCs w:val="20"/>
        </w:rPr>
      </w:pPr>
      <w:r w:rsidRPr="00B06F30">
        <w:rPr>
          <w:b w:val="0"/>
          <w:sz w:val="20"/>
          <w:szCs w:val="20"/>
        </w:rPr>
        <w:t>Source: Auth</w:t>
      </w:r>
      <w:r w:rsidR="00B06F30">
        <w:rPr>
          <w:b w:val="0"/>
          <w:sz w:val="20"/>
          <w:szCs w:val="20"/>
        </w:rPr>
        <w:t>or’s Computation with E-views 12</w:t>
      </w:r>
    </w:p>
    <w:p w:rsidR="00E04CD2" w:rsidRDefault="00E04CD2" w:rsidP="00A812A0">
      <w:pPr>
        <w:spacing w:after="0" w:line="240" w:lineRule="auto"/>
        <w:ind w:left="0" w:right="0" w:firstLine="0"/>
        <w:jc w:val="left"/>
      </w:pPr>
    </w:p>
    <w:p w:rsidR="00B06F30" w:rsidRDefault="001F29B6" w:rsidP="00D2268A">
      <w:pPr>
        <w:spacing w:after="0" w:line="240" w:lineRule="auto"/>
        <w:ind w:left="720" w:right="28" w:firstLine="720"/>
      </w:pPr>
      <w:r>
        <w:t xml:space="preserve">Having ascertained that there exist a co-integrating relationship between international migration, unemployment rate, and poverty in Nigeria, the short run relationship needs to be ascertained.  </w:t>
      </w:r>
      <w:r w:rsidR="00B06F30">
        <w:t xml:space="preserve">From Table 4.3 above; the coefficient of the error correction term (cointEQ) is statistically significant and carries the expected negative sign at 5% level of significant, revealing that a short run relationship exist between international migration and unemployment in Nigeria. The speed of adjustment is -0.7872 that is 78.7% of the adjustment to equilibrium of the unemployment is expected to occur in short run.  </w:t>
      </w:r>
    </w:p>
    <w:p w:rsidR="00E04CD2" w:rsidRPr="00B06F30" w:rsidRDefault="001F29B6" w:rsidP="00B06F30">
      <w:pPr>
        <w:pStyle w:val="Heading2"/>
        <w:spacing w:after="0" w:line="240" w:lineRule="auto"/>
        <w:ind w:left="-5" w:right="100" w:firstLine="725"/>
        <w:jc w:val="center"/>
        <w:rPr>
          <w:i w:val="0"/>
          <w:sz w:val="20"/>
          <w:szCs w:val="20"/>
        </w:rPr>
      </w:pPr>
      <w:r w:rsidRPr="00B06F30">
        <w:rPr>
          <w:i w:val="0"/>
          <w:sz w:val="20"/>
          <w:szCs w:val="20"/>
        </w:rPr>
        <w:t xml:space="preserve">Table 4.3: Summary of Parsimonious Short Run Relationship Result between </w:t>
      </w:r>
      <w:r w:rsidR="00B06F30" w:rsidRPr="00B06F30">
        <w:rPr>
          <w:i w:val="0"/>
          <w:sz w:val="20"/>
          <w:szCs w:val="20"/>
        </w:rPr>
        <w:t xml:space="preserve">International Migration </w:t>
      </w:r>
      <w:r w:rsidRPr="00B06F30">
        <w:rPr>
          <w:i w:val="0"/>
          <w:sz w:val="20"/>
          <w:szCs w:val="20"/>
        </w:rPr>
        <w:t xml:space="preserve">and </w:t>
      </w:r>
      <w:r w:rsidR="00B06F30" w:rsidRPr="00B06F30">
        <w:rPr>
          <w:i w:val="0"/>
          <w:sz w:val="20"/>
          <w:szCs w:val="20"/>
        </w:rPr>
        <w:t xml:space="preserve">Unemployment Rate </w:t>
      </w:r>
      <w:r w:rsidRPr="00B06F30">
        <w:rPr>
          <w:i w:val="0"/>
          <w:sz w:val="20"/>
          <w:szCs w:val="20"/>
        </w:rPr>
        <w:t>in Nigeria</w:t>
      </w:r>
    </w:p>
    <w:tbl>
      <w:tblPr>
        <w:tblStyle w:val="TableGrid"/>
        <w:tblW w:w="8730" w:type="dxa"/>
        <w:tblInd w:w="725" w:type="dxa"/>
        <w:tblCellMar>
          <w:top w:w="16" w:type="dxa"/>
          <w:left w:w="5" w:type="dxa"/>
          <w:right w:w="115" w:type="dxa"/>
        </w:tblCellMar>
        <w:tblLook w:val="04A0"/>
      </w:tblPr>
      <w:tblGrid>
        <w:gridCol w:w="1980"/>
        <w:gridCol w:w="1890"/>
        <w:gridCol w:w="1710"/>
        <w:gridCol w:w="1433"/>
        <w:gridCol w:w="1717"/>
      </w:tblGrid>
      <w:tr w:rsidR="00E04CD2" w:rsidRPr="00B06F30" w:rsidTr="00D2268A">
        <w:trPr>
          <w:trHeight w:val="285"/>
        </w:trPr>
        <w:tc>
          <w:tcPr>
            <w:tcW w:w="5580" w:type="dxa"/>
            <w:gridSpan w:val="3"/>
            <w:tcBorders>
              <w:top w:val="single" w:sz="4" w:space="0" w:color="000000"/>
              <w:left w:val="single" w:sz="4" w:space="0" w:color="000000"/>
              <w:bottom w:val="single" w:sz="4" w:space="0" w:color="000000"/>
              <w:right w:val="nil"/>
            </w:tcBorders>
          </w:tcPr>
          <w:p w:rsidR="00E04CD2" w:rsidRPr="00B06F30" w:rsidRDefault="00B06F30" w:rsidP="00B06F30">
            <w:pPr>
              <w:spacing w:after="0" w:line="240" w:lineRule="auto"/>
              <w:ind w:left="0" w:right="0" w:firstLine="0"/>
              <w:jc w:val="center"/>
              <w:rPr>
                <w:b/>
                <w:sz w:val="20"/>
                <w:szCs w:val="20"/>
              </w:rPr>
            </w:pPr>
            <w:r w:rsidRPr="00B06F30">
              <w:rPr>
                <w:b/>
                <w:sz w:val="20"/>
                <w:szCs w:val="20"/>
              </w:rPr>
              <w:t xml:space="preserve">                                      </w:t>
            </w:r>
            <w:r w:rsidR="001F29B6" w:rsidRPr="00B06F30">
              <w:rPr>
                <w:b/>
                <w:sz w:val="20"/>
                <w:szCs w:val="20"/>
              </w:rPr>
              <w:t>Conditional Error Correction Regression</w:t>
            </w:r>
          </w:p>
        </w:tc>
        <w:tc>
          <w:tcPr>
            <w:tcW w:w="1433" w:type="dxa"/>
            <w:tcBorders>
              <w:top w:val="single" w:sz="4" w:space="0" w:color="000000"/>
              <w:left w:val="nil"/>
              <w:bottom w:val="single" w:sz="4" w:space="0" w:color="000000"/>
              <w:right w:val="nil"/>
            </w:tcBorders>
          </w:tcPr>
          <w:p w:rsidR="00E04CD2" w:rsidRPr="00B06F30" w:rsidRDefault="00E04CD2" w:rsidP="00A812A0">
            <w:pPr>
              <w:spacing w:after="0" w:line="240" w:lineRule="auto"/>
              <w:ind w:left="0" w:right="0" w:firstLine="0"/>
              <w:jc w:val="left"/>
              <w:rPr>
                <w:b/>
                <w:sz w:val="20"/>
                <w:szCs w:val="20"/>
              </w:rPr>
            </w:pPr>
          </w:p>
        </w:tc>
        <w:tc>
          <w:tcPr>
            <w:tcW w:w="1717" w:type="dxa"/>
            <w:tcBorders>
              <w:top w:val="single" w:sz="4" w:space="0" w:color="000000"/>
              <w:left w:val="nil"/>
              <w:bottom w:val="single" w:sz="4" w:space="0" w:color="000000"/>
              <w:right w:val="single" w:sz="4" w:space="0" w:color="000000"/>
            </w:tcBorders>
          </w:tcPr>
          <w:p w:rsidR="00E04CD2" w:rsidRPr="00B06F30" w:rsidRDefault="00E04CD2" w:rsidP="00A812A0">
            <w:pPr>
              <w:spacing w:after="0" w:line="240" w:lineRule="auto"/>
              <w:ind w:left="0" w:right="0" w:firstLine="0"/>
              <w:jc w:val="left"/>
              <w:rPr>
                <w:b/>
                <w:sz w:val="20"/>
                <w:szCs w:val="20"/>
              </w:rPr>
            </w:pPr>
          </w:p>
        </w:tc>
      </w:tr>
      <w:tr w:rsidR="00E04CD2" w:rsidRPr="00B06F30" w:rsidTr="00D2268A">
        <w:trPr>
          <w:trHeight w:val="290"/>
        </w:trPr>
        <w:tc>
          <w:tcPr>
            <w:tcW w:w="1980"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b/>
                <w:sz w:val="20"/>
                <w:szCs w:val="20"/>
              </w:rPr>
            </w:pPr>
            <w:r w:rsidRPr="00B06F30">
              <w:rPr>
                <w:b/>
                <w:sz w:val="20"/>
                <w:szCs w:val="20"/>
              </w:rPr>
              <w:t xml:space="preserve">Variable </w:t>
            </w:r>
          </w:p>
        </w:tc>
        <w:tc>
          <w:tcPr>
            <w:tcW w:w="1890"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b/>
                <w:sz w:val="20"/>
                <w:szCs w:val="20"/>
              </w:rPr>
            </w:pPr>
            <w:r w:rsidRPr="00B06F30">
              <w:rPr>
                <w:b/>
                <w:sz w:val="20"/>
                <w:szCs w:val="20"/>
              </w:rPr>
              <w:t xml:space="preserve">Coefficient </w:t>
            </w:r>
          </w:p>
        </w:tc>
        <w:tc>
          <w:tcPr>
            <w:tcW w:w="1710"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b/>
                <w:sz w:val="20"/>
                <w:szCs w:val="20"/>
              </w:rPr>
            </w:pPr>
            <w:r w:rsidRPr="00B06F30">
              <w:rPr>
                <w:b/>
                <w:sz w:val="20"/>
                <w:szCs w:val="20"/>
              </w:rPr>
              <w:t xml:space="preserve">Std. Error </w:t>
            </w:r>
          </w:p>
        </w:tc>
        <w:tc>
          <w:tcPr>
            <w:tcW w:w="1433"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b/>
                <w:sz w:val="20"/>
                <w:szCs w:val="20"/>
              </w:rPr>
            </w:pPr>
            <w:r w:rsidRPr="00B06F30">
              <w:rPr>
                <w:b/>
                <w:sz w:val="20"/>
                <w:szCs w:val="20"/>
              </w:rPr>
              <w:t xml:space="preserve">t-Statistic </w:t>
            </w:r>
          </w:p>
        </w:tc>
        <w:tc>
          <w:tcPr>
            <w:tcW w:w="1717"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b/>
                <w:sz w:val="20"/>
                <w:szCs w:val="20"/>
              </w:rPr>
            </w:pPr>
            <w:r w:rsidRPr="00B06F30">
              <w:rPr>
                <w:b/>
                <w:sz w:val="20"/>
                <w:szCs w:val="20"/>
              </w:rPr>
              <w:t xml:space="preserve">Prob.    </w:t>
            </w:r>
          </w:p>
        </w:tc>
      </w:tr>
      <w:tr w:rsidR="00E04CD2" w:rsidRPr="00B06F30" w:rsidTr="00D2268A">
        <w:trPr>
          <w:trHeight w:val="169"/>
        </w:trPr>
        <w:tc>
          <w:tcPr>
            <w:tcW w:w="1980"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sz w:val="20"/>
                <w:szCs w:val="20"/>
              </w:rPr>
            </w:pPr>
            <w:r w:rsidRPr="00B06F30">
              <w:rPr>
                <w:sz w:val="20"/>
                <w:szCs w:val="20"/>
              </w:rPr>
              <w:t xml:space="preserve">CointEq(-1)* </w:t>
            </w:r>
          </w:p>
        </w:tc>
        <w:tc>
          <w:tcPr>
            <w:tcW w:w="1890"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sz w:val="20"/>
                <w:szCs w:val="20"/>
              </w:rPr>
            </w:pPr>
            <w:r w:rsidRPr="00B06F30">
              <w:rPr>
                <w:sz w:val="20"/>
                <w:szCs w:val="20"/>
              </w:rPr>
              <w:t xml:space="preserve">-0.7872 </w:t>
            </w:r>
          </w:p>
        </w:tc>
        <w:tc>
          <w:tcPr>
            <w:tcW w:w="1710"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sz w:val="20"/>
                <w:szCs w:val="20"/>
              </w:rPr>
            </w:pPr>
            <w:r w:rsidRPr="00B06F30">
              <w:rPr>
                <w:sz w:val="20"/>
                <w:szCs w:val="20"/>
              </w:rPr>
              <w:t xml:space="preserve">0.1393 </w:t>
            </w:r>
          </w:p>
        </w:tc>
        <w:tc>
          <w:tcPr>
            <w:tcW w:w="1433"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sz w:val="20"/>
                <w:szCs w:val="20"/>
              </w:rPr>
            </w:pPr>
            <w:r w:rsidRPr="00B06F30">
              <w:rPr>
                <w:sz w:val="20"/>
                <w:szCs w:val="20"/>
              </w:rPr>
              <w:t xml:space="preserve">-5.6523 </w:t>
            </w:r>
          </w:p>
        </w:tc>
        <w:tc>
          <w:tcPr>
            <w:tcW w:w="1717" w:type="dxa"/>
            <w:tcBorders>
              <w:top w:val="single" w:sz="4" w:space="0" w:color="000000"/>
              <w:left w:val="single" w:sz="4" w:space="0" w:color="000000"/>
              <w:bottom w:val="single" w:sz="4" w:space="0" w:color="000000"/>
              <w:right w:val="single" w:sz="4" w:space="0" w:color="000000"/>
            </w:tcBorders>
          </w:tcPr>
          <w:p w:rsidR="00E04CD2" w:rsidRPr="00B06F30" w:rsidRDefault="001F29B6" w:rsidP="00A812A0">
            <w:pPr>
              <w:spacing w:after="0" w:line="240" w:lineRule="auto"/>
              <w:ind w:left="0" w:right="0" w:firstLine="0"/>
              <w:jc w:val="left"/>
              <w:rPr>
                <w:sz w:val="20"/>
                <w:szCs w:val="20"/>
              </w:rPr>
            </w:pPr>
            <w:r w:rsidRPr="00B06F30">
              <w:rPr>
                <w:sz w:val="20"/>
                <w:szCs w:val="20"/>
              </w:rPr>
              <w:t xml:space="preserve">0.0000 </w:t>
            </w:r>
          </w:p>
        </w:tc>
      </w:tr>
    </w:tbl>
    <w:p w:rsidR="00E04CD2" w:rsidRDefault="001F29B6" w:rsidP="00B06F30">
      <w:pPr>
        <w:spacing w:after="0" w:line="240" w:lineRule="auto"/>
        <w:ind w:left="16" w:right="0"/>
        <w:jc w:val="center"/>
        <w:rPr>
          <w:i/>
          <w:sz w:val="20"/>
          <w:szCs w:val="20"/>
        </w:rPr>
      </w:pPr>
      <w:r w:rsidRPr="00B06F30">
        <w:rPr>
          <w:i/>
          <w:sz w:val="20"/>
          <w:szCs w:val="20"/>
        </w:rPr>
        <w:t xml:space="preserve">Source: Author’s Computation with E-views </w:t>
      </w:r>
      <w:r w:rsidR="00B06F30" w:rsidRPr="00B06F30">
        <w:rPr>
          <w:i/>
          <w:sz w:val="20"/>
          <w:szCs w:val="20"/>
        </w:rPr>
        <w:t>12</w:t>
      </w:r>
    </w:p>
    <w:p w:rsidR="00B06F30" w:rsidRPr="00B06F30" w:rsidRDefault="00B06F30" w:rsidP="00B06F30">
      <w:pPr>
        <w:spacing w:after="0" w:line="240" w:lineRule="auto"/>
        <w:ind w:left="16" w:right="0"/>
        <w:jc w:val="center"/>
        <w:rPr>
          <w:sz w:val="20"/>
          <w:szCs w:val="20"/>
        </w:rPr>
      </w:pPr>
    </w:p>
    <w:p w:rsidR="00E04CD2" w:rsidRDefault="00B06F30" w:rsidP="00D2268A">
      <w:pPr>
        <w:spacing w:after="0" w:line="240" w:lineRule="auto"/>
        <w:ind w:left="720" w:right="28" w:firstLine="725"/>
      </w:pPr>
      <w:r>
        <w:t>From T</w:t>
      </w:r>
      <w:r w:rsidR="001F29B6">
        <w:t>able 4.4 above; the coefficient of the error correction term (cointEQ) is statistically significant and carries the expected negative si</w:t>
      </w:r>
      <w:r>
        <w:t>gn at 5% level of significant, showing t</w:t>
      </w:r>
      <w:r w:rsidR="001F29B6">
        <w:t xml:space="preserve">hat a short run relationship exists between international migration and poverty in Nigeria. The speed of adjustment is -0.3934 that is 39.34% of the adjustment to equilibrium of poverty is expected to occur in short run.  </w:t>
      </w:r>
    </w:p>
    <w:p w:rsidR="00B06F30" w:rsidRPr="00B06F30" w:rsidRDefault="00B06F30" w:rsidP="00B06F30">
      <w:pPr>
        <w:pStyle w:val="Heading2"/>
        <w:spacing w:after="0" w:line="240" w:lineRule="auto"/>
        <w:ind w:left="-5" w:right="100" w:firstLine="725"/>
        <w:jc w:val="center"/>
        <w:rPr>
          <w:i w:val="0"/>
          <w:sz w:val="20"/>
          <w:szCs w:val="20"/>
        </w:rPr>
      </w:pPr>
      <w:r w:rsidRPr="00B06F30">
        <w:rPr>
          <w:i w:val="0"/>
          <w:sz w:val="20"/>
          <w:szCs w:val="20"/>
        </w:rPr>
        <w:t>Table 4.4: Summary of Parsimonious Short Run Relationship Result between International Migration and Poverty in Nigeria</w:t>
      </w:r>
    </w:p>
    <w:tbl>
      <w:tblPr>
        <w:tblStyle w:val="TableGrid"/>
        <w:tblW w:w="8640" w:type="dxa"/>
        <w:tblInd w:w="725" w:type="dxa"/>
        <w:tblCellMar>
          <w:top w:w="16" w:type="dxa"/>
          <w:left w:w="5" w:type="dxa"/>
          <w:right w:w="115" w:type="dxa"/>
        </w:tblCellMar>
        <w:tblLook w:val="04A0"/>
      </w:tblPr>
      <w:tblGrid>
        <w:gridCol w:w="2970"/>
        <w:gridCol w:w="1350"/>
        <w:gridCol w:w="1350"/>
        <w:gridCol w:w="1298"/>
        <w:gridCol w:w="1672"/>
      </w:tblGrid>
      <w:tr w:rsidR="00B06F30" w:rsidRPr="00B06F30" w:rsidTr="00D2268A">
        <w:trPr>
          <w:trHeight w:val="290"/>
        </w:trPr>
        <w:tc>
          <w:tcPr>
            <w:tcW w:w="4320" w:type="dxa"/>
            <w:gridSpan w:val="2"/>
            <w:tcBorders>
              <w:top w:val="single" w:sz="4" w:space="0" w:color="000000"/>
              <w:left w:val="single" w:sz="4" w:space="0" w:color="000000"/>
              <w:bottom w:val="single" w:sz="4" w:space="0" w:color="000000"/>
              <w:right w:val="nil"/>
            </w:tcBorders>
          </w:tcPr>
          <w:p w:rsidR="00B06F30" w:rsidRPr="00B06F30" w:rsidRDefault="00B06F30" w:rsidP="00FA6187">
            <w:pPr>
              <w:spacing w:after="0" w:line="240" w:lineRule="auto"/>
              <w:ind w:left="0" w:right="0" w:firstLine="0"/>
              <w:jc w:val="left"/>
              <w:rPr>
                <w:sz w:val="20"/>
                <w:szCs w:val="20"/>
              </w:rPr>
            </w:pPr>
            <w:r>
              <w:rPr>
                <w:b/>
                <w:sz w:val="20"/>
                <w:szCs w:val="20"/>
              </w:rPr>
              <w:t xml:space="preserve">            </w:t>
            </w:r>
            <w:r w:rsidRPr="00B06F30">
              <w:rPr>
                <w:b/>
                <w:sz w:val="20"/>
                <w:szCs w:val="20"/>
              </w:rPr>
              <w:t xml:space="preserve">Conditional Error Correction Regression </w:t>
            </w:r>
          </w:p>
        </w:tc>
        <w:tc>
          <w:tcPr>
            <w:tcW w:w="1350" w:type="dxa"/>
            <w:tcBorders>
              <w:top w:val="single" w:sz="4" w:space="0" w:color="000000"/>
              <w:left w:val="nil"/>
              <w:bottom w:val="single" w:sz="4" w:space="0" w:color="000000"/>
              <w:right w:val="nil"/>
            </w:tcBorders>
          </w:tcPr>
          <w:p w:rsidR="00B06F30" w:rsidRPr="00B06F30" w:rsidRDefault="00B06F30" w:rsidP="00FA6187">
            <w:pPr>
              <w:spacing w:after="0" w:line="240" w:lineRule="auto"/>
              <w:ind w:left="0" w:right="0" w:firstLine="0"/>
              <w:jc w:val="left"/>
              <w:rPr>
                <w:sz w:val="20"/>
                <w:szCs w:val="20"/>
              </w:rPr>
            </w:pPr>
          </w:p>
        </w:tc>
        <w:tc>
          <w:tcPr>
            <w:tcW w:w="1298" w:type="dxa"/>
            <w:tcBorders>
              <w:top w:val="single" w:sz="4" w:space="0" w:color="000000"/>
              <w:left w:val="nil"/>
              <w:bottom w:val="single" w:sz="4" w:space="0" w:color="000000"/>
              <w:right w:val="nil"/>
            </w:tcBorders>
          </w:tcPr>
          <w:p w:rsidR="00B06F30" w:rsidRPr="00B06F30" w:rsidRDefault="00B06F30" w:rsidP="00FA6187">
            <w:pPr>
              <w:spacing w:after="0" w:line="240" w:lineRule="auto"/>
              <w:ind w:left="0" w:right="0" w:firstLine="0"/>
              <w:jc w:val="left"/>
              <w:rPr>
                <w:sz w:val="20"/>
                <w:szCs w:val="20"/>
              </w:rPr>
            </w:pPr>
          </w:p>
        </w:tc>
        <w:tc>
          <w:tcPr>
            <w:tcW w:w="1672" w:type="dxa"/>
            <w:tcBorders>
              <w:top w:val="single" w:sz="4" w:space="0" w:color="000000"/>
              <w:left w:val="nil"/>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p>
        </w:tc>
      </w:tr>
      <w:tr w:rsidR="00B06F30" w:rsidRPr="00B06F30" w:rsidTr="00D2268A">
        <w:trPr>
          <w:trHeight w:val="285"/>
        </w:trPr>
        <w:tc>
          <w:tcPr>
            <w:tcW w:w="2970"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b/>
                <w:sz w:val="20"/>
                <w:szCs w:val="20"/>
              </w:rPr>
              <w:t xml:space="preserve">Variable </w:t>
            </w:r>
          </w:p>
        </w:tc>
        <w:tc>
          <w:tcPr>
            <w:tcW w:w="1350"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b/>
                <w:sz w:val="20"/>
                <w:szCs w:val="20"/>
              </w:rPr>
              <w:t xml:space="preserve">Coefficient </w:t>
            </w:r>
          </w:p>
        </w:tc>
        <w:tc>
          <w:tcPr>
            <w:tcW w:w="1350"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b/>
                <w:sz w:val="20"/>
                <w:szCs w:val="20"/>
              </w:rPr>
              <w:t xml:space="preserve">Std. Error </w:t>
            </w:r>
          </w:p>
        </w:tc>
        <w:tc>
          <w:tcPr>
            <w:tcW w:w="1298"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b/>
                <w:sz w:val="20"/>
                <w:szCs w:val="20"/>
              </w:rPr>
              <w:t xml:space="preserve">t-Statistic </w:t>
            </w:r>
          </w:p>
        </w:tc>
        <w:tc>
          <w:tcPr>
            <w:tcW w:w="1672"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b/>
                <w:sz w:val="20"/>
                <w:szCs w:val="20"/>
              </w:rPr>
              <w:t xml:space="preserve">Prob.    </w:t>
            </w:r>
          </w:p>
        </w:tc>
      </w:tr>
      <w:tr w:rsidR="00B06F30" w:rsidRPr="00B06F30" w:rsidTr="00D2268A">
        <w:trPr>
          <w:trHeight w:val="223"/>
        </w:trPr>
        <w:tc>
          <w:tcPr>
            <w:tcW w:w="2970"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sz w:val="20"/>
                <w:szCs w:val="20"/>
              </w:rPr>
              <w:t xml:space="preserve">CointEq(-1)* </w:t>
            </w:r>
          </w:p>
        </w:tc>
        <w:tc>
          <w:tcPr>
            <w:tcW w:w="1350"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sz w:val="20"/>
                <w:szCs w:val="20"/>
              </w:rPr>
              <w:t xml:space="preserve">-0.3934 </w:t>
            </w:r>
          </w:p>
        </w:tc>
        <w:tc>
          <w:tcPr>
            <w:tcW w:w="1350"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sz w:val="20"/>
                <w:szCs w:val="20"/>
              </w:rPr>
              <w:t xml:space="preserve">0.0759 </w:t>
            </w:r>
          </w:p>
        </w:tc>
        <w:tc>
          <w:tcPr>
            <w:tcW w:w="1298"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sz w:val="20"/>
                <w:szCs w:val="20"/>
              </w:rPr>
              <w:t xml:space="preserve">-5.2443 </w:t>
            </w:r>
          </w:p>
        </w:tc>
        <w:tc>
          <w:tcPr>
            <w:tcW w:w="1672" w:type="dxa"/>
            <w:tcBorders>
              <w:top w:val="single" w:sz="4" w:space="0" w:color="000000"/>
              <w:left w:val="single" w:sz="4" w:space="0" w:color="000000"/>
              <w:bottom w:val="single" w:sz="4" w:space="0" w:color="000000"/>
              <w:right w:val="single" w:sz="4" w:space="0" w:color="000000"/>
            </w:tcBorders>
          </w:tcPr>
          <w:p w:rsidR="00B06F30" w:rsidRPr="00B06F30" w:rsidRDefault="00B06F30" w:rsidP="00FA6187">
            <w:pPr>
              <w:spacing w:after="0" w:line="240" w:lineRule="auto"/>
              <w:ind w:left="0" w:right="0" w:firstLine="0"/>
              <w:jc w:val="left"/>
              <w:rPr>
                <w:sz w:val="20"/>
                <w:szCs w:val="20"/>
              </w:rPr>
            </w:pPr>
            <w:r w:rsidRPr="00B06F30">
              <w:rPr>
                <w:sz w:val="20"/>
                <w:szCs w:val="20"/>
              </w:rPr>
              <w:t xml:space="preserve">0.0000 </w:t>
            </w:r>
          </w:p>
        </w:tc>
      </w:tr>
    </w:tbl>
    <w:p w:rsidR="00B06F30" w:rsidRDefault="00B06F30" w:rsidP="00B06F30">
      <w:pPr>
        <w:spacing w:after="0" w:line="240" w:lineRule="auto"/>
        <w:ind w:left="16" w:right="0"/>
        <w:jc w:val="center"/>
        <w:rPr>
          <w:i/>
          <w:sz w:val="20"/>
          <w:szCs w:val="20"/>
        </w:rPr>
      </w:pPr>
      <w:r w:rsidRPr="00B06F30">
        <w:rPr>
          <w:i/>
          <w:sz w:val="20"/>
          <w:szCs w:val="20"/>
        </w:rPr>
        <w:t>Source: Author’s Computation with E-views 10</w:t>
      </w:r>
    </w:p>
    <w:p w:rsidR="00D2268A" w:rsidRPr="00B06F30" w:rsidRDefault="00D2268A" w:rsidP="00B06F30">
      <w:pPr>
        <w:spacing w:after="0" w:line="240" w:lineRule="auto"/>
        <w:ind w:left="16" w:right="0"/>
        <w:jc w:val="center"/>
        <w:rPr>
          <w:i/>
          <w:sz w:val="20"/>
          <w:szCs w:val="20"/>
        </w:rPr>
      </w:pPr>
    </w:p>
    <w:p w:rsidR="00E04CD2" w:rsidRDefault="001F29B6" w:rsidP="00D2268A">
      <w:pPr>
        <w:spacing w:after="0" w:line="240" w:lineRule="auto"/>
        <w:ind w:left="720" w:right="28" w:firstLine="720"/>
      </w:pPr>
      <w:r>
        <w:t xml:space="preserve">It’s imperative to ascertain the long run relationship that exists between international migration, unemployment, and poverty in Nigeria.  </w:t>
      </w:r>
    </w:p>
    <w:p w:rsidR="00E04CD2" w:rsidRPr="00141C39" w:rsidRDefault="001F29B6" w:rsidP="00141C39">
      <w:pPr>
        <w:pStyle w:val="Heading2"/>
        <w:spacing w:after="0" w:line="240" w:lineRule="auto"/>
        <w:ind w:left="-5" w:right="100" w:firstLine="725"/>
        <w:jc w:val="center"/>
        <w:rPr>
          <w:i w:val="0"/>
          <w:sz w:val="20"/>
          <w:szCs w:val="20"/>
        </w:rPr>
      </w:pPr>
      <w:r w:rsidRPr="00141C39">
        <w:rPr>
          <w:i w:val="0"/>
          <w:sz w:val="20"/>
          <w:szCs w:val="20"/>
        </w:rPr>
        <w:t xml:space="preserve">Table 4.5: Summary of Long Run Relationship between International </w:t>
      </w:r>
      <w:r w:rsidR="00141C39" w:rsidRPr="00141C39">
        <w:rPr>
          <w:i w:val="0"/>
          <w:sz w:val="20"/>
          <w:szCs w:val="20"/>
        </w:rPr>
        <w:t>Migration</w:t>
      </w:r>
      <w:r w:rsidRPr="00141C39">
        <w:rPr>
          <w:i w:val="0"/>
          <w:sz w:val="20"/>
          <w:szCs w:val="20"/>
        </w:rPr>
        <w:t xml:space="preserve"> and </w:t>
      </w:r>
      <w:r w:rsidR="00141C39" w:rsidRPr="00141C39">
        <w:rPr>
          <w:i w:val="0"/>
          <w:sz w:val="20"/>
          <w:szCs w:val="20"/>
        </w:rPr>
        <w:t xml:space="preserve">Unemployment Rate </w:t>
      </w:r>
      <w:r w:rsidRPr="00141C39">
        <w:rPr>
          <w:i w:val="0"/>
          <w:sz w:val="20"/>
          <w:szCs w:val="20"/>
        </w:rPr>
        <w:t>in Nigeria Result</w:t>
      </w:r>
    </w:p>
    <w:tbl>
      <w:tblPr>
        <w:tblStyle w:val="TableGrid"/>
        <w:tblW w:w="8640" w:type="dxa"/>
        <w:tblInd w:w="725" w:type="dxa"/>
        <w:tblLayout w:type="fixed"/>
        <w:tblCellMar>
          <w:top w:w="36" w:type="dxa"/>
          <w:right w:w="20" w:type="dxa"/>
        </w:tblCellMar>
        <w:tblLook w:val="04A0"/>
      </w:tblPr>
      <w:tblGrid>
        <w:gridCol w:w="1980"/>
        <w:gridCol w:w="1350"/>
        <w:gridCol w:w="1800"/>
        <w:gridCol w:w="1710"/>
        <w:gridCol w:w="1800"/>
      </w:tblGrid>
      <w:tr w:rsidR="00E04CD2" w:rsidRPr="00141C39" w:rsidTr="00D2268A">
        <w:trPr>
          <w:trHeight w:val="131"/>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16" w:right="0" w:firstLine="0"/>
              <w:jc w:val="center"/>
              <w:rPr>
                <w:sz w:val="20"/>
                <w:szCs w:val="20"/>
              </w:rPr>
            </w:pPr>
            <w:r w:rsidRPr="00141C39">
              <w:rPr>
                <w:b/>
                <w:sz w:val="20"/>
                <w:szCs w:val="20"/>
              </w:rPr>
              <w:t>Variable</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6" w:firstLine="0"/>
              <w:jc w:val="center"/>
              <w:rPr>
                <w:sz w:val="20"/>
                <w:szCs w:val="20"/>
              </w:rPr>
            </w:pPr>
            <w:r w:rsidRPr="00141C39">
              <w:rPr>
                <w:b/>
                <w:sz w:val="20"/>
                <w:szCs w:val="20"/>
              </w:rPr>
              <w:t>Coefficient</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0"/>
              </w:tabs>
              <w:spacing w:after="0" w:line="240" w:lineRule="auto"/>
              <w:ind w:left="-20" w:right="0" w:firstLine="0"/>
              <w:jc w:val="center"/>
              <w:rPr>
                <w:sz w:val="20"/>
                <w:szCs w:val="20"/>
              </w:rPr>
            </w:pPr>
            <w:r w:rsidRPr="00141C39">
              <w:rPr>
                <w:b/>
                <w:sz w:val="20"/>
                <w:szCs w:val="20"/>
              </w:rPr>
              <w:t>Std. Error</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1"/>
              </w:tabs>
              <w:spacing w:after="0" w:line="240" w:lineRule="auto"/>
              <w:ind w:left="-25" w:right="0" w:firstLine="0"/>
              <w:jc w:val="center"/>
              <w:rPr>
                <w:sz w:val="20"/>
                <w:szCs w:val="20"/>
              </w:rPr>
            </w:pPr>
            <w:r w:rsidRPr="00141C39">
              <w:rPr>
                <w:b/>
                <w:sz w:val="20"/>
                <w:szCs w:val="20"/>
              </w:rPr>
              <w:t>t-Statistic</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355"/>
              </w:tabs>
              <w:spacing w:after="0" w:line="240" w:lineRule="auto"/>
              <w:ind w:left="-25" w:right="0" w:firstLine="0"/>
              <w:jc w:val="center"/>
              <w:rPr>
                <w:sz w:val="20"/>
                <w:szCs w:val="20"/>
              </w:rPr>
            </w:pPr>
            <w:r w:rsidRPr="00141C39">
              <w:rPr>
                <w:b/>
                <w:sz w:val="20"/>
                <w:szCs w:val="20"/>
              </w:rPr>
              <w:t>Prob.</w:t>
            </w:r>
          </w:p>
        </w:tc>
      </w:tr>
      <w:tr w:rsidR="00E04CD2" w:rsidRPr="00141C39" w:rsidTr="00D2268A">
        <w:trPr>
          <w:trHeight w:val="113"/>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21" w:right="0" w:firstLine="0"/>
              <w:jc w:val="center"/>
              <w:rPr>
                <w:sz w:val="20"/>
                <w:szCs w:val="20"/>
              </w:rPr>
            </w:pPr>
            <w:r w:rsidRPr="00141C39">
              <w:rPr>
                <w:sz w:val="20"/>
                <w:szCs w:val="20"/>
              </w:rPr>
              <w:t>MREM</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0.000560</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0"/>
              </w:tabs>
              <w:spacing w:after="0" w:line="240" w:lineRule="auto"/>
              <w:ind w:left="-20" w:right="0" w:firstLine="0"/>
              <w:jc w:val="center"/>
              <w:rPr>
                <w:sz w:val="20"/>
                <w:szCs w:val="20"/>
              </w:rPr>
            </w:pPr>
            <w:r w:rsidRPr="00141C39">
              <w:rPr>
                <w:sz w:val="20"/>
                <w:szCs w:val="20"/>
              </w:rPr>
              <w:t>0.000262</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1"/>
              </w:tabs>
              <w:spacing w:after="0" w:line="240" w:lineRule="auto"/>
              <w:ind w:left="-25" w:right="0" w:firstLine="0"/>
              <w:jc w:val="center"/>
              <w:rPr>
                <w:sz w:val="20"/>
                <w:szCs w:val="20"/>
              </w:rPr>
            </w:pPr>
            <w:r w:rsidRPr="00141C39">
              <w:rPr>
                <w:sz w:val="20"/>
                <w:szCs w:val="20"/>
              </w:rPr>
              <w:t>2.134159</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355"/>
              </w:tabs>
              <w:spacing w:after="0" w:line="240" w:lineRule="auto"/>
              <w:ind w:left="-25" w:right="0" w:firstLine="0"/>
              <w:jc w:val="center"/>
              <w:rPr>
                <w:sz w:val="20"/>
                <w:szCs w:val="20"/>
              </w:rPr>
            </w:pPr>
            <w:r w:rsidRPr="00141C39">
              <w:rPr>
                <w:sz w:val="20"/>
                <w:szCs w:val="20"/>
              </w:rPr>
              <w:t>0.0487</w:t>
            </w:r>
          </w:p>
        </w:tc>
      </w:tr>
      <w:tr w:rsidR="00E04CD2" w:rsidRPr="00141C39" w:rsidTr="00D2268A">
        <w:trPr>
          <w:trHeight w:val="113"/>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18" w:right="0" w:firstLine="0"/>
              <w:jc w:val="center"/>
              <w:rPr>
                <w:sz w:val="20"/>
                <w:szCs w:val="20"/>
              </w:rPr>
            </w:pPr>
            <w:r w:rsidRPr="00141C39">
              <w:rPr>
                <w:sz w:val="20"/>
                <w:szCs w:val="20"/>
              </w:rPr>
              <w:t>GOI</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1.385938</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0"/>
              </w:tabs>
              <w:spacing w:after="0" w:line="240" w:lineRule="auto"/>
              <w:ind w:left="-20" w:right="0" w:firstLine="0"/>
              <w:jc w:val="center"/>
              <w:rPr>
                <w:sz w:val="20"/>
                <w:szCs w:val="20"/>
              </w:rPr>
            </w:pPr>
            <w:r w:rsidRPr="00141C39">
              <w:rPr>
                <w:sz w:val="20"/>
                <w:szCs w:val="20"/>
              </w:rPr>
              <w:t>0.379959</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1"/>
              </w:tabs>
              <w:spacing w:after="0" w:line="240" w:lineRule="auto"/>
              <w:ind w:left="-25" w:right="0" w:firstLine="0"/>
              <w:jc w:val="center"/>
              <w:rPr>
                <w:sz w:val="20"/>
                <w:szCs w:val="20"/>
              </w:rPr>
            </w:pPr>
            <w:r w:rsidRPr="00141C39">
              <w:rPr>
                <w:sz w:val="20"/>
                <w:szCs w:val="20"/>
              </w:rPr>
              <w:t>3.647597</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355"/>
              </w:tabs>
              <w:spacing w:after="0" w:line="240" w:lineRule="auto"/>
              <w:ind w:left="-25" w:right="0" w:firstLine="0"/>
              <w:jc w:val="center"/>
              <w:rPr>
                <w:sz w:val="20"/>
                <w:szCs w:val="20"/>
              </w:rPr>
            </w:pPr>
            <w:r w:rsidRPr="00141C39">
              <w:rPr>
                <w:sz w:val="20"/>
                <w:szCs w:val="20"/>
              </w:rPr>
              <w:t>0.0022</w:t>
            </w:r>
          </w:p>
        </w:tc>
      </w:tr>
      <w:tr w:rsidR="00E04CD2" w:rsidRPr="00141C39" w:rsidTr="00D2268A">
        <w:trPr>
          <w:trHeight w:val="104"/>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23" w:right="0" w:firstLine="0"/>
              <w:jc w:val="center"/>
              <w:rPr>
                <w:sz w:val="20"/>
                <w:szCs w:val="20"/>
              </w:rPr>
            </w:pPr>
            <w:r w:rsidRPr="00141C39">
              <w:rPr>
                <w:sz w:val="20"/>
                <w:szCs w:val="20"/>
              </w:rPr>
              <w:t>LTRA</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4.685396</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0"/>
              </w:tabs>
              <w:spacing w:after="0" w:line="240" w:lineRule="auto"/>
              <w:ind w:left="-20" w:right="0" w:firstLine="0"/>
              <w:jc w:val="center"/>
              <w:rPr>
                <w:sz w:val="20"/>
                <w:szCs w:val="20"/>
              </w:rPr>
            </w:pPr>
            <w:r w:rsidRPr="00141C39">
              <w:rPr>
                <w:sz w:val="20"/>
                <w:szCs w:val="20"/>
              </w:rPr>
              <w:t>0.878300</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1"/>
              </w:tabs>
              <w:spacing w:after="0" w:line="240" w:lineRule="auto"/>
              <w:ind w:left="-25" w:right="0" w:firstLine="0"/>
              <w:jc w:val="center"/>
              <w:rPr>
                <w:sz w:val="20"/>
                <w:szCs w:val="20"/>
              </w:rPr>
            </w:pPr>
            <w:r w:rsidRPr="00141C39">
              <w:rPr>
                <w:sz w:val="20"/>
                <w:szCs w:val="20"/>
              </w:rPr>
              <w:t>5.334623</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355"/>
              </w:tabs>
              <w:spacing w:after="0" w:line="240" w:lineRule="auto"/>
              <w:ind w:left="-25" w:right="0" w:firstLine="0"/>
              <w:jc w:val="center"/>
              <w:rPr>
                <w:sz w:val="20"/>
                <w:szCs w:val="20"/>
              </w:rPr>
            </w:pPr>
            <w:r w:rsidRPr="00141C39">
              <w:rPr>
                <w:sz w:val="20"/>
                <w:szCs w:val="20"/>
              </w:rPr>
              <w:t>0.0001</w:t>
            </w:r>
          </w:p>
        </w:tc>
      </w:tr>
      <w:tr w:rsidR="00E04CD2" w:rsidRPr="00141C39" w:rsidTr="00D2268A">
        <w:trPr>
          <w:trHeight w:val="34"/>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18" w:right="0" w:firstLine="0"/>
              <w:jc w:val="center"/>
              <w:rPr>
                <w:sz w:val="20"/>
                <w:szCs w:val="20"/>
              </w:rPr>
            </w:pPr>
            <w:r w:rsidRPr="00141C39">
              <w:rPr>
                <w:sz w:val="20"/>
                <w:szCs w:val="20"/>
              </w:rPr>
              <w:t>C</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-314.9518</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0"/>
              </w:tabs>
              <w:spacing w:after="0" w:line="240" w:lineRule="auto"/>
              <w:ind w:left="-20" w:right="0" w:firstLine="0"/>
              <w:jc w:val="center"/>
              <w:rPr>
                <w:sz w:val="20"/>
                <w:szCs w:val="20"/>
              </w:rPr>
            </w:pPr>
            <w:r w:rsidRPr="00141C39">
              <w:rPr>
                <w:sz w:val="20"/>
                <w:szCs w:val="20"/>
              </w:rPr>
              <w:t>52.52293</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651"/>
              </w:tabs>
              <w:spacing w:after="0" w:line="240" w:lineRule="auto"/>
              <w:ind w:left="-25" w:right="0" w:firstLine="0"/>
              <w:jc w:val="center"/>
              <w:rPr>
                <w:sz w:val="20"/>
                <w:szCs w:val="20"/>
              </w:rPr>
            </w:pPr>
            <w:r w:rsidRPr="00141C39">
              <w:rPr>
                <w:sz w:val="20"/>
                <w:szCs w:val="20"/>
              </w:rPr>
              <w:t>-5.996463</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tabs>
                <w:tab w:val="right" w:pos="1355"/>
              </w:tabs>
              <w:spacing w:after="0" w:line="240" w:lineRule="auto"/>
              <w:ind w:left="-25" w:right="0" w:firstLine="0"/>
              <w:jc w:val="center"/>
              <w:rPr>
                <w:sz w:val="20"/>
                <w:szCs w:val="20"/>
              </w:rPr>
            </w:pPr>
            <w:r w:rsidRPr="00141C39">
              <w:rPr>
                <w:sz w:val="20"/>
                <w:szCs w:val="20"/>
              </w:rPr>
              <w:t>0.0000</w:t>
            </w:r>
          </w:p>
        </w:tc>
      </w:tr>
    </w:tbl>
    <w:p w:rsidR="00E04CD2" w:rsidRDefault="001F29B6" w:rsidP="00B06F30">
      <w:pPr>
        <w:spacing w:after="0" w:line="240" w:lineRule="auto"/>
        <w:ind w:left="16" w:right="0"/>
        <w:jc w:val="center"/>
        <w:rPr>
          <w:i/>
          <w:sz w:val="20"/>
          <w:szCs w:val="20"/>
        </w:rPr>
      </w:pPr>
      <w:r w:rsidRPr="00141C39">
        <w:rPr>
          <w:i/>
          <w:sz w:val="20"/>
          <w:szCs w:val="20"/>
        </w:rPr>
        <w:t>Source: Auth</w:t>
      </w:r>
      <w:r w:rsidR="00B06F30" w:rsidRPr="00141C39">
        <w:rPr>
          <w:i/>
          <w:sz w:val="20"/>
          <w:szCs w:val="20"/>
        </w:rPr>
        <w:t>or’s Computation with E-views 12</w:t>
      </w:r>
    </w:p>
    <w:p w:rsidR="00141C39" w:rsidRPr="00141C39" w:rsidRDefault="00141C39" w:rsidP="00B06F30">
      <w:pPr>
        <w:spacing w:after="0" w:line="240" w:lineRule="auto"/>
        <w:ind w:left="16" w:right="0"/>
        <w:jc w:val="center"/>
        <w:rPr>
          <w:sz w:val="20"/>
          <w:szCs w:val="20"/>
        </w:rPr>
      </w:pPr>
    </w:p>
    <w:p w:rsidR="00E04CD2" w:rsidRPr="00141C39" w:rsidRDefault="001F29B6" w:rsidP="00D2268A">
      <w:pPr>
        <w:pStyle w:val="Heading2"/>
        <w:spacing w:after="0" w:line="240" w:lineRule="auto"/>
        <w:ind w:left="-5" w:right="100" w:firstLine="725"/>
        <w:jc w:val="center"/>
        <w:rPr>
          <w:i w:val="0"/>
          <w:sz w:val="20"/>
          <w:szCs w:val="20"/>
        </w:rPr>
      </w:pPr>
      <w:r w:rsidRPr="00141C39">
        <w:rPr>
          <w:i w:val="0"/>
          <w:sz w:val="20"/>
          <w:szCs w:val="20"/>
        </w:rPr>
        <w:t xml:space="preserve">Table 4.6: Summary of Long Run Relationship between </w:t>
      </w:r>
      <w:r w:rsidR="00141C39" w:rsidRPr="00141C39">
        <w:rPr>
          <w:i w:val="0"/>
          <w:sz w:val="20"/>
          <w:szCs w:val="20"/>
        </w:rPr>
        <w:t xml:space="preserve">International Migration </w:t>
      </w:r>
      <w:r w:rsidRPr="00141C39">
        <w:rPr>
          <w:i w:val="0"/>
          <w:sz w:val="20"/>
          <w:szCs w:val="20"/>
        </w:rPr>
        <w:t xml:space="preserve">and </w:t>
      </w:r>
      <w:r w:rsidR="00141C39" w:rsidRPr="00141C39">
        <w:rPr>
          <w:i w:val="0"/>
          <w:sz w:val="20"/>
          <w:szCs w:val="20"/>
        </w:rPr>
        <w:t>Poverty</w:t>
      </w:r>
      <w:r w:rsidRPr="00141C39">
        <w:rPr>
          <w:i w:val="0"/>
          <w:sz w:val="20"/>
          <w:szCs w:val="20"/>
        </w:rPr>
        <w:t xml:space="preserve"> in Nigeria Result</w:t>
      </w:r>
    </w:p>
    <w:tbl>
      <w:tblPr>
        <w:tblStyle w:val="TableGrid"/>
        <w:tblW w:w="8640" w:type="dxa"/>
        <w:tblInd w:w="725" w:type="dxa"/>
        <w:tblCellMar>
          <w:top w:w="36" w:type="dxa"/>
          <w:left w:w="5" w:type="dxa"/>
          <w:right w:w="115" w:type="dxa"/>
        </w:tblCellMar>
        <w:tblLook w:val="04A0"/>
      </w:tblPr>
      <w:tblGrid>
        <w:gridCol w:w="1980"/>
        <w:gridCol w:w="1350"/>
        <w:gridCol w:w="1800"/>
        <w:gridCol w:w="1710"/>
        <w:gridCol w:w="1800"/>
      </w:tblGrid>
      <w:tr w:rsidR="00E04CD2" w:rsidRPr="00141C39" w:rsidTr="00D2268A">
        <w:trPr>
          <w:trHeight w:val="305"/>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b/>
                <w:sz w:val="20"/>
                <w:szCs w:val="20"/>
              </w:rPr>
              <w:t>Variable</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b/>
                <w:sz w:val="20"/>
                <w:szCs w:val="20"/>
              </w:rPr>
              <w:t>Coefficient</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b/>
                <w:sz w:val="20"/>
                <w:szCs w:val="20"/>
              </w:rPr>
              <w:t>Std. Error</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b/>
                <w:sz w:val="20"/>
                <w:szCs w:val="20"/>
              </w:rPr>
              <w:t>t-Statistic</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b/>
                <w:sz w:val="20"/>
                <w:szCs w:val="20"/>
              </w:rPr>
              <w:t>Prob.</w:t>
            </w:r>
          </w:p>
        </w:tc>
      </w:tr>
      <w:tr w:rsidR="00E04CD2" w:rsidRPr="00141C39" w:rsidTr="00D2268A">
        <w:trPr>
          <w:trHeight w:val="68"/>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MREM</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-0.000924</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0.000305</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-3.028222</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0.0056</w:t>
            </w:r>
          </w:p>
        </w:tc>
      </w:tr>
      <w:tr w:rsidR="00E04CD2" w:rsidRPr="00141C39" w:rsidTr="00D2268A">
        <w:trPr>
          <w:trHeight w:val="34"/>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GOI</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0.087772</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0.558245</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0.157228</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0.8763</w:t>
            </w:r>
          </w:p>
        </w:tc>
      </w:tr>
      <w:tr w:rsidR="00E04CD2" w:rsidRPr="00141C39" w:rsidTr="00D2268A">
        <w:trPr>
          <w:trHeight w:val="149"/>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LTRA</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-2.397722</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0.803014</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-2.985903</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0.0062</w:t>
            </w:r>
          </w:p>
        </w:tc>
      </w:tr>
      <w:tr w:rsidR="00E04CD2" w:rsidRPr="00141C39" w:rsidTr="00D2268A">
        <w:trPr>
          <w:trHeight w:val="149"/>
        </w:trPr>
        <w:tc>
          <w:tcPr>
            <w:tcW w:w="198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C</w:t>
            </w:r>
          </w:p>
        </w:tc>
        <w:tc>
          <w:tcPr>
            <w:tcW w:w="135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189.4020</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60.37251</w:t>
            </w:r>
          </w:p>
        </w:tc>
        <w:tc>
          <w:tcPr>
            <w:tcW w:w="171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3.137222</w:t>
            </w:r>
          </w:p>
        </w:tc>
        <w:tc>
          <w:tcPr>
            <w:tcW w:w="1800" w:type="dxa"/>
            <w:tcBorders>
              <w:top w:val="single" w:sz="4" w:space="0" w:color="000000"/>
              <w:left w:val="single" w:sz="4" w:space="0" w:color="000000"/>
              <w:bottom w:val="single" w:sz="4" w:space="0" w:color="000000"/>
              <w:right w:val="single" w:sz="4" w:space="0" w:color="000000"/>
            </w:tcBorders>
          </w:tcPr>
          <w:p w:rsidR="00E04CD2" w:rsidRPr="00141C39" w:rsidRDefault="001F29B6" w:rsidP="00141C39">
            <w:pPr>
              <w:spacing w:after="0" w:line="240" w:lineRule="auto"/>
              <w:ind w:left="0" w:right="0" w:firstLine="0"/>
              <w:jc w:val="center"/>
              <w:rPr>
                <w:sz w:val="20"/>
                <w:szCs w:val="20"/>
              </w:rPr>
            </w:pPr>
            <w:r w:rsidRPr="00141C39">
              <w:rPr>
                <w:sz w:val="20"/>
                <w:szCs w:val="20"/>
              </w:rPr>
              <w:t>0.0043</w:t>
            </w:r>
          </w:p>
        </w:tc>
      </w:tr>
    </w:tbl>
    <w:p w:rsidR="00E04CD2" w:rsidRDefault="001F29B6" w:rsidP="00B06F30">
      <w:pPr>
        <w:spacing w:after="0" w:line="240" w:lineRule="auto"/>
        <w:ind w:left="16" w:right="0"/>
        <w:jc w:val="center"/>
        <w:rPr>
          <w:i/>
          <w:sz w:val="20"/>
          <w:szCs w:val="20"/>
        </w:rPr>
      </w:pPr>
      <w:r w:rsidRPr="00141C39">
        <w:rPr>
          <w:i/>
          <w:sz w:val="20"/>
          <w:szCs w:val="20"/>
        </w:rPr>
        <w:t>Source: Auth</w:t>
      </w:r>
      <w:r w:rsidR="00B06F30" w:rsidRPr="00141C39">
        <w:rPr>
          <w:i/>
          <w:sz w:val="20"/>
          <w:szCs w:val="20"/>
        </w:rPr>
        <w:t>or’s Computation with E-views 12</w:t>
      </w:r>
    </w:p>
    <w:p w:rsidR="00141C39" w:rsidRPr="00141C39" w:rsidRDefault="00141C39" w:rsidP="00B06F30">
      <w:pPr>
        <w:spacing w:after="0" w:line="240" w:lineRule="auto"/>
        <w:ind w:left="16" w:right="0"/>
        <w:jc w:val="center"/>
        <w:rPr>
          <w:sz w:val="20"/>
          <w:szCs w:val="20"/>
        </w:rPr>
      </w:pPr>
    </w:p>
    <w:p w:rsidR="00E04CD2" w:rsidRPr="00141C39" w:rsidRDefault="001F29B6" w:rsidP="00141C39">
      <w:pPr>
        <w:spacing w:after="0" w:line="240" w:lineRule="auto"/>
        <w:ind w:left="-5" w:right="100" w:firstLine="725"/>
        <w:jc w:val="left"/>
      </w:pPr>
      <w:r w:rsidRPr="00141C39">
        <w:rPr>
          <w:b/>
        </w:rPr>
        <w:t xml:space="preserve">Interpretation of Long Run ARDL Result </w:t>
      </w:r>
    </w:p>
    <w:p w:rsidR="00E04CD2" w:rsidRDefault="00141C39" w:rsidP="00141C39">
      <w:pPr>
        <w:pStyle w:val="Heading1"/>
        <w:spacing w:after="0" w:line="240" w:lineRule="auto"/>
        <w:ind w:left="-5" w:right="0" w:firstLine="725"/>
      </w:pPr>
      <w:r>
        <w:rPr>
          <w:i w:val="0"/>
        </w:rPr>
        <w:t>Model 3.1</w:t>
      </w:r>
      <w:r w:rsidR="001F29B6">
        <w:rPr>
          <w:i w:val="0"/>
        </w:rPr>
        <w:t xml:space="preserve"> </w:t>
      </w:r>
    </w:p>
    <w:p w:rsidR="00E04CD2" w:rsidRDefault="001F29B6" w:rsidP="00A812A0">
      <w:pPr>
        <w:spacing w:after="0" w:line="240" w:lineRule="auto"/>
        <w:ind w:left="-1" w:right="510" w:firstLine="0"/>
        <w:jc w:val="right"/>
      </w:pPr>
      <w:r>
        <w:rPr>
          <w:noProof/>
          <w:lang w:bidi="ar-SA"/>
        </w:rPr>
        <w:drawing>
          <wp:inline distT="0" distB="0" distL="0" distR="0">
            <wp:extent cx="5197475" cy="266700"/>
            <wp:effectExtent l="19050" t="0" r="3175" b="0"/>
            <wp:docPr id="2735" name="Picture 2735"/>
            <wp:cNvGraphicFramePr/>
            <a:graphic xmlns:a="http://schemas.openxmlformats.org/drawingml/2006/main">
              <a:graphicData uri="http://schemas.openxmlformats.org/drawingml/2006/picture">
                <pic:pic xmlns:pic="http://schemas.openxmlformats.org/drawingml/2006/picture">
                  <pic:nvPicPr>
                    <pic:cNvPr id="2735" name="Picture 2735"/>
                    <pic:cNvPicPr/>
                  </pic:nvPicPr>
                  <pic:blipFill>
                    <a:blip r:embed="rId8"/>
                    <a:stretch>
                      <a:fillRect/>
                    </a:stretch>
                  </pic:blipFill>
                  <pic:spPr>
                    <a:xfrm>
                      <a:off x="0" y="0"/>
                      <a:ext cx="5197475" cy="266700"/>
                    </a:xfrm>
                    <a:prstGeom prst="rect">
                      <a:avLst/>
                    </a:prstGeom>
                  </pic:spPr>
                </pic:pic>
              </a:graphicData>
            </a:graphic>
          </wp:inline>
        </w:drawing>
      </w:r>
    </w:p>
    <w:p w:rsidR="00141C39" w:rsidRDefault="00141C39" w:rsidP="00D2268A">
      <w:pPr>
        <w:spacing w:after="0" w:line="240" w:lineRule="auto"/>
        <w:ind w:left="720" w:right="28" w:firstLine="725"/>
      </w:pPr>
      <w:r>
        <w:t>The long run coefficient in T</w:t>
      </w:r>
      <w:r w:rsidR="001F29B6">
        <w:t>able 4.5 shows that the joint impact of all exogenous variables (MREM, GOI, LTRA) on the endogenous variable will amount to -314.95 units; this is on the basis that they are all held at constant. In other word if all the exogenous variables are held at constant it will amount to -314.95-unit contribu</w:t>
      </w:r>
      <w:r>
        <w:t>tion to unemployment rate (UNR)</w:t>
      </w:r>
      <w:r w:rsidR="001F29B6">
        <w:t xml:space="preserve">. Migrant remittance (MREM) possessed a significant positive coefficient value of 0.0006; this implies that it shares a positive relationship with unemployment rate in Nigeria. Entailing that on the long run, as migrant remittance received by Nigeria increases by a million dollars, it causes a 0.0006-unit increase in unemployment rate (UNR) in Nigeria. Globalization index (GOI) has a positive significant coefficient of 1.39, </w:t>
      </w:r>
      <w:r>
        <w:t>implying</w:t>
      </w:r>
      <w:r w:rsidR="001F29B6">
        <w:t xml:space="preserve"> that as the global integration index of Nigeria increases by a unit, it will cause a 1.39 percent increase in Nigeria’s unemployment rate in Nigeria. Adult literacy rate (LTRA) had a positive significant coefficient of 4.69 suggesting that on the long run, as the percentage of literate adults aged 15 and above increases by 1 percent, it causes the unemployment rate in Nigeria to rise by 4.69 percent. </w:t>
      </w:r>
    </w:p>
    <w:p w:rsidR="00E04CD2" w:rsidRDefault="001F29B6" w:rsidP="00141C39">
      <w:pPr>
        <w:spacing w:after="0" w:line="240" w:lineRule="auto"/>
        <w:ind w:right="353" w:firstLine="710"/>
      </w:pPr>
      <w:r>
        <w:rPr>
          <w:b/>
        </w:rPr>
        <w:t xml:space="preserve">Model </w:t>
      </w:r>
      <w:r w:rsidR="00141C39">
        <w:rPr>
          <w:b/>
        </w:rPr>
        <w:t>3.2</w:t>
      </w:r>
    </w:p>
    <w:p w:rsidR="00E04CD2" w:rsidRDefault="001F29B6" w:rsidP="00141C39">
      <w:pPr>
        <w:spacing w:after="0" w:line="240" w:lineRule="auto"/>
        <w:ind w:left="-1" w:right="865" w:firstLine="721"/>
        <w:jc w:val="right"/>
      </w:pPr>
      <w:r>
        <w:rPr>
          <w:noProof/>
          <w:lang w:bidi="ar-SA"/>
        </w:rPr>
        <w:drawing>
          <wp:inline distT="0" distB="0" distL="0" distR="0">
            <wp:extent cx="5286375" cy="161925"/>
            <wp:effectExtent l="19050" t="0" r="0" b="0"/>
            <wp:docPr id="2790" name="Picture 2790"/>
            <wp:cNvGraphicFramePr/>
            <a:graphic xmlns:a="http://schemas.openxmlformats.org/drawingml/2006/main">
              <a:graphicData uri="http://schemas.openxmlformats.org/drawingml/2006/picture">
                <pic:pic xmlns:pic="http://schemas.openxmlformats.org/drawingml/2006/picture">
                  <pic:nvPicPr>
                    <pic:cNvPr id="2790" name="Picture 2790"/>
                    <pic:cNvPicPr/>
                  </pic:nvPicPr>
                  <pic:blipFill>
                    <a:blip r:embed="rId9"/>
                    <a:stretch>
                      <a:fillRect/>
                    </a:stretch>
                  </pic:blipFill>
                  <pic:spPr>
                    <a:xfrm>
                      <a:off x="0" y="0"/>
                      <a:ext cx="5286375" cy="161925"/>
                    </a:xfrm>
                    <a:prstGeom prst="rect">
                      <a:avLst/>
                    </a:prstGeom>
                  </pic:spPr>
                </pic:pic>
              </a:graphicData>
            </a:graphic>
          </wp:inline>
        </w:drawing>
      </w:r>
    </w:p>
    <w:p w:rsidR="00E04CD2" w:rsidRDefault="00141C39" w:rsidP="00D2268A">
      <w:pPr>
        <w:spacing w:after="0" w:line="240" w:lineRule="auto"/>
        <w:ind w:left="720" w:right="28" w:firstLine="725"/>
      </w:pPr>
      <w:r>
        <w:t>The long run coefficient from T</w:t>
      </w:r>
      <w:r w:rsidR="001F29B6">
        <w:t xml:space="preserve">able 4.7 above shows that the joint impact of all exogenous variables (MREM, GOI, LTRA) on the endogenous variable will amount to 189.402 units; this is on the basis that they are all held at constant. In other word if all the exogenous variables are held at constant it will amount to 189.402-unit contribution to Poverty in Nigeria (POVIDX). Migrant remittance (MREM) has a negative significant coefficient value of -0.001; this implies that migrant remittance has an inverse relationship with poverty in Nigeria. Entailing that on the long run, as migrant remittance received by Nigeria increases by 1 million dollars, it causes the Nigerian poverty rate to fall by 0.001 units. Globalization index (GOI) has an insignificant positive coefficient of 0.09. This implies that there is a positive relationship between globalization and poverty in Nigeria. Entailing that as Nigeria’s global integration rises by a unit, it will cause Nigeria’s poverty rate to increase by 0.09 percent. Adult literacy rate (LTRA) had a negative significant coefficient of -2.4. This implies that a negative relationship exists between adult literacy rate and poverty in Nigeria; thus, as the percentage of literate adults aged 15 and above increases by a percentage, it causes the Nigerian poverty rate to fall by 2.4%. </w:t>
      </w:r>
    </w:p>
    <w:p w:rsidR="00E04CD2" w:rsidRDefault="00E04CD2" w:rsidP="00A812A0">
      <w:pPr>
        <w:spacing w:after="0" w:line="240" w:lineRule="auto"/>
        <w:ind w:left="0" w:right="0" w:firstLine="0"/>
        <w:jc w:val="left"/>
      </w:pPr>
    </w:p>
    <w:p w:rsidR="00E04CD2" w:rsidRPr="00141C39" w:rsidRDefault="001F29B6" w:rsidP="00141C39">
      <w:pPr>
        <w:pStyle w:val="Heading2"/>
        <w:spacing w:after="0" w:line="240" w:lineRule="auto"/>
        <w:ind w:left="-5" w:right="100" w:firstLine="725"/>
        <w:rPr>
          <w:i w:val="0"/>
        </w:rPr>
      </w:pPr>
      <w:r w:rsidRPr="00141C39">
        <w:rPr>
          <w:i w:val="0"/>
        </w:rPr>
        <w:t xml:space="preserve">Test of Hypotheses </w:t>
      </w:r>
    </w:p>
    <w:p w:rsidR="00E04CD2" w:rsidRDefault="001F29B6" w:rsidP="00D2268A">
      <w:pPr>
        <w:spacing w:after="0" w:line="240" w:lineRule="auto"/>
        <w:ind w:left="720" w:right="28" w:firstLine="725"/>
      </w:pPr>
      <w:r>
        <w:t xml:space="preserve">The individual test was carried out to test for joint significance of the independent variables on the dependent variable at 5% level using t-probability and t-statistic shown in </w:t>
      </w:r>
      <w:r w:rsidR="00141C39">
        <w:t>T</w:t>
      </w:r>
      <w:r>
        <w:t xml:space="preserve">able 4.5 and 4.6. The rule applied was: If t-probability is greater than the prescribed level of 5% or 0.05, accept the null hypothesis, otherwise reject the null hypothesis when f-probability is less than 0.05. </w:t>
      </w:r>
    </w:p>
    <w:p w:rsidR="00E04CD2" w:rsidRPr="00CE3EC0" w:rsidRDefault="001F29B6" w:rsidP="00141C39">
      <w:pPr>
        <w:pStyle w:val="Heading2"/>
        <w:spacing w:after="0" w:line="240" w:lineRule="auto"/>
        <w:ind w:left="-5" w:right="0" w:firstLine="725"/>
        <w:rPr>
          <w:i w:val="0"/>
        </w:rPr>
      </w:pPr>
      <w:r w:rsidRPr="00CE3EC0">
        <w:rPr>
          <w:i w:val="0"/>
        </w:rPr>
        <w:t>Hypothesis 1</w:t>
      </w:r>
    </w:p>
    <w:p w:rsidR="00E04CD2" w:rsidRPr="00CE3EC0" w:rsidRDefault="001F29B6" w:rsidP="00141C39">
      <w:pPr>
        <w:spacing w:after="0" w:line="240" w:lineRule="auto"/>
        <w:ind w:left="16" w:right="0" w:firstLine="704"/>
      </w:pPr>
      <w:r w:rsidRPr="00CE3EC0">
        <w:t>Ho</w:t>
      </w:r>
      <w:r w:rsidRPr="00CE3EC0">
        <w:rPr>
          <w:vertAlign w:val="subscript"/>
        </w:rPr>
        <w:t>1</w:t>
      </w:r>
      <w:r w:rsidRPr="00CE3EC0">
        <w:t xml:space="preserve">: migrant remittance has no significant relationship with unemployment in Nigeria </w:t>
      </w:r>
    </w:p>
    <w:p w:rsidR="00E04CD2" w:rsidRPr="00CE3EC0" w:rsidRDefault="001F29B6" w:rsidP="00141C39">
      <w:pPr>
        <w:pStyle w:val="Heading3"/>
        <w:spacing w:after="0" w:line="240" w:lineRule="auto"/>
        <w:ind w:left="-5" w:right="100" w:firstLine="725"/>
        <w:rPr>
          <w:i w:val="0"/>
        </w:rPr>
      </w:pPr>
      <w:r w:rsidRPr="00CE3EC0">
        <w:rPr>
          <w:i w:val="0"/>
        </w:rPr>
        <w:t xml:space="preserve">Conclusion </w:t>
      </w:r>
    </w:p>
    <w:p w:rsidR="00E04CD2" w:rsidRDefault="00141C39" w:rsidP="00D2268A">
      <w:pPr>
        <w:spacing w:after="0" w:line="240" w:lineRule="auto"/>
        <w:ind w:left="720" w:right="28" w:firstLine="0"/>
      </w:pPr>
      <w:r>
        <w:t>From T</w:t>
      </w:r>
      <w:r w:rsidR="001F29B6">
        <w:t xml:space="preserve">able 4.5 above, the probability of t-stat of </w:t>
      </w:r>
      <w:r w:rsidR="001F29B6" w:rsidRPr="00CE3EC0">
        <w:t xml:space="preserve">MREM </w:t>
      </w:r>
      <w:r w:rsidR="001F29B6">
        <w:t>was 0.0487, and less than 0.05 critical values. Thus, we reject the null hypothesis and conclude that migrant remittance has a significant relationship with unemployment in Nigeria</w:t>
      </w:r>
    </w:p>
    <w:p w:rsidR="00E04CD2" w:rsidRPr="00CE3EC0" w:rsidRDefault="001F29B6" w:rsidP="00141C39">
      <w:pPr>
        <w:pStyle w:val="Heading2"/>
        <w:spacing w:after="0" w:line="240" w:lineRule="auto"/>
        <w:ind w:left="-5" w:right="0" w:firstLine="725"/>
        <w:rPr>
          <w:i w:val="0"/>
        </w:rPr>
      </w:pPr>
      <w:r w:rsidRPr="00CE3EC0">
        <w:rPr>
          <w:i w:val="0"/>
        </w:rPr>
        <w:t>Hypothesis 2</w:t>
      </w:r>
    </w:p>
    <w:p w:rsidR="00E04CD2" w:rsidRPr="00CE3EC0" w:rsidRDefault="001F29B6" w:rsidP="00141C39">
      <w:pPr>
        <w:spacing w:after="0" w:line="240" w:lineRule="auto"/>
        <w:ind w:left="16" w:right="0" w:firstLine="704"/>
      </w:pPr>
      <w:r w:rsidRPr="00CE3EC0">
        <w:t>H</w:t>
      </w:r>
      <w:r w:rsidRPr="00CE3EC0">
        <w:rPr>
          <w:vertAlign w:val="subscript"/>
        </w:rPr>
        <w:t>02</w:t>
      </w:r>
      <w:r w:rsidRPr="00CE3EC0">
        <w:t xml:space="preserve">: migrant remittance has no significant relationship with poverty in Nigeria </w:t>
      </w:r>
    </w:p>
    <w:p w:rsidR="00E04CD2" w:rsidRPr="00CE3EC0" w:rsidRDefault="001F29B6" w:rsidP="00141C39">
      <w:pPr>
        <w:pStyle w:val="Heading3"/>
        <w:spacing w:after="0" w:line="240" w:lineRule="auto"/>
        <w:ind w:left="-5" w:right="100" w:firstLine="725"/>
        <w:rPr>
          <w:i w:val="0"/>
        </w:rPr>
      </w:pPr>
      <w:r w:rsidRPr="00CE3EC0">
        <w:rPr>
          <w:i w:val="0"/>
        </w:rPr>
        <w:t xml:space="preserve">Conclusion </w:t>
      </w:r>
    </w:p>
    <w:p w:rsidR="00E04CD2" w:rsidRDefault="00141C39" w:rsidP="00D2268A">
      <w:pPr>
        <w:spacing w:after="0" w:line="240" w:lineRule="auto"/>
        <w:ind w:left="720" w:right="28" w:firstLine="0"/>
      </w:pPr>
      <w:r>
        <w:t>From T</w:t>
      </w:r>
      <w:r w:rsidR="001F29B6">
        <w:t xml:space="preserve">able 4.6 above, the probability of t-stat of </w:t>
      </w:r>
      <w:r w:rsidR="001F29B6" w:rsidRPr="00CE3EC0">
        <w:t xml:space="preserve">MREM </w:t>
      </w:r>
      <w:r w:rsidR="001F29B6">
        <w:t>was 0.0056, and less than 0.05 critical values. Thus, we reject the null hypothesis and conclude that migrant remittance has a significant relationship with poverty in Nigeria.</w:t>
      </w:r>
    </w:p>
    <w:p w:rsidR="00141C39" w:rsidRDefault="00141C39" w:rsidP="00A812A0">
      <w:pPr>
        <w:pStyle w:val="Heading1"/>
        <w:spacing w:after="0" w:line="240" w:lineRule="auto"/>
        <w:ind w:left="-5" w:right="100"/>
      </w:pPr>
    </w:p>
    <w:p w:rsidR="00E04CD2" w:rsidRPr="00141C39" w:rsidRDefault="00141C39" w:rsidP="00141C39">
      <w:pPr>
        <w:pStyle w:val="Heading1"/>
        <w:spacing w:after="0" w:line="240" w:lineRule="auto"/>
        <w:ind w:left="-5" w:right="100"/>
        <w:jc w:val="both"/>
        <w:rPr>
          <w:i w:val="0"/>
        </w:rPr>
      </w:pPr>
      <w:r>
        <w:rPr>
          <w:i w:val="0"/>
        </w:rPr>
        <w:t>5.0</w:t>
      </w:r>
      <w:r>
        <w:rPr>
          <w:i w:val="0"/>
        </w:rPr>
        <w:tab/>
      </w:r>
      <w:r w:rsidR="001F29B6" w:rsidRPr="00141C39">
        <w:rPr>
          <w:i w:val="0"/>
        </w:rPr>
        <w:t xml:space="preserve">SUMMARY OF FINDINGS, CONCLUSION AND RECOMMENDATIONS </w:t>
      </w:r>
    </w:p>
    <w:p w:rsidR="00E04CD2" w:rsidRPr="00CE3EC0" w:rsidRDefault="001F29B6" w:rsidP="00A812A0">
      <w:pPr>
        <w:pStyle w:val="Heading2"/>
        <w:tabs>
          <w:tab w:val="center" w:pos="1809"/>
        </w:tabs>
        <w:spacing w:after="0" w:line="240" w:lineRule="auto"/>
        <w:ind w:left="-15" w:right="0" w:firstLine="0"/>
        <w:rPr>
          <w:i w:val="0"/>
        </w:rPr>
      </w:pPr>
      <w:r>
        <w:tab/>
      </w:r>
      <w:r w:rsidRPr="00CE3EC0">
        <w:rPr>
          <w:i w:val="0"/>
        </w:rPr>
        <w:t xml:space="preserve">Summary of Findings </w:t>
      </w:r>
    </w:p>
    <w:p w:rsidR="00E04CD2" w:rsidRDefault="001F29B6" w:rsidP="00D2268A">
      <w:pPr>
        <w:spacing w:after="0" w:line="240" w:lineRule="auto"/>
        <w:ind w:left="720" w:right="28" w:firstLine="725"/>
      </w:pPr>
      <w:r>
        <w:t xml:space="preserve">This study examined the effect of international migration, on unemployment, and poverty in Nigeria for a 36 year period, viz; (1985-2020). The following summarizes the research work; International migration proxy by international migration remittances has a positive and significant relationship with unemployment in Nigeria; and a negative and significant relationship with poverty in Nigeria.  </w:t>
      </w:r>
    </w:p>
    <w:p w:rsidR="00E04CD2" w:rsidRPr="00CE3EC0" w:rsidRDefault="001F29B6" w:rsidP="00141C39">
      <w:pPr>
        <w:pStyle w:val="Heading2"/>
        <w:spacing w:after="0" w:line="240" w:lineRule="auto"/>
        <w:ind w:left="-5" w:right="100" w:firstLine="725"/>
        <w:rPr>
          <w:i w:val="0"/>
        </w:rPr>
      </w:pPr>
      <w:r w:rsidRPr="00CE3EC0">
        <w:rPr>
          <w:i w:val="0"/>
        </w:rPr>
        <w:t xml:space="preserve">Conclusion </w:t>
      </w:r>
    </w:p>
    <w:p w:rsidR="00E04CD2" w:rsidRDefault="001F29B6" w:rsidP="00D2268A">
      <w:pPr>
        <w:spacing w:after="0" w:line="240" w:lineRule="auto"/>
        <w:ind w:left="720" w:right="28" w:firstLine="725"/>
      </w:pPr>
      <w:r>
        <w:t>This study examined the effect of international migration, on unemployment, and poverty in Nigeria for a 36 year period, viz; (1985-2020).</w:t>
      </w:r>
      <w:r w:rsidR="00141C39">
        <w:t xml:space="preserve"> </w:t>
      </w:r>
      <w:r>
        <w:t>In conclusion, International migration has a significant relationship with unemployment and poverty in Nigeria.</w:t>
      </w:r>
    </w:p>
    <w:p w:rsidR="00E04CD2" w:rsidRPr="00CE3EC0" w:rsidRDefault="001F29B6" w:rsidP="00A812A0">
      <w:pPr>
        <w:pStyle w:val="Heading2"/>
        <w:tabs>
          <w:tab w:val="center" w:pos="1634"/>
        </w:tabs>
        <w:spacing w:after="0" w:line="240" w:lineRule="auto"/>
        <w:ind w:left="-15" w:right="0" w:firstLine="0"/>
        <w:rPr>
          <w:i w:val="0"/>
        </w:rPr>
      </w:pPr>
      <w:r>
        <w:tab/>
      </w:r>
      <w:r w:rsidRPr="00CE3EC0">
        <w:rPr>
          <w:i w:val="0"/>
        </w:rPr>
        <w:t xml:space="preserve">Recommendations </w:t>
      </w:r>
    </w:p>
    <w:p w:rsidR="00E04CD2" w:rsidRDefault="001F29B6" w:rsidP="00D2268A">
      <w:pPr>
        <w:spacing w:after="0" w:line="240" w:lineRule="auto"/>
        <w:ind w:left="720" w:right="28" w:firstLine="725"/>
      </w:pPr>
      <w:r>
        <w:t>Since International migration has a positive and significant relationship with unemployment, Enlightenment campaigns directed at recipients of remittances regarding the benefit of investing remittance money in small and medium scale enterprises be encouraged rather than using the money as a substitute for labor income; and Since International migration has a negative and significant relationship with poverty, As a result of all this, the study suggests that the Nigerian governments and their agencies should manage the economy properly and put up policies that can help to eliminate poverty which has been identified as the major force that pushes its citizens into migration. In other words, the formulation of National Migration Policy in 2015 is not enough. There is need to develop an accompanying policy on poverty reduction to propel the migration policy to success.</w:t>
      </w:r>
    </w:p>
    <w:p w:rsidR="00E04CD2" w:rsidRDefault="00E04CD2" w:rsidP="00A812A0">
      <w:pPr>
        <w:spacing w:after="0" w:line="240" w:lineRule="auto"/>
        <w:ind w:left="0" w:right="0" w:firstLine="0"/>
        <w:jc w:val="left"/>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pPr>
    </w:p>
    <w:p w:rsidR="00141C39" w:rsidRDefault="00141C39"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Default="00D2268A" w:rsidP="00D2268A">
      <w:pPr>
        <w:ind w:left="0" w:firstLine="0"/>
        <w:rPr>
          <w:b/>
          <w:i/>
          <w:lang w:eastAsia="en-GB" w:bidi="ar-SA"/>
        </w:rPr>
      </w:pPr>
    </w:p>
    <w:p w:rsidR="00D2268A" w:rsidRPr="00141C39" w:rsidRDefault="00D2268A" w:rsidP="00D2268A">
      <w:pPr>
        <w:ind w:left="0" w:firstLine="0"/>
        <w:rPr>
          <w:lang w:eastAsia="en-GB" w:bidi="ar-SA"/>
        </w:rPr>
      </w:pPr>
    </w:p>
    <w:p w:rsidR="00141C39" w:rsidRDefault="00141C39" w:rsidP="00A812A0">
      <w:pPr>
        <w:pStyle w:val="Heading2"/>
        <w:spacing w:after="0" w:line="240" w:lineRule="auto"/>
        <w:ind w:left="-5" w:right="100"/>
      </w:pPr>
    </w:p>
    <w:p w:rsidR="00141C39" w:rsidRDefault="00141C39" w:rsidP="00A812A0">
      <w:pPr>
        <w:pStyle w:val="Heading2"/>
        <w:spacing w:after="0" w:line="240" w:lineRule="auto"/>
        <w:ind w:left="-5" w:right="100"/>
        <w:rPr>
          <w:b w:val="0"/>
          <w:i w:val="0"/>
        </w:rPr>
      </w:pPr>
    </w:p>
    <w:p w:rsidR="00141C39" w:rsidRPr="00141C39" w:rsidRDefault="00141C39" w:rsidP="00141C39">
      <w:pPr>
        <w:rPr>
          <w:lang w:eastAsia="en-GB" w:bidi="ar-SA"/>
        </w:rPr>
      </w:pPr>
    </w:p>
    <w:p w:rsidR="00E04CD2" w:rsidRPr="00D2268A" w:rsidRDefault="00302F51" w:rsidP="00D2268A">
      <w:pPr>
        <w:pStyle w:val="Heading2"/>
        <w:spacing w:after="0" w:line="240" w:lineRule="auto"/>
        <w:ind w:left="-5" w:right="100"/>
        <w:jc w:val="center"/>
        <w:rPr>
          <w:i w:val="0"/>
        </w:rPr>
      </w:pPr>
      <w:r w:rsidRPr="00D2268A">
        <w:rPr>
          <w:i w:val="0"/>
        </w:rPr>
        <w:t>REFERENCES</w:t>
      </w:r>
    </w:p>
    <w:p w:rsidR="00E04CD2" w:rsidRDefault="001F29B6" w:rsidP="00A812A0">
      <w:pPr>
        <w:spacing w:after="0" w:line="240" w:lineRule="auto"/>
        <w:ind w:left="706" w:right="353" w:hanging="721"/>
      </w:pPr>
      <w:r>
        <w:t xml:space="preserve">Adepoju, A. (2006). Internal and international migration within Africa. In Migration in South and Southern Africa: Dynamics and Determinants. Edited by Pieter Kok, Derik Gelderblom, John Oucho and Johan van Zyl. Cape Town: Human Sciences Research Council.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Basso G., Francesco D, and Giovanni P. (2018). Immigrants, Labor Market Dynamics, and Adjustment to Shocks in the Euro Area (No. w25091). Cambridge: National Bureau of Economic Research. </w:t>
      </w:r>
    </w:p>
    <w:p w:rsidR="00E04CD2" w:rsidRDefault="00E04CD2" w:rsidP="00A812A0">
      <w:pPr>
        <w:spacing w:after="0" w:line="240" w:lineRule="auto"/>
        <w:ind w:left="0" w:right="0" w:firstLine="0"/>
        <w:jc w:val="left"/>
      </w:pPr>
    </w:p>
    <w:p w:rsidR="00E04CD2" w:rsidRDefault="001F29B6" w:rsidP="00CE3EC0">
      <w:pPr>
        <w:spacing w:after="0" w:line="240" w:lineRule="auto"/>
        <w:ind w:left="706" w:right="353" w:hanging="721"/>
      </w:pPr>
      <w:r>
        <w:t xml:space="preserve">Darkwah, S., &amp; Venter, N., (2014), Determinants of International Migration: The Nigerian Experience. </w:t>
      </w:r>
      <w:r w:rsidRPr="00CE3EC0">
        <w:rPr>
          <w:i/>
        </w:rPr>
        <w:t>Acta Universitatis Agriculturae et Silviculturae Mendelianae Brunensis</w:t>
      </w:r>
      <w:r w:rsidR="00CE3EC0">
        <w:rPr>
          <w:i/>
        </w:rPr>
        <w:t>,</w:t>
      </w:r>
      <w:r>
        <w:t xml:space="preserve"> 62</w:t>
      </w:r>
      <w:r w:rsidR="00CE3EC0">
        <w:t>,</w:t>
      </w:r>
      <w:r>
        <w:t xml:space="preserve"> 321–27.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Esquivel, G. and Huerta-Pinida, A (2006), </w:t>
      </w:r>
      <w:r>
        <w:rPr>
          <w:i/>
        </w:rPr>
        <w:t>Inter-American Development Bank</w:t>
      </w:r>
      <w:r>
        <w:t>,Remittances and Poverty in Mexico: A Propensity Score Matching Approach</w:t>
      </w:r>
      <w:r>
        <w:rPr>
          <w:i/>
        </w:rPr>
        <w:t xml:space="preserve">, </w:t>
      </w:r>
      <w:r>
        <w:t xml:space="preserve">(IADB), September. </w:t>
      </w:r>
    </w:p>
    <w:p w:rsidR="00E04CD2" w:rsidRDefault="00E04CD2" w:rsidP="00A812A0">
      <w:pPr>
        <w:spacing w:after="0" w:line="240" w:lineRule="auto"/>
        <w:ind w:left="0" w:right="0" w:firstLine="0"/>
        <w:jc w:val="left"/>
      </w:pPr>
    </w:p>
    <w:p w:rsidR="00E04CD2" w:rsidRDefault="001F29B6" w:rsidP="00A812A0">
      <w:pPr>
        <w:spacing w:after="0" w:line="240" w:lineRule="auto"/>
        <w:ind w:left="-5" w:right="353"/>
      </w:pPr>
      <w:r>
        <w:t xml:space="preserve">Ghebru, H., Mulubrhan A., George M., and Ogunniyi A. (2018) Role of Land Access in Youth </w:t>
      </w:r>
    </w:p>
    <w:p w:rsidR="00E04CD2" w:rsidRDefault="001F29B6" w:rsidP="00A812A0">
      <w:pPr>
        <w:spacing w:after="0" w:line="240" w:lineRule="auto"/>
        <w:ind w:left="731" w:right="353"/>
      </w:pPr>
      <w:r>
        <w:t xml:space="preserve">Migration and Youth Employment Decisions: Empirical Evidence from Rural Nigeria (No. 58). Washington, DC: International Food Policy Research Institute (IFPRI). </w:t>
      </w:r>
    </w:p>
    <w:p w:rsidR="00CE3EC0" w:rsidRDefault="00CE3EC0" w:rsidP="00A812A0">
      <w:pPr>
        <w:spacing w:after="0" w:line="240" w:lineRule="auto"/>
        <w:ind w:left="886" w:right="353" w:hanging="901"/>
      </w:pPr>
    </w:p>
    <w:p w:rsidR="00E04CD2" w:rsidRDefault="001F29B6" w:rsidP="00A812A0">
      <w:pPr>
        <w:spacing w:after="0" w:line="240" w:lineRule="auto"/>
        <w:ind w:left="886" w:right="353" w:hanging="901"/>
      </w:pPr>
      <w:r>
        <w:t xml:space="preserve">Ifedi, F. &amp; Ezechi, K. (2018). Refugee, Migrant and Human Rights Crisis in Africa: The Libyan Experience. Unpublished.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ILO. (2019) Global and Continental Policy Frameworks Guiding Labour Migration and Labour Mobility in Africa. Abidjan: ILO Regional Office for Africa, Available online: </w:t>
      </w:r>
    </w:p>
    <w:p w:rsidR="00E04CD2" w:rsidRDefault="001F29B6" w:rsidP="00A812A0">
      <w:pPr>
        <w:spacing w:after="0" w:line="240" w:lineRule="auto"/>
        <w:ind w:left="731" w:right="353"/>
      </w:pPr>
      <w:r>
        <w:t xml:space="preserve">www.ilo.org/africa (accessed on 22 April 2019).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International Labour Organisation (ILO), Organisation for Economic Co-Operation and Development (OECD), and World Bank Group (WBG). (2009). The contribution of labour Mobility to Economic growth. Paper presented at G20 Labour and Employment Minister’s Meeting, Ankara, Turkey, September 3–4.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Kahanec, M., Zaiceva, A., &amp; Zimmermann, K. (2010). Economic Impacts of Poland and the Baltic States.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Lain, J. W., Vishwanath, T., Alik-Lagrange, A., Amankwah, A., Contreras-Gonzalez, I., Jenq, C., &amp; Sagesaka, A. (2021). </w:t>
      </w:r>
      <w:r>
        <w:rPr>
          <w:i/>
        </w:rPr>
        <w:t>COVID-19 in Nigeria: Frontline Data and Pathways for Policy</w:t>
      </w:r>
      <w:r>
        <w:t xml:space="preserve">. World Bank. </w:t>
      </w:r>
    </w:p>
    <w:p w:rsidR="00E04CD2" w:rsidRDefault="00E04CD2" w:rsidP="00A812A0">
      <w:pPr>
        <w:spacing w:after="0" w:line="240" w:lineRule="auto"/>
        <w:ind w:left="0" w:right="0" w:firstLine="0"/>
        <w:jc w:val="left"/>
      </w:pPr>
    </w:p>
    <w:p w:rsidR="00E04CD2" w:rsidRDefault="001F29B6" w:rsidP="00A812A0">
      <w:pPr>
        <w:spacing w:after="0" w:line="240" w:lineRule="auto"/>
        <w:ind w:left="-5" w:right="353"/>
      </w:pPr>
      <w:r>
        <w:t xml:space="preserve">National Bureau of Statistics (NBS), (2010). Annual Abstract of Statistics. Abuja: NBS Press.  </w:t>
      </w:r>
    </w:p>
    <w:p w:rsidR="00E04CD2" w:rsidRDefault="00E04CD2" w:rsidP="00A812A0">
      <w:pPr>
        <w:spacing w:after="0" w:line="240" w:lineRule="auto"/>
        <w:ind w:left="0" w:right="0" w:firstLine="0"/>
        <w:jc w:val="left"/>
      </w:pPr>
    </w:p>
    <w:p w:rsidR="00E04CD2" w:rsidRDefault="001F29B6" w:rsidP="00A812A0">
      <w:pPr>
        <w:spacing w:after="0" w:line="240" w:lineRule="auto"/>
        <w:ind w:left="-5" w:right="353"/>
      </w:pPr>
      <w:r>
        <w:t xml:space="preserve">National Bureau of Statistics (NBS), (2019). Annual Abstract of Statistics. Abuja: NBS Press.  </w:t>
      </w:r>
    </w:p>
    <w:p w:rsidR="00E04CD2" w:rsidRDefault="00E04CD2" w:rsidP="00A812A0">
      <w:pPr>
        <w:spacing w:after="0" w:line="240" w:lineRule="auto"/>
        <w:ind w:left="0" w:right="0" w:firstLine="0"/>
        <w:jc w:val="left"/>
      </w:pPr>
    </w:p>
    <w:p w:rsidR="00E04CD2" w:rsidRDefault="001F29B6" w:rsidP="00A812A0">
      <w:pPr>
        <w:spacing w:after="0" w:line="240" w:lineRule="auto"/>
        <w:ind w:left="-5" w:right="353"/>
      </w:pPr>
      <w:r>
        <w:t xml:space="preserve">National Bureau of Statistics (NBS), (2020). Annual Abstract of Statistics. Abuja: NBS Press.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Nwaru N., Chukwudi J., Onwuchekwa R., and Onyenweaku C. (2011) Impact of Migrant Remittances on the Welfare of Arable Crop Farm Households in Southeastern Nigeria. </w:t>
      </w:r>
      <w:r w:rsidRPr="00CE3EC0">
        <w:rPr>
          <w:i/>
        </w:rPr>
        <w:t>Human Ecology Review</w:t>
      </w:r>
      <w:r w:rsidR="00CE3EC0" w:rsidRPr="00CE3EC0">
        <w:rPr>
          <w:i/>
        </w:rPr>
        <w:t>,</w:t>
      </w:r>
      <w:r w:rsidR="00CE3EC0">
        <w:t xml:space="preserve"> 18,</w:t>
      </w:r>
      <w:r>
        <w:t xml:space="preserve"> 159–66. </w:t>
      </w:r>
    </w:p>
    <w:p w:rsidR="00E04CD2" w:rsidRDefault="00E04CD2" w:rsidP="00A812A0">
      <w:pPr>
        <w:spacing w:after="0" w:line="240" w:lineRule="auto"/>
        <w:ind w:left="0" w:right="0" w:firstLine="0"/>
        <w:jc w:val="left"/>
      </w:pPr>
    </w:p>
    <w:p w:rsidR="00E04CD2" w:rsidRDefault="001F29B6" w:rsidP="00CE3EC0">
      <w:pPr>
        <w:spacing w:after="0" w:line="240" w:lineRule="auto"/>
        <w:ind w:left="706" w:right="353" w:hanging="721"/>
      </w:pPr>
      <w:r>
        <w:t xml:space="preserve">Nwosu, I.A,  Eteng, M.J,  Ekpechu, .J, Nnam, .M.U, Ukah, J.A, Eyisi, .E &amp;  Orakwe, E.C, (2022), Poverty and Youth Migration Out of Nigeria: Enthronement of Modern Slavery, </w:t>
      </w:r>
      <w:r w:rsidRPr="00CE3EC0">
        <w:rPr>
          <w:i/>
        </w:rPr>
        <w:t>SAG</w:t>
      </w:r>
      <w:r w:rsidR="00CE3EC0" w:rsidRPr="00CE3EC0">
        <w:rPr>
          <w:i/>
        </w:rPr>
        <w:t>E Open, 1</w:t>
      </w:r>
      <w:r w:rsidR="00CE3EC0">
        <w:t>(3), 1–13.</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Ogunniyi A., Olagunju K., Ogundipe A., Salman K., and Francis P. (2017). Scaling up agricultural innovation for inclusive livelihood and productivity outcomes in subSaharan Africa: The case of Nigeria. </w:t>
      </w:r>
      <w:r w:rsidRPr="00CE3EC0">
        <w:rPr>
          <w:i/>
        </w:rPr>
        <w:t>African Development Review</w:t>
      </w:r>
      <w:r w:rsidR="00CE3EC0" w:rsidRPr="00CE3EC0">
        <w:rPr>
          <w:i/>
        </w:rPr>
        <w:t xml:space="preserve">, </w:t>
      </w:r>
      <w:r w:rsidR="00CE3EC0">
        <w:t>29,</w:t>
      </w:r>
      <w:r>
        <w:t xml:space="preserve"> 121–34.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Okafor, E. E. (2011). Youth unemployment and implications for stability of democracy in Nigeria. </w:t>
      </w:r>
      <w:r>
        <w:rPr>
          <w:i/>
        </w:rPr>
        <w:t xml:space="preserve">Journal of </w:t>
      </w:r>
      <w:r w:rsidR="00CE3EC0">
        <w:rPr>
          <w:i/>
        </w:rPr>
        <w:t>Sustainable</w:t>
      </w:r>
      <w:r>
        <w:rPr>
          <w:i/>
        </w:rPr>
        <w:t xml:space="preserve"> Development in Africa</w:t>
      </w:r>
      <w:r>
        <w:t xml:space="preserve">, </w:t>
      </w:r>
      <w:r>
        <w:rPr>
          <w:i/>
        </w:rPr>
        <w:t>13</w:t>
      </w:r>
      <w:r>
        <w:t xml:space="preserve">(1), 358-373. </w:t>
      </w:r>
    </w:p>
    <w:p w:rsidR="00E04CD2" w:rsidRDefault="00E04CD2" w:rsidP="00A812A0">
      <w:pPr>
        <w:spacing w:after="0" w:line="240" w:lineRule="auto"/>
        <w:ind w:left="0" w:right="0" w:firstLine="0"/>
        <w:jc w:val="left"/>
      </w:pPr>
    </w:p>
    <w:p w:rsidR="00E04CD2" w:rsidRDefault="00CE3EC0" w:rsidP="00A812A0">
      <w:pPr>
        <w:spacing w:after="0" w:line="240" w:lineRule="auto"/>
        <w:ind w:left="706" w:right="906" w:hanging="721"/>
      </w:pPr>
      <w:r>
        <w:t>Okeke, I.C, (2021).</w:t>
      </w:r>
      <w:r w:rsidR="001F29B6">
        <w:t xml:space="preserve"> Impact of International Remit</w:t>
      </w:r>
      <w:r>
        <w:t xml:space="preserve">tances on Unemployment in </w:t>
      </w:r>
      <w:r w:rsidR="001F29B6">
        <w:t xml:space="preserve">Nigeria, </w:t>
      </w:r>
      <w:r w:rsidR="001F29B6" w:rsidRPr="00CE3EC0">
        <w:rPr>
          <w:i/>
        </w:rPr>
        <w:t>Journal of Econom</w:t>
      </w:r>
      <w:r w:rsidRPr="00CE3EC0">
        <w:rPr>
          <w:i/>
        </w:rPr>
        <w:t>ics and Sustainable Development, 12</w:t>
      </w:r>
      <w:r>
        <w:t>(1), 50-62.</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Pryymachenko, Y. (2011). Emigration and Labour Market Outcomes in the CEE EU Member States: A Closer Look.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1282" w:hanging="721"/>
      </w:pPr>
      <w:r>
        <w:t>Rapport, H., and Docquier, F. (2005) The Economics of migrants ‘remittances</w:t>
      </w:r>
      <w:r>
        <w:rPr>
          <w:i/>
        </w:rPr>
        <w:t xml:space="preserve">,  </w:t>
      </w:r>
      <w:r>
        <w:t xml:space="preserve">IZA Discussion Paper, 1531, March. </w:t>
      </w:r>
    </w:p>
    <w:p w:rsidR="00CE3EC0" w:rsidRDefault="00CE3EC0" w:rsidP="00A812A0">
      <w:pPr>
        <w:spacing w:after="0" w:line="240" w:lineRule="auto"/>
        <w:ind w:left="706" w:right="1282" w:hanging="721"/>
      </w:pPr>
    </w:p>
    <w:p w:rsidR="00E04CD2" w:rsidRDefault="001F29B6" w:rsidP="00A812A0">
      <w:pPr>
        <w:spacing w:after="0" w:line="240" w:lineRule="auto"/>
        <w:ind w:left="706" w:right="353" w:hanging="721"/>
      </w:pPr>
      <w:r>
        <w:t xml:space="preserve">Rufai, M., Ogunniyi, A., Salman, K. K., Oyeyemi, M., &amp; Salawu, M. (2019). Migration, labor mobility and household poverty in Nigeria: a gender analysis. </w:t>
      </w:r>
      <w:r>
        <w:rPr>
          <w:i/>
        </w:rPr>
        <w:t>Economies</w:t>
      </w:r>
      <w:r>
        <w:t xml:space="preserve">, </w:t>
      </w:r>
      <w:r>
        <w:rPr>
          <w:i/>
        </w:rPr>
        <w:t>7</w:t>
      </w:r>
      <w:r>
        <w:t xml:space="preserve">(4), 101. </w:t>
      </w:r>
    </w:p>
    <w:p w:rsidR="00E04CD2" w:rsidRDefault="00E04CD2" w:rsidP="00A812A0">
      <w:pPr>
        <w:spacing w:after="0" w:line="240" w:lineRule="auto"/>
        <w:ind w:left="0" w:right="0" w:firstLine="0"/>
        <w:jc w:val="left"/>
      </w:pPr>
    </w:p>
    <w:p w:rsidR="00E04CD2" w:rsidRDefault="001F29B6" w:rsidP="00A812A0">
      <w:pPr>
        <w:spacing w:after="0" w:line="240" w:lineRule="auto"/>
        <w:ind w:left="706" w:right="353" w:hanging="721"/>
      </w:pPr>
      <w:r>
        <w:t xml:space="preserve">Young, A. (2013) Inequality, the rural–urban gap and migration. </w:t>
      </w:r>
      <w:r w:rsidRPr="00CE3EC0">
        <w:rPr>
          <w:i/>
        </w:rPr>
        <w:t>Quarterly Journal of Economics</w:t>
      </w:r>
      <w:r w:rsidR="00CE3EC0">
        <w:t>, 128,</w:t>
      </w:r>
      <w:r>
        <w:t xml:space="preserve"> 1727–85. </w:t>
      </w:r>
    </w:p>
    <w:p w:rsidR="00E04CD2" w:rsidRDefault="00E04CD2" w:rsidP="00A812A0">
      <w:pPr>
        <w:spacing w:after="0" w:line="240" w:lineRule="auto"/>
        <w:ind w:left="0" w:right="0" w:firstLine="0"/>
        <w:jc w:val="left"/>
      </w:pPr>
    </w:p>
    <w:p w:rsidR="00E04CD2" w:rsidRDefault="00E04CD2" w:rsidP="00A812A0">
      <w:pPr>
        <w:spacing w:after="0" w:line="240" w:lineRule="auto"/>
        <w:ind w:left="0" w:right="0" w:firstLine="0"/>
        <w:jc w:val="left"/>
      </w:pPr>
    </w:p>
    <w:p w:rsidR="00E04CD2" w:rsidRDefault="00E04CD2" w:rsidP="00A812A0">
      <w:pPr>
        <w:spacing w:after="0" w:line="240" w:lineRule="auto"/>
        <w:ind w:left="0" w:right="0" w:firstLine="0"/>
        <w:jc w:val="left"/>
      </w:pPr>
    </w:p>
    <w:sectPr w:rsidR="00E04CD2" w:rsidSect="00471C7C">
      <w:footerReference w:type="even" r:id="rId10"/>
      <w:footerReference w:type="default" r:id="rId11"/>
      <w:footerReference w:type="first" r:id="rId12"/>
      <w:pgSz w:w="11910" w:h="16835"/>
      <w:pgMar w:top="1452" w:right="1081" w:bottom="1509" w:left="1441" w:header="720" w:footer="7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D9C" w:rsidRDefault="00C35D9C">
      <w:pPr>
        <w:spacing w:after="0" w:line="240" w:lineRule="auto"/>
      </w:pPr>
      <w:r>
        <w:separator/>
      </w:r>
    </w:p>
  </w:endnote>
  <w:endnote w:type="continuationSeparator" w:id="1">
    <w:p w:rsidR="00C35D9C" w:rsidRDefault="00C35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D2" w:rsidRDefault="001F29B6">
    <w:pPr>
      <w:tabs>
        <w:tab w:val="center" w:pos="4517"/>
      </w:tabs>
      <w:spacing w:after="0" w:line="259" w:lineRule="auto"/>
      <w:ind w:left="0" w:right="0" w:firstLine="0"/>
      <w:jc w:val="left"/>
    </w:pPr>
    <w:r>
      <w:tab/>
    </w:r>
    <w:r w:rsidR="00471C7C">
      <w:fldChar w:fldCharType="begin"/>
    </w:r>
    <w:r>
      <w:instrText xml:space="preserve"> PAGE   \* MERGEFORMAT </w:instrText>
    </w:r>
    <w:r w:rsidR="00471C7C">
      <w:fldChar w:fldCharType="separate"/>
    </w:r>
    <w:r>
      <w:t>1</w:t>
    </w:r>
    <w:r w:rsidR="00471C7C">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D2" w:rsidRDefault="001F29B6">
    <w:pPr>
      <w:tabs>
        <w:tab w:val="center" w:pos="4517"/>
      </w:tabs>
      <w:spacing w:after="0" w:line="259" w:lineRule="auto"/>
      <w:ind w:left="0" w:right="0" w:firstLine="0"/>
      <w:jc w:val="left"/>
    </w:pPr>
    <w:r>
      <w:tab/>
    </w:r>
    <w:r w:rsidR="00471C7C">
      <w:fldChar w:fldCharType="begin"/>
    </w:r>
    <w:r>
      <w:instrText xml:space="preserve"> PAGE   \* MERGEFORMAT </w:instrText>
    </w:r>
    <w:r w:rsidR="00471C7C">
      <w:fldChar w:fldCharType="separate"/>
    </w:r>
    <w:r w:rsidR="00C35D9C">
      <w:rPr>
        <w:noProof/>
      </w:rPr>
      <w:t>1</w:t>
    </w:r>
    <w:r w:rsidR="00471C7C">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D2" w:rsidRDefault="001F29B6">
    <w:pPr>
      <w:tabs>
        <w:tab w:val="center" w:pos="4517"/>
      </w:tabs>
      <w:spacing w:after="0" w:line="259" w:lineRule="auto"/>
      <w:ind w:left="0" w:right="0" w:firstLine="0"/>
      <w:jc w:val="left"/>
    </w:pPr>
    <w:r>
      <w:tab/>
    </w:r>
    <w:r w:rsidR="00471C7C">
      <w:fldChar w:fldCharType="begin"/>
    </w:r>
    <w:r>
      <w:instrText xml:space="preserve"> PAGE   \* MERGEFORMAT </w:instrText>
    </w:r>
    <w:r w:rsidR="00471C7C">
      <w:fldChar w:fldCharType="separate"/>
    </w:r>
    <w:r>
      <w:t>1</w:t>
    </w:r>
    <w:r w:rsidR="00471C7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D9C" w:rsidRDefault="00C35D9C">
      <w:pPr>
        <w:spacing w:after="0" w:line="240" w:lineRule="auto"/>
      </w:pPr>
      <w:r>
        <w:separator/>
      </w:r>
    </w:p>
  </w:footnote>
  <w:footnote w:type="continuationSeparator" w:id="1">
    <w:p w:rsidR="00C35D9C" w:rsidRDefault="00C35D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50A73"/>
    <w:multiLevelType w:val="hybridMultilevel"/>
    <w:tmpl w:val="FFFFFFFF"/>
    <w:lvl w:ilvl="0" w:tplc="3788E4DA">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EB95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E1D6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0B1E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083D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892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0A67F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EA55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8F04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E04CD2"/>
    <w:rsid w:val="00126DBD"/>
    <w:rsid w:val="00141C39"/>
    <w:rsid w:val="001B2CC0"/>
    <w:rsid w:val="001F29B6"/>
    <w:rsid w:val="00302F51"/>
    <w:rsid w:val="003C7E14"/>
    <w:rsid w:val="0040742D"/>
    <w:rsid w:val="00471C7C"/>
    <w:rsid w:val="005649E8"/>
    <w:rsid w:val="006C302A"/>
    <w:rsid w:val="0073494C"/>
    <w:rsid w:val="00A812A0"/>
    <w:rsid w:val="00B06F30"/>
    <w:rsid w:val="00B50897"/>
    <w:rsid w:val="00C35D9C"/>
    <w:rsid w:val="00CE3EC0"/>
    <w:rsid w:val="00D2268A"/>
    <w:rsid w:val="00E04C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7C"/>
    <w:pPr>
      <w:spacing w:after="4" w:line="248" w:lineRule="auto"/>
      <w:ind w:left="10" w:right="361" w:hanging="10"/>
      <w:jc w:val="both"/>
    </w:pPr>
    <w:rPr>
      <w:rFonts w:ascii="Times New Roman" w:eastAsia="Times New Roman" w:hAnsi="Times New Roman" w:cs="Times New Roman"/>
      <w:color w:val="000000"/>
      <w:lang w:eastAsia="en-US" w:bidi="en-US"/>
    </w:rPr>
  </w:style>
  <w:style w:type="paragraph" w:styleId="Heading1">
    <w:name w:val="heading 1"/>
    <w:next w:val="Normal"/>
    <w:link w:val="Heading1Char"/>
    <w:uiPriority w:val="9"/>
    <w:qFormat/>
    <w:rsid w:val="00471C7C"/>
    <w:pPr>
      <w:keepNext/>
      <w:keepLines/>
      <w:spacing w:after="247" w:line="265" w:lineRule="auto"/>
      <w:ind w:left="10" w:right="359" w:hanging="10"/>
      <w:outlineLvl w:val="0"/>
    </w:pPr>
    <w:rPr>
      <w:rFonts w:ascii="Times New Roman" w:eastAsia="Times New Roman" w:hAnsi="Times New Roman" w:cs="Times New Roman"/>
      <w:b/>
      <w:i/>
      <w:color w:val="000000"/>
    </w:rPr>
  </w:style>
  <w:style w:type="paragraph" w:styleId="Heading2">
    <w:name w:val="heading 2"/>
    <w:next w:val="Normal"/>
    <w:link w:val="Heading2Char"/>
    <w:uiPriority w:val="9"/>
    <w:unhideWhenUsed/>
    <w:qFormat/>
    <w:rsid w:val="00471C7C"/>
    <w:pPr>
      <w:keepNext/>
      <w:keepLines/>
      <w:spacing w:after="247" w:line="265" w:lineRule="auto"/>
      <w:ind w:left="10" w:right="359" w:hanging="1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rsid w:val="00471C7C"/>
    <w:pPr>
      <w:keepNext/>
      <w:keepLines/>
      <w:spacing w:after="247" w:line="265" w:lineRule="auto"/>
      <w:ind w:left="10" w:right="359" w:hanging="10"/>
      <w:outlineLvl w:val="2"/>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71C7C"/>
    <w:rPr>
      <w:rFonts w:ascii="Times New Roman" w:eastAsia="Times New Roman" w:hAnsi="Times New Roman" w:cs="Times New Roman"/>
      <w:b/>
      <w:i/>
      <w:color w:val="000000"/>
      <w:sz w:val="24"/>
    </w:rPr>
  </w:style>
  <w:style w:type="character" w:customStyle="1" w:styleId="Heading1Char">
    <w:name w:val="Heading 1 Char"/>
    <w:link w:val="Heading1"/>
    <w:rsid w:val="00471C7C"/>
    <w:rPr>
      <w:rFonts w:ascii="Times New Roman" w:eastAsia="Times New Roman" w:hAnsi="Times New Roman" w:cs="Times New Roman"/>
      <w:b/>
      <w:i/>
      <w:color w:val="000000"/>
      <w:sz w:val="24"/>
    </w:rPr>
  </w:style>
  <w:style w:type="character" w:customStyle="1" w:styleId="Heading2Char">
    <w:name w:val="Heading 2 Char"/>
    <w:link w:val="Heading2"/>
    <w:rsid w:val="00471C7C"/>
    <w:rPr>
      <w:rFonts w:ascii="Times New Roman" w:eastAsia="Times New Roman" w:hAnsi="Times New Roman" w:cs="Times New Roman"/>
      <w:b/>
      <w:i/>
      <w:color w:val="000000"/>
      <w:sz w:val="24"/>
    </w:rPr>
  </w:style>
  <w:style w:type="table" w:customStyle="1" w:styleId="TableGrid">
    <w:name w:val="TableGrid"/>
    <w:rsid w:val="00471C7C"/>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81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A0"/>
    <w:rPr>
      <w:rFonts w:ascii="Tahoma" w:eastAsia="Times New Roman" w:hAnsi="Tahoma" w:cs="Tahoma"/>
      <w:color w:val="000000"/>
      <w:sz w:val="16"/>
      <w:szCs w:val="16"/>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28255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DR CALLISTUS PC</dc:creator>
  <cp:keywords/>
  <cp:lastModifiedBy>Banking and Finance</cp:lastModifiedBy>
  <cp:revision>7</cp:revision>
  <dcterms:created xsi:type="dcterms:W3CDTF">2026-03-10T10:23:00Z</dcterms:created>
  <dcterms:modified xsi:type="dcterms:W3CDTF">2026-03-11T17:41:00Z</dcterms:modified>
</cp:coreProperties>
</file>