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8A8" w:rsidRDefault="00895867">
      <w:pPr>
        <w:spacing w:before="200" w:after="120"/>
        <w:jc w:val="center"/>
      </w:pPr>
      <w:r>
        <w:rPr>
          <w:b/>
          <w:bCs/>
          <w:color w:val="1F3864"/>
          <w:sz w:val="36"/>
          <w:szCs w:val="36"/>
        </w:rPr>
        <w:t xml:space="preserve">Climate Modelling: Quantitative Projection of the Hydroelectric–Drought Nexus on Tourism Revenue in Zambia, </w:t>
      </w:r>
      <w:r w:rsidR="00D1709E">
        <w:rPr>
          <w:b/>
          <w:bCs/>
          <w:color w:val="1F3864"/>
          <w:sz w:val="36"/>
          <w:szCs w:val="36"/>
        </w:rPr>
        <w:t>2027</w:t>
      </w:r>
      <w:r>
        <w:rPr>
          <w:b/>
          <w:bCs/>
          <w:color w:val="1F3864"/>
          <w:sz w:val="36"/>
          <w:szCs w:val="36"/>
        </w:rPr>
        <w:t>–2050</w:t>
      </w:r>
    </w:p>
    <w:p w:rsidR="003278A8" w:rsidRDefault="006167C5">
      <w:pPr>
        <w:spacing w:after="80"/>
        <w:jc w:val="center"/>
      </w:pPr>
      <w:r>
        <w:rPr>
          <w:sz w:val="22"/>
          <w:szCs w:val="22"/>
        </w:rPr>
        <w:t>Author: Bruce Ernest*, Austin Mwange,</w:t>
      </w:r>
      <w:bookmarkStart w:id="0" w:name="_GoBack"/>
      <w:bookmarkEnd w:id="0"/>
      <w:r w:rsidR="00D1709E">
        <w:rPr>
          <w:sz w:val="22"/>
          <w:szCs w:val="22"/>
        </w:rPr>
        <w:t xml:space="preserve"> Graduate School of Business</w:t>
      </w:r>
      <w:r w:rsidR="00895867">
        <w:rPr>
          <w:sz w:val="22"/>
          <w:szCs w:val="22"/>
        </w:rPr>
        <w:t>, University of Zambia, Lusaka, Zambia</w:t>
      </w:r>
    </w:p>
    <w:p w:rsidR="003278A8" w:rsidRDefault="00D1709E" w:rsidP="00D1709E">
      <w:pPr>
        <w:spacing w:after="80"/>
        <w:jc w:val="center"/>
        <w:rPr>
          <w:i/>
          <w:iCs/>
          <w:sz w:val="22"/>
          <w:szCs w:val="22"/>
        </w:rPr>
      </w:pPr>
      <w:r>
        <w:rPr>
          <w:i/>
          <w:iCs/>
          <w:sz w:val="22"/>
          <w:szCs w:val="22"/>
        </w:rPr>
        <w:t>Email:bruceernest80@gmail.com</w:t>
      </w:r>
    </w:p>
    <w:p w:rsidR="00D1709E" w:rsidRDefault="00D1709E" w:rsidP="00D1709E">
      <w:pPr>
        <w:spacing w:after="80"/>
        <w:jc w:val="center"/>
      </w:pPr>
      <w:r>
        <w:rPr>
          <w:i/>
          <w:iCs/>
          <w:sz w:val="22"/>
          <w:szCs w:val="22"/>
        </w:rPr>
        <w:t>Mobile: 0976342555</w:t>
      </w:r>
    </w:p>
    <w:p w:rsidR="003278A8" w:rsidRDefault="003278A8">
      <w:pPr>
        <w:pBdr>
          <w:bottom w:val="single" w:sz="6" w:space="1" w:color="1F3864"/>
        </w:pBdr>
        <w:spacing w:after="200"/>
      </w:pPr>
    </w:p>
    <w:p w:rsidR="003278A8" w:rsidRDefault="00895867">
      <w:pPr>
        <w:spacing w:after="100"/>
        <w:jc w:val="center"/>
      </w:pPr>
      <w:r>
        <w:rPr>
          <w:b/>
          <w:bCs/>
          <w:color w:val="1F3864"/>
          <w:sz w:val="26"/>
          <w:szCs w:val="26"/>
        </w:rPr>
        <w:t>ABSTRACT</w:t>
      </w:r>
    </w:p>
    <w:p w:rsidR="003278A8" w:rsidRDefault="00895867">
      <w:pPr>
        <w:spacing w:after="80" w:line="360" w:lineRule="auto"/>
        <w:ind w:left="720" w:right="720"/>
        <w:jc w:val="both"/>
      </w:pPr>
      <w:r>
        <w:rPr>
          <w:b/>
          <w:bCs/>
          <w:sz w:val="22"/>
          <w:szCs w:val="22"/>
        </w:rPr>
        <w:t xml:space="preserve">Background: </w:t>
      </w:r>
      <w:r>
        <w:rPr>
          <w:sz w:val="22"/>
          <w:szCs w:val="22"/>
        </w:rPr>
        <w:t>Zambia's economy is uniquely vulnerable to the intersection of climate-driven hydrological change, hydroelectric power dependency, and tourism revenue gene</w:t>
      </w:r>
      <w:r w:rsidR="00D1709E">
        <w:rPr>
          <w:sz w:val="22"/>
          <w:szCs w:val="22"/>
        </w:rPr>
        <w:t xml:space="preserve">ration. The Zambezi River basin - </w:t>
      </w:r>
      <w:r>
        <w:rPr>
          <w:sz w:val="22"/>
          <w:szCs w:val="22"/>
        </w:rPr>
        <w:t xml:space="preserve">the lifeblood of the country's hydroelectric output at Kariba </w:t>
      </w:r>
      <w:r w:rsidR="00D1709E">
        <w:rPr>
          <w:sz w:val="22"/>
          <w:szCs w:val="22"/>
        </w:rPr>
        <w:t xml:space="preserve">and Kafue Gorge - </w:t>
      </w:r>
      <w:r>
        <w:rPr>
          <w:sz w:val="22"/>
          <w:szCs w:val="22"/>
        </w:rPr>
        <w:t xml:space="preserve">is experiencing accelerating declines in mean annual discharge under warming scenarios, with direct cascading effects on tourism infrastructure, visitor experience, and national income. Despite this triple exposure, no quantitative integrated </w:t>
      </w:r>
      <w:proofErr w:type="gramStart"/>
      <w:r>
        <w:rPr>
          <w:sz w:val="22"/>
          <w:szCs w:val="22"/>
        </w:rPr>
        <w:t>assessment</w:t>
      </w:r>
      <w:proofErr w:type="gramEnd"/>
      <w:r>
        <w:rPr>
          <w:sz w:val="22"/>
          <w:szCs w:val="22"/>
        </w:rPr>
        <w:t xml:space="preserve"> has projected the revenue consequences of the hydroelectric–drought nexus on Zambia's tourism sector through mid-century.</w:t>
      </w:r>
    </w:p>
    <w:p w:rsidR="003278A8" w:rsidRDefault="00895867">
      <w:pPr>
        <w:spacing w:after="80" w:line="360" w:lineRule="auto"/>
        <w:ind w:left="720" w:right="720"/>
        <w:jc w:val="both"/>
      </w:pPr>
      <w:r>
        <w:rPr>
          <w:b/>
          <w:bCs/>
          <w:sz w:val="22"/>
          <w:szCs w:val="22"/>
        </w:rPr>
        <w:t xml:space="preserve">Objective: </w:t>
      </w:r>
      <w:r>
        <w:rPr>
          <w:sz w:val="22"/>
          <w:szCs w:val="22"/>
        </w:rPr>
        <w:t xml:space="preserve">This study develops and applies a quantitative modelling framework to project hydroelectric generation deficits and their downstream economic consequences for tourism revenue in Zambia under SSP2-4.5 and SSP5-8.5 scenarios for </w:t>
      </w:r>
      <w:r w:rsidR="00D1709E">
        <w:rPr>
          <w:sz w:val="22"/>
          <w:szCs w:val="22"/>
        </w:rPr>
        <w:t>2027</w:t>
      </w:r>
      <w:r>
        <w:rPr>
          <w:sz w:val="22"/>
          <w:szCs w:val="22"/>
        </w:rPr>
        <w:t>–2050.</w:t>
      </w:r>
    </w:p>
    <w:p w:rsidR="003278A8" w:rsidRDefault="00895867">
      <w:pPr>
        <w:spacing w:after="80" w:line="360" w:lineRule="auto"/>
        <w:ind w:left="720" w:right="720"/>
        <w:jc w:val="both"/>
      </w:pPr>
      <w:r>
        <w:rPr>
          <w:b/>
          <w:bCs/>
          <w:sz w:val="22"/>
          <w:szCs w:val="22"/>
        </w:rPr>
        <w:t xml:space="preserve">Methods: </w:t>
      </w:r>
      <w:r>
        <w:rPr>
          <w:sz w:val="22"/>
          <w:szCs w:val="22"/>
        </w:rPr>
        <w:t>We integrate CMIP6 multi-model ensemble outputs, variable infiltration capacity (VIC) hydrological modelling, power-system economic dispatch simulation, and a tourism revenue impact function calibrated on 2000–2023 panel data. A Monte Carlo uncertainty propagation framework (n = 10,000 simulations) quantifies scenario uncertainty across climate, hydrological, and economic modules.</w:t>
      </w:r>
    </w:p>
    <w:p w:rsidR="003278A8" w:rsidRDefault="00895867">
      <w:pPr>
        <w:spacing w:after="80" w:line="360" w:lineRule="auto"/>
        <w:ind w:left="720" w:right="720"/>
        <w:jc w:val="both"/>
      </w:pPr>
      <w:r>
        <w:rPr>
          <w:b/>
          <w:bCs/>
          <w:sz w:val="22"/>
          <w:szCs w:val="22"/>
        </w:rPr>
        <w:t xml:space="preserve">Results: </w:t>
      </w:r>
      <w:r>
        <w:rPr>
          <w:sz w:val="22"/>
          <w:szCs w:val="22"/>
        </w:rPr>
        <w:t>Under SSP2-4.5, Zambia faces a median hydroelectric generation deficit of 18.4% (90% CI: 9.2–31.7%) by 2040, rising to 26.3% (90% CI: 14.1–43.8%) by 2050. Under SSP5-8.5, deficits reach 38.7% by 2050, triggering an estimated cumulative tourism revenue loss of USD 2.1–4.6 billion across the projection period. Victoria Falls-adjacent tourism is disproportionately affected, with dry-season waterfall flow declining 34–51% by 2045 under the high-emissions pathway.</w:t>
      </w:r>
    </w:p>
    <w:p w:rsidR="003278A8" w:rsidRDefault="00895867">
      <w:pPr>
        <w:spacing w:after="80" w:line="360" w:lineRule="auto"/>
        <w:ind w:left="720" w:right="720"/>
        <w:jc w:val="both"/>
      </w:pPr>
      <w:r>
        <w:rPr>
          <w:b/>
          <w:bCs/>
          <w:sz w:val="22"/>
          <w:szCs w:val="22"/>
        </w:rPr>
        <w:lastRenderedPageBreak/>
        <w:t xml:space="preserve">Conclusions: </w:t>
      </w:r>
      <w:r>
        <w:rPr>
          <w:sz w:val="22"/>
          <w:szCs w:val="22"/>
        </w:rPr>
        <w:t>The hydroelectri</w:t>
      </w:r>
      <w:r w:rsidR="00D1709E">
        <w:rPr>
          <w:sz w:val="22"/>
          <w:szCs w:val="22"/>
        </w:rPr>
        <w:t>c-drought-</w:t>
      </w:r>
      <w:r>
        <w:rPr>
          <w:sz w:val="22"/>
          <w:szCs w:val="22"/>
        </w:rPr>
        <w:t>tourism nexus represents a severe, quantifiable threat to Zambia's economic development trajectory. Immediate investments in demand-side energy efficiency, solar diversification, and climate-adaptive tourism infrastructure are essential to reduce revenue exposure. This study provides the first integrated quantitative projection model for this nexus and offers an empirical basis for national adaptation planning.</w:t>
      </w:r>
    </w:p>
    <w:p w:rsidR="003278A8" w:rsidRDefault="00895867">
      <w:pPr>
        <w:spacing w:after="200" w:line="360" w:lineRule="auto"/>
        <w:ind w:left="720" w:right="720"/>
        <w:jc w:val="both"/>
      </w:pPr>
      <w:r>
        <w:rPr>
          <w:b/>
          <w:bCs/>
          <w:sz w:val="22"/>
          <w:szCs w:val="22"/>
        </w:rPr>
        <w:t xml:space="preserve">Keywords: </w:t>
      </w:r>
      <w:r>
        <w:rPr>
          <w:i/>
          <w:iCs/>
          <w:sz w:val="22"/>
          <w:szCs w:val="22"/>
        </w:rPr>
        <w:t>climate change; hydroelectric vulnerability; drought; tourism economics; Zambia; Zambezi basin; CMIP6; integrated assessment modelling; SSP scenarios; adaptation</w:t>
      </w:r>
    </w:p>
    <w:p w:rsidR="003278A8" w:rsidRDefault="003278A8">
      <w:pPr>
        <w:pBdr>
          <w:bottom w:val="single" w:sz="6" w:space="1" w:color="1F3864"/>
        </w:pBdr>
        <w:spacing w:after="240"/>
      </w:pPr>
    </w:p>
    <w:p w:rsidR="003278A8" w:rsidRDefault="00895867">
      <w:pPr>
        <w:pStyle w:val="Heading1"/>
      </w:pPr>
      <w:r>
        <w:rPr>
          <w:sz w:val="28"/>
          <w:szCs w:val="28"/>
        </w:rPr>
        <w:t>1. INTRODUCTION</w:t>
      </w:r>
    </w:p>
    <w:p w:rsidR="003278A8" w:rsidRDefault="00895867">
      <w:pPr>
        <w:spacing w:after="160" w:line="360" w:lineRule="auto"/>
        <w:ind w:firstLine="720"/>
        <w:jc w:val="both"/>
      </w:pPr>
      <w:r>
        <w:t>Zambia's socioeconomic fabric is threaded by water. The Zambezi River basin—spanning approximately 1.37 million km</w:t>
      </w:r>
      <w:r>
        <w:rPr>
          <w:vertAlign w:val="superscript"/>
        </w:rPr>
        <w:t>2</w:t>
      </w:r>
      <w:r>
        <w:t xml:space="preserve"> and shared across eight nations—generates the hydroelectric power that sustains over 85% of Zambia's national electricity supply (International Energy Agency [IEA], 2022; World Bank, 2023a). The basin simultaneously feeds the spectacular natural attractions that drive Zambia's growing tourism economy, most prominently Victoria Falls, the Kafue National Park wetlands, and the Lower Zambezi's iconic floodplain game corridors (UNWTO, 2022). These two pillars of national development are inextricably linked through hydrology: both depend on sustained river discharge, and both face existential pressure from a changing climate (Phiri et al., 2021).</w:t>
      </w:r>
    </w:p>
    <w:p w:rsidR="003278A8" w:rsidRDefault="00895867">
      <w:pPr>
        <w:spacing w:after="160" w:line="360" w:lineRule="auto"/>
        <w:ind w:firstLine="720"/>
        <w:jc w:val="both"/>
      </w:pPr>
      <w:r>
        <w:t xml:space="preserve">Sub-Saharan Africa is warming at approximately 1.5 times the global mean rate, and Southern Africa in particular is experiencing intensifying drought frequency and severity (Engelbrecht et al., 2021; IPCC, 2022a). Zambia has recorded three of its five worst drought years since 2000, with the 2018–2019 event triggering a national energy emergency, prolonged load-shedding of up to 16 hours daily, and severe disruption to tourism services, hospitality operations, and wildlife management infrastructure (Zambia Environmental Management Agency [ZEMA], 2020; Schilling et al., 2020). Yet despite the visibility of these events, the quantitative linkages between projected hydrological change, hydroelectric generation capacity, and downstream tourism revenue remain poorly </w:t>
      </w:r>
      <w:r w:rsidR="00D1709E">
        <w:t>characterized</w:t>
      </w:r>
      <w:r>
        <w:t xml:space="preserve"> in the peer-reviewed literature.</w:t>
      </w:r>
    </w:p>
    <w:p w:rsidR="003278A8" w:rsidRDefault="00895867">
      <w:pPr>
        <w:spacing w:after="160" w:line="360" w:lineRule="auto"/>
        <w:ind w:firstLine="720"/>
        <w:jc w:val="both"/>
      </w:pPr>
      <w:r>
        <w:lastRenderedPageBreak/>
        <w:t>Existing research has addressed elements of this nexus in isolation. Hydro-climatic projections for the Zambezi basin under CMIP5 scenarios suggest a 10–20% decline in mean annual runoff by mid-century (Aich et al., 2016; Beilfuss, 2012; Conway et al., 2020). Power sector analyses have modelled generation losses at Kariba Dam under various warming trajectories (Spalding-Fecher et al., 2017; Mukheibir, 2008). Tourism sector analyses have examined climate sensitivity of visitation to Southern African destinations (Saarinen et al., 2012; Scott et al., 2019). However, no published study integrates these three modules into a single quantitative projection framework capable of translating atmospheric forcing directly into tourism revenue outcomes.</w:t>
      </w:r>
    </w:p>
    <w:p w:rsidR="003278A8" w:rsidRDefault="00895867">
      <w:pPr>
        <w:spacing w:after="160" w:line="360" w:lineRule="auto"/>
        <w:ind w:firstLine="720"/>
        <w:jc w:val="both"/>
      </w:pPr>
      <w:r>
        <w:t>This study fills that gap. We construct an integrated modelling chain that links CMIP6 climate forcing through a calibrated hydrological model, through a power dispatch model, and through an empirically derived tourism revenue impact function. Our projection horizon—</w:t>
      </w:r>
      <w:r w:rsidR="00D1709E">
        <w:t>2027</w:t>
      </w:r>
      <w:r>
        <w:t xml:space="preserve"> to 2050—covers the period most critical for Zambia's current development planning frameworks, including the Eighth National Development Plan (8NDP) and the Zambia Vision </w:t>
      </w:r>
      <w:r w:rsidR="00D1709E">
        <w:t>2027</w:t>
      </w:r>
      <w:r>
        <w:t xml:space="preserve"> infrastructure strategy (Ministry of Finance and National Planning, 2022). We address three research questions:</w:t>
      </w:r>
    </w:p>
    <w:p w:rsidR="003278A8" w:rsidRDefault="00895867">
      <w:pPr>
        <w:spacing w:after="80" w:line="360" w:lineRule="auto"/>
        <w:ind w:left="900" w:hanging="360"/>
      </w:pPr>
      <w:r>
        <w:t xml:space="preserve">(1) How much will hydroelectric generation capacity decline in Zambia under SSP2-4.5 and SSP5-8.5 by </w:t>
      </w:r>
      <w:r w:rsidR="00D1709E">
        <w:t>2027</w:t>
      </w:r>
      <w:r>
        <w:t>–2050?</w:t>
      </w:r>
    </w:p>
    <w:p w:rsidR="003278A8" w:rsidRDefault="00895867">
      <w:pPr>
        <w:spacing w:after="80" w:line="360" w:lineRule="auto"/>
        <w:ind w:left="900" w:hanging="360"/>
      </w:pPr>
      <w:r>
        <w:t>(2) What are the magnitude and distributional characteristics of tourism revenue losses attributable to this hydroelectric deficit?</w:t>
      </w:r>
    </w:p>
    <w:p w:rsidR="003278A8" w:rsidRDefault="00895867">
      <w:pPr>
        <w:spacing w:after="160" w:line="360" w:lineRule="auto"/>
        <w:ind w:left="900" w:hanging="360"/>
      </w:pPr>
      <w:r>
        <w:t>(3) Which tourism sub-sectors and geographic zones face the greatest economic exposure?</w:t>
      </w:r>
    </w:p>
    <w:p w:rsidR="003278A8" w:rsidRDefault="00895867">
      <w:pPr>
        <w:spacing w:after="160" w:line="360" w:lineRule="auto"/>
        <w:ind w:firstLine="720"/>
        <w:jc w:val="both"/>
      </w:pPr>
      <w:r>
        <w:t>The remainder of this paper is structured as follows. Section 2 reviews the relevant literature. Section 3 describes the study area. Section 4 details the methodological framework. Section 5 presents results. Section 6 discusses implications and limitations. Section 7 concludes with recommendations.</w:t>
      </w:r>
    </w:p>
    <w:p w:rsidR="003278A8" w:rsidRDefault="00895867">
      <w:pPr>
        <w:pStyle w:val="Heading1"/>
      </w:pPr>
      <w:r>
        <w:rPr>
          <w:sz w:val="28"/>
          <w:szCs w:val="28"/>
        </w:rPr>
        <w:t>2. LITERATURE REVIEW</w:t>
      </w:r>
    </w:p>
    <w:p w:rsidR="003278A8" w:rsidRDefault="00895867">
      <w:pPr>
        <w:pStyle w:val="Heading2"/>
        <w:spacing w:before="200"/>
      </w:pPr>
      <w:r>
        <w:t>2.1 Climate Change Trajectories in Southern Africa</w:t>
      </w:r>
    </w:p>
    <w:p w:rsidR="003278A8" w:rsidRDefault="00895867">
      <w:pPr>
        <w:spacing w:after="160" w:line="360" w:lineRule="auto"/>
        <w:ind w:firstLine="720"/>
        <w:jc w:val="both"/>
      </w:pPr>
      <w:r>
        <w:t xml:space="preserve">The Sixth Assessment Report of the Intergovernmental Panel on Climate Change (IPCC AR6) projects warming across Southern Africa of 1.8°C–2.7°C under SSP2-4.5 and 3.4°C–4.8°C under SSP5-8.5 by 2050 relative to the 1850–1900 baseline (IPCC, 2021). Precipitation projections </w:t>
      </w:r>
      <w:r>
        <w:lastRenderedPageBreak/>
        <w:t>for the region carry greater uncertainty but broadly indicate a 5–15% reduction in mean annual rainfall across the Zambezi headwaters by mid-century (Engelbrecht et al., 2021; Maidment et al., 2023). These signals translate into amplified drought frequency: return periods for events equivalent to the 2018–2019 drought are projected to compress from once-in-25-years to once-in-8-years under SSP2-4.5 and once-in-4-years under SSP5-8.5 (Masih et al., 2014; Todzo et al., 2020).</w:t>
      </w:r>
    </w:p>
    <w:p w:rsidR="003278A8" w:rsidRDefault="00895867">
      <w:pPr>
        <w:spacing w:after="160" w:line="360" w:lineRule="auto"/>
        <w:ind w:firstLine="720"/>
        <w:jc w:val="both"/>
      </w:pPr>
      <w:r>
        <w:t>High-resolution regional climate modelling using the Coordinated Regional Climate Downscaling Experiment (CORDEX) Africa ensemble confirms these trends for Zambia, showing spatially heterogeneous but consistently negative precipitation anomalies across the Copperbelt, Central, and Western provinces during the November–April rainy season (Nikulin et al., 2018; Fotso-Nguemo et al., 2021). Evapotranspiration demand, driven by warming, amplifies effective moisture deficits beyond what precipitation alone would suggest (Prudhomme et al., 2014; Serdeczny et al., 2017).</w:t>
      </w:r>
    </w:p>
    <w:p w:rsidR="003278A8" w:rsidRDefault="00895867">
      <w:pPr>
        <w:pStyle w:val="Heading2"/>
        <w:spacing w:before="200"/>
      </w:pPr>
      <w:r>
        <w:t>2.2 Hydroelectric Vulnerability in the Zambezi Basin</w:t>
      </w:r>
    </w:p>
    <w:p w:rsidR="003278A8" w:rsidRDefault="00895867">
      <w:pPr>
        <w:spacing w:after="160" w:line="360" w:lineRule="auto"/>
        <w:ind w:firstLine="720"/>
        <w:jc w:val="both"/>
      </w:pPr>
      <w:r>
        <w:t>The Zambezi basin's hydroelectric infrastructure—centred on Kariba Dam (1,470 MW installed capacity, shared with Zimbabwe), Kafue Gorge Upper (750 MW), Kafue Gorge Lower (750 MW), and Itezhi-Tezhi (120 MW)—is highly exposed to inter-annual runoff variability (ZESCO, 2021). Spalding-Fecher et al. (2017) projected electricity generation losses from Southern African hydropower of 5–12% under 2°C warming and 15–25% under 4°C warming by 2050. Specifically for Kariba, van Vliet et al. (2016) estimated that thermal and hydrological stress would reduce usable capacity by 19–26% by 2040 under RCP 8.5, a finding consistent with observed reservoir level trajectories since 2010 (Chikodzi et al., 2021).</w:t>
      </w:r>
    </w:p>
    <w:p w:rsidR="003278A8" w:rsidRDefault="00895867">
      <w:pPr>
        <w:spacing w:after="160" w:line="360" w:lineRule="auto"/>
        <w:ind w:firstLine="720"/>
        <w:jc w:val="both"/>
      </w:pPr>
      <w:r>
        <w:t>The 2015–2016 El Niño-induced drought caused Kariba reservoir levels to fall to 12% of capacity, forcing a 40% reduction in firm energy output and triggering the worst electricity crisis in Zambia's modern history (Zambia Ministry of Energy, 2016). Power rationing reduced manufacturing output by an estimated USD 720 million and damaged tourism service delivery across the country (World Bank, 2016). More recent analysis by Makaula et al. (2022) using CMIP6 forcings projects that Kariba inflows under SSP5-8.5 will decline by 31% (±8%) relative to the 1980–2010 baseline by 2050, with cascading operational constraints on downstream tourism-adjacent infrastructure.</w:t>
      </w:r>
    </w:p>
    <w:p w:rsidR="003278A8" w:rsidRDefault="00895867">
      <w:pPr>
        <w:pStyle w:val="Heading2"/>
        <w:spacing w:before="200"/>
      </w:pPr>
      <w:r>
        <w:lastRenderedPageBreak/>
        <w:t>2.3 Climate–Tourism Nexus in Sub-Saharan Africa</w:t>
      </w:r>
    </w:p>
    <w:p w:rsidR="003278A8" w:rsidRDefault="00895867">
      <w:pPr>
        <w:spacing w:after="160" w:line="360" w:lineRule="auto"/>
        <w:ind w:firstLine="720"/>
        <w:jc w:val="both"/>
      </w:pPr>
      <w:r>
        <w:t>The climate–tourism relationship in Sub-Saharan Africa is mediated by three primary channels: (i) direct amenity effects, where weather and ecological conditions affect visitor experience quality; (ii) infrastructure and service delivery effects, where energy shortages degrade accommodation, transport, and hospitality standards; and (iii) destination image effects, where media coverage of environmental crises depresses forward bookings (Scott et al., 2012; Hall &amp; Higham, 2005; Becken, 2013).</w:t>
      </w:r>
    </w:p>
    <w:p w:rsidR="003278A8" w:rsidRDefault="00895867">
      <w:pPr>
        <w:spacing w:after="160" w:line="360" w:lineRule="auto"/>
        <w:ind w:firstLine="720"/>
        <w:jc w:val="both"/>
      </w:pPr>
      <w:r>
        <w:t>For Zambia specifically, Saarinen et al. (2020) demonstrated that visitor flows to Victoria Falls are significantly correlated with upstream river discharge (r = 0.67, p &lt; 0.001), with reduced waterfall spectacle during low-flow periods directly dampening tourist satisfaction scores and repeat-visit intentions. Lenzen et al. (2018) established that tourism's global carbon footprint contributes to the very warming that threatens it, creating a feedback dynamic of particular moral and policy significance for developing nations seeking tourism-led growth. Rogerson &amp; Rogerson (2020) reviewed the structural vulnerabilities of Southern African tourism to climate shocks, identifying energy insecurity and landscape alteration as top-ranked risks for Zambia and Zimbabwe.</w:t>
      </w:r>
    </w:p>
    <w:p w:rsidR="003278A8" w:rsidRDefault="00895867">
      <w:pPr>
        <w:spacing w:after="160" w:line="360" w:lineRule="auto"/>
        <w:ind w:firstLine="720"/>
        <w:jc w:val="both"/>
      </w:pPr>
      <w:r>
        <w:t xml:space="preserve">Despite this body of work, the literature has not produced a quantitative model that traces the pathway from specific climate projections through hydrological change, through power-sector disruption, to </w:t>
      </w:r>
      <w:r w:rsidR="00D1709E">
        <w:t>monetized</w:t>
      </w:r>
      <w:r>
        <w:t xml:space="preserve"> tourism revenue impact—the core innovation of the present study.</w:t>
      </w:r>
    </w:p>
    <w:p w:rsidR="003278A8" w:rsidRDefault="00895867">
      <w:pPr>
        <w:pStyle w:val="Heading1"/>
      </w:pPr>
      <w:r>
        <w:rPr>
          <w:sz w:val="28"/>
          <w:szCs w:val="28"/>
        </w:rPr>
        <w:t>3. STUDY AREA</w:t>
      </w:r>
    </w:p>
    <w:p w:rsidR="003278A8" w:rsidRDefault="00895867">
      <w:pPr>
        <w:spacing w:after="160" w:line="360" w:lineRule="auto"/>
        <w:ind w:firstLine="720"/>
        <w:jc w:val="both"/>
      </w:pPr>
      <w:r>
        <w:t>Zambia is a landlocked nation of 752,612 km</w:t>
      </w:r>
      <w:r>
        <w:rPr>
          <w:vertAlign w:val="superscript"/>
        </w:rPr>
        <w:t>2</w:t>
      </w:r>
      <w:r>
        <w:t xml:space="preserve"> in South-Central Africa, straddling the upper and middle Zambezi basin. The country's topography ranges from the Muchinga Escarpment in the northeast (~1,800 m above sea level) to the Zambezi floodplains in the southwest (~900 m), generating substantial spatial gradients in precipitation, evapotranspiration, and runoff generation (Yengoh et al., 2016).</w:t>
      </w:r>
    </w:p>
    <w:p w:rsidR="003278A8" w:rsidRDefault="00895867">
      <w:pPr>
        <w:spacing w:after="160" w:line="360" w:lineRule="auto"/>
        <w:ind w:firstLine="720"/>
        <w:jc w:val="both"/>
      </w:pPr>
      <w:r>
        <w:t xml:space="preserve">Zambia's climate is predominantly semi-arid tropical (Köppen: Aw/BSh), </w:t>
      </w:r>
      <w:r w:rsidR="00D1709E">
        <w:t>characterized</w:t>
      </w:r>
      <w:r>
        <w:t xml:space="preserve"> by a single wet season (November–April) delivering 80–95% of annual precipitation (600–1,400 mm, declining south-to-north) and a prolonged dry season (May–October) during which river discharge and reservoir storage are the sole available water resources (Nchito, 2007). The concentration of </w:t>
      </w:r>
      <w:r>
        <w:lastRenderedPageBreak/>
        <w:t>rainfall in a single season creates extreme sensitivity to year-to-year variability, particularly ENSO-related precipitation anomalies that account for 35–55% of inter-annual discharge variance in the Zambezi system (Jury, 2015).</w:t>
      </w:r>
    </w:p>
    <w:p w:rsidR="003278A8" w:rsidRDefault="00895867">
      <w:pPr>
        <w:spacing w:after="160" w:line="360" w:lineRule="auto"/>
        <w:ind w:firstLine="720"/>
        <w:jc w:val="both"/>
      </w:pPr>
      <w:r>
        <w:t>Tourism is concentrated in three principal zones: (1) the Victoria Falls/Livingstone corridor in Southern Province, contributing approximately 42% of international tourism receipts; (2) the Kafue National Park and Luangwa Valley game reserves in Central and Eastern Provinces, contributing approximately 38%; and (3) Lake Kariba and Bangweulu Wetlands, contributing approximately 20% (Zambia Tourism Agency [ZTA], 2023). Total tourism receipts in 2022 reached USD 547 million, representing 3.8% of GDP, with pre-COVID peak revenues of USD 851 million recorded in 2017 (World Travel &amp; Tourism Council [WTTC], 2023).</w:t>
      </w:r>
    </w:p>
    <w:p w:rsidR="003278A8" w:rsidRDefault="00895867">
      <w:pPr>
        <w:pStyle w:val="Heading1"/>
      </w:pPr>
      <w:r>
        <w:rPr>
          <w:sz w:val="28"/>
          <w:szCs w:val="28"/>
        </w:rPr>
        <w:t>4. METHODOLOGY</w:t>
      </w:r>
    </w:p>
    <w:p w:rsidR="003278A8" w:rsidRDefault="00895867">
      <w:pPr>
        <w:pStyle w:val="Heading2"/>
        <w:spacing w:before="200"/>
      </w:pPr>
      <w:r>
        <w:t>4.1 Integrated Modelling Framework</w:t>
      </w:r>
    </w:p>
    <w:p w:rsidR="003278A8" w:rsidRDefault="00895867">
      <w:pPr>
        <w:spacing w:after="160" w:line="360" w:lineRule="auto"/>
        <w:ind w:firstLine="720"/>
        <w:jc w:val="both"/>
      </w:pPr>
      <w:r>
        <w:t xml:space="preserve">Our modelling chain consists of four sequentially coupled modules (Figure 1). Module 1 (Climate Forcing) extracts bias-corrected precipitation and temperature projections from the CMIP6 ensemble. Module 2 (Hydrological Modelling) translates climate inputs into </w:t>
      </w:r>
      <w:r w:rsidR="00D1709E">
        <w:t>stream flow</w:t>
      </w:r>
      <w:r>
        <w:t xml:space="preserve"> and reservoir storage projections using the Variable Infiltration Capacity (VIC) model. Module 3 (Power Dispatch Simulation) converts reservoir storage into generation capacity deficits. Module 4 (Tourism Revenue Impact) converts power deficits into tourism revenue losses through an empirically estimated impact function. Uncertainty is propagated through all modules using Monte Carlo simulation (n = 10,000 draws).</w:t>
      </w:r>
    </w:p>
    <w:p w:rsidR="003278A8" w:rsidRDefault="00895867">
      <w:pPr>
        <w:pStyle w:val="Heading2"/>
        <w:spacing w:before="200"/>
      </w:pPr>
      <w:r>
        <w:t>4.2 Climate Data and Scenario Selection</w:t>
      </w:r>
    </w:p>
    <w:p w:rsidR="003278A8" w:rsidRDefault="00895867">
      <w:pPr>
        <w:spacing w:after="160" w:line="360" w:lineRule="auto"/>
        <w:ind w:firstLine="720"/>
        <w:jc w:val="both"/>
      </w:pPr>
      <w:r>
        <w:t>Climate forcing was derived from 22 CMIP6 general circulation models (GCMs) archived at the Earth System Grid Federation (ESGF), selected on the basis of (i) availability of all required variables at daily temporal resolution; (ii) demonstrated skill over Southern Africa in the historical period (1980–2014) as assessed by Taylor diagram metrics; and (iii) ensemble spread representation following the climate model weighting approach of Brunner et al. (2020). Models are listed in Supplementary Table S1.</w:t>
      </w:r>
    </w:p>
    <w:p w:rsidR="003278A8" w:rsidRDefault="00895867">
      <w:pPr>
        <w:spacing w:after="160" w:line="360" w:lineRule="auto"/>
        <w:ind w:firstLine="720"/>
        <w:jc w:val="both"/>
      </w:pPr>
      <w:r>
        <w:t xml:space="preserve">We employed two Shared Socioeconomic Pathway scenarios: SSP2-4.5, representing an intermediate mitigation pathway with ~2.5–3.0°C global warming by 2100; and SSP5-8.5, </w:t>
      </w:r>
      <w:r>
        <w:lastRenderedPageBreak/>
        <w:t xml:space="preserve">representing a high-emissions pathway with ~4.4–5.5°C by 2100 (O'Neill et al., 2016; Riahi et al., 2017). Daily precipitation and temperature outputs were bias-corrected against the CHIRPS v2.0 precipitation dataset and ERA5 reanalysis temperature fields for 1981–2023 using </w:t>
      </w:r>
      <w:r w:rsidR="00D1709E">
        <w:t>quintile</w:t>
      </w:r>
      <w:r>
        <w:t xml:space="preserve"> delta mapping (Cannon et al., 2015), implemented at 0.25° spatial resolution over the Zambezi basin domain (8°–22°S, 20°–34°E).</w:t>
      </w:r>
    </w:p>
    <w:p w:rsidR="003278A8" w:rsidRDefault="00895867">
      <w:pPr>
        <w:pStyle w:val="Heading2"/>
        <w:spacing w:before="200"/>
      </w:pPr>
      <w:r>
        <w:t>4.3 Hydrological Modelling</w:t>
      </w:r>
    </w:p>
    <w:p w:rsidR="003278A8" w:rsidRDefault="00895867">
      <w:pPr>
        <w:spacing w:after="160" w:line="360" w:lineRule="auto"/>
        <w:ind w:firstLine="720"/>
        <w:jc w:val="both"/>
      </w:pPr>
      <w:r>
        <w:t xml:space="preserve">The Variable Infiltration Capacity (VIC) model (Liang et al., 1994; Hamman et al., 2018) was calibrated for the Zambezi basin using observed daily discharge records from 14 gauging stations maintained by the Zambezi River Authority (ZRA) and the Zambia Department of Water Affairs (DWA) for the period 1981–2010, with validation on 2011–2023. Calibration employed the </w:t>
      </w:r>
      <w:r w:rsidR="00D1709E">
        <w:t>Differential</w:t>
      </w:r>
      <w:r>
        <w:t xml:space="preserve"> Evolution Adaptive Metropolis (DREAM) algorithm (Vrugt et al., 2009), with the Nash-Sutcliffe Efficiency (NSE) and Kling-Gupta Efficiency (KGE) as objective functions. Calibration achieved a median NSE of 0.74 and median KGE of 0.71 across validation stations, values considered satisfactory for large-basin semi-arid applications (Moriasi et al., 2015).</w:t>
      </w:r>
    </w:p>
    <w:p w:rsidR="003278A8" w:rsidRDefault="00895867">
      <w:pPr>
        <w:spacing w:after="160" w:line="360" w:lineRule="auto"/>
        <w:ind w:firstLine="720"/>
        <w:jc w:val="both"/>
      </w:pPr>
      <w:r>
        <w:t xml:space="preserve">The VIC model was run at a daily time step on a 0.125° grid, with routing implemented through a linearised St. Venant scheme to translate gridded runoff into reservoir inflows at Kariba, Kafue Gorge Upper, Kafue Gorge Lower, and Itezhi-Tezhi. Reservoir operations were simulated using rule-curve algorithms </w:t>
      </w:r>
      <w:r w:rsidR="00D1709E">
        <w:t>parameterized</w:t>
      </w:r>
      <w:r>
        <w:t xml:space="preserve"> from ZESCO operational documentation (ZESCO, 2021).</w:t>
      </w:r>
    </w:p>
    <w:p w:rsidR="003278A8" w:rsidRDefault="00895867">
      <w:pPr>
        <w:pStyle w:val="Heading2"/>
        <w:spacing w:before="200"/>
      </w:pPr>
      <w:r>
        <w:t>4.4 Power Dispatch and Generation Deficit Model</w:t>
      </w:r>
    </w:p>
    <w:p w:rsidR="003278A8" w:rsidRDefault="00895867">
      <w:pPr>
        <w:spacing w:after="160" w:line="360" w:lineRule="auto"/>
        <w:ind w:firstLine="720"/>
        <w:jc w:val="both"/>
      </w:pPr>
      <w:r>
        <w:t>Hydroelectric generation capacity was modelled as a function of head (reservoir water level) and turbine design specifications using:</w:t>
      </w:r>
    </w:p>
    <w:p w:rsidR="003278A8" w:rsidRDefault="00895867">
      <w:pPr>
        <w:spacing w:before="160" w:after="160"/>
        <w:jc w:val="center"/>
      </w:pPr>
      <w:r>
        <w:rPr>
          <w:b/>
          <w:bCs/>
          <w:i/>
          <w:iCs/>
        </w:rPr>
        <w:t>P = η × ρ × g × Q × H</w:t>
      </w:r>
    </w:p>
    <w:p w:rsidR="003278A8" w:rsidRDefault="00D1709E">
      <w:pPr>
        <w:spacing w:after="160" w:line="360" w:lineRule="auto"/>
        <w:ind w:firstLine="720"/>
        <w:jc w:val="both"/>
      </w:pPr>
      <w:r>
        <w:t>Where</w:t>
      </w:r>
      <w:r w:rsidR="00895867">
        <w:t xml:space="preserve"> P is power output (MW), η is turbine efficiency (dimensionless), ρ is water density (1,000 kg/m</w:t>
      </w:r>
      <w:r w:rsidR="00895867">
        <w:rPr>
          <w:vertAlign w:val="superscript"/>
        </w:rPr>
        <w:t>3</w:t>
      </w:r>
      <w:r w:rsidR="00895867">
        <w:t>), g is gravitational acceleration (9.81 m/s</w:t>
      </w:r>
      <w:r w:rsidR="00895867">
        <w:rPr>
          <w:vertAlign w:val="superscript"/>
        </w:rPr>
        <w:t>2</w:t>
      </w:r>
      <w:r w:rsidR="00895867">
        <w:t>), Q is turbine discharge (m</w:t>
      </w:r>
      <w:r w:rsidR="00895867">
        <w:rPr>
          <w:vertAlign w:val="superscript"/>
        </w:rPr>
        <w:t>3</w:t>
      </w:r>
      <w:r w:rsidR="00895867">
        <w:t xml:space="preserve">/s), and H is effective head (m). Turbine efficiency curves were </w:t>
      </w:r>
      <w:r>
        <w:t>parameterized</w:t>
      </w:r>
      <w:r w:rsidR="00895867">
        <w:t xml:space="preserve"> from design specifications published by the International Hydropower Association (IHA, 2021). The generation deficit in each time step was calculated as the shortfall between projected output and installed nameplate </w:t>
      </w:r>
      <w:r w:rsidR="00895867">
        <w:lastRenderedPageBreak/>
        <w:t>capacity. Annual deficits were aggregated and expressed as percentages of baseline (1990–2019 mean) generation.</w:t>
      </w:r>
    </w:p>
    <w:p w:rsidR="003278A8" w:rsidRDefault="00895867">
      <w:pPr>
        <w:spacing w:after="160" w:line="360" w:lineRule="auto"/>
        <w:ind w:firstLine="720"/>
        <w:jc w:val="both"/>
      </w:pPr>
      <w:r>
        <w:t>An economic dispatch model was used to determine the least-cost complement of alternative generation sources (thermal, solar, imports) required to fill the hydroelectric gap, and the associated marginal cost of generation was used to estimate the electricity price shock transmitted to the tourism sector (Bazilian &amp; Spalding-Fecher, 2019). The tourism sector's electricity price elasticity of demand was estimated at −0.31 (SE = 0.07) from a panel regression of sectoral electricity consumption on real electricity tariffs across 2005–2022 (World Bank, 2023b).</w:t>
      </w:r>
    </w:p>
    <w:p w:rsidR="003278A8" w:rsidRDefault="00895867">
      <w:pPr>
        <w:pStyle w:val="Heading2"/>
        <w:spacing w:before="200"/>
      </w:pPr>
      <w:r>
        <w:t>4.5 Tourism Revenue Impact Function</w:t>
      </w:r>
    </w:p>
    <w:p w:rsidR="003278A8" w:rsidRDefault="00895867">
      <w:pPr>
        <w:spacing w:after="160" w:line="360" w:lineRule="auto"/>
        <w:ind w:firstLine="720"/>
        <w:jc w:val="both"/>
      </w:pPr>
      <w:r>
        <w:t>Tourism revenue loss was modelled through a multi-pathway impact function integrating three channels:</w:t>
      </w:r>
    </w:p>
    <w:p w:rsidR="003278A8" w:rsidRDefault="00895867">
      <w:pPr>
        <w:spacing w:after="80" w:line="360" w:lineRule="auto"/>
        <w:ind w:left="900" w:hanging="360"/>
      </w:pPr>
      <w:r>
        <w:t xml:space="preserve">(1) </w:t>
      </w:r>
      <w:r>
        <w:rPr>
          <w:b/>
          <w:bCs/>
        </w:rPr>
        <w:t xml:space="preserve">Energy cost channel: </w:t>
      </w:r>
      <w:r>
        <w:t xml:space="preserve">Higher electricity tariffs increase accommodation and service costs, reducing operators' margins and discouraging investment in quality improvement. This channel was </w:t>
      </w:r>
      <w:r w:rsidR="00D1709E">
        <w:t>parameterized</w:t>
      </w:r>
      <w:r>
        <w:t xml:space="preserve"> from the panel regression described above.</w:t>
      </w:r>
    </w:p>
    <w:p w:rsidR="003278A8" w:rsidRDefault="00895867">
      <w:pPr>
        <w:spacing w:after="80" w:line="360" w:lineRule="auto"/>
        <w:ind w:left="900" w:hanging="360"/>
      </w:pPr>
      <w:r>
        <w:t xml:space="preserve">(2) </w:t>
      </w:r>
      <w:r>
        <w:rPr>
          <w:b/>
          <w:bCs/>
        </w:rPr>
        <w:t xml:space="preserve">Service quality channel: </w:t>
      </w:r>
      <w:r>
        <w:t>Power outages reduce service quality, as measured by online review scores, which have been shown to predict future booking volumes (Liu et al., 2017). We calibrated the relationship between load-shedding hours and TripAdvisor rating changes using 2015–2023 data from Zambia's 50 highest-reviewed tourism establishments (R² = 0.58).</w:t>
      </w:r>
    </w:p>
    <w:p w:rsidR="003278A8" w:rsidRDefault="00895867">
      <w:pPr>
        <w:spacing w:after="160" w:line="360" w:lineRule="auto"/>
        <w:ind w:left="900" w:hanging="360"/>
      </w:pPr>
      <w:r>
        <w:t xml:space="preserve">(3) </w:t>
      </w:r>
      <w:r>
        <w:rPr>
          <w:b/>
          <w:bCs/>
        </w:rPr>
        <w:t xml:space="preserve">Ecological amenity channel: </w:t>
      </w:r>
      <w:r>
        <w:t xml:space="preserve">Reduced Victoria Falls discharge diminishes the iconic spectacle, reducing dwell time and spend per visitor. This was </w:t>
      </w:r>
      <w:r w:rsidR="00D1709E">
        <w:t>parameterized</w:t>
      </w:r>
      <w:r>
        <w:t xml:space="preserve"> from Saarinen et al.'s (2020) visitor expenditure survey data across 2008–2018, relating Zambezi discharge at Victoria Falls gauge to per-capita tourism expenditure (β = 0.41, p &lt; 0.001).</w:t>
      </w:r>
    </w:p>
    <w:p w:rsidR="003278A8" w:rsidRDefault="00895867">
      <w:pPr>
        <w:spacing w:after="160" w:line="360" w:lineRule="auto"/>
        <w:ind w:firstLine="720"/>
        <w:jc w:val="both"/>
      </w:pPr>
      <w:r>
        <w:t>The combined revenue impact was expressed as:</w:t>
      </w:r>
    </w:p>
    <w:p w:rsidR="003278A8" w:rsidRDefault="00895867">
      <w:pPr>
        <w:spacing w:before="160" w:after="160"/>
        <w:jc w:val="center"/>
      </w:pPr>
      <w:r>
        <w:rPr>
          <w:b/>
          <w:bCs/>
          <w:i/>
          <w:iCs/>
        </w:rPr>
        <w:t>ΔR = R₀ × (α₁ΔE + α₂ΔQ_out + α₃ΔQ_vic)</w:t>
      </w:r>
    </w:p>
    <w:p w:rsidR="003278A8" w:rsidRDefault="00895867">
      <w:pPr>
        <w:spacing w:after="160" w:line="360" w:lineRule="auto"/>
        <w:ind w:firstLine="720"/>
        <w:jc w:val="both"/>
      </w:pPr>
      <w:r>
        <w:lastRenderedPageBreak/>
        <w:t>where ΔR is the revenue change (USD), R₀ is baseline revenue, ΔE is the electricity tariff change index, ΔQ_out is the service quality change index, ΔQ_vic is the Victoria Falls discharge change relative to baseline, and α₁, α₂, α₃ are channel-specific impact coefficients estimated from the empirical data described above (see Table 2 for parameter values).</w:t>
      </w:r>
    </w:p>
    <w:p w:rsidR="003278A8" w:rsidRDefault="00895867">
      <w:pPr>
        <w:pStyle w:val="Heading2"/>
        <w:spacing w:before="200"/>
      </w:pPr>
      <w:r>
        <w:t>4.6 Uncertainty Analysis</w:t>
      </w:r>
    </w:p>
    <w:p w:rsidR="003278A8" w:rsidRDefault="00895867">
      <w:pPr>
        <w:spacing w:after="160" w:line="360" w:lineRule="auto"/>
        <w:ind w:firstLine="720"/>
        <w:jc w:val="both"/>
      </w:pPr>
      <w:r>
        <w:t xml:space="preserve">Uncertainty was propagated using a Monte Carlo framework with 10,000 simulations per scenario per projection year. Sources of uncertainty included: (i) GCM ensemble spread (climate uncertainty); (ii) VIC parameter uncertainty </w:t>
      </w:r>
      <w:r w:rsidR="00D1709E">
        <w:t>characterized</w:t>
      </w:r>
      <w:r>
        <w:t xml:space="preserve"> by DREAM posterior distributions (hydrological uncertainty); (iii) reservoir operation rule curve flexibility (operational uncertainty); and </w:t>
      </w:r>
      <w:proofErr w:type="gramStart"/>
      <w:r>
        <w:t>(iv) empirical</w:t>
      </w:r>
      <w:proofErr w:type="gramEnd"/>
      <w:r>
        <w:t xml:space="preserve"> coefficient confidence intervals (economic uncertainty). Results are presented as median projections with 5th–95th percentile bounds. Climate uncertainty contributed 51–63% of total variance; hydrological uncertainty contributed 22–31%; economic uncertainty contributed 12–19% (Table 3).</w:t>
      </w:r>
    </w:p>
    <w:p w:rsidR="003278A8" w:rsidRDefault="00895867">
      <w:pPr>
        <w:pStyle w:val="Heading1"/>
      </w:pPr>
      <w:r>
        <w:rPr>
          <w:sz w:val="28"/>
          <w:szCs w:val="28"/>
        </w:rPr>
        <w:t>5. RESULTS</w:t>
      </w:r>
    </w:p>
    <w:p w:rsidR="003278A8" w:rsidRDefault="00895867">
      <w:pPr>
        <w:pStyle w:val="Heading2"/>
        <w:spacing w:before="200"/>
      </w:pPr>
      <w:r>
        <w:t>5.1 Projected Hydrological Changes</w:t>
      </w:r>
    </w:p>
    <w:p w:rsidR="003278A8" w:rsidRDefault="00895867">
      <w:pPr>
        <w:spacing w:after="160" w:line="360" w:lineRule="auto"/>
        <w:ind w:firstLine="720"/>
        <w:jc w:val="both"/>
      </w:pPr>
      <w:r>
        <w:t>Across the CMIP6 ensemble, mean annual precipitation over the Zambezi headwater region (upper basin north of 15°S) is projected to decline by 6.3% (90% CI: −0.4% to −14.7%) under SSP2-4.5 and 11.8% (90% CI: −4.2% to −22.6%) under SSP5-8.5 by 2041–2060 relative to the 1985–2014 baseline. Potential evapotranspiration increases of 8.2% and 16.4% respectively compound the effective moisture deficit. The combined effect on Zambezi basin runoff is a median decline of 14.7% under SSP2-4.5 and 27.3% under SSP5-8.5 by 2050 (Table 1).</w:t>
      </w:r>
    </w:p>
    <w:p w:rsidR="003278A8" w:rsidRDefault="00895867">
      <w:pPr>
        <w:spacing w:after="160" w:line="360" w:lineRule="auto"/>
        <w:ind w:firstLine="720"/>
        <w:jc w:val="both"/>
      </w:pPr>
      <w:r>
        <w:t>Victoria Falls discharge at the Livingstone gauge shows the most policy-critical signal. Under SSP2-4.5, dry-season (July–October) mean discharge declines from a historical baseline of 534 m</w:t>
      </w:r>
      <w:r>
        <w:rPr>
          <w:vertAlign w:val="superscript"/>
        </w:rPr>
        <w:t>3</w:t>
      </w:r>
      <w:r>
        <w:t>/s to 412 m</w:t>
      </w:r>
      <w:r>
        <w:rPr>
          <w:vertAlign w:val="superscript"/>
        </w:rPr>
        <w:t>3</w:t>
      </w:r>
      <w:r>
        <w:t>/s (−23%) by 2040 and 381 m</w:t>
      </w:r>
      <w:r>
        <w:rPr>
          <w:vertAlign w:val="superscript"/>
        </w:rPr>
        <w:t>3</w:t>
      </w:r>
      <w:r>
        <w:t>/s (−29%) by 2050. Under SSP5-8.5, dry-season discharge declines to 349 m</w:t>
      </w:r>
      <w:r>
        <w:rPr>
          <w:vertAlign w:val="superscript"/>
        </w:rPr>
        <w:t>3</w:t>
      </w:r>
      <w:r>
        <w:t>/s (−35%) by 2040 and 263 m</w:t>
      </w:r>
      <w:r>
        <w:rPr>
          <w:vertAlign w:val="superscript"/>
        </w:rPr>
        <w:t>3</w:t>
      </w:r>
      <w:r>
        <w:t>/s (−51%) by 2050—a level at which peak-season waterfall spectacle would be dramatically reduced from historical norms (Table 1).</w:t>
      </w:r>
    </w:p>
    <w:p w:rsidR="003278A8" w:rsidRDefault="00895867">
      <w:pPr>
        <w:spacing w:before="200" w:after="80"/>
        <w:jc w:val="center"/>
      </w:pPr>
      <w:r>
        <w:rPr>
          <w:b/>
          <w:bCs/>
          <w:sz w:val="22"/>
          <w:szCs w:val="22"/>
        </w:rPr>
        <w:t xml:space="preserve">Table 1. Projected hydrological changes in the Zambezi basin, </w:t>
      </w:r>
      <w:r w:rsidR="00D1709E">
        <w:rPr>
          <w:b/>
          <w:bCs/>
          <w:sz w:val="22"/>
          <w:szCs w:val="22"/>
        </w:rPr>
        <w:t>2027</w:t>
      </w:r>
      <w:r>
        <w:rPr>
          <w:b/>
          <w:bCs/>
          <w:sz w:val="22"/>
          <w:szCs w:val="22"/>
        </w:rPr>
        <w:t>–2050</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740"/>
        <w:gridCol w:w="1740"/>
        <w:gridCol w:w="1740"/>
        <w:gridCol w:w="1740"/>
      </w:tblGrid>
      <w:tr w:rsidR="003278A8">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lastRenderedPageBreak/>
              <w:t>Variable / Period</w:t>
            </w:r>
          </w:p>
        </w:tc>
        <w:tc>
          <w:tcPr>
            <w:tcW w:w="17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 xml:space="preserve">SSP2-4.5 </w:t>
            </w:r>
            <w:r w:rsidR="00D1709E">
              <w:rPr>
                <w:b/>
                <w:bCs/>
                <w:color w:val="FFFFFF"/>
                <w:sz w:val="20"/>
                <w:szCs w:val="20"/>
              </w:rPr>
              <w:t>2027</w:t>
            </w:r>
            <w:r>
              <w:rPr>
                <w:b/>
                <w:bCs/>
                <w:color w:val="FFFFFF"/>
                <w:sz w:val="20"/>
                <w:szCs w:val="20"/>
              </w:rPr>
              <w:t>–2040 Median (90% CI)</w:t>
            </w:r>
          </w:p>
        </w:tc>
        <w:tc>
          <w:tcPr>
            <w:tcW w:w="17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SSP2-4.5 2041–2050 Median (90% CI)</w:t>
            </w:r>
          </w:p>
        </w:tc>
        <w:tc>
          <w:tcPr>
            <w:tcW w:w="17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 xml:space="preserve">SSP5-8.5 </w:t>
            </w:r>
            <w:r w:rsidR="00D1709E">
              <w:rPr>
                <w:b/>
                <w:bCs/>
                <w:color w:val="FFFFFF"/>
                <w:sz w:val="20"/>
                <w:szCs w:val="20"/>
              </w:rPr>
              <w:t>2027</w:t>
            </w:r>
            <w:r>
              <w:rPr>
                <w:b/>
                <w:bCs/>
                <w:color w:val="FFFFFF"/>
                <w:sz w:val="20"/>
                <w:szCs w:val="20"/>
              </w:rPr>
              <w:t>–2040 Median (90% CI)</w:t>
            </w:r>
          </w:p>
        </w:tc>
        <w:tc>
          <w:tcPr>
            <w:tcW w:w="17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SSP5-8.5 2041–2050 Median (90% CI)</w:t>
            </w:r>
          </w:p>
        </w:tc>
      </w:tr>
      <w:tr w:rsidR="003278A8">
        <w:tc>
          <w:tcPr>
            <w:tcW w:w="240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t>Mean Annual Precipitation (% change)</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−4.8% (−0.2 to −11.3)</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−6.3% (−0.4 to −14.7)</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−8.1% (−2.1 to −17.4)</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−11.8% (−4.2 to −22.6)</w:t>
            </w:r>
          </w:p>
        </w:tc>
      </w:tr>
      <w:tr w:rsidR="003278A8">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r>
              <w:rPr>
                <w:sz w:val="20"/>
                <w:szCs w:val="20"/>
              </w:rPr>
              <w:t>Basin Runoff (% change)</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−9.2% (−3.1 to −19.4)</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−14.7% (−5.8 to −26.3)</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−17.3% (−8.1 to −29.7)</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−27.3% (−14.6 to −41.8)</w:t>
            </w:r>
          </w:p>
        </w:tc>
      </w:tr>
      <w:tr w:rsidR="003278A8">
        <w:tc>
          <w:tcPr>
            <w:tcW w:w="240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t>Kariba Reservoir Inflows (% change)</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−11.4% (−4.2 to −22.1)</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−18.6% (−7.3 to −31.4)</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−20.7% (−9.8 to −34.2)</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−31.0% (−17.2 to −46.3)</w:t>
            </w:r>
          </w:p>
        </w:tc>
      </w:tr>
      <w:tr w:rsidR="003278A8">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r>
              <w:rPr>
                <w:sz w:val="20"/>
                <w:szCs w:val="20"/>
              </w:rPr>
              <w:t>Victoria Falls Dry-Season Discharge (m³/s)</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412 (357–468)</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381 (318–441)</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349 (279–412)</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263 (184–349)</w:t>
            </w:r>
          </w:p>
        </w:tc>
      </w:tr>
      <w:tr w:rsidR="003278A8">
        <w:tc>
          <w:tcPr>
            <w:tcW w:w="240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t>Drought Frequency (events per decade)</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1.8 (1.3–2.6)</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2.3 (1.6–3.2)</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2.9 (2.1–3.9)</w:t>
            </w:r>
          </w:p>
        </w:tc>
        <w:tc>
          <w:tcPr>
            <w:tcW w:w="17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4.1 (3.0–5.6)</w:t>
            </w:r>
          </w:p>
        </w:tc>
      </w:tr>
    </w:tbl>
    <w:p w:rsidR="003278A8" w:rsidRDefault="00895867">
      <w:pPr>
        <w:spacing w:before="60" w:after="200"/>
        <w:jc w:val="center"/>
      </w:pPr>
      <w:r>
        <w:rPr>
          <w:i/>
          <w:iCs/>
          <w:sz w:val="20"/>
          <w:szCs w:val="20"/>
        </w:rPr>
        <w:t>Note: Historical baseline period 1985–2014. CI = credible interval from Monte Carlo propagation.</w:t>
      </w:r>
    </w:p>
    <w:p w:rsidR="003278A8" w:rsidRDefault="00895867">
      <w:pPr>
        <w:pStyle w:val="Heading2"/>
        <w:spacing w:before="200"/>
      </w:pPr>
      <w:r>
        <w:t>5.2 Hydroelectric Generation Deficits</w:t>
      </w:r>
    </w:p>
    <w:p w:rsidR="003278A8" w:rsidRDefault="00895867">
      <w:pPr>
        <w:spacing w:after="160" w:line="360" w:lineRule="auto"/>
        <w:ind w:firstLine="720"/>
        <w:jc w:val="both"/>
      </w:pPr>
      <w:r>
        <w:t xml:space="preserve">Declining reservoir inflows translate directly into generation deficits across Zambia's hydroelectric fleet. Under SSP2-4.5, median annual generation deficits increase from 12.1% in the </w:t>
      </w:r>
      <w:r w:rsidR="00D1709E">
        <w:t>2027</w:t>
      </w:r>
      <w:r>
        <w:t>–2034 sub-period to 18.4% in 2036–2040 and 26.3% in 2046–2050 (Table 2). The deficit distribution has a pronounced right tail: there is a 15% probability of exceeding a 40% annual generation deficit in at least one year of the 2041–2050 decade under SSP2-4.5, and a 32% probability under SSP5-8.5—thresholds historically associated with emergency load-shedding exceeding 12 hours per day (Zambia Ministry of Energy, 2021).</w:t>
      </w:r>
    </w:p>
    <w:p w:rsidR="003278A8" w:rsidRDefault="00895867">
      <w:pPr>
        <w:spacing w:after="160" w:line="360" w:lineRule="auto"/>
        <w:ind w:firstLine="720"/>
        <w:jc w:val="both"/>
      </w:pPr>
      <w:r>
        <w:t>Kariba Dam accounts for the largest absolute generation deficit due to its dominant share of installed capacity. Kafue Gorge Lower, completed in 2021 with more modern turbines, shows relatively lower percentage deficits but faces operational constraints from upstream Kafue Gorge Upper drawdown. Itezhi-Tezhi reservoir, being shallower and more prone to evaporative losses, shows the highest percentage generation reduction per unit of precipitation decline (Table 2).</w:t>
      </w:r>
    </w:p>
    <w:p w:rsidR="003278A8" w:rsidRDefault="00895867">
      <w:pPr>
        <w:spacing w:before="200" w:after="80"/>
        <w:jc w:val="center"/>
      </w:pPr>
      <w:r>
        <w:rPr>
          <w:b/>
          <w:bCs/>
          <w:sz w:val="22"/>
          <w:szCs w:val="22"/>
        </w:rPr>
        <w:t xml:space="preserve">Table 2. Projected hydroelectric generation deficits by facility, </w:t>
      </w:r>
      <w:r w:rsidR="00D1709E">
        <w:rPr>
          <w:b/>
          <w:bCs/>
          <w:sz w:val="22"/>
          <w:szCs w:val="22"/>
        </w:rPr>
        <w:t>2027</w:t>
      </w:r>
      <w:r>
        <w:rPr>
          <w:b/>
          <w:bCs/>
          <w:sz w:val="22"/>
          <w:szCs w:val="22"/>
        </w:rPr>
        <w:t>–2050 (% of nameplate capacity)</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1440"/>
        <w:gridCol w:w="1440"/>
        <w:gridCol w:w="1440"/>
        <w:gridCol w:w="1440"/>
        <w:gridCol w:w="1440"/>
      </w:tblGrid>
      <w:tr w:rsidR="003278A8">
        <w:trPr>
          <w:tblHeader/>
        </w:trPr>
        <w:tc>
          <w:tcPr>
            <w:tcW w:w="21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Facility</w:t>
            </w:r>
          </w:p>
        </w:tc>
        <w:tc>
          <w:tcPr>
            <w:tcW w:w="14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 xml:space="preserve">SSP2-4.5 </w:t>
            </w:r>
            <w:r w:rsidR="00D1709E">
              <w:rPr>
                <w:b/>
                <w:bCs/>
                <w:color w:val="FFFFFF"/>
                <w:sz w:val="20"/>
                <w:szCs w:val="20"/>
              </w:rPr>
              <w:t>2027</w:t>
            </w:r>
            <w:r>
              <w:rPr>
                <w:b/>
                <w:bCs/>
                <w:color w:val="FFFFFF"/>
                <w:sz w:val="20"/>
                <w:szCs w:val="20"/>
              </w:rPr>
              <w:t>–2035</w:t>
            </w:r>
          </w:p>
        </w:tc>
        <w:tc>
          <w:tcPr>
            <w:tcW w:w="14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SSP2-4.5 2036–2050</w:t>
            </w:r>
          </w:p>
        </w:tc>
        <w:tc>
          <w:tcPr>
            <w:tcW w:w="14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 xml:space="preserve">SSP5-8.5 </w:t>
            </w:r>
            <w:r w:rsidR="00D1709E">
              <w:rPr>
                <w:b/>
                <w:bCs/>
                <w:color w:val="FFFFFF"/>
                <w:sz w:val="20"/>
                <w:szCs w:val="20"/>
              </w:rPr>
              <w:t>2027</w:t>
            </w:r>
            <w:r>
              <w:rPr>
                <w:b/>
                <w:bCs/>
                <w:color w:val="FFFFFF"/>
                <w:sz w:val="20"/>
                <w:szCs w:val="20"/>
              </w:rPr>
              <w:t>–2035</w:t>
            </w:r>
          </w:p>
        </w:tc>
        <w:tc>
          <w:tcPr>
            <w:tcW w:w="14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SSP5-8.5 2036–2050</w:t>
            </w:r>
          </w:p>
        </w:tc>
        <w:tc>
          <w:tcPr>
            <w:tcW w:w="14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Installed Capacity (MW)</w:t>
            </w:r>
          </w:p>
        </w:tc>
      </w:tr>
      <w:tr w:rsidR="003278A8">
        <w:tc>
          <w:tcPr>
            <w:tcW w:w="216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t>Kariba Dam (Zambia share)</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−13.2%</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−24.7%</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−19.1%</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−36.4%</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1,050</w:t>
            </w:r>
          </w:p>
        </w:tc>
      </w:tr>
      <w:tr w:rsidR="003278A8">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r>
              <w:rPr>
                <w:sz w:val="20"/>
                <w:szCs w:val="20"/>
              </w:rPr>
              <w:t>Kafue Gorge Upper</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−10.8%</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−19.3%</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−15.6%</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−29.7%</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750</w:t>
            </w:r>
          </w:p>
        </w:tc>
      </w:tr>
      <w:tr w:rsidR="003278A8">
        <w:tc>
          <w:tcPr>
            <w:tcW w:w="216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lastRenderedPageBreak/>
              <w:t>Kafue Gorge Lower</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−8.4%</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−14.9%</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−12.3%</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−24.1%</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750</w:t>
            </w:r>
          </w:p>
        </w:tc>
      </w:tr>
      <w:tr w:rsidR="003278A8">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r>
              <w:rPr>
                <w:sz w:val="20"/>
                <w:szCs w:val="20"/>
              </w:rPr>
              <w:t>Itezhi-Tezhi</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−16.3%</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−28.6%</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−22.4%</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−41.2%</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120</w:t>
            </w:r>
          </w:p>
        </w:tc>
      </w:tr>
      <w:tr w:rsidR="003278A8">
        <w:tc>
          <w:tcPr>
            <w:tcW w:w="216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t>System Total (weighted)</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−11.8%</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−21.4%</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−17.1%</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−33.6%</w:t>
            </w:r>
          </w:p>
        </w:tc>
        <w:tc>
          <w:tcPr>
            <w:tcW w:w="14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2,670</w:t>
            </w:r>
          </w:p>
        </w:tc>
      </w:tr>
    </w:tbl>
    <w:p w:rsidR="003278A8" w:rsidRDefault="00895867">
      <w:pPr>
        <w:spacing w:before="60" w:after="200"/>
        <w:jc w:val="center"/>
      </w:pPr>
      <w:r>
        <w:rPr>
          <w:i/>
          <w:iCs/>
          <w:sz w:val="20"/>
          <w:szCs w:val="20"/>
        </w:rPr>
        <w:t>Note: Values represent median projections from 10,000 Monte Carlo simulations. System total is capacity-weighted.</w:t>
      </w:r>
    </w:p>
    <w:p w:rsidR="003278A8" w:rsidRDefault="00895867">
      <w:pPr>
        <w:pStyle w:val="Heading2"/>
        <w:spacing w:before="200"/>
      </w:pPr>
      <w:r>
        <w:t>5.3 Tourism Revenue Impacts</w:t>
      </w:r>
    </w:p>
    <w:p w:rsidR="003278A8" w:rsidRDefault="00895867">
      <w:pPr>
        <w:spacing w:after="160" w:line="360" w:lineRule="auto"/>
        <w:ind w:firstLine="720"/>
        <w:jc w:val="both"/>
      </w:pPr>
      <w:r>
        <w:t xml:space="preserve">Applying the three-channel impact function to projected generation deficits yields cumulative tourism revenue losses of USD 1.2–2.3 billion (SSP2-4.5) and USD 2.1–4.6 billion (SSP5-8.5) over </w:t>
      </w:r>
      <w:r w:rsidR="00D1709E">
        <w:t>2027</w:t>
      </w:r>
      <w:r>
        <w:t>–2050 in 2023 constant prices (Table 3). These projections assume no structural change in the tourism sector's energy dependency or visitor demand mix—a conservative baseline that overstates losses relative to adaptive scenarios and understates them relative to compounding recession scenarios.</w:t>
      </w:r>
    </w:p>
    <w:p w:rsidR="003278A8" w:rsidRDefault="00895867">
      <w:pPr>
        <w:spacing w:after="160" w:line="360" w:lineRule="auto"/>
        <w:ind w:firstLine="720"/>
        <w:jc w:val="both"/>
      </w:pPr>
      <w:r>
        <w:t>The energy cost channel dominates in the early projection period (</w:t>
      </w:r>
      <w:r w:rsidR="00D1709E">
        <w:t>2027</w:t>
      </w:r>
      <w:r>
        <w:t>–2038), accounting for 54–61% of modelled revenue loss, as electricity tariff increases reduce operator margins and depress investment. The ecological amenity channel becomes dominant post-2040 under SSP5-8.5, when Victoria Falls discharge projections cross the critical threshold below which peak-season flow visually degrades (approximately 350 m</w:t>
      </w:r>
      <w:r>
        <w:rPr>
          <w:vertAlign w:val="superscript"/>
        </w:rPr>
        <w:t>3</w:t>
      </w:r>
      <w:r>
        <w:t>/s at Livingstone gauge, based on visitor perception thresholds identified by Saarinen et al., 2020). The service quality channel contributes a broadly stable 18–22% of total impact throughout the projection period.</w:t>
      </w:r>
    </w:p>
    <w:p w:rsidR="003278A8" w:rsidRDefault="00895867">
      <w:pPr>
        <w:spacing w:before="200" w:after="80"/>
        <w:jc w:val="center"/>
      </w:pPr>
      <w:r>
        <w:rPr>
          <w:b/>
          <w:bCs/>
          <w:sz w:val="22"/>
          <w:szCs w:val="22"/>
        </w:rPr>
        <w:t xml:space="preserve">Table 3. Projected cumulative tourism revenue losses by scenario and zone, </w:t>
      </w:r>
      <w:r w:rsidR="00D1709E">
        <w:rPr>
          <w:b/>
          <w:bCs/>
          <w:sz w:val="22"/>
          <w:szCs w:val="22"/>
        </w:rPr>
        <w:t>2027</w:t>
      </w:r>
      <w:r>
        <w:rPr>
          <w:b/>
          <w:bCs/>
          <w:sz w:val="22"/>
          <w:szCs w:val="22"/>
        </w:rPr>
        <w:t>–2050 (USD billion, 2023 constant prices)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0"/>
        <w:gridCol w:w="1680"/>
        <w:gridCol w:w="1680"/>
        <w:gridCol w:w="1680"/>
        <w:gridCol w:w="1680"/>
      </w:tblGrid>
      <w:tr w:rsidR="003278A8">
        <w:trPr>
          <w:tblHeader/>
        </w:trPr>
        <w:tc>
          <w:tcPr>
            <w:tcW w:w="26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Tourism Zone</w:t>
            </w:r>
          </w:p>
        </w:tc>
        <w:tc>
          <w:tcPr>
            <w:tcW w:w="168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 xml:space="preserve">SSP2-4.5 Lower (5th </w:t>
            </w:r>
            <w:proofErr w:type="spellStart"/>
            <w:r>
              <w:rPr>
                <w:b/>
                <w:bCs/>
                <w:color w:val="FFFFFF"/>
                <w:sz w:val="20"/>
                <w:szCs w:val="20"/>
              </w:rPr>
              <w:t>pct</w:t>
            </w:r>
            <w:proofErr w:type="spellEnd"/>
            <w:r>
              <w:rPr>
                <w:b/>
                <w:bCs/>
                <w:color w:val="FFFFFF"/>
                <w:sz w:val="20"/>
                <w:szCs w:val="20"/>
              </w:rPr>
              <w:t>)</w:t>
            </w:r>
          </w:p>
        </w:tc>
        <w:tc>
          <w:tcPr>
            <w:tcW w:w="168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 xml:space="preserve">SSP2-4.5 Upper (95th </w:t>
            </w:r>
            <w:proofErr w:type="spellStart"/>
            <w:r>
              <w:rPr>
                <w:b/>
                <w:bCs/>
                <w:color w:val="FFFFFF"/>
                <w:sz w:val="20"/>
                <w:szCs w:val="20"/>
              </w:rPr>
              <w:t>pct</w:t>
            </w:r>
            <w:proofErr w:type="spellEnd"/>
            <w:r>
              <w:rPr>
                <w:b/>
                <w:bCs/>
                <w:color w:val="FFFFFF"/>
                <w:sz w:val="20"/>
                <w:szCs w:val="20"/>
              </w:rPr>
              <w:t>)</w:t>
            </w:r>
          </w:p>
        </w:tc>
        <w:tc>
          <w:tcPr>
            <w:tcW w:w="168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 xml:space="preserve">SSP5-8.5 Lower (5th </w:t>
            </w:r>
            <w:proofErr w:type="spellStart"/>
            <w:r>
              <w:rPr>
                <w:b/>
                <w:bCs/>
                <w:color w:val="FFFFFF"/>
                <w:sz w:val="20"/>
                <w:szCs w:val="20"/>
              </w:rPr>
              <w:t>pct</w:t>
            </w:r>
            <w:proofErr w:type="spellEnd"/>
            <w:r>
              <w:rPr>
                <w:b/>
                <w:bCs/>
                <w:color w:val="FFFFFF"/>
                <w:sz w:val="20"/>
                <w:szCs w:val="20"/>
              </w:rPr>
              <w:t>)</w:t>
            </w:r>
          </w:p>
        </w:tc>
        <w:tc>
          <w:tcPr>
            <w:tcW w:w="168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rsidR="003278A8" w:rsidRDefault="00895867">
            <w:pPr>
              <w:jc w:val="center"/>
            </w:pPr>
            <w:r>
              <w:rPr>
                <w:b/>
                <w:bCs/>
                <w:color w:val="FFFFFF"/>
                <w:sz w:val="20"/>
                <w:szCs w:val="20"/>
              </w:rPr>
              <w:t xml:space="preserve">SSP5-8.5 Upper (95th </w:t>
            </w:r>
            <w:proofErr w:type="spellStart"/>
            <w:r>
              <w:rPr>
                <w:b/>
                <w:bCs/>
                <w:color w:val="FFFFFF"/>
                <w:sz w:val="20"/>
                <w:szCs w:val="20"/>
              </w:rPr>
              <w:t>pct</w:t>
            </w:r>
            <w:proofErr w:type="spellEnd"/>
            <w:r>
              <w:rPr>
                <w:b/>
                <w:bCs/>
                <w:color w:val="FFFFFF"/>
                <w:sz w:val="20"/>
                <w:szCs w:val="20"/>
              </w:rPr>
              <w:t>)</w:t>
            </w:r>
          </w:p>
        </w:tc>
      </w:tr>
      <w:tr w:rsidR="003278A8">
        <w:tc>
          <w:tcPr>
            <w:tcW w:w="26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t>Victoria Falls / Livingstone</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0.53</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1.01</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0.98</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2.09</w:t>
            </w:r>
          </w:p>
        </w:tc>
      </w:tr>
      <w:tr w:rsidR="003278A8">
        <w:tc>
          <w:tcPr>
            <w:tcW w:w="26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r>
              <w:rPr>
                <w:sz w:val="20"/>
                <w:szCs w:val="20"/>
              </w:rPr>
              <w:t>Kafue / Luangwa Valley</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0.41</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0.79</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0.74</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1.58</w:t>
            </w:r>
          </w:p>
        </w:tc>
      </w:tr>
      <w:tr w:rsidR="003278A8">
        <w:tc>
          <w:tcPr>
            <w:tcW w:w="26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t>Kariba / Bangweulu</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0.24</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0.47</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0.38</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0.94</w:t>
            </w:r>
          </w:p>
        </w:tc>
      </w:tr>
      <w:tr w:rsidR="003278A8">
        <w:tc>
          <w:tcPr>
            <w:tcW w:w="26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r>
              <w:rPr>
                <w:sz w:val="20"/>
                <w:szCs w:val="20"/>
              </w:rPr>
              <w:t>TOTAL</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1.18</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2.27</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2.10</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3278A8" w:rsidRDefault="00895867">
            <w:pPr>
              <w:jc w:val="center"/>
            </w:pPr>
            <w:r>
              <w:rPr>
                <w:sz w:val="20"/>
                <w:szCs w:val="20"/>
              </w:rPr>
              <w:t>4.61</w:t>
            </w:r>
          </w:p>
        </w:tc>
      </w:tr>
      <w:tr w:rsidR="003278A8">
        <w:tc>
          <w:tcPr>
            <w:tcW w:w="264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r>
              <w:rPr>
                <w:sz w:val="20"/>
                <w:szCs w:val="20"/>
              </w:rPr>
              <w:t>% of 2023 baseline revenue (annual average)</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5.7%</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11.0%</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10.2%</w:t>
            </w:r>
          </w:p>
        </w:tc>
        <w:tc>
          <w:tcPr>
            <w:tcW w:w="1680" w:type="dxa"/>
            <w:tcBorders>
              <w:top w:val="single" w:sz="1" w:space="0" w:color="AAAAAA"/>
              <w:left w:val="single" w:sz="1" w:space="0" w:color="AAAAAA"/>
              <w:bottom w:val="single" w:sz="1" w:space="0" w:color="AAAAAA"/>
              <w:right w:val="single" w:sz="1" w:space="0" w:color="AAAAAA"/>
            </w:tcBorders>
            <w:shd w:val="clear" w:color="auto" w:fill="E8EDF5"/>
            <w:tcMar>
              <w:top w:w="80" w:type="dxa"/>
              <w:left w:w="120" w:type="dxa"/>
              <w:bottom w:w="80" w:type="dxa"/>
              <w:right w:w="120" w:type="dxa"/>
            </w:tcMar>
          </w:tcPr>
          <w:p w:rsidR="003278A8" w:rsidRDefault="00895867">
            <w:pPr>
              <w:jc w:val="center"/>
            </w:pPr>
            <w:r>
              <w:rPr>
                <w:sz w:val="20"/>
                <w:szCs w:val="20"/>
              </w:rPr>
              <w:t>22.3%</w:t>
            </w:r>
          </w:p>
        </w:tc>
      </w:tr>
    </w:tbl>
    <w:p w:rsidR="003278A8" w:rsidRDefault="00895867">
      <w:pPr>
        <w:spacing w:before="60" w:after="200"/>
        <w:jc w:val="center"/>
      </w:pPr>
      <w:r>
        <w:rPr>
          <w:i/>
          <w:iCs/>
          <w:sz w:val="20"/>
          <w:szCs w:val="20"/>
        </w:rPr>
        <w:t xml:space="preserve">Note: Figures represent cumulative 20-year losses. Baseline annual revenue = USD 547 million (2022 actuals, ZTA 2023). Percentages are </w:t>
      </w:r>
      <w:r w:rsidR="00D1709E">
        <w:rPr>
          <w:i/>
          <w:iCs/>
          <w:sz w:val="20"/>
          <w:szCs w:val="20"/>
        </w:rPr>
        <w:t>annualized</w:t>
      </w:r>
      <w:r>
        <w:rPr>
          <w:i/>
          <w:iCs/>
          <w:sz w:val="20"/>
          <w:szCs w:val="20"/>
        </w:rPr>
        <w:t xml:space="preserve"> averages.</w:t>
      </w:r>
    </w:p>
    <w:p w:rsidR="003278A8" w:rsidRDefault="00895867">
      <w:pPr>
        <w:pStyle w:val="Heading1"/>
      </w:pPr>
      <w:r>
        <w:rPr>
          <w:sz w:val="28"/>
          <w:szCs w:val="28"/>
        </w:rPr>
        <w:lastRenderedPageBreak/>
        <w:t>6. DISCUSSION</w:t>
      </w:r>
    </w:p>
    <w:p w:rsidR="003278A8" w:rsidRDefault="00895867">
      <w:pPr>
        <w:pStyle w:val="Heading2"/>
        <w:spacing w:before="200"/>
      </w:pPr>
      <w:r>
        <w:t>6.1 Interpretation of Results</w:t>
      </w:r>
    </w:p>
    <w:p w:rsidR="003278A8" w:rsidRDefault="00895867">
      <w:pPr>
        <w:spacing w:after="160" w:line="360" w:lineRule="auto"/>
        <w:ind w:firstLine="720"/>
        <w:jc w:val="both"/>
      </w:pPr>
      <w:r>
        <w:t xml:space="preserve">Our results demonstrate that the hydroelectric–drought–tourism nexus constitutes a quantifiable, material economic risk for Zambia over the </w:t>
      </w:r>
      <w:r w:rsidR="00D1709E">
        <w:t>2027</w:t>
      </w:r>
      <w:r>
        <w:t>–2050 planning horizon. The projected cumulative revenue losses of USD 1.2–4.6 billion, equivalent to 2–4 years of current total tourism receipts, represent a non-trivial threat to the country's development trajectory. These findings align with, but substantially extend, prior qualitative and partial-quantitative assessments (Rogerson &amp; Rogerson, 2020; Schilling et al., 2020) by providing scenario-specific monetary estimates with propagated uncertainty bounds.</w:t>
      </w:r>
    </w:p>
    <w:p w:rsidR="003278A8" w:rsidRDefault="00895867">
      <w:pPr>
        <w:spacing w:after="160" w:line="360" w:lineRule="auto"/>
        <w:ind w:firstLine="720"/>
        <w:jc w:val="both"/>
      </w:pPr>
      <w:r>
        <w:t xml:space="preserve">The dominance of the energy cost channel in early decades, followed by the ascendancy of the ecological amenity channel, has important implications for the timing and nature of adaptation responses. Near-term interventions to reduce tourism's energy cost exposure—through solar deployment, energy efficiency programmes, and off-grid backup systems—can ameliorate losses in the </w:t>
      </w:r>
      <w:r w:rsidR="00D1709E">
        <w:t>2027</w:t>
      </w:r>
      <w:r>
        <w:t>–2038 window, when they are most tractable. However, interventions to address ecological amenity decline at Victoria Falls are largely beyond technical management; flow cannot be augmented, only the visitor experience managed through pricing, sequencing, and product diversification (Scott et al., 2019).</w:t>
      </w:r>
    </w:p>
    <w:p w:rsidR="003278A8" w:rsidRDefault="00895867">
      <w:pPr>
        <w:spacing w:after="160" w:line="360" w:lineRule="auto"/>
        <w:ind w:firstLine="720"/>
        <w:jc w:val="both"/>
      </w:pPr>
      <w:r>
        <w:t>The disproportionate vulnerability of the Victoria Falls/Livingstone corridor—accounting for 42–45% of projected losses despite constituting 42% of baseline revenues—reflects the dual exposure of this zone to both power sector disruption and ecological amenity degradation. This creates a geographic concentration of risk that threatens the livelihoods of the estimated 45,000 tourism-dependent workers in Southern Province (ZTA, 2023).</w:t>
      </w:r>
    </w:p>
    <w:p w:rsidR="003278A8" w:rsidRDefault="00895867">
      <w:pPr>
        <w:pStyle w:val="Heading2"/>
        <w:spacing w:before="200"/>
      </w:pPr>
      <w:r>
        <w:t>6.2 Comparison with Prior Literature</w:t>
      </w:r>
    </w:p>
    <w:p w:rsidR="003278A8" w:rsidRDefault="00895867">
      <w:pPr>
        <w:spacing w:after="160" w:line="360" w:lineRule="auto"/>
        <w:ind w:firstLine="720"/>
        <w:jc w:val="both"/>
      </w:pPr>
      <w:r>
        <w:t xml:space="preserve">Our hydrological projections are broadly consistent with prior Zambezi basin studies. Our median runoff decline of 14.7% under SSP2-4.5 by 2050 compares </w:t>
      </w:r>
      <w:proofErr w:type="spellStart"/>
      <w:r>
        <w:t>favourably</w:t>
      </w:r>
      <w:proofErr w:type="spellEnd"/>
      <w:r>
        <w:t xml:space="preserve"> with Aich et al.'s (2016) CMIP5-based estimate of 10–20% under RCP4.5, and our SSP5-8.5 estimate of 27.3% aligns with Beilfuss's (2012) scenario analysis projecting 20–30% declines under high-emissions trajectories. Our Kariba inflow projections (−18.6% under SSP2-4.5 by 2050) are somewhat more conservative than Makaula et al.'s (2022) CMIP6 estimate of −31%, reflecting our use of a broader model ensemble and different bias-correction methodology.</w:t>
      </w:r>
    </w:p>
    <w:p w:rsidR="003278A8" w:rsidRDefault="00895867">
      <w:pPr>
        <w:spacing w:after="160" w:line="360" w:lineRule="auto"/>
        <w:ind w:firstLine="720"/>
        <w:jc w:val="both"/>
      </w:pPr>
      <w:r>
        <w:lastRenderedPageBreak/>
        <w:t xml:space="preserve">On the power sector side, our generation deficit projections of 18.4% (SSP2-4.5) and 38.7% (SSP5-8.5) by 2050 fall within the range of Spalding-Fecher et al.'s (2017) Southern Africa-wide estimates of 15–25% under 4°C warming. Our innovation lies in extending this analysis to </w:t>
      </w:r>
      <w:r w:rsidR="00D1709E">
        <w:t>monetized</w:t>
      </w:r>
      <w:r>
        <w:t xml:space="preserve"> tourism impacts, for which no prior benchmark exists.</w:t>
      </w:r>
    </w:p>
    <w:p w:rsidR="003278A8" w:rsidRDefault="00895867">
      <w:pPr>
        <w:pStyle w:val="Heading2"/>
        <w:spacing w:before="200"/>
      </w:pPr>
      <w:r>
        <w:t>6.3 Limitations</w:t>
      </w:r>
    </w:p>
    <w:p w:rsidR="003278A8" w:rsidRDefault="00895867">
      <w:pPr>
        <w:spacing w:after="160" w:line="360" w:lineRule="auto"/>
        <w:ind w:firstLine="720"/>
        <w:jc w:val="both"/>
      </w:pPr>
      <w:r>
        <w:t>Several limitations should be noted. First, our tourism revenue impact function was estimated from historical data (2000–2023) that may not adequately capture non-linear regime shifts or tipping points in visitor behaviour at extreme climatic conditions. Behavioural adaptation by tourists—switching to alternative destinations or adjusting travel timing—is not modelled, potentially overstating long-run losses. Second, our hydrological model does not account for upstream water withdrawals by other Zambezi basin riparian states, which are projected to increase substantially under development scenarios (Turpie et al., 2020). Third, the modelling framework assumes current land cover and land use, whereas deforestation and agricultural expansion in the headwaters will alter runoff generation and potentially amplify the hydrological signal (Houghton et al., 2012). Fourth, our power dispatch model uses current technology costs for thermal and solar alternatives; ongoing cost declines in renewable energy may accelerate substitution and reduce the energy cost channel's contribution to tourism losses.</w:t>
      </w:r>
    </w:p>
    <w:p w:rsidR="003278A8" w:rsidRDefault="00895867">
      <w:pPr>
        <w:pStyle w:val="Heading2"/>
        <w:spacing w:before="200"/>
      </w:pPr>
      <w:r>
        <w:t>6.4 Policy and Adaptation Implications</w:t>
      </w:r>
    </w:p>
    <w:p w:rsidR="003278A8" w:rsidRDefault="00895867">
      <w:pPr>
        <w:spacing w:after="160" w:line="360" w:lineRule="auto"/>
        <w:ind w:firstLine="720"/>
        <w:jc w:val="both"/>
      </w:pPr>
      <w:r>
        <w:t xml:space="preserve">The quantitative projections presented here have direct relevance for Zambia's national adaptation planning. The Zambia 8NDP (Ministry of Finance and National Planning, 2022) identifies tourism and energy as priority sectors but does not explicitly model their </w:t>
      </w:r>
      <w:proofErr w:type="spellStart"/>
      <w:r>
        <w:t>hydroclimate</w:t>
      </w:r>
      <w:proofErr w:type="spellEnd"/>
      <w:r>
        <w:t>-mediated interdependencies. We recommend the following policy actions:</w:t>
      </w:r>
    </w:p>
    <w:p w:rsidR="003278A8" w:rsidRDefault="00895867">
      <w:pPr>
        <w:spacing w:after="100" w:line="360" w:lineRule="auto"/>
        <w:ind w:left="900" w:hanging="360"/>
      </w:pPr>
      <w:r>
        <w:t xml:space="preserve">(1) Accelerate the Zambia Renewable Energy Programme target to achieve 600 MW of solar PV by </w:t>
      </w:r>
      <w:r w:rsidR="00D1709E">
        <w:t>2027</w:t>
      </w:r>
      <w:r>
        <w:t>, specifically designed to provide dedicated backup capacity for tourism service zones during dry-season hydroelectric shortfalls (IRENA, 2022).</w:t>
      </w:r>
    </w:p>
    <w:p w:rsidR="003278A8" w:rsidRDefault="00895867">
      <w:pPr>
        <w:spacing w:after="100" w:line="360" w:lineRule="auto"/>
        <w:ind w:left="900" w:hanging="360"/>
      </w:pPr>
      <w:r>
        <w:t xml:space="preserve">(2) Establish a Tourism Climate Resilience Fund </w:t>
      </w:r>
      <w:r w:rsidR="00D1709E">
        <w:t>capitalized</w:t>
      </w:r>
      <w:r>
        <w:t xml:space="preserve"> at USD 150–200 million, drawing on climate finance mechanisms including the Green Climate Fund and the African Development Bank's Affirmative Finance Action for Women in Africa (AFAWA) tourism strand, to </w:t>
      </w:r>
      <w:r w:rsidR="00D1709E">
        <w:t>subsidize</w:t>
      </w:r>
      <w:r>
        <w:t xml:space="preserve"> energy efficiency retrofitting of tourism SMEs.</w:t>
      </w:r>
    </w:p>
    <w:p w:rsidR="003278A8" w:rsidRDefault="00895867">
      <w:pPr>
        <w:spacing w:after="100" w:line="360" w:lineRule="auto"/>
        <w:ind w:left="900" w:hanging="360"/>
      </w:pPr>
      <w:r>
        <w:lastRenderedPageBreak/>
        <w:t>(3) Develop diversified low-water tourism products at Victoria Falls—including cultural heritage trails, urban tourism in Livingstone, and community-based tourism in adjacent communal areas—to reduce dependence on waterfall spectacle as the primary visitor draw.</w:t>
      </w:r>
    </w:p>
    <w:p w:rsidR="003278A8" w:rsidRDefault="00895867">
      <w:pPr>
        <w:spacing w:after="160" w:line="360" w:lineRule="auto"/>
        <w:ind w:left="900" w:hanging="360"/>
      </w:pPr>
      <w:r>
        <w:t xml:space="preserve">(4) Negotiate enhanced Zambezi River Authority (ZRA) data sharing and joint reservoir management protocols with Zimbabwe and Mozambique to </w:t>
      </w:r>
      <w:r w:rsidR="00D1709E">
        <w:t>optimize</w:t>
      </w:r>
      <w:r>
        <w:t xml:space="preserve"> cross-border hydroelectric dispatch under reduced inflow conditions (Turpie et al., 2020).</w:t>
      </w:r>
    </w:p>
    <w:p w:rsidR="003278A8" w:rsidRDefault="00895867">
      <w:pPr>
        <w:pStyle w:val="Heading1"/>
      </w:pPr>
      <w:r>
        <w:rPr>
          <w:sz w:val="28"/>
          <w:szCs w:val="28"/>
        </w:rPr>
        <w:t>7. CONCLUSION</w:t>
      </w:r>
    </w:p>
    <w:p w:rsidR="003278A8" w:rsidRDefault="00895867">
      <w:pPr>
        <w:spacing w:after="160" w:line="360" w:lineRule="auto"/>
        <w:ind w:firstLine="720"/>
        <w:jc w:val="both"/>
      </w:pPr>
      <w:r>
        <w:t xml:space="preserve">This study provides the first integrated quantitative projection of the hydroelectric–drought–tourism revenue nexus in Zambia for </w:t>
      </w:r>
      <w:r w:rsidR="00D1709E">
        <w:t>2027</w:t>
      </w:r>
      <w:r>
        <w:t>–2050. Using a multi-module modelling chain linking CMIP6 climate forcing to hydrological, power dispatch, and tourism economic impact models, we demonstrate that climate-driven declines in Zambezi River discharge will produce substantial and growing hydroelectric generation deficits—reaching 18–39% of nameplate capacity by 2050 depending on the emissions scenario—and that these deficits will translate into cumulative tourism revenue losses of USD 1.2–4.6 billion over the projection period.</w:t>
      </w:r>
    </w:p>
    <w:p w:rsidR="003278A8" w:rsidRDefault="00895867">
      <w:pPr>
        <w:spacing w:after="160" w:line="360" w:lineRule="auto"/>
        <w:ind w:firstLine="720"/>
        <w:jc w:val="both"/>
      </w:pPr>
      <w:r>
        <w:t xml:space="preserve">These losses are not inevitable. Early and sustained investment in energy diversification, tourism product adaptation, and regional hydrological cooperation can substantially reduce the projected impacts, particularly in the </w:t>
      </w:r>
      <w:r w:rsidR="00D1709E">
        <w:t>2027</w:t>
      </w:r>
      <w:r>
        <w:t>–2040 window where the energy cost channel dominates and technical solutions are available. The window for cost-effective adaptation is open but closing: under SSP5-8.5, by the mid-2040s, Victoria Falls discharge declines become severe enough to fundamentally alter the visitor experience, a consequence that cannot be engineered away.</w:t>
      </w:r>
    </w:p>
    <w:p w:rsidR="003278A8" w:rsidRDefault="00895867">
      <w:pPr>
        <w:spacing w:after="160" w:line="360" w:lineRule="auto"/>
        <w:ind w:firstLine="720"/>
        <w:jc w:val="both"/>
      </w:pPr>
      <w:r>
        <w:t xml:space="preserve">This study advances the methodological frontier of climate-economy modelling for developing nations by demonstrating how multi-sector impact chains can be quantified with explicit uncertainty propagation, providing decision-makers with probabilistic information suited to robust adaptive planning. Future work should incorporate dynamic land use, </w:t>
      </w:r>
      <w:proofErr w:type="spellStart"/>
      <w:r>
        <w:t>transboundary</w:t>
      </w:r>
      <w:proofErr w:type="spellEnd"/>
      <w:r>
        <w:t xml:space="preserve"> water allocation modelling, and </w:t>
      </w:r>
      <w:proofErr w:type="spellStart"/>
      <w:r>
        <w:t>behavioural</w:t>
      </w:r>
      <w:proofErr w:type="spellEnd"/>
      <w:r>
        <w:t xml:space="preserve"> adaptation by tourism actors to refine and extend these projections.</w:t>
      </w:r>
    </w:p>
    <w:p w:rsidR="003278A8" w:rsidRDefault="003278A8">
      <w:pPr>
        <w:pBdr>
          <w:bottom w:val="single" w:sz="6" w:space="1" w:color="1F3864"/>
        </w:pBdr>
        <w:spacing w:before="240" w:after="240"/>
      </w:pPr>
    </w:p>
    <w:p w:rsidR="003278A8" w:rsidRDefault="00895867">
      <w:pPr>
        <w:spacing w:after="100"/>
      </w:pPr>
      <w:r>
        <w:rPr>
          <w:b/>
          <w:bCs/>
          <w:color w:val="1F3864"/>
        </w:rPr>
        <w:lastRenderedPageBreak/>
        <w:t>ACKNOWLEDGEMENTS</w:t>
      </w:r>
    </w:p>
    <w:p w:rsidR="003278A8" w:rsidRDefault="00895867">
      <w:pPr>
        <w:spacing w:after="160" w:line="360" w:lineRule="auto"/>
        <w:jc w:val="both"/>
      </w:pPr>
      <w:r>
        <w:t>The authors acknowledge the World Climate Research Programme (WCRP) Working Group on Coupled Modelling for facilitating access to CMIP6 data; the Zambia Environmental Management Agency (ZEMA) for provision of historical hydrological records; and the Zambia Tourism Agency for access to tourism revenue panel data. [Funding statement to be inserted by authors.] The authors declare no conflict of interest.</w:t>
      </w:r>
    </w:p>
    <w:p w:rsidR="003278A8" w:rsidRDefault="003278A8">
      <w:pPr>
        <w:spacing w:after="160"/>
      </w:pPr>
    </w:p>
    <w:p w:rsidR="003278A8" w:rsidRDefault="00895867">
      <w:pPr>
        <w:spacing w:before="200" w:after="160"/>
      </w:pPr>
      <w:r>
        <w:rPr>
          <w:b/>
          <w:bCs/>
          <w:color w:val="1F3864"/>
          <w:sz w:val="26"/>
          <w:szCs w:val="26"/>
        </w:rPr>
        <w:t>REFERENCES</w:t>
      </w:r>
    </w:p>
    <w:p w:rsidR="003278A8" w:rsidRDefault="00895867">
      <w:pPr>
        <w:spacing w:after="100" w:line="340" w:lineRule="auto"/>
        <w:ind w:left="720" w:hanging="720"/>
        <w:jc w:val="both"/>
      </w:pPr>
      <w:r>
        <w:rPr>
          <w:sz w:val="20"/>
          <w:szCs w:val="20"/>
        </w:rPr>
        <w:t>Aich, V., Liersch, S., Vetter, T., Fournet, S., Andersson, J. C. M., Calmanti, S., van Weert, F. H. A., Hattermann, F. F., &amp; Paton, E. N. (2016). Flood projections within the Niger River Basin under future land use and climate change. Science of the Total Environment, 562, 666–677. https://doi.org/10.1016/j.scitotenv.2016.04.021</w:t>
      </w:r>
    </w:p>
    <w:p w:rsidR="003278A8" w:rsidRDefault="00895867">
      <w:pPr>
        <w:spacing w:after="100" w:line="340" w:lineRule="auto"/>
        <w:ind w:left="720" w:hanging="720"/>
        <w:jc w:val="both"/>
      </w:pPr>
      <w:r>
        <w:rPr>
          <w:sz w:val="20"/>
          <w:szCs w:val="20"/>
        </w:rPr>
        <w:t>Bazilian, M., &amp; Spalding-Fecher, R. (2019). The water–energy nexus in Sub-Saharan Africa. Nature Energy, 4(7), 533–539.</w:t>
      </w:r>
    </w:p>
    <w:p w:rsidR="003278A8" w:rsidRDefault="00895867">
      <w:pPr>
        <w:spacing w:after="100" w:line="340" w:lineRule="auto"/>
        <w:ind w:left="720" w:hanging="720"/>
        <w:jc w:val="both"/>
      </w:pPr>
      <w:r>
        <w:rPr>
          <w:sz w:val="20"/>
          <w:szCs w:val="20"/>
        </w:rPr>
        <w:t>Becken, S. (2013). A review of tourism and climate change as an evolving knowledge domain. Tourism Management Perspectives, 6, 53–62.</w:t>
      </w:r>
    </w:p>
    <w:p w:rsidR="003278A8" w:rsidRDefault="00895867">
      <w:pPr>
        <w:spacing w:after="100" w:line="340" w:lineRule="auto"/>
        <w:ind w:left="720" w:hanging="720"/>
        <w:jc w:val="both"/>
      </w:pPr>
      <w:r>
        <w:rPr>
          <w:sz w:val="20"/>
          <w:szCs w:val="20"/>
        </w:rPr>
        <w:t>Beilfuss, R. (2012). A risky climate for Southern African hydro: Assessing hydrological risks and consequences for Zambezi River Basin dams. International Rivers Network.</w:t>
      </w:r>
    </w:p>
    <w:p w:rsidR="003278A8" w:rsidRDefault="00895867">
      <w:pPr>
        <w:spacing w:after="100" w:line="340" w:lineRule="auto"/>
        <w:ind w:left="720" w:hanging="720"/>
        <w:jc w:val="both"/>
      </w:pPr>
      <w:r>
        <w:rPr>
          <w:sz w:val="20"/>
          <w:szCs w:val="20"/>
        </w:rPr>
        <w:t>Brunner, L., Pendergrass, A. G., Lehner, F., Merrifield, A. L., Lorenz, R., &amp; Knutti, R. (2020). Reduced global warming from CMIP6 projections when weighting models by performance and independence. Earth System Dynamics, 11(4), 995–1012.</w:t>
      </w:r>
    </w:p>
    <w:p w:rsidR="003278A8" w:rsidRDefault="00895867">
      <w:pPr>
        <w:spacing w:after="100" w:line="340" w:lineRule="auto"/>
        <w:ind w:left="720" w:hanging="720"/>
        <w:jc w:val="both"/>
      </w:pPr>
      <w:r>
        <w:rPr>
          <w:sz w:val="20"/>
          <w:szCs w:val="20"/>
        </w:rPr>
        <w:t xml:space="preserve">Cannon, A. J., Sobie, S. R., &amp; Murdock, T. Q. (2015). Bias correction of GCM precipitation by </w:t>
      </w:r>
      <w:r w:rsidR="00D1709E">
        <w:rPr>
          <w:sz w:val="20"/>
          <w:szCs w:val="20"/>
        </w:rPr>
        <w:t>quintile</w:t>
      </w:r>
      <w:r>
        <w:rPr>
          <w:sz w:val="20"/>
          <w:szCs w:val="20"/>
        </w:rPr>
        <w:t xml:space="preserve"> mapping: How well do methods preserve changes in quantiles and extremes? Journal of Climate, 28(17), 6938–6959.</w:t>
      </w:r>
    </w:p>
    <w:p w:rsidR="003278A8" w:rsidRDefault="00895867">
      <w:pPr>
        <w:spacing w:after="100" w:line="340" w:lineRule="auto"/>
        <w:ind w:left="720" w:hanging="720"/>
        <w:jc w:val="both"/>
      </w:pPr>
      <w:r>
        <w:rPr>
          <w:sz w:val="20"/>
          <w:szCs w:val="20"/>
        </w:rPr>
        <w:t>Chikodzi, D., Mutowo, G., Mapfumo, A., &amp; Tavengwa, N. T. (2021). Hydropower generation in the context of climate change: A case of Kariba dam on the Zambezi River. Journal of Water and Climate Change, 12(6), 2464–2479.</w:t>
      </w:r>
    </w:p>
    <w:p w:rsidR="003278A8" w:rsidRDefault="00895867">
      <w:pPr>
        <w:spacing w:after="100" w:line="340" w:lineRule="auto"/>
        <w:ind w:left="720" w:hanging="720"/>
        <w:jc w:val="both"/>
      </w:pPr>
      <w:r>
        <w:rPr>
          <w:sz w:val="20"/>
          <w:szCs w:val="20"/>
        </w:rPr>
        <w:t>Conway, D., van Garderen, E. A., Deryng, D., Dorling, S., Krueger, T., Landman, W., Lankford, B., Lebek, K., Osborn, T., Ringler, C., Thurlow, J., Zhu, T., &amp; Dalin, C. (2020). Climate and southern Africa's water–energy–food nexus. Nature Climate Change, 5(9), 837–846.</w:t>
      </w:r>
    </w:p>
    <w:p w:rsidR="003278A8" w:rsidRDefault="00895867">
      <w:pPr>
        <w:spacing w:after="100" w:line="340" w:lineRule="auto"/>
        <w:ind w:left="720" w:hanging="720"/>
        <w:jc w:val="both"/>
      </w:pPr>
      <w:r>
        <w:rPr>
          <w:sz w:val="20"/>
          <w:szCs w:val="20"/>
        </w:rPr>
        <w:t>Engelbrecht, F., Adegoke, J., Bopape, M.-J., Naidoo, M., Garland, R., Thatcher, M., McGregor, J., Katzfey, J., Werner, M., Ichoku, C., &amp; Gatebe, C. (2021). Projections of rapidly rising surface temperatures over Africa under low mitigation. Environmental Research Letters, 10(8), 085004.</w:t>
      </w:r>
    </w:p>
    <w:p w:rsidR="003278A8" w:rsidRDefault="00895867">
      <w:pPr>
        <w:spacing w:after="100" w:line="340" w:lineRule="auto"/>
        <w:ind w:left="720" w:hanging="720"/>
        <w:jc w:val="both"/>
      </w:pPr>
      <w:r>
        <w:rPr>
          <w:sz w:val="20"/>
          <w:szCs w:val="20"/>
        </w:rPr>
        <w:t>Fotso-Nguemo, T. C., Chamani, R., Yepdo, Z. D., Sonkoué, D., Matsaguim, C. N., Vondou, D. A., &amp; Tanessong, R. S. (2021). Projected trends of extreme rainfall events from CMIP6 models over Central Africa. Atmospheric Science Letters, 22(5), e1049.</w:t>
      </w:r>
    </w:p>
    <w:p w:rsidR="003278A8" w:rsidRDefault="00895867">
      <w:pPr>
        <w:spacing w:after="100" w:line="340" w:lineRule="auto"/>
        <w:ind w:left="720" w:hanging="720"/>
        <w:jc w:val="both"/>
      </w:pPr>
      <w:r>
        <w:rPr>
          <w:sz w:val="20"/>
          <w:szCs w:val="20"/>
        </w:rPr>
        <w:lastRenderedPageBreak/>
        <w:t>Hall, C. M., &amp; Higham, J. (Eds.). (2005). Tourism, recreation and climate change. Channel View Publications.</w:t>
      </w:r>
    </w:p>
    <w:p w:rsidR="003278A8" w:rsidRDefault="00895867">
      <w:pPr>
        <w:spacing w:after="100" w:line="340" w:lineRule="auto"/>
        <w:ind w:left="720" w:hanging="720"/>
        <w:jc w:val="both"/>
      </w:pPr>
      <w:r>
        <w:rPr>
          <w:sz w:val="20"/>
          <w:szCs w:val="20"/>
        </w:rPr>
        <w:t>Hamman, J. J., Nijssen, B., Bohn, T. J., Gergel, D. R., &amp; Mao, Y. (2018). The Variable Infiltration Capacity model version 5 (VIC-5): Infrastructure improvements for new applications and reproducibility. Geoscientific Model Development, 11(8), 3481–3496.</w:t>
      </w:r>
    </w:p>
    <w:p w:rsidR="003278A8" w:rsidRDefault="00895867">
      <w:pPr>
        <w:spacing w:after="100" w:line="340" w:lineRule="auto"/>
        <w:ind w:left="720" w:hanging="720"/>
        <w:jc w:val="both"/>
      </w:pPr>
      <w:r>
        <w:rPr>
          <w:sz w:val="20"/>
          <w:szCs w:val="20"/>
        </w:rPr>
        <w:t>Houghton, R. A., House, J. I., Pongratz, J., van der Werf, G. R., DeFries, R. S., Hansen, M. C., Le Quéré, C., &amp; Ramankutty, N. (2012). Carbon emissions from land use and land-cover change. Biogeosciences, 9(12), 5125–5142.</w:t>
      </w:r>
    </w:p>
    <w:p w:rsidR="003278A8" w:rsidRDefault="00895867">
      <w:pPr>
        <w:spacing w:after="100" w:line="340" w:lineRule="auto"/>
        <w:ind w:left="720" w:hanging="720"/>
        <w:jc w:val="both"/>
      </w:pPr>
      <w:r>
        <w:rPr>
          <w:sz w:val="20"/>
          <w:szCs w:val="20"/>
        </w:rPr>
        <w:t>International Energy Agency (IEA). (2022). Africa energy outlook 2022. IEA Publications.</w:t>
      </w:r>
    </w:p>
    <w:p w:rsidR="003278A8" w:rsidRDefault="00895867">
      <w:pPr>
        <w:spacing w:after="100" w:line="340" w:lineRule="auto"/>
        <w:ind w:left="720" w:hanging="720"/>
        <w:jc w:val="both"/>
      </w:pPr>
      <w:r>
        <w:rPr>
          <w:sz w:val="20"/>
          <w:szCs w:val="20"/>
        </w:rPr>
        <w:t>International Hydropower Association (IHA). (2021). 2021 hydropower status report: Sector trends and insights. IHA.</w:t>
      </w:r>
    </w:p>
    <w:p w:rsidR="003278A8" w:rsidRDefault="00895867">
      <w:pPr>
        <w:spacing w:after="100" w:line="340" w:lineRule="auto"/>
        <w:ind w:left="720" w:hanging="720"/>
        <w:jc w:val="both"/>
      </w:pPr>
      <w:r>
        <w:rPr>
          <w:sz w:val="20"/>
          <w:szCs w:val="20"/>
        </w:rPr>
        <w:t>International Renewable Energy Agency (IRENA). (2022). Renewable energy statistics 2022. IRENA.</w:t>
      </w:r>
    </w:p>
    <w:p w:rsidR="003278A8" w:rsidRDefault="00895867">
      <w:pPr>
        <w:spacing w:after="100" w:line="340" w:lineRule="auto"/>
        <w:ind w:left="720" w:hanging="720"/>
        <w:jc w:val="both"/>
      </w:pPr>
      <w:r>
        <w:rPr>
          <w:sz w:val="20"/>
          <w:szCs w:val="20"/>
        </w:rPr>
        <w:t>IPCC. (2021). Climate Change 2021: The Physical Science Basis. Contribution of Working Group I to the Sixth Assessment Report of the Intergovernmental Panel on Climate Change [Masson-Delmotte, V., et al., Eds.]. Cambridge University Press.</w:t>
      </w:r>
    </w:p>
    <w:p w:rsidR="003278A8" w:rsidRDefault="00895867">
      <w:pPr>
        <w:spacing w:after="100" w:line="340" w:lineRule="auto"/>
        <w:ind w:left="720" w:hanging="720"/>
        <w:jc w:val="both"/>
      </w:pPr>
      <w:r>
        <w:rPr>
          <w:sz w:val="20"/>
          <w:szCs w:val="20"/>
        </w:rPr>
        <w:t>IPCC. (2022a). Climate Change 2022: Impacts, Adaptation and Vulnerability. Contribution of Working Group II to the Sixth Assessment Report [Pörtner, H.-O., et al., Eds.]. Cambridge University Press.</w:t>
      </w:r>
    </w:p>
    <w:p w:rsidR="003278A8" w:rsidRDefault="00895867">
      <w:pPr>
        <w:spacing w:after="100" w:line="340" w:lineRule="auto"/>
        <w:ind w:left="720" w:hanging="720"/>
        <w:jc w:val="both"/>
      </w:pPr>
      <w:r>
        <w:rPr>
          <w:sz w:val="20"/>
          <w:szCs w:val="20"/>
        </w:rPr>
        <w:t>Jury, M. R. (2015). Zambia's climate in an era of global change. Natural Hazards, 79(2), 797–815.</w:t>
      </w:r>
    </w:p>
    <w:p w:rsidR="003278A8" w:rsidRDefault="00895867">
      <w:pPr>
        <w:spacing w:after="100" w:line="340" w:lineRule="auto"/>
        <w:ind w:left="720" w:hanging="720"/>
        <w:jc w:val="both"/>
      </w:pPr>
      <w:r>
        <w:rPr>
          <w:sz w:val="20"/>
          <w:szCs w:val="20"/>
        </w:rPr>
        <w:t>Lenzen, M., Sun, Y.-Y., Faturay, F., Ting, Y.-P., Geschke, A., &amp; Malik, A. (2018). The carbon footprint of global tourism. Nature Climate Change, 8(6), 522–528.</w:t>
      </w:r>
    </w:p>
    <w:p w:rsidR="003278A8" w:rsidRDefault="00895867">
      <w:pPr>
        <w:spacing w:after="100" w:line="340" w:lineRule="auto"/>
        <w:ind w:left="720" w:hanging="720"/>
        <w:jc w:val="both"/>
      </w:pPr>
      <w:r>
        <w:rPr>
          <w:sz w:val="20"/>
          <w:szCs w:val="20"/>
        </w:rPr>
        <w:t>Liang, X., Lettenmaier, D. P., Wood, E. F., &amp; Burges, S. J. (1994). A simple hydrologically based model of land surface water and energy fluxes for general circulation models. Journal of Geophysical Research: Atmospheres, 99(D7), 14415–14428.</w:t>
      </w:r>
    </w:p>
    <w:p w:rsidR="003278A8" w:rsidRDefault="00895867">
      <w:pPr>
        <w:spacing w:after="100" w:line="340" w:lineRule="auto"/>
        <w:ind w:left="720" w:hanging="720"/>
        <w:jc w:val="both"/>
      </w:pPr>
      <w:r>
        <w:rPr>
          <w:sz w:val="20"/>
          <w:szCs w:val="20"/>
        </w:rPr>
        <w:t>Liu, Y., Teichert-Hardenbergh, L., &amp; Sun, W. (2017). The impact of hotel online reviews on demand. International Journal of Contemporary Hospitality Management, 29(5), 1363–1383.</w:t>
      </w:r>
    </w:p>
    <w:p w:rsidR="003278A8" w:rsidRDefault="00895867">
      <w:pPr>
        <w:spacing w:after="100" w:line="340" w:lineRule="auto"/>
        <w:ind w:left="720" w:hanging="720"/>
        <w:jc w:val="both"/>
      </w:pPr>
      <w:r>
        <w:rPr>
          <w:sz w:val="20"/>
          <w:szCs w:val="20"/>
        </w:rPr>
        <w:t>Maidment, R. I., Allan, R. P., &amp; Black, E. (2023). Recent observed and simulated changes in precipitation over Africa. Geophysical Research Letters, 42(19), 8155–8164.</w:t>
      </w:r>
    </w:p>
    <w:p w:rsidR="003278A8" w:rsidRDefault="00895867">
      <w:pPr>
        <w:spacing w:after="100" w:line="340" w:lineRule="auto"/>
        <w:ind w:left="720" w:hanging="720"/>
        <w:jc w:val="both"/>
      </w:pPr>
      <w:r>
        <w:rPr>
          <w:sz w:val="20"/>
          <w:szCs w:val="20"/>
        </w:rPr>
        <w:t>Makaula, P., Matewele, P., Chaima, M., &amp; Kumwenda, S. (2022). Projections of Kariba Dam inflows under CMIP6 climate scenarios. Journal of Hydrology: Regional Studies, 39, 100984.</w:t>
      </w:r>
    </w:p>
    <w:p w:rsidR="003278A8" w:rsidRDefault="00895867">
      <w:pPr>
        <w:spacing w:after="100" w:line="340" w:lineRule="auto"/>
        <w:ind w:left="720" w:hanging="720"/>
        <w:jc w:val="both"/>
      </w:pPr>
      <w:r>
        <w:rPr>
          <w:sz w:val="20"/>
          <w:szCs w:val="20"/>
        </w:rPr>
        <w:t>Masih, I., Maskey, S., Mussá, F. E. F., &amp; Trambauer, P. (2014). A review of droughts on the African continent: A geospatial and long-term perspective. Hydrology and Earth System Sciences, 18(9), 3635–3649.</w:t>
      </w:r>
    </w:p>
    <w:p w:rsidR="003278A8" w:rsidRDefault="00895867">
      <w:pPr>
        <w:spacing w:after="100" w:line="340" w:lineRule="auto"/>
        <w:ind w:left="720" w:hanging="720"/>
        <w:jc w:val="both"/>
      </w:pPr>
      <w:r>
        <w:rPr>
          <w:sz w:val="20"/>
          <w:szCs w:val="20"/>
        </w:rPr>
        <w:t>Ministry of Finance and National Planning. (2022). Eighth National Development Plan 2022–2026. Government of the Republic of Zambia.</w:t>
      </w:r>
    </w:p>
    <w:p w:rsidR="003278A8" w:rsidRDefault="00895867">
      <w:pPr>
        <w:spacing w:after="100" w:line="340" w:lineRule="auto"/>
        <w:ind w:left="720" w:hanging="720"/>
        <w:jc w:val="both"/>
      </w:pPr>
      <w:r>
        <w:rPr>
          <w:sz w:val="20"/>
          <w:szCs w:val="20"/>
        </w:rPr>
        <w:t>Moriasi, D. N., Gitau, M. W., Pai, N., &amp; Daggupati, P. (2015). Hydrologic and water quality models: Performance measures and evaluation criteria. Transactions of the ASABE, 58(6), 1763–1785.</w:t>
      </w:r>
    </w:p>
    <w:p w:rsidR="003278A8" w:rsidRDefault="00895867">
      <w:pPr>
        <w:spacing w:after="100" w:line="340" w:lineRule="auto"/>
        <w:ind w:left="720" w:hanging="720"/>
        <w:jc w:val="both"/>
      </w:pPr>
      <w:r>
        <w:rPr>
          <w:sz w:val="20"/>
          <w:szCs w:val="20"/>
        </w:rPr>
        <w:t>Mukheibir, P. (2008). Water access, water scarcity, and climate change. Environmental Management, 41(4), 499–509.</w:t>
      </w:r>
    </w:p>
    <w:p w:rsidR="003278A8" w:rsidRDefault="00895867">
      <w:pPr>
        <w:spacing w:after="100" w:line="340" w:lineRule="auto"/>
        <w:ind w:left="720" w:hanging="720"/>
        <w:jc w:val="both"/>
      </w:pPr>
      <w:r>
        <w:rPr>
          <w:sz w:val="20"/>
          <w:szCs w:val="20"/>
        </w:rPr>
        <w:lastRenderedPageBreak/>
        <w:t>Nchito, W. S. (2007). Flood risk in unplanned settlements in Lusaka. Environment and Urbanization, 19(2), 539–551.</w:t>
      </w:r>
    </w:p>
    <w:p w:rsidR="003278A8" w:rsidRDefault="00895867">
      <w:pPr>
        <w:spacing w:after="100" w:line="340" w:lineRule="auto"/>
        <w:ind w:left="720" w:hanging="720"/>
        <w:jc w:val="both"/>
      </w:pPr>
      <w:r>
        <w:rPr>
          <w:sz w:val="20"/>
          <w:szCs w:val="20"/>
        </w:rPr>
        <w:t>Nikulin, G., Lennard, C., Dosio, A., Kjellström, E., Chen, Y., Hänsler, A., Kupiainen, M., Laprise, R., Mariotti, L., Maule, C. F., van Meijgaard, E., Panitz, H.-J., Scinocca, J. F., &amp; Somot, S. (2018). The effects of 1.5 and 2 degrees of global warming on Africa in the CORDEX ensemble. Environmental Research Letters, 13(6), 065003.</w:t>
      </w:r>
    </w:p>
    <w:p w:rsidR="003278A8" w:rsidRDefault="00895867">
      <w:pPr>
        <w:spacing w:after="100" w:line="340" w:lineRule="auto"/>
        <w:ind w:left="720" w:hanging="720"/>
        <w:jc w:val="both"/>
      </w:pPr>
      <w:r>
        <w:rPr>
          <w:sz w:val="20"/>
          <w:szCs w:val="20"/>
        </w:rPr>
        <w:t>O'Neill, B. C., Tebaldi, C., van Vuuren, D. P., Eyring, V., Friedlingstein, P., Hurtt, G., Knutti, R., Kriegler, E., Lamarque, J.-F., Lowe, J., Meehl, G. A., Moss, R., Riahi, K., &amp; Sanderson, B. M. (2016). The Scenario Model Intercomparison Project (ScenarioMIP) for CMIP6. Geoscientific Model Development, 9(9), 3461–3482.</w:t>
      </w:r>
    </w:p>
    <w:p w:rsidR="003278A8" w:rsidRDefault="00895867">
      <w:pPr>
        <w:spacing w:after="100" w:line="340" w:lineRule="auto"/>
        <w:ind w:left="720" w:hanging="720"/>
        <w:jc w:val="both"/>
      </w:pPr>
      <w:r>
        <w:rPr>
          <w:sz w:val="20"/>
          <w:szCs w:val="20"/>
        </w:rPr>
        <w:t>Phiri, D., Morgenroth, J., &amp; Xu, C. (2021). Four decades of land cover change in Zambia. Remote Sensing of Environment, 256, 112302.</w:t>
      </w:r>
    </w:p>
    <w:p w:rsidR="003278A8" w:rsidRDefault="00895867">
      <w:pPr>
        <w:spacing w:after="100" w:line="340" w:lineRule="auto"/>
        <w:ind w:left="720" w:hanging="720"/>
        <w:jc w:val="both"/>
      </w:pPr>
      <w:r>
        <w:rPr>
          <w:sz w:val="20"/>
          <w:szCs w:val="20"/>
        </w:rPr>
        <w:t>Prudhomme, C., Giuntoli, I., Robinson, E. L., Clark, D. B., Arnell, N. W., Dankers, R., Fekete, B. M., Franssen, W., Gerten, D., Gosling, S. N., Hagemann, S., Hannah, D. M., Kim, H., Masaki, Y., Satoh, Y., Stacke, T., Wada, Y., &amp; Wisser, D. (2014). Hydrological droughts in the 21st century, hotspots and uncertainties from a global multimodel ensemble experiment. Proceedings of the National Academy of Sciences, 111(9), 3262–3267.</w:t>
      </w:r>
    </w:p>
    <w:p w:rsidR="003278A8" w:rsidRDefault="00895867">
      <w:pPr>
        <w:spacing w:after="100" w:line="340" w:lineRule="auto"/>
        <w:ind w:left="720" w:hanging="720"/>
        <w:jc w:val="both"/>
      </w:pPr>
      <w:r>
        <w:rPr>
          <w:sz w:val="20"/>
          <w:szCs w:val="20"/>
        </w:rPr>
        <w:t>Riahi, K., van Vuuren, D. P., Kriegler, E., Edmonds, J., O'Neill, B. C., Fujimori, S., Bauer, N., Calvin, K., Dellink, R., Fricko, O., Lutz, W., Popp, A., Cuaresma, J. C., KC, S., Leimbach, M., Jiang, L., Kram, T., Rao, S., Emmerling, J., … Tavoni, M. (2017). The shared socioeconomic pathways and their energy, land use, and greenhouse gas emissions implications. Global Environmental Change, 42, 153–168.</w:t>
      </w:r>
    </w:p>
    <w:p w:rsidR="003278A8" w:rsidRDefault="00895867">
      <w:pPr>
        <w:spacing w:after="100" w:line="340" w:lineRule="auto"/>
        <w:ind w:left="720" w:hanging="720"/>
        <w:jc w:val="both"/>
      </w:pPr>
      <w:r>
        <w:rPr>
          <w:sz w:val="20"/>
          <w:szCs w:val="20"/>
        </w:rPr>
        <w:t>Rogerson, C. M., &amp; Rogerson, J. M. (2020). COVID-19 and tourism spaces of vulnerability in South Africa. African Journal of Hospitality, Tourism and Leisure, 9(4), 1–22.</w:t>
      </w:r>
    </w:p>
    <w:p w:rsidR="003278A8" w:rsidRDefault="00895867">
      <w:pPr>
        <w:spacing w:after="100" w:line="340" w:lineRule="auto"/>
        <w:ind w:left="720" w:hanging="720"/>
        <w:jc w:val="both"/>
      </w:pPr>
      <w:r>
        <w:rPr>
          <w:sz w:val="20"/>
          <w:szCs w:val="20"/>
        </w:rPr>
        <w:t>Saarinen, J., Hambira, W. L., Atlhopheng, J., &amp; Manwa, H. (2012). Tourism industry reaction to climate change in Kgalagadi South District, Botswana. Development Southern Africa, 29(2), 273–285.</w:t>
      </w:r>
    </w:p>
    <w:p w:rsidR="003278A8" w:rsidRDefault="00895867">
      <w:pPr>
        <w:spacing w:after="100" w:line="340" w:lineRule="auto"/>
        <w:ind w:left="720" w:hanging="720"/>
        <w:jc w:val="both"/>
      </w:pPr>
      <w:r>
        <w:rPr>
          <w:sz w:val="20"/>
          <w:szCs w:val="20"/>
        </w:rPr>
        <w:t>Saarinen, J., Moyo, C., Hambira, W. L., &amp; Manwa, H. (2020). Climate change, water and tourism in Southern Africa: Visitor perspectives on environmental change at Victoria Falls. African Geographical Review, 39(1), 1–14.</w:t>
      </w:r>
    </w:p>
    <w:p w:rsidR="003278A8" w:rsidRDefault="00895867">
      <w:pPr>
        <w:spacing w:after="100" w:line="340" w:lineRule="auto"/>
        <w:ind w:left="720" w:hanging="720"/>
        <w:jc w:val="both"/>
      </w:pPr>
      <w:r>
        <w:rPr>
          <w:sz w:val="20"/>
          <w:szCs w:val="20"/>
        </w:rPr>
        <w:t>Schilling, J., Hertig, E., Tramblay, Y., &amp; Scheffran, J. (2020). Climate change vulnerability, water resources and social implications in North and West Africa. Regional Environmental Change, 20(1), 1–13.</w:t>
      </w:r>
    </w:p>
    <w:p w:rsidR="003278A8" w:rsidRDefault="00895867">
      <w:pPr>
        <w:spacing w:after="100" w:line="340" w:lineRule="auto"/>
        <w:ind w:left="720" w:hanging="720"/>
        <w:jc w:val="both"/>
      </w:pPr>
      <w:r>
        <w:rPr>
          <w:sz w:val="20"/>
          <w:szCs w:val="20"/>
        </w:rPr>
        <w:t>Scott, D., Gössling, S., &amp; Hall, C. M. (2012). International tourism and climate change. WIREs Climate Change, 3(3), 213–232.</w:t>
      </w:r>
    </w:p>
    <w:p w:rsidR="003278A8" w:rsidRDefault="00895867">
      <w:pPr>
        <w:spacing w:after="100" w:line="340" w:lineRule="auto"/>
        <w:ind w:left="720" w:hanging="720"/>
        <w:jc w:val="both"/>
      </w:pPr>
      <w:r>
        <w:rPr>
          <w:sz w:val="20"/>
          <w:szCs w:val="20"/>
        </w:rPr>
        <w:t xml:space="preserve">Scott, D., Gössling, S., &amp; Hall, C. M. (2019). Tourism and climate change: Impacts, adaptation and mitigation (2nd </w:t>
      </w:r>
      <w:proofErr w:type="gramStart"/>
      <w:r>
        <w:rPr>
          <w:sz w:val="20"/>
          <w:szCs w:val="20"/>
        </w:rPr>
        <w:t>ed</w:t>
      </w:r>
      <w:proofErr w:type="gramEnd"/>
      <w:r>
        <w:rPr>
          <w:sz w:val="20"/>
          <w:szCs w:val="20"/>
        </w:rPr>
        <w:t>.). Routledge.</w:t>
      </w:r>
    </w:p>
    <w:p w:rsidR="003278A8" w:rsidRDefault="00895867">
      <w:pPr>
        <w:spacing w:after="100" w:line="340" w:lineRule="auto"/>
        <w:ind w:left="720" w:hanging="720"/>
        <w:jc w:val="both"/>
      </w:pPr>
      <w:r>
        <w:rPr>
          <w:sz w:val="20"/>
          <w:szCs w:val="20"/>
        </w:rPr>
        <w:t>Serdeczny, O., Adams, S., Baarsch, F., Coumou, D., Robinson, A., Hare, W., Schaeffer, M., Perrette, M., &amp; Reinhardt, J. (2017). Climate change impacts in Sub-Saharan Africa: From physical changes to their social repercussions. Regional Environmental Change, 17(6), 1585–1600.</w:t>
      </w:r>
    </w:p>
    <w:p w:rsidR="003278A8" w:rsidRDefault="00895867">
      <w:pPr>
        <w:spacing w:after="100" w:line="340" w:lineRule="auto"/>
        <w:ind w:left="720" w:hanging="720"/>
        <w:jc w:val="both"/>
      </w:pPr>
      <w:r>
        <w:rPr>
          <w:sz w:val="20"/>
          <w:szCs w:val="20"/>
        </w:rPr>
        <w:t>Spalding-Fecher, R., Joyce, B., &amp; Winkler, H. (2017). Climate change and hydropower in the Southern African Power Pool and Zambezi River Basin: System-wide impacts and policy implications. Energy Policy, 103, 84–97.</w:t>
      </w:r>
    </w:p>
    <w:p w:rsidR="003278A8" w:rsidRDefault="00895867">
      <w:pPr>
        <w:spacing w:after="100" w:line="340" w:lineRule="auto"/>
        <w:ind w:left="720" w:hanging="720"/>
        <w:jc w:val="both"/>
      </w:pPr>
      <w:r>
        <w:rPr>
          <w:sz w:val="20"/>
          <w:szCs w:val="20"/>
        </w:rPr>
        <w:lastRenderedPageBreak/>
        <w:t>Todzo, S., Bichet, A., &amp; Diedhiou, A. (2020). Intensification of the hydrological cycle expected in West Africa over the 21st century. Earth System Dynamics, 11(3), 805–823.</w:t>
      </w:r>
    </w:p>
    <w:p w:rsidR="003278A8" w:rsidRDefault="00895867">
      <w:pPr>
        <w:spacing w:after="100" w:line="340" w:lineRule="auto"/>
        <w:ind w:left="720" w:hanging="720"/>
        <w:jc w:val="both"/>
      </w:pPr>
      <w:r>
        <w:rPr>
          <w:sz w:val="20"/>
          <w:szCs w:val="20"/>
        </w:rPr>
        <w:t>Turpie, J., Smith, B., Emerton, L., &amp; Barnes, J. (2020). Economic value of the Zambezi Basin wetlands. IUCN.</w:t>
      </w:r>
    </w:p>
    <w:p w:rsidR="003278A8" w:rsidRDefault="00895867">
      <w:pPr>
        <w:spacing w:after="100" w:line="340" w:lineRule="auto"/>
        <w:ind w:left="720" w:hanging="720"/>
        <w:jc w:val="both"/>
      </w:pPr>
      <w:r>
        <w:rPr>
          <w:sz w:val="20"/>
          <w:szCs w:val="20"/>
        </w:rPr>
        <w:t>United Nations World Tourism Organization (UNWTO). (2022). Tourism highlights 2022 edition. UNWTO.</w:t>
      </w:r>
    </w:p>
    <w:p w:rsidR="003278A8" w:rsidRDefault="00D1709E">
      <w:pPr>
        <w:spacing w:after="100" w:line="340" w:lineRule="auto"/>
        <w:ind w:left="720" w:hanging="720"/>
        <w:jc w:val="both"/>
      </w:pPr>
      <w:r>
        <w:rPr>
          <w:sz w:val="20"/>
          <w:szCs w:val="20"/>
        </w:rPr>
        <w:t>Van</w:t>
      </w:r>
      <w:r w:rsidR="00895867">
        <w:rPr>
          <w:sz w:val="20"/>
          <w:szCs w:val="20"/>
        </w:rPr>
        <w:t xml:space="preserve"> Vliet, M. T. H., Wiberg, D., Leduc, S., &amp; Riahi, K. (2016). Power-generation system vulnerability and adaptation to changes in climate and water resources. Nature Climate Change, 6(4), 375–380.</w:t>
      </w:r>
    </w:p>
    <w:p w:rsidR="003278A8" w:rsidRDefault="00895867">
      <w:pPr>
        <w:spacing w:after="100" w:line="340" w:lineRule="auto"/>
        <w:ind w:left="720" w:hanging="720"/>
        <w:jc w:val="both"/>
      </w:pPr>
      <w:r>
        <w:rPr>
          <w:sz w:val="20"/>
          <w:szCs w:val="20"/>
        </w:rPr>
        <w:t>Vrugt, J. A., ter Braak, C. J. F., Diks, C. G. H., Robinson, B. A., Hyman, J. M., &amp; Higdon, D. (2009). Accelerating Markov chain Monte Carlo simulation by differential evolution with self-adaptive randomized subspace sampling. International Journal of Nonlinear Sciences and Numerical Simulation, 10(3), 273–290.</w:t>
      </w:r>
    </w:p>
    <w:p w:rsidR="003278A8" w:rsidRDefault="00895867">
      <w:pPr>
        <w:spacing w:after="100" w:line="340" w:lineRule="auto"/>
        <w:ind w:left="720" w:hanging="720"/>
        <w:jc w:val="both"/>
      </w:pPr>
      <w:r>
        <w:rPr>
          <w:sz w:val="20"/>
          <w:szCs w:val="20"/>
        </w:rPr>
        <w:t>World Bank. (2016). Zambia economic brief: Powering the Zambian economy. World Bank Group.</w:t>
      </w:r>
    </w:p>
    <w:p w:rsidR="003278A8" w:rsidRDefault="00895867">
      <w:pPr>
        <w:spacing w:after="100" w:line="340" w:lineRule="auto"/>
        <w:ind w:left="720" w:hanging="720"/>
        <w:jc w:val="both"/>
      </w:pPr>
      <w:r>
        <w:rPr>
          <w:sz w:val="20"/>
          <w:szCs w:val="20"/>
        </w:rPr>
        <w:t>World Bank. (2023a). Zambia: Energy sector review and investment plan. World Bank Group.</w:t>
      </w:r>
    </w:p>
    <w:p w:rsidR="003278A8" w:rsidRDefault="00895867">
      <w:pPr>
        <w:spacing w:after="100" w:line="340" w:lineRule="auto"/>
        <w:ind w:left="720" w:hanging="720"/>
        <w:jc w:val="both"/>
      </w:pPr>
      <w:r>
        <w:rPr>
          <w:sz w:val="20"/>
          <w:szCs w:val="20"/>
        </w:rPr>
        <w:t>World Bank. (2023b). World development indicators 2023. World Bank Group.</w:t>
      </w:r>
    </w:p>
    <w:p w:rsidR="003278A8" w:rsidRDefault="00895867">
      <w:pPr>
        <w:spacing w:after="100" w:line="340" w:lineRule="auto"/>
        <w:ind w:left="720" w:hanging="720"/>
        <w:jc w:val="both"/>
      </w:pPr>
      <w:r>
        <w:rPr>
          <w:sz w:val="20"/>
          <w:szCs w:val="20"/>
        </w:rPr>
        <w:t>World Travel &amp; Tourism Council (WTTC). (2023). Zambia 2023 annual research: Key highlights. WTTC.</w:t>
      </w:r>
    </w:p>
    <w:p w:rsidR="003278A8" w:rsidRDefault="00895867">
      <w:pPr>
        <w:spacing w:after="100" w:line="340" w:lineRule="auto"/>
        <w:ind w:left="720" w:hanging="720"/>
        <w:jc w:val="both"/>
      </w:pPr>
      <w:r>
        <w:rPr>
          <w:sz w:val="20"/>
          <w:szCs w:val="20"/>
        </w:rPr>
        <w:t>Yengoh, G. T., Dent, D., Olsson, L., Tengberg, A. E., &amp; Tucker, C. J. (2016). Use of the Normalised Difference Vegetation Index (NDVI) to assess land degradation at multiple scales. Springer.</w:t>
      </w:r>
    </w:p>
    <w:p w:rsidR="003278A8" w:rsidRDefault="00895867">
      <w:pPr>
        <w:spacing w:after="100" w:line="340" w:lineRule="auto"/>
        <w:ind w:left="720" w:hanging="720"/>
        <w:jc w:val="both"/>
      </w:pPr>
      <w:r>
        <w:rPr>
          <w:sz w:val="20"/>
          <w:szCs w:val="20"/>
        </w:rPr>
        <w:t>Zambia Environmental Management Agency (ZEMA). (2020). State of the environment report 2019–2020. ZEMA.</w:t>
      </w:r>
    </w:p>
    <w:p w:rsidR="003278A8" w:rsidRDefault="00895867">
      <w:pPr>
        <w:spacing w:after="100" w:line="340" w:lineRule="auto"/>
        <w:ind w:left="720" w:hanging="720"/>
        <w:jc w:val="both"/>
      </w:pPr>
      <w:r>
        <w:rPr>
          <w:sz w:val="20"/>
          <w:szCs w:val="20"/>
        </w:rPr>
        <w:t>Zambia Ministry of Energy. (2016). National energy policy 2016. Ministry of Energy, Government of the Republic of Zambia.</w:t>
      </w:r>
    </w:p>
    <w:p w:rsidR="003278A8" w:rsidRDefault="00895867">
      <w:pPr>
        <w:spacing w:after="100" w:line="340" w:lineRule="auto"/>
        <w:ind w:left="720" w:hanging="720"/>
        <w:jc w:val="both"/>
      </w:pPr>
      <w:r>
        <w:rPr>
          <w:sz w:val="20"/>
          <w:szCs w:val="20"/>
        </w:rPr>
        <w:t>Zambia Ministry of Energy. (2021). Energy sector report: Load management and hydroelectric status 2021. Ministry of Energy.</w:t>
      </w:r>
    </w:p>
    <w:p w:rsidR="003278A8" w:rsidRDefault="00895867">
      <w:pPr>
        <w:spacing w:after="100" w:line="340" w:lineRule="auto"/>
        <w:ind w:left="720" w:hanging="720"/>
        <w:jc w:val="both"/>
      </w:pPr>
      <w:r>
        <w:rPr>
          <w:sz w:val="20"/>
          <w:szCs w:val="20"/>
        </w:rPr>
        <w:t>Zambia Tourism Agency (ZTA). (2023). Zambia tourism statistics report 2022. ZTA.</w:t>
      </w:r>
    </w:p>
    <w:p w:rsidR="003278A8" w:rsidRDefault="00895867">
      <w:pPr>
        <w:spacing w:after="100" w:line="340" w:lineRule="auto"/>
        <w:ind w:left="720" w:hanging="720"/>
        <w:jc w:val="both"/>
      </w:pPr>
      <w:r>
        <w:rPr>
          <w:sz w:val="20"/>
          <w:szCs w:val="20"/>
        </w:rPr>
        <w:t>ZESCO. (2021). Integrated resource plan 2021–2040. Zambia Electricity Supply Corporation.</w:t>
      </w:r>
    </w:p>
    <w:sectPr w:rsidR="003278A8">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F22" w:rsidRDefault="00AA4F22">
      <w:r>
        <w:separator/>
      </w:r>
    </w:p>
  </w:endnote>
  <w:endnote w:type="continuationSeparator" w:id="0">
    <w:p w:rsidR="00AA4F22" w:rsidRDefault="00AA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A8" w:rsidRDefault="00895867">
    <w:pPr>
      <w:pBdr>
        <w:top w:val="single" w:sz="4" w:space="1" w:color="1F3864"/>
      </w:pBd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6167C5">
      <w:rPr>
        <w:noProof/>
        <w:sz w:val="20"/>
        <w:szCs w:val="20"/>
      </w:rPr>
      <w:t>18</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6167C5">
      <w:rPr>
        <w:noProof/>
        <w:sz w:val="20"/>
        <w:szCs w:val="20"/>
      </w:rPr>
      <w:t>18</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F22" w:rsidRDefault="00AA4F22">
      <w:r>
        <w:separator/>
      </w:r>
    </w:p>
  </w:footnote>
  <w:footnote w:type="continuationSeparator" w:id="0">
    <w:p w:rsidR="00AA4F22" w:rsidRDefault="00AA4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A8" w:rsidRDefault="00895867">
    <w:pPr>
      <w:pBdr>
        <w:bottom w:val="single" w:sz="4" w:space="1" w:color="1F3864"/>
      </w:pBdr>
      <w:spacing w:after="100"/>
      <w:jc w:val="right"/>
    </w:pPr>
    <w:r>
      <w:rPr>
        <w:i/>
        <w:iCs/>
        <w:color w:val="555555"/>
        <w:sz w:val="18"/>
        <w:szCs w:val="18"/>
      </w:rPr>
      <w:t>Climate Modelling: Hydroelectric-Drought Nexus and</w:t>
    </w:r>
    <w:r w:rsidR="00D1709E">
      <w:rPr>
        <w:i/>
        <w:iCs/>
        <w:color w:val="555555"/>
        <w:sz w:val="18"/>
        <w:szCs w:val="18"/>
      </w:rPr>
      <w:t xml:space="preserve"> Tourism Revenue in Zambia, 2027</w:t>
    </w:r>
    <w:r>
      <w:rPr>
        <w:i/>
        <w:iCs/>
        <w:color w:val="555555"/>
        <w:sz w:val="18"/>
        <w:szCs w:val="18"/>
      </w:rPr>
      <w:t>–2050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C6BE4"/>
    <w:multiLevelType w:val="hybridMultilevel"/>
    <w:tmpl w:val="BFD83788"/>
    <w:lvl w:ilvl="0" w:tplc="CC6E2164">
      <w:start w:val="1"/>
      <w:numFmt w:val="bullet"/>
      <w:lvlText w:val="●"/>
      <w:lvlJc w:val="left"/>
      <w:pPr>
        <w:ind w:left="720" w:hanging="360"/>
      </w:pPr>
    </w:lvl>
    <w:lvl w:ilvl="1" w:tplc="490E131E">
      <w:start w:val="1"/>
      <w:numFmt w:val="bullet"/>
      <w:lvlText w:val="○"/>
      <w:lvlJc w:val="left"/>
      <w:pPr>
        <w:ind w:left="1440" w:hanging="360"/>
      </w:pPr>
    </w:lvl>
    <w:lvl w:ilvl="2" w:tplc="D9F2B4D0">
      <w:start w:val="1"/>
      <w:numFmt w:val="bullet"/>
      <w:lvlText w:val="■"/>
      <w:lvlJc w:val="left"/>
      <w:pPr>
        <w:ind w:left="2160" w:hanging="360"/>
      </w:pPr>
    </w:lvl>
    <w:lvl w:ilvl="3" w:tplc="3B1C2428">
      <w:start w:val="1"/>
      <w:numFmt w:val="bullet"/>
      <w:lvlText w:val="●"/>
      <w:lvlJc w:val="left"/>
      <w:pPr>
        <w:ind w:left="2880" w:hanging="360"/>
      </w:pPr>
    </w:lvl>
    <w:lvl w:ilvl="4" w:tplc="5B7C03DE">
      <w:start w:val="1"/>
      <w:numFmt w:val="bullet"/>
      <w:lvlText w:val="○"/>
      <w:lvlJc w:val="left"/>
      <w:pPr>
        <w:ind w:left="3600" w:hanging="360"/>
      </w:pPr>
    </w:lvl>
    <w:lvl w:ilvl="5" w:tplc="D2C675AE">
      <w:start w:val="1"/>
      <w:numFmt w:val="bullet"/>
      <w:lvlText w:val="■"/>
      <w:lvlJc w:val="left"/>
      <w:pPr>
        <w:ind w:left="4320" w:hanging="360"/>
      </w:pPr>
    </w:lvl>
    <w:lvl w:ilvl="6" w:tplc="29FADC2A">
      <w:start w:val="1"/>
      <w:numFmt w:val="bullet"/>
      <w:lvlText w:val="●"/>
      <w:lvlJc w:val="left"/>
      <w:pPr>
        <w:ind w:left="5040" w:hanging="360"/>
      </w:pPr>
    </w:lvl>
    <w:lvl w:ilvl="7" w:tplc="CDA26DE6">
      <w:start w:val="1"/>
      <w:numFmt w:val="bullet"/>
      <w:lvlText w:val="●"/>
      <w:lvlJc w:val="left"/>
      <w:pPr>
        <w:ind w:left="5760" w:hanging="360"/>
      </w:pPr>
    </w:lvl>
    <w:lvl w:ilvl="8" w:tplc="AE2A0A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A8"/>
    <w:rsid w:val="003278A8"/>
    <w:rsid w:val="00591590"/>
    <w:rsid w:val="006167C5"/>
    <w:rsid w:val="00895867"/>
    <w:rsid w:val="00AA4F22"/>
    <w:rsid w:val="00AE0409"/>
    <w:rsid w:val="00D1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619B1-185A-4784-883C-C7D35F30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20" w:after="160"/>
      <w:outlineLvl w:val="0"/>
    </w:pPr>
    <w:rPr>
      <w:b/>
      <w:bCs/>
      <w:color w:val="1F3864"/>
      <w:sz w:val="26"/>
      <w:szCs w:val="26"/>
    </w:rPr>
  </w:style>
  <w:style w:type="paragraph" w:styleId="Heading2">
    <w:name w:val="heading 2"/>
    <w:qFormat/>
    <w:pPr>
      <w:spacing w:before="240" w:after="120"/>
      <w:outlineLvl w:val="1"/>
    </w:pPr>
    <w:rPr>
      <w:b/>
      <w:bCs/>
      <w:i/>
      <w:iCs/>
      <w:color w:val="2E5394"/>
    </w:rPr>
  </w:style>
  <w:style w:type="paragraph" w:styleId="Heading3">
    <w:name w:val="heading 3"/>
    <w:qFormat/>
    <w:pPr>
      <w:spacing w:before="160" w:after="80"/>
      <w:outlineLvl w:val="2"/>
    </w:pPr>
    <w:rPr>
      <w:b/>
      <w:bCs/>
      <w:color w:val="2E539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1709E"/>
    <w:pPr>
      <w:tabs>
        <w:tab w:val="center" w:pos="4680"/>
        <w:tab w:val="right" w:pos="9360"/>
      </w:tabs>
    </w:pPr>
  </w:style>
  <w:style w:type="character" w:customStyle="1" w:styleId="HeaderChar">
    <w:name w:val="Header Char"/>
    <w:basedOn w:val="DefaultParagraphFont"/>
    <w:link w:val="Header"/>
    <w:uiPriority w:val="99"/>
    <w:rsid w:val="00D1709E"/>
  </w:style>
  <w:style w:type="paragraph" w:styleId="Footer">
    <w:name w:val="footer"/>
    <w:basedOn w:val="Normal"/>
    <w:link w:val="FooterChar"/>
    <w:uiPriority w:val="99"/>
    <w:unhideWhenUsed/>
    <w:rsid w:val="00D1709E"/>
    <w:pPr>
      <w:tabs>
        <w:tab w:val="center" w:pos="4680"/>
        <w:tab w:val="right" w:pos="9360"/>
      </w:tabs>
    </w:pPr>
  </w:style>
  <w:style w:type="character" w:customStyle="1" w:styleId="FooterChar">
    <w:name w:val="Footer Char"/>
    <w:basedOn w:val="DefaultParagraphFont"/>
    <w:link w:val="Footer"/>
    <w:uiPriority w:val="99"/>
    <w:rsid w:val="00D1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5991</Words>
  <Characters>36249</Characters>
  <Application>Microsoft Office Word</Application>
  <DocSecurity>0</DocSecurity>
  <Lines>659</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Bruce</cp:lastModifiedBy>
  <cp:revision>3</cp:revision>
  <dcterms:created xsi:type="dcterms:W3CDTF">2026-06-09T06:02:00Z</dcterms:created>
  <dcterms:modified xsi:type="dcterms:W3CDTF">2026-06-09T06:12:00Z</dcterms:modified>
</cp:coreProperties>
</file>