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CF666" w14:textId="77777777" w:rsidR="00E13F3B" w:rsidRPr="00E13F3B" w:rsidRDefault="00E13F3B" w:rsidP="00E13F3B">
      <w:pPr>
        <w:pStyle w:val="papertitle"/>
        <w:spacing w:before="100" w:beforeAutospacing="1" w:after="100" w:afterAutospacing="1"/>
        <w:rPr>
          <w:kern w:val="48"/>
        </w:rPr>
      </w:pPr>
      <w:r w:rsidRPr="00E13F3B">
        <w:rPr>
          <w:kern w:val="48"/>
        </w:rPr>
        <w:t>Data-Driven Assessment of Cybercrime Awareness and Its Influence on Online Behavior in Bangladesh</w:t>
      </w:r>
    </w:p>
    <w:p w14:paraId="1C3573C9" w14:textId="77777777" w:rsidR="00E13F3B" w:rsidRPr="00E13F3B" w:rsidRDefault="00E13F3B" w:rsidP="00E13F3B">
      <w:pPr>
        <w:pStyle w:val="Author"/>
        <w:spacing w:before="100" w:beforeAutospacing="1" w:after="100" w:afterAutospacing="1" w:line="120" w:lineRule="auto"/>
        <w:jc w:val="both"/>
        <w:rPr>
          <w:sz w:val="16"/>
          <w:szCs w:val="16"/>
        </w:rPr>
      </w:pPr>
    </w:p>
    <w:p w14:paraId="49A7997F" w14:textId="77777777" w:rsidR="00E13F3B" w:rsidRPr="00E13F3B" w:rsidRDefault="00E13F3B" w:rsidP="00E13F3B">
      <w:pPr>
        <w:pStyle w:val="Author"/>
        <w:spacing w:before="100" w:beforeAutospacing="1" w:after="100" w:afterAutospacing="1" w:line="120" w:lineRule="auto"/>
        <w:jc w:val="both"/>
        <w:rPr>
          <w:sz w:val="16"/>
          <w:szCs w:val="16"/>
        </w:rPr>
        <w:sectPr w:rsidR="00E13F3B" w:rsidRPr="00E13F3B" w:rsidSect="00E13F3B">
          <w:footerReference w:type="first" r:id="rId5"/>
          <w:pgSz w:w="11906" w:h="16838" w:code="9"/>
          <w:pgMar w:top="540" w:right="893" w:bottom="1440" w:left="893" w:header="720" w:footer="720" w:gutter="0"/>
          <w:cols w:space="720"/>
          <w:titlePg/>
          <w:docGrid w:linePitch="360"/>
        </w:sectPr>
      </w:pPr>
    </w:p>
    <w:p w14:paraId="3DB86ECF" w14:textId="77777777" w:rsidR="00E13F3B" w:rsidRPr="00E13F3B" w:rsidRDefault="00E13F3B" w:rsidP="00E13F3B">
      <w:pPr>
        <w:pStyle w:val="Author"/>
        <w:spacing w:before="100" w:beforeAutospacing="1"/>
        <w:rPr>
          <w:sz w:val="18"/>
          <w:szCs w:val="18"/>
        </w:rPr>
      </w:pPr>
      <w:r w:rsidRPr="00E13F3B">
        <w:rPr>
          <w:sz w:val="18"/>
          <w:szCs w:val="18"/>
        </w:rPr>
        <w:t/>
      </w:r>
      <w:r w:rsidRPr="00E13F3B">
        <w:rPr>
          <w:sz w:val="18"/>
          <w:szCs w:val="18"/>
        </w:rPr>
        <w:br/>
        <w:t xml:space="preserve"/>
      </w:r>
      <w:r w:rsidRPr="00E13F3B">
        <w:rPr>
          <w:i/>
          <w:sz w:val="18"/>
          <w:szCs w:val="18"/>
        </w:rPr>
        <w:t xml:space="preserve"/>
      </w:r>
      <w:r w:rsidRPr="00E13F3B">
        <w:rPr>
          <w:sz w:val="18"/>
          <w:szCs w:val="18"/>
        </w:rPr>
        <w:br/>
      </w:r>
      <w:r w:rsidRPr="00E13F3B">
        <w:rPr>
          <w:i/>
          <w:sz w:val="18"/>
          <w:szCs w:val="18"/>
        </w:rPr>
        <w:t xml:space="preserve"/>
      </w:r>
      <w:r w:rsidRPr="00E13F3B">
        <w:rPr>
          <w:i/>
          <w:sz w:val="18"/>
          <w:szCs w:val="18"/>
        </w:rPr>
        <w:br/>
      </w:r>
      <w:r w:rsidRPr="00E13F3B">
        <w:rPr>
          <w:sz w:val="18"/>
          <w:szCs w:val="18"/>
        </w:rPr>
        <w:t/>
      </w:r>
      <w:r w:rsidRPr="00E13F3B">
        <w:rPr>
          <w:sz w:val="18"/>
          <w:szCs w:val="18"/>
        </w:rPr>
        <w:br/>
        <w:t xml:space="preserve"/>
      </w:r>
    </w:p>
    <w:p w14:paraId="677FD496" w14:textId="77777777" w:rsidR="00E13F3B" w:rsidRPr="00E13F3B" w:rsidRDefault="00E13F3B" w:rsidP="00E13F3B">
      <w:pPr>
        <w:pStyle w:val="Author"/>
        <w:spacing w:before="100" w:beforeAutospacing="1"/>
        <w:rPr>
          <w:sz w:val="18"/>
          <w:szCs w:val="18"/>
        </w:rPr>
      </w:pPr>
      <w:r w:rsidRPr="00E13F3B">
        <w:rPr>
          <w:sz w:val="18"/>
          <w:szCs w:val="18"/>
        </w:rPr>
        <w:br w:type="column"/>
      </w:r>
      <w:r w:rsidRPr="00E13F3B">
        <w:rPr>
          <w:sz w:val="18"/>
          <w:szCs w:val="18"/>
        </w:rPr>
        <w:t/>
      </w:r>
      <w:r w:rsidRPr="00E13F3B">
        <w:rPr>
          <w:sz w:val="18"/>
          <w:szCs w:val="18"/>
        </w:rPr>
        <w:br/>
      </w:r>
      <w:r w:rsidRPr="00E13F3B">
        <w:rPr>
          <w:i/>
          <w:sz w:val="18"/>
          <w:szCs w:val="18"/>
        </w:rPr>
        <w:t xml:space="preserve"/>
      </w:r>
      <w:r w:rsidRPr="00E13F3B">
        <w:rPr>
          <w:sz w:val="18"/>
          <w:szCs w:val="18"/>
        </w:rPr>
        <w:br/>
      </w:r>
      <w:r w:rsidRPr="00E13F3B">
        <w:rPr>
          <w:i/>
          <w:sz w:val="18"/>
          <w:szCs w:val="18"/>
        </w:rPr>
        <w:t xml:space="preserve"/>
      </w:r>
      <w:r w:rsidRPr="00E13F3B">
        <w:rPr>
          <w:i/>
          <w:sz w:val="18"/>
          <w:szCs w:val="18"/>
        </w:rPr>
        <w:br/>
      </w:r>
      <w:r w:rsidRPr="00E13F3B">
        <w:rPr>
          <w:sz w:val="18"/>
          <w:szCs w:val="18"/>
        </w:rPr>
        <w:t/>
      </w:r>
      <w:r w:rsidRPr="00E13F3B">
        <w:rPr>
          <w:sz w:val="18"/>
          <w:szCs w:val="18"/>
        </w:rPr>
        <w:br/>
        <w:t/>
      </w:r>
      <w:r w:rsidRPr="00E13F3B">
        <w:rPr>
          <w:sz w:val="18"/>
          <w:szCs w:val="18"/>
        </w:rPr>
        <w:br w:type="column"/>
      </w:r>
      <w:r w:rsidRPr="00E13F3B">
        <w:rPr>
          <w:sz w:val="18"/>
          <w:szCs w:val="18"/>
        </w:rPr>
        <w:t/>
      </w:r>
      <w:r w:rsidRPr="00E13F3B">
        <w:rPr>
          <w:sz w:val="18"/>
          <w:szCs w:val="18"/>
        </w:rPr>
        <w:br/>
      </w:r>
      <w:r w:rsidRPr="00E13F3B">
        <w:rPr>
          <w:i/>
          <w:sz w:val="18"/>
          <w:szCs w:val="18"/>
        </w:rPr>
        <w:t xml:space="preserve"/>
      </w:r>
      <w:r w:rsidRPr="00E13F3B">
        <w:rPr>
          <w:sz w:val="18"/>
          <w:szCs w:val="18"/>
        </w:rPr>
        <w:br/>
      </w:r>
      <w:r w:rsidRPr="00E13F3B">
        <w:rPr>
          <w:i/>
          <w:sz w:val="18"/>
          <w:szCs w:val="18"/>
        </w:rPr>
        <w:t xml:space="preserve"/>
      </w:r>
      <w:r w:rsidRPr="00E13F3B">
        <w:rPr>
          <w:i/>
          <w:sz w:val="18"/>
          <w:szCs w:val="18"/>
        </w:rPr>
        <w:br/>
      </w:r>
      <w:r w:rsidRPr="00E13F3B">
        <w:rPr>
          <w:sz w:val="18"/>
          <w:szCs w:val="18"/>
        </w:rPr>
        <w:t/>
      </w:r>
      <w:r w:rsidRPr="00E13F3B">
        <w:rPr>
          <w:sz w:val="18"/>
          <w:szCs w:val="18"/>
        </w:rPr>
        <w:br/>
        <w:t/>
      </w:r>
    </w:p>
    <w:p w14:paraId="2E0B7315" w14:textId="77777777" w:rsidR="00E13F3B" w:rsidRPr="00E13F3B" w:rsidRDefault="00E13F3B" w:rsidP="00E13F3B">
      <w:pPr>
        <w:sectPr w:rsidR="00E13F3B" w:rsidRPr="00E13F3B" w:rsidSect="00E13F3B">
          <w:type w:val="continuous"/>
          <w:pgSz w:w="11906" w:h="16838" w:code="9"/>
          <w:pgMar w:top="450" w:right="893" w:bottom="1440" w:left="893" w:header="720" w:footer="720" w:gutter="0"/>
          <w:cols w:num="3" w:space="720"/>
          <w:docGrid w:linePitch="360"/>
        </w:sectPr>
      </w:pPr>
    </w:p>
    <w:p w14:paraId="084AB863" w14:textId="77777777" w:rsidR="00E13F3B" w:rsidRPr="00E13F3B" w:rsidRDefault="00E13F3B" w:rsidP="00E13F3B">
      <w:pPr>
        <w:sectPr w:rsidR="00E13F3B" w:rsidRPr="00E13F3B" w:rsidSect="00E13F3B">
          <w:type w:val="continuous"/>
          <w:pgSz w:w="11906" w:h="16838" w:code="9"/>
          <w:pgMar w:top="450" w:right="893" w:bottom="1440" w:left="893" w:header="720" w:footer="720" w:gutter="0"/>
          <w:cols w:num="3" w:space="720"/>
          <w:docGrid w:linePitch="360"/>
        </w:sectPr>
      </w:pPr>
      <w:r w:rsidRPr="00E13F3B">
        <w:br w:type="column"/>
      </w:r>
    </w:p>
    <w:p w14:paraId="35905394" w14:textId="77777777" w:rsidR="00E13F3B" w:rsidRPr="00E13F3B" w:rsidRDefault="00E13F3B" w:rsidP="00E13F3B">
      <w:pPr>
        <w:pStyle w:val="Abstract"/>
        <w:rPr>
          <w:i/>
          <w:iCs/>
        </w:rPr>
      </w:pPr>
      <w:r w:rsidRPr="00E13F3B">
        <w:rPr>
          <w:i/>
          <w:iCs/>
        </w:rPr>
        <w:t/>
      </w:r>
      <w:r w:rsidRPr="00E13F3B">
        <w:t xml:space="preserve"/>
      </w:r>
    </w:p>
    <w:p w14:paraId="7CE335A5" w14:textId="77777777" w:rsidR="00E13F3B" w:rsidRPr="00E13F3B" w:rsidRDefault="00E13F3B" w:rsidP="00E13F3B">
      <w:pPr>
        <w:pStyle w:val="Keywords"/>
      </w:pPr>
      <w:r w:rsidRPr="00E13F3B">
        <w:t xml:space="preserve"/>
      </w:r>
    </w:p>
    <w:p w14:paraId="338DF5D3" w14:textId="77777777" w:rsidR="00E13F3B" w:rsidRPr="00E13F3B" w:rsidRDefault="00E13F3B" w:rsidP="00E13F3B">
      <w:pPr>
        <w:pStyle w:val="Heading1"/>
        <w:rPr>
          <w:color w:val="auto"/>
        </w:rPr>
      </w:pPr>
      <w:r w:rsidRPr="00E13F3B">
        <w:rPr>
          <w:color w:val="auto"/>
        </w:rPr>
        <w:t xml:space="preserve">Introduction </w:t>
      </w:r>
    </w:p>
    <w:p w14:paraId="681C754B" w14:textId="77777777" w:rsidR="00E13F3B" w:rsidRPr="00E13F3B" w:rsidRDefault="00E13F3B" w:rsidP="00E13F3B">
      <w:pPr>
        <w:pStyle w:val="BodyText"/>
        <w:rPr>
          <w:rFonts w:eastAsia="Times New Roman"/>
          <w:lang w:val="en-US"/>
        </w:rPr>
      </w:pPr>
      <w:r w:rsidRPr="00E13F3B">
        <w:t xml:space="preserve">Digital technology has become an essential part of everyday life. While this era of digitalization has provided widespread access to smart devices and networks, it has simultaneously introduced escalating challenges to public safety and systemic security. As the digital ecosystem grows, the frequency of offenses such as financial scams, hacking, phishing, and app-based fraud has increased exponentially. Notably, cyberbullying and online harassment have emerged as major concerns, with research indicating that women and children are particularly vulnerable to these types of digital abuse. </w:t>
      </w:r>
      <w:r w:rsidRPr="00E13F3B">
        <w:rPr>
          <w:rFonts w:eastAsia="Times New Roman"/>
          <w:lang w:val="en-US"/>
        </w:rPr>
        <w:t>Although several studies have explored cybercrime trends in Bangladesh, limited research has examined how cybercrime awareness and knowledge of cyber laws influence online behavior among young users.</w:t>
      </w:r>
    </w:p>
    <w:p w14:paraId="26CCAFB0" w14:textId="77777777" w:rsidR="00E13F3B" w:rsidRPr="00E13F3B" w:rsidRDefault="00E13F3B" w:rsidP="00E13F3B">
      <w:pPr>
        <w:pStyle w:val="BodyText"/>
      </w:pPr>
      <w:r w:rsidRPr="00E13F3B">
        <w:t xml:space="preserve">Cybercrime is defined as criminal activity that targets computers or networks to disrupt or damage them, or to use their data in illegal ways (Rady, F., 2024). In Bangladesh, people are not aware of cybercrimes. They are not familiar with these types of crimes. There are several types of cybercrime that have occurred in Bangladesh, such as identity </w:t>
      </w:r>
      <w:r w:rsidRPr="00E13F3B">
        <w:t xml:space="preserve">theft, cyberstalking, online harassment, phishing, and ransomware attacks (Tamang, S.,2024).   </w:t>
      </w:r>
    </w:p>
    <w:p w14:paraId="157CCCEE" w14:textId="77777777" w:rsidR="00E13F3B" w:rsidRPr="00E13F3B" w:rsidRDefault="00E13F3B" w:rsidP="00E13F3B">
      <w:pPr>
        <w:pStyle w:val="BodyText"/>
      </w:pPr>
      <w:r w:rsidRPr="00E13F3B">
        <w:rPr>
          <w:rFonts w:eastAsia="Times New Roman"/>
          <w:lang w:val="en"/>
        </w:rPr>
        <w:t xml:space="preserve">Cybersecurity awareness is the level of understanding achieved by users regarding the significance of information security, their associated responsibilities, and a series of acts to practice an adequate degree of information security control, safeguarding organizational data and networks (Zwilling et al., 2022). </w:t>
      </w:r>
      <w:r w:rsidRPr="00E13F3B">
        <w:t xml:space="preserve"> </w:t>
      </w:r>
    </w:p>
    <w:p w14:paraId="6FCE7FB4" w14:textId="77777777" w:rsidR="00E13F3B" w:rsidRPr="00E13F3B" w:rsidRDefault="00E13F3B" w:rsidP="00E13F3B">
      <w:pPr>
        <w:pStyle w:val="Heading1"/>
        <w:rPr>
          <w:color w:val="auto"/>
        </w:rPr>
      </w:pPr>
      <w:r w:rsidRPr="00E13F3B">
        <w:rPr>
          <w:color w:val="auto"/>
        </w:rPr>
        <w:t>Study purpose and hypothesis</w:t>
      </w:r>
    </w:p>
    <w:p w14:paraId="600613E6" w14:textId="77777777" w:rsidR="00E13F3B" w:rsidRPr="00E13F3B" w:rsidRDefault="00E13F3B" w:rsidP="00E13F3B">
      <w:pPr>
        <w:jc w:val="both"/>
        <w:rPr>
          <w:i/>
          <w:iCs/>
        </w:rPr>
      </w:pPr>
      <w:r w:rsidRPr="00E13F3B">
        <w:rPr>
          <w:i/>
          <w:iCs/>
        </w:rPr>
        <w:t>Objectives of the study</w:t>
      </w:r>
    </w:p>
    <w:p w14:paraId="643653F7" w14:textId="77777777" w:rsidR="00E13F3B" w:rsidRPr="00E13F3B" w:rsidRDefault="00E13F3B" w:rsidP="00E13F3B">
      <w:pPr>
        <w:pStyle w:val="BodyText"/>
        <w:rPr>
          <w:lang w:val="en-US"/>
        </w:rPr>
      </w:pPr>
      <w:r w:rsidRPr="00E13F3B">
        <w:rPr>
          <w:lang w:val="en-US"/>
        </w:rPr>
        <w:t>This study explores how legal knowledge influences respondents' online behavior and decision-making, while identifying the most common types of cybercrimes students commit and experience. However, the specific objectives were:</w:t>
      </w:r>
    </w:p>
    <w:p w14:paraId="13401CC6" w14:textId="77777777" w:rsidR="00E13F3B" w:rsidRPr="00E13F3B" w:rsidRDefault="00E13F3B" w:rsidP="00E13F3B">
      <w:pPr>
        <w:numPr>
          <w:ilvl w:val="0"/>
          <w:numId w:val="2"/>
        </w:numPr>
        <w:jc w:val="left"/>
        <w:rPr>
          <w:rFonts w:eastAsia="Times New Roman"/>
        </w:rPr>
      </w:pPr>
      <w:r w:rsidRPr="00E13F3B">
        <w:rPr>
          <w:rFonts w:eastAsia="Times New Roman"/>
        </w:rPr>
        <w:t xml:space="preserve">To assess the level of cybercrime awareness </w:t>
      </w:r>
    </w:p>
    <w:p w14:paraId="1D9C9CF1" w14:textId="77777777" w:rsidR="00E13F3B" w:rsidRPr="00E13F3B" w:rsidRDefault="00E13F3B" w:rsidP="00E13F3B">
      <w:pPr>
        <w:numPr>
          <w:ilvl w:val="0"/>
          <w:numId w:val="2"/>
        </w:numPr>
        <w:jc w:val="left"/>
        <w:rPr>
          <w:rFonts w:eastAsia="Times New Roman"/>
        </w:rPr>
      </w:pPr>
      <w:r w:rsidRPr="00E13F3B">
        <w:rPr>
          <w:rFonts w:eastAsia="Times New Roman"/>
        </w:rPr>
        <w:t>To evaluate understanding of existing national cyber laws and regulations.</w:t>
      </w:r>
    </w:p>
    <w:p w14:paraId="1C3D8831" w14:textId="77777777" w:rsidR="00E13F3B" w:rsidRPr="00E13F3B" w:rsidRDefault="00E13F3B" w:rsidP="00E13F3B">
      <w:pPr>
        <w:numPr>
          <w:ilvl w:val="0"/>
          <w:numId w:val="2"/>
        </w:numPr>
        <w:jc w:val="left"/>
        <w:rPr>
          <w:rFonts w:eastAsia="Times New Roman"/>
        </w:rPr>
      </w:pPr>
      <w:r w:rsidRPr="00E13F3B">
        <w:rPr>
          <w:rFonts w:eastAsia="Times New Roman"/>
        </w:rPr>
        <w:t xml:space="preserve">To examine the influence of legal awareness on respondents' online behavior </w:t>
      </w:r>
    </w:p>
    <w:p w14:paraId="7F9E93F1" w14:textId="77777777" w:rsidR="00E13F3B" w:rsidRPr="00E13F3B" w:rsidRDefault="00E13F3B" w:rsidP="00E13F3B">
      <w:pPr>
        <w:numPr>
          <w:ilvl w:val="0"/>
          <w:numId w:val="2"/>
        </w:numPr>
        <w:jc w:val="left"/>
        <w:rPr>
          <w:rFonts w:eastAsia="Times New Roman"/>
        </w:rPr>
      </w:pPr>
      <w:r w:rsidRPr="00E13F3B">
        <w:rPr>
          <w:rFonts w:eastAsia="Times New Roman"/>
        </w:rPr>
        <w:t>To identify the most common types of cybercrimes experienced by respondents</w:t>
      </w:r>
    </w:p>
    <w:p w14:paraId="019E8415" w14:textId="77777777" w:rsidR="00E13F3B" w:rsidRPr="00E13F3B" w:rsidRDefault="00E13F3B" w:rsidP="00E13F3B">
      <w:pPr>
        <w:jc w:val="left"/>
        <w:rPr>
          <w:rFonts w:eastAsia="Times New Roman"/>
          <w:i/>
          <w:iCs/>
        </w:rPr>
      </w:pPr>
      <w:r w:rsidRPr="00E13F3B">
        <w:rPr>
          <w:rFonts w:eastAsia="Times New Roman"/>
          <w:i/>
          <w:iCs/>
        </w:rPr>
        <w:t>Hypotheses</w:t>
      </w:r>
    </w:p>
    <w:p w14:paraId="393DD31A" w14:textId="77777777" w:rsidR="00E13F3B" w:rsidRPr="00E13F3B" w:rsidRDefault="00E13F3B" w:rsidP="00E13F3B">
      <w:pPr>
        <w:jc w:val="left"/>
        <w:rPr>
          <w:rFonts w:eastAsia="Times New Roman"/>
        </w:rPr>
      </w:pPr>
      <w:r w:rsidRPr="00E13F3B">
        <w:rPr>
          <w:rFonts w:eastAsia="Times New Roman"/>
        </w:rPr>
        <w:t xml:space="preserve">     The following two null hypotheses were developed and tested:</w:t>
      </w:r>
    </w:p>
    <w:p w14:paraId="13D84C23" w14:textId="77777777" w:rsidR="00E13F3B" w:rsidRPr="00E13F3B" w:rsidRDefault="00E13F3B" w:rsidP="00E13F3B">
      <w:pPr>
        <w:ind w:left="720"/>
        <w:jc w:val="left"/>
        <w:rPr>
          <w:rFonts w:eastAsia="Times New Roman"/>
        </w:rPr>
      </w:pPr>
      <w:r w:rsidRPr="00E13F3B">
        <w:rPr>
          <w:rFonts w:eastAsia="Times New Roman"/>
        </w:rPr>
        <w:t>H1: There is no significant difference in cybercrime awareness among different age groups.</w:t>
      </w:r>
    </w:p>
    <w:p w14:paraId="6BEDA8CA" w14:textId="77777777" w:rsidR="00E13F3B" w:rsidRPr="00E13F3B" w:rsidRDefault="00E13F3B" w:rsidP="00E13F3B">
      <w:pPr>
        <w:ind w:left="720"/>
        <w:jc w:val="left"/>
        <w:rPr>
          <w:rFonts w:eastAsia="Times New Roman"/>
        </w:rPr>
      </w:pPr>
      <w:r w:rsidRPr="00E13F3B">
        <w:rPr>
          <w:rFonts w:eastAsia="Times New Roman"/>
        </w:rPr>
        <w:t>H2: Cybercrime awareness does not influence online behavior.</w:t>
      </w:r>
    </w:p>
    <w:p w14:paraId="17713191" w14:textId="77777777" w:rsidR="00E13F3B" w:rsidRPr="00E13F3B" w:rsidRDefault="00E13F3B" w:rsidP="00E13F3B">
      <w:pPr>
        <w:pStyle w:val="Heading1"/>
        <w:rPr>
          <w:color w:val="auto"/>
        </w:rPr>
      </w:pPr>
      <w:r w:rsidRPr="00E13F3B">
        <w:rPr>
          <w:color w:val="auto"/>
        </w:rPr>
        <w:t>Literature review</w:t>
      </w:r>
    </w:p>
    <w:p w14:paraId="6C87359B" w14:textId="77777777" w:rsidR="00E13F3B" w:rsidRPr="00E13F3B" w:rsidRDefault="00E13F3B" w:rsidP="00E13F3B">
      <w:pPr>
        <w:pStyle w:val="BodyText"/>
      </w:pPr>
      <w:r w:rsidRPr="00E13F3B">
        <w:t xml:space="preserve">Cybercrime has emerged as a significant transnational threat, undermining national security, economic stability, and individual rights across the globe. The rapid evolution of cyber threats, including ransomware attacks, deepfake technology, cyber espionage, and AI-generated fraud, demands more flexible and adaptive legal instruments (Gray &amp; Goodman, 2019). These instruments must accommodate emerging technologies and varied cybercrime ecosystems.  </w:t>
      </w:r>
    </w:p>
    <w:p w14:paraId="1A20626A" w14:textId="77777777" w:rsidR="00E13F3B" w:rsidRPr="00E13F3B" w:rsidRDefault="00E13F3B" w:rsidP="00E13F3B">
      <w:pPr>
        <w:pStyle w:val="Heading2"/>
        <w:rPr>
          <w:color w:val="auto"/>
        </w:rPr>
      </w:pPr>
      <w:r w:rsidRPr="00E13F3B">
        <w:rPr>
          <w:color w:val="auto"/>
        </w:rPr>
        <w:lastRenderedPageBreak/>
        <w:t>Challenges in Defining Cybercrime</w:t>
      </w:r>
    </w:p>
    <w:p w14:paraId="676C2D95" w14:textId="77777777" w:rsidR="00E13F3B" w:rsidRPr="00E13F3B" w:rsidRDefault="00E13F3B" w:rsidP="00E13F3B">
      <w:pPr>
        <w:pStyle w:val="BodyText"/>
      </w:pPr>
      <w:r w:rsidRPr="00E13F3B">
        <w:t xml:space="preserve">Defining cybercrime presents significant challenges due to its complex and continuously evolving nature, impacting efforts to develop effective legal and policy responses globally. The lack of a universally agreed-upon definition and classification scheme hinders effective measurement, management, and international collaboration in combating digital offenses (Donalds &amp; Osei-Bryson, 2019; Chandra, A., 2020).  </w:t>
      </w:r>
    </w:p>
    <w:p w14:paraId="3C1DAC5C" w14:textId="77777777" w:rsidR="00E13F3B" w:rsidRPr="00E13F3B" w:rsidRDefault="00E13F3B" w:rsidP="00E13F3B">
      <w:pPr>
        <w:pStyle w:val="Heading2"/>
        <w:rPr>
          <w:color w:val="auto"/>
        </w:rPr>
      </w:pPr>
      <w:r w:rsidRPr="00E13F3B">
        <w:rPr>
          <w:color w:val="auto"/>
        </w:rPr>
        <w:t>Growth of Internet Use and Digital Transformation in Bangladesh</w:t>
      </w:r>
    </w:p>
    <w:p w14:paraId="596A093B" w14:textId="77777777" w:rsidR="00E13F3B" w:rsidRPr="00E13F3B" w:rsidRDefault="00E13F3B" w:rsidP="00E13F3B">
      <w:pPr>
        <w:pStyle w:val="BodyText"/>
      </w:pPr>
      <w:r w:rsidRPr="00E13F3B">
        <w:t xml:space="preserve">The rapid growth of internet use and digital transformation in Bangladesh has brought significant benefits but also introduced new challenges, especially in cybersecurity and cybercrime </w:t>
      </w:r>
      <w:r w:rsidRPr="00E13F3B">
        <w:rPr>
          <w:rFonts w:asciiTheme="minorHAnsi" w:hAnsiTheme="minorHAnsi" w:cstheme="minorBidi"/>
        </w:rPr>
        <w:t>(Milon et al., 2024)</w:t>
      </w:r>
      <w:r w:rsidRPr="00E13F3B">
        <w:t>. This change is part of the country's larger effort toward digitization, aiming to use information and communication technology (ICT) for development (Cyber Security Awareness and Cyber Crime in Bangladesh, 2023). However, the quick digital shift has also increased the country's vulnerability to cyber threats, making it a crucial area for assessment (Babu, 2023).</w:t>
      </w:r>
    </w:p>
    <w:p w14:paraId="53F10508" w14:textId="77777777" w:rsidR="00E13F3B" w:rsidRPr="00E13F3B" w:rsidRDefault="00E13F3B" w:rsidP="00E13F3B">
      <w:pPr>
        <w:pStyle w:val="BodyText"/>
      </w:pPr>
    </w:p>
    <w:p w14:paraId="605AF39F" w14:textId="77777777" w:rsidR="00E13F3B" w:rsidRPr="00E13F3B" w:rsidRDefault="00E13F3B" w:rsidP="00E13F3B">
      <w:pPr>
        <w:pStyle w:val="Heading2"/>
        <w:rPr>
          <w:color w:val="auto"/>
        </w:rPr>
      </w:pPr>
      <w:r w:rsidRPr="00E13F3B">
        <w:rPr>
          <w:color w:val="auto"/>
        </w:rPr>
        <w:t>Cybercrime Awareness and Digital Literacy</w:t>
      </w:r>
    </w:p>
    <w:p w14:paraId="1C41144C" w14:textId="77777777" w:rsidR="00E13F3B" w:rsidRPr="00E13F3B" w:rsidRDefault="00E13F3B" w:rsidP="00E13F3B">
      <w:pPr>
        <w:jc w:val="both"/>
      </w:pPr>
      <w:r w:rsidRPr="00E13F3B">
        <w:rPr>
          <w:rFonts w:eastAsia="Times New Roman"/>
        </w:rPr>
        <w:t xml:space="preserve">      Cyber Security Awareness (CSA), which includes knowledge of threats like malware and social engineering, is a primary driver of digital preparedness. </w:t>
      </w:r>
      <w:r w:rsidRPr="00E13F3B">
        <w:t>Cybercrime awareness is a crucial element in safeguarding individuals, organizations, and national infrastructure in the rapidly evolving digital landscape, particularly within developing economies like Bangladesh that are undergoing significant digital transformation (Mamun et al.,2021). Digital literacy skills and demographic characteristics are influential factors in shaping students' awareness levels (Bipasha et al. 2025)</w:t>
      </w:r>
    </w:p>
    <w:p w14:paraId="07B472EB" w14:textId="77777777" w:rsidR="00E13F3B" w:rsidRPr="00E13F3B" w:rsidRDefault="00E13F3B" w:rsidP="00E13F3B">
      <w:pPr>
        <w:jc w:val="both"/>
        <w:rPr>
          <w:rFonts w:eastAsia="Times New Roman"/>
        </w:rPr>
      </w:pPr>
      <w:r w:rsidRPr="00E13F3B">
        <w:rPr>
          <w:rFonts w:eastAsia="Times New Roman"/>
        </w:rPr>
        <w:t xml:space="preserve">      In Bangladesh, the concepts of cybercrime awareness and digital literacy are central to understanding the nation's capacity to navigate the challenges of its rapid digital transformation. The confluence of increased internet use and digital initiatives has brought forth significant benefits but also exposed critical vulnerabilities to cyber threats </w:t>
      </w:r>
      <w:r w:rsidRPr="00E13F3B">
        <w:rPr>
          <w:rFonts w:asciiTheme="minorHAnsi" w:hAnsiTheme="minorHAnsi" w:cstheme="minorBidi"/>
        </w:rPr>
        <w:t>(Milon et al., 2024)</w:t>
      </w:r>
      <w:r w:rsidRPr="00E13F3B">
        <w:rPr>
          <w:rFonts w:eastAsia="Times New Roman"/>
        </w:rPr>
        <w:t xml:space="preserve">. The lack of awareness is a critical barrier to preventing widespread victimization, as even the most basic cyber hygiene practices are often overlooked (Shahjahan, Haque, &amp; Jahan, 2024; Purvi, Rahman, &amp; Ahmed, 2025). </w:t>
      </w:r>
    </w:p>
    <w:p w14:paraId="30A9438A" w14:textId="77777777" w:rsidR="00E13F3B" w:rsidRPr="00E13F3B" w:rsidRDefault="00E13F3B" w:rsidP="00E13F3B">
      <w:pPr>
        <w:pStyle w:val="Heading2"/>
        <w:rPr>
          <w:rFonts w:eastAsia="Times New Roman"/>
          <w:color w:val="auto"/>
        </w:rPr>
      </w:pPr>
      <w:r w:rsidRPr="00E13F3B">
        <w:rPr>
          <w:rFonts w:eastAsia="Times New Roman"/>
          <w:color w:val="auto"/>
        </w:rPr>
        <w:t>Impact of Cybercrime Awareness on Online Behavior</w:t>
      </w:r>
    </w:p>
    <w:p w14:paraId="6890D860" w14:textId="77777777" w:rsidR="00E13F3B" w:rsidRPr="00E13F3B" w:rsidRDefault="00E13F3B" w:rsidP="00E13F3B">
      <w:pPr>
        <w:jc w:val="both"/>
      </w:pPr>
      <w:r w:rsidRPr="00E13F3B">
        <w:t xml:space="preserve">    A consistent finding is that low cybercrime awareness is significantly correlated with higher cybercrime rates (Mupila et al. 2023). This indicates a direct causal link where a lack of understanding about cyber threats translates into behaviors that increase an individual's susceptibility to attacks. The absence of foundational digital literacy—the ability to find, understand, appraise, and apply information from electronic sources—limits an individual's psychological capacity for </w:t>
      </w:r>
      <w:r w:rsidRPr="00E13F3B">
        <w:t>safe online practices (Bipasha et al. 2025). Without this, individuals are less inclined to adopt protective behaviors, regardless of the perceived threat (Mahmud et al.2020).</w:t>
      </w:r>
    </w:p>
    <w:p w14:paraId="17C9D383" w14:textId="77777777" w:rsidR="00E13F3B" w:rsidRPr="00E13F3B" w:rsidRDefault="00E13F3B" w:rsidP="00E13F3B">
      <w:pPr>
        <w:jc w:val="both"/>
      </w:pPr>
    </w:p>
    <w:p w14:paraId="34C40D00" w14:textId="77777777" w:rsidR="00E13F3B" w:rsidRPr="00E13F3B" w:rsidRDefault="00E13F3B" w:rsidP="00E13F3B">
      <w:pPr>
        <w:pStyle w:val="Heading2"/>
        <w:rPr>
          <w:color w:val="auto"/>
        </w:rPr>
      </w:pPr>
      <w:r w:rsidRPr="00E13F3B">
        <w:rPr>
          <w:color w:val="auto"/>
        </w:rPr>
        <w:t>Cyber and Digital Security Legislation in Bangladesh</w:t>
      </w:r>
    </w:p>
    <w:p w14:paraId="60338C9E" w14:textId="77777777" w:rsidR="00E13F3B" w:rsidRPr="00E13F3B" w:rsidRDefault="00E13F3B" w:rsidP="00E13F3B"/>
    <w:tbl>
      <w:tblPr>
        <w:tblW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5" w:type="dxa"/>
          <w:left w:w="15" w:type="dxa"/>
          <w:bottom w:w="15" w:type="dxa"/>
          <w:right w:w="15" w:type="dxa"/>
        </w:tblCellMar>
        <w:tblLook w:val="04A0" w:firstRow="1" w:lastRow="0" w:firstColumn="1" w:lastColumn="0" w:noHBand="0" w:noVBand="1"/>
      </w:tblPr>
      <w:tblGrid>
        <w:gridCol w:w="836"/>
        <w:gridCol w:w="958"/>
        <w:gridCol w:w="1484"/>
        <w:gridCol w:w="1558"/>
      </w:tblGrid>
      <w:tr w:rsidR="00E13F3B" w:rsidRPr="00E13F3B" w14:paraId="38EDF8AF" w14:textId="77777777" w:rsidTr="00D206DE">
        <w:trPr>
          <w:trHeight w:val="550"/>
        </w:trPr>
        <w:tc>
          <w:tcPr>
            <w:tcW w:w="836" w:type="dxa"/>
            <w:vAlign w:val="center"/>
            <w:hideMark/>
          </w:tcPr>
          <w:p w14:paraId="34A67E83" w14:textId="77777777" w:rsidR="00E13F3B" w:rsidRPr="00E13F3B" w:rsidRDefault="00E13F3B" w:rsidP="00D206DE">
            <w:pPr>
              <w:jc w:val="both"/>
              <w:rPr>
                <w:b/>
                <w:bCs/>
              </w:rPr>
            </w:pPr>
            <w:r w:rsidRPr="00E13F3B">
              <w:rPr>
                <w:b/>
                <w:bCs/>
              </w:rPr>
              <w:t>Law</w:t>
            </w:r>
          </w:p>
        </w:tc>
        <w:tc>
          <w:tcPr>
            <w:tcW w:w="958" w:type="dxa"/>
            <w:vAlign w:val="center"/>
            <w:hideMark/>
          </w:tcPr>
          <w:p w14:paraId="72503DC1" w14:textId="77777777" w:rsidR="00E13F3B" w:rsidRPr="00E13F3B" w:rsidRDefault="00E13F3B" w:rsidP="00D206DE">
            <w:pPr>
              <w:jc w:val="both"/>
              <w:rPr>
                <w:b/>
                <w:bCs/>
              </w:rPr>
            </w:pPr>
            <w:r w:rsidRPr="00E13F3B">
              <w:rPr>
                <w:b/>
                <w:bCs/>
              </w:rPr>
              <w:t>Year</w:t>
            </w:r>
          </w:p>
        </w:tc>
        <w:tc>
          <w:tcPr>
            <w:tcW w:w="1484" w:type="dxa"/>
            <w:vAlign w:val="center"/>
            <w:hideMark/>
          </w:tcPr>
          <w:p w14:paraId="0B5E10F9" w14:textId="77777777" w:rsidR="00E13F3B" w:rsidRPr="00E13F3B" w:rsidRDefault="00E13F3B" w:rsidP="00D206DE">
            <w:pPr>
              <w:jc w:val="both"/>
              <w:rPr>
                <w:b/>
                <w:bCs/>
              </w:rPr>
            </w:pPr>
            <w:r w:rsidRPr="00E13F3B">
              <w:rPr>
                <w:b/>
                <w:bCs/>
              </w:rPr>
              <w:t>Core Focus &amp; Features</w:t>
            </w:r>
          </w:p>
        </w:tc>
        <w:tc>
          <w:tcPr>
            <w:tcW w:w="1558" w:type="dxa"/>
            <w:vAlign w:val="center"/>
            <w:hideMark/>
          </w:tcPr>
          <w:p w14:paraId="32BDDDAD" w14:textId="77777777" w:rsidR="00E13F3B" w:rsidRPr="00E13F3B" w:rsidRDefault="00E13F3B" w:rsidP="00D206DE">
            <w:pPr>
              <w:jc w:val="both"/>
              <w:rPr>
                <w:b/>
                <w:bCs/>
              </w:rPr>
            </w:pPr>
            <w:r w:rsidRPr="00E13F3B">
              <w:rPr>
                <w:b/>
                <w:bCs/>
              </w:rPr>
              <w:t>Key Concerns and Criticisms</w:t>
            </w:r>
          </w:p>
        </w:tc>
      </w:tr>
      <w:tr w:rsidR="00E13F3B" w:rsidRPr="00E13F3B" w14:paraId="6C437EAA" w14:textId="77777777" w:rsidTr="00D206DE">
        <w:trPr>
          <w:trHeight w:val="1354"/>
        </w:trPr>
        <w:tc>
          <w:tcPr>
            <w:tcW w:w="836" w:type="dxa"/>
            <w:vAlign w:val="center"/>
            <w:hideMark/>
          </w:tcPr>
          <w:p w14:paraId="1C6A2C51" w14:textId="77777777" w:rsidR="00E13F3B" w:rsidRPr="00E13F3B" w:rsidRDefault="00E13F3B" w:rsidP="00D206DE">
            <w:pPr>
              <w:jc w:val="both"/>
            </w:pPr>
            <w:r w:rsidRPr="00E13F3B">
              <w:rPr>
                <w:b/>
                <w:bCs/>
              </w:rPr>
              <w:t>ICT Act</w:t>
            </w:r>
          </w:p>
        </w:tc>
        <w:tc>
          <w:tcPr>
            <w:tcW w:w="958" w:type="dxa"/>
            <w:vAlign w:val="center"/>
            <w:hideMark/>
          </w:tcPr>
          <w:p w14:paraId="3032D1A1" w14:textId="77777777" w:rsidR="00E13F3B" w:rsidRPr="00E13F3B" w:rsidRDefault="00E13F3B" w:rsidP="00D206DE">
            <w:pPr>
              <w:jc w:val="both"/>
            </w:pPr>
            <w:r w:rsidRPr="00E13F3B">
              <w:t>2006 (Amended 2013)</w:t>
            </w:r>
          </w:p>
        </w:tc>
        <w:tc>
          <w:tcPr>
            <w:tcW w:w="1484" w:type="dxa"/>
            <w:vAlign w:val="center"/>
            <w:hideMark/>
          </w:tcPr>
          <w:p w14:paraId="28A0DBCA" w14:textId="77777777" w:rsidR="00E13F3B" w:rsidRPr="00E13F3B" w:rsidRDefault="00E13F3B" w:rsidP="00D206DE">
            <w:pPr>
              <w:jc w:val="both"/>
            </w:pPr>
            <w:r w:rsidRPr="00E13F3B">
              <w:t xml:space="preserve">Provided legal recognition for </w:t>
            </w:r>
            <w:r w:rsidRPr="00E13F3B">
              <w:rPr>
                <w:b/>
                <w:bCs/>
              </w:rPr>
              <w:t>digital signatures</w:t>
            </w:r>
            <w:r w:rsidRPr="00E13F3B">
              <w:t>, electronic records, and asymmetric cryptography. Modeled after UNCITRAL standards.</w:t>
            </w:r>
          </w:p>
        </w:tc>
        <w:tc>
          <w:tcPr>
            <w:tcW w:w="1558" w:type="dxa"/>
            <w:vAlign w:val="center"/>
            <w:hideMark/>
          </w:tcPr>
          <w:p w14:paraId="3E1CA71B" w14:textId="77777777" w:rsidR="00E13F3B" w:rsidRPr="00E13F3B" w:rsidRDefault="00E13F3B" w:rsidP="00D206DE">
            <w:pPr>
              <w:jc w:val="both"/>
            </w:pPr>
            <w:r w:rsidRPr="00E13F3B">
              <w:rPr>
                <w:b/>
                <w:bCs/>
              </w:rPr>
              <w:t>Section 57</w:t>
            </w:r>
            <w:r w:rsidRPr="00E13F3B">
              <w:t xml:space="preserve"> was widely criticized for being overly broad and used to suppress freedom of expression.</w:t>
            </w:r>
          </w:p>
        </w:tc>
      </w:tr>
      <w:tr w:rsidR="00E13F3B" w:rsidRPr="00E13F3B" w14:paraId="41F722F0" w14:textId="77777777" w:rsidTr="00D206DE">
        <w:trPr>
          <w:trHeight w:val="132"/>
        </w:trPr>
        <w:tc>
          <w:tcPr>
            <w:tcW w:w="836" w:type="dxa"/>
            <w:vAlign w:val="center"/>
            <w:hideMark/>
          </w:tcPr>
          <w:p w14:paraId="745F2103" w14:textId="77777777" w:rsidR="00E13F3B" w:rsidRPr="00E13F3B" w:rsidRDefault="00E13F3B" w:rsidP="00D206DE">
            <w:pPr>
              <w:jc w:val="both"/>
            </w:pPr>
            <w:r w:rsidRPr="00E13F3B">
              <w:rPr>
                <w:b/>
                <w:bCs/>
              </w:rPr>
              <w:t>Digital Security Act (DSA)</w:t>
            </w:r>
          </w:p>
        </w:tc>
        <w:tc>
          <w:tcPr>
            <w:tcW w:w="958" w:type="dxa"/>
            <w:vAlign w:val="center"/>
            <w:hideMark/>
          </w:tcPr>
          <w:p w14:paraId="0082679B" w14:textId="77777777" w:rsidR="00E13F3B" w:rsidRPr="00E13F3B" w:rsidRDefault="00E13F3B" w:rsidP="00D206DE">
            <w:pPr>
              <w:jc w:val="both"/>
            </w:pPr>
            <w:r w:rsidRPr="00E13F3B">
              <w:t>2018</w:t>
            </w:r>
          </w:p>
        </w:tc>
        <w:tc>
          <w:tcPr>
            <w:tcW w:w="1484" w:type="dxa"/>
            <w:vAlign w:val="center"/>
            <w:hideMark/>
          </w:tcPr>
          <w:p w14:paraId="25CD4DFF" w14:textId="77777777" w:rsidR="00E13F3B" w:rsidRPr="00E13F3B" w:rsidRDefault="00E13F3B" w:rsidP="00D206DE">
            <w:pPr>
              <w:jc w:val="both"/>
            </w:pPr>
            <w:r w:rsidRPr="00E13F3B">
              <w:t>Consolidated a range of offenses including hacking, cyber terrorism, and "propaganda". Replaced Section 57.</w:t>
            </w:r>
          </w:p>
        </w:tc>
        <w:tc>
          <w:tcPr>
            <w:tcW w:w="1558" w:type="dxa"/>
            <w:vAlign w:val="center"/>
            <w:hideMark/>
          </w:tcPr>
          <w:p w14:paraId="5035FB51" w14:textId="77777777" w:rsidR="00E13F3B" w:rsidRPr="00E13F3B" w:rsidRDefault="00E13F3B" w:rsidP="00D206DE">
            <w:pPr>
              <w:jc w:val="both"/>
            </w:pPr>
            <w:r w:rsidRPr="00E13F3B">
              <w:t xml:space="preserve">Criticized for vague language that led to a </w:t>
            </w:r>
            <w:r w:rsidRPr="00E13F3B">
              <w:rPr>
                <w:b/>
                <w:bCs/>
              </w:rPr>
              <w:t>"chilling effect"</w:t>
            </w:r>
            <w:r w:rsidRPr="00E13F3B">
              <w:t xml:space="preserve"> on investigative journalism and free speech.</w:t>
            </w:r>
          </w:p>
        </w:tc>
      </w:tr>
      <w:tr w:rsidR="00E13F3B" w:rsidRPr="00E13F3B" w14:paraId="1B7EC1CB" w14:textId="77777777" w:rsidTr="00D206DE">
        <w:trPr>
          <w:trHeight w:val="132"/>
        </w:trPr>
        <w:tc>
          <w:tcPr>
            <w:tcW w:w="836" w:type="dxa"/>
            <w:vAlign w:val="center"/>
            <w:hideMark/>
          </w:tcPr>
          <w:p w14:paraId="41041E84" w14:textId="77777777" w:rsidR="00E13F3B" w:rsidRPr="00E13F3B" w:rsidRDefault="00E13F3B" w:rsidP="00D206DE">
            <w:pPr>
              <w:jc w:val="both"/>
            </w:pPr>
            <w:r w:rsidRPr="00E13F3B">
              <w:rPr>
                <w:b/>
                <w:bCs/>
              </w:rPr>
              <w:t>Cyber Security Act (CSA)</w:t>
            </w:r>
          </w:p>
        </w:tc>
        <w:tc>
          <w:tcPr>
            <w:tcW w:w="958" w:type="dxa"/>
            <w:vAlign w:val="center"/>
            <w:hideMark/>
          </w:tcPr>
          <w:p w14:paraId="561372D0" w14:textId="77777777" w:rsidR="00E13F3B" w:rsidRPr="00E13F3B" w:rsidRDefault="00E13F3B" w:rsidP="00D206DE">
            <w:pPr>
              <w:jc w:val="both"/>
            </w:pPr>
            <w:r w:rsidRPr="00E13F3B">
              <w:t>2023</w:t>
            </w:r>
          </w:p>
        </w:tc>
        <w:tc>
          <w:tcPr>
            <w:tcW w:w="1484" w:type="dxa"/>
            <w:vAlign w:val="center"/>
            <w:hideMark/>
          </w:tcPr>
          <w:p w14:paraId="43286CA1" w14:textId="77777777" w:rsidR="00E13F3B" w:rsidRPr="00E13F3B" w:rsidRDefault="00E13F3B" w:rsidP="00D206DE">
            <w:pPr>
              <w:jc w:val="both"/>
            </w:pPr>
            <w:r w:rsidRPr="00E13F3B">
              <w:t>Intended to replace the DSA, lowering some penalties while maintaining the core framework for digital security.</w:t>
            </w:r>
          </w:p>
        </w:tc>
        <w:tc>
          <w:tcPr>
            <w:tcW w:w="1558" w:type="dxa"/>
            <w:vAlign w:val="center"/>
            <w:hideMark/>
          </w:tcPr>
          <w:p w14:paraId="00DC38E1" w14:textId="77777777" w:rsidR="00E13F3B" w:rsidRPr="00E13F3B" w:rsidRDefault="00E13F3B" w:rsidP="00D206DE">
            <w:pPr>
              <w:jc w:val="both"/>
            </w:pPr>
            <w:r w:rsidRPr="00E13F3B">
              <w:t xml:space="preserve">Described by many as a </w:t>
            </w:r>
            <w:r w:rsidRPr="00E13F3B">
              <w:rPr>
                <w:b/>
                <w:bCs/>
              </w:rPr>
              <w:t>"rehash"</w:t>
            </w:r>
            <w:r w:rsidRPr="00E13F3B">
              <w:t xml:space="preserve"> of the DSA that still lacks mature frameworks for data protection and independent oversight.</w:t>
            </w:r>
          </w:p>
        </w:tc>
      </w:tr>
      <w:tr w:rsidR="00E13F3B" w:rsidRPr="00E13F3B" w14:paraId="32FCFDE1" w14:textId="77777777" w:rsidTr="00D206DE">
        <w:trPr>
          <w:trHeight w:val="1762"/>
        </w:trPr>
        <w:tc>
          <w:tcPr>
            <w:tcW w:w="836" w:type="dxa"/>
            <w:vAlign w:val="center"/>
            <w:hideMark/>
          </w:tcPr>
          <w:p w14:paraId="68DD491C" w14:textId="77777777" w:rsidR="00E13F3B" w:rsidRPr="00E13F3B" w:rsidRDefault="00E13F3B" w:rsidP="00D206DE">
            <w:pPr>
              <w:jc w:val="both"/>
            </w:pPr>
            <w:r w:rsidRPr="00E13F3B">
              <w:rPr>
                <w:b/>
                <w:bCs/>
              </w:rPr>
              <w:t>Personal Data Protection Act (Draft)</w:t>
            </w:r>
          </w:p>
        </w:tc>
        <w:tc>
          <w:tcPr>
            <w:tcW w:w="958" w:type="dxa"/>
            <w:vAlign w:val="center"/>
            <w:hideMark/>
          </w:tcPr>
          <w:p w14:paraId="0C4A9DA4" w14:textId="77777777" w:rsidR="00E13F3B" w:rsidRPr="00E13F3B" w:rsidRDefault="00E13F3B" w:rsidP="00D206DE">
            <w:pPr>
              <w:jc w:val="both"/>
            </w:pPr>
            <w:r w:rsidRPr="00E13F3B">
              <w:t>2023</w:t>
            </w:r>
          </w:p>
        </w:tc>
        <w:tc>
          <w:tcPr>
            <w:tcW w:w="1484" w:type="dxa"/>
            <w:vAlign w:val="center"/>
            <w:hideMark/>
          </w:tcPr>
          <w:p w14:paraId="258E4BEF" w14:textId="77777777" w:rsidR="00E13F3B" w:rsidRPr="00E13F3B" w:rsidRDefault="00E13F3B" w:rsidP="00D206DE">
            <w:pPr>
              <w:jc w:val="both"/>
            </w:pPr>
            <w:r w:rsidRPr="00E13F3B">
              <w:t xml:space="preserve">Aims to define user rights, ensure </w:t>
            </w:r>
            <w:r w:rsidRPr="00E13F3B">
              <w:rPr>
                <w:b/>
                <w:bCs/>
              </w:rPr>
              <w:t>transparency</w:t>
            </w:r>
            <w:r w:rsidRPr="00E13F3B">
              <w:t>, and mandate consent in the use of personal data.</w:t>
            </w:r>
          </w:p>
        </w:tc>
        <w:tc>
          <w:tcPr>
            <w:tcW w:w="1558" w:type="dxa"/>
            <w:vAlign w:val="center"/>
            <w:hideMark/>
          </w:tcPr>
          <w:p w14:paraId="5F03E1DE" w14:textId="77777777" w:rsidR="00E13F3B" w:rsidRPr="00E13F3B" w:rsidRDefault="00E13F3B" w:rsidP="00D206DE">
            <w:pPr>
              <w:jc w:val="both"/>
            </w:pPr>
            <w:r w:rsidRPr="00E13F3B">
              <w:t xml:space="preserve">Concerns exist regarding </w:t>
            </w:r>
            <w:r w:rsidRPr="00E13F3B">
              <w:rPr>
                <w:b/>
                <w:bCs/>
              </w:rPr>
              <w:t>government surveillance</w:t>
            </w:r>
            <w:r w:rsidRPr="00E13F3B">
              <w:t xml:space="preserve"> powers and broad exemptions for national security and investigations.</w:t>
            </w:r>
          </w:p>
        </w:tc>
      </w:tr>
    </w:tbl>
    <w:p w14:paraId="2EA480B9" w14:textId="77777777" w:rsidR="00E13F3B" w:rsidRPr="00E13F3B" w:rsidRDefault="00E13F3B" w:rsidP="00E13F3B">
      <w:pPr>
        <w:jc w:val="both"/>
        <w:rPr>
          <w:sz w:val="18"/>
          <w:szCs w:val="18"/>
        </w:rPr>
      </w:pPr>
      <w:r w:rsidRPr="00E13F3B">
        <w:rPr>
          <w:sz w:val="18"/>
          <w:szCs w:val="18"/>
        </w:rPr>
        <w:t>**Source: Author's own work</w:t>
      </w:r>
    </w:p>
    <w:p w14:paraId="77EB06D4" w14:textId="77777777" w:rsidR="00E13F3B" w:rsidRPr="00E13F3B" w:rsidRDefault="00E13F3B" w:rsidP="00E13F3B">
      <w:pPr>
        <w:pStyle w:val="Heading1"/>
        <w:rPr>
          <w:color w:val="auto"/>
        </w:rPr>
      </w:pPr>
      <w:r w:rsidRPr="00E13F3B">
        <w:rPr>
          <w:color w:val="auto"/>
        </w:rPr>
        <w:t>Methodology</w:t>
      </w:r>
    </w:p>
    <w:p w14:paraId="0E71FA1D" w14:textId="77777777" w:rsidR="00E13F3B" w:rsidRPr="00E13F3B" w:rsidRDefault="00E13F3B" w:rsidP="00E13F3B">
      <w:pPr>
        <w:jc w:val="both"/>
        <w:rPr>
          <w:rFonts w:eastAsia="Times New Roman"/>
        </w:rPr>
      </w:pPr>
      <w:r w:rsidRPr="00E13F3B">
        <w:rPr>
          <w:rFonts w:eastAsia="Times New Roman"/>
        </w:rPr>
        <w:t xml:space="preserve">      After completion of the literature review, the data were collected from both secondary and primary data, which were used to examine the level of awareness of university students for cybercrimes and means of cybersecurity. A quantitative research approach with descriptive analysis was used to explore the digital experiences, behaviors, and awareness levels of young people.</w:t>
      </w:r>
    </w:p>
    <w:p w14:paraId="4594F131" w14:textId="77777777" w:rsidR="00E13F3B" w:rsidRPr="00E13F3B" w:rsidRDefault="00E13F3B" w:rsidP="00E13F3B">
      <w:pPr>
        <w:jc w:val="both"/>
        <w:rPr>
          <w:rFonts w:eastAsia="Times New Roman"/>
          <w:i/>
          <w:iCs/>
        </w:rPr>
      </w:pPr>
    </w:p>
    <w:p w14:paraId="7DF5C9A7" w14:textId="77777777" w:rsidR="00E13F3B" w:rsidRPr="00E13F3B" w:rsidRDefault="00E13F3B" w:rsidP="00E13F3B">
      <w:pPr>
        <w:jc w:val="both"/>
        <w:rPr>
          <w:rFonts w:eastAsia="Times New Roman"/>
        </w:rPr>
      </w:pPr>
      <w:r w:rsidRPr="00E13F3B">
        <w:rPr>
          <w:rFonts w:eastAsia="Times New Roman"/>
        </w:rPr>
        <w:lastRenderedPageBreak/>
        <w:t xml:space="preserve">   The study was conducted in different universities in Bangladesh. Because young people in both urban and semi-urban settings actively use digital platforms for communication, education, and social interaction. A simple random sampling method was used to select respondents from the young population of the selected areas. The total sample size :</w:t>
      </w:r>
    </w:p>
    <w:p w14:paraId="5945F83D" w14:textId="77777777" w:rsidR="00E13F3B" w:rsidRPr="00E13F3B" w:rsidRDefault="00E13F3B" w:rsidP="00E13F3B">
      <w:pPr>
        <w:ind w:left="180"/>
        <w:jc w:val="both"/>
        <w:rPr>
          <w:rFonts w:eastAsia="Times New Roman"/>
          <w:b/>
          <w:bCs/>
        </w:rPr>
      </w:pPr>
      <w:r w:rsidRPr="00E13F3B">
        <w:rPr>
          <w:rFonts w:eastAsia="Times New Roman"/>
        </w:rPr>
        <w:t xml:space="preserve"> </w:t>
      </w:r>
      <w:r w:rsidRPr="00E13F3B">
        <w:rPr>
          <w:rFonts w:eastAsia="Times New Roman"/>
          <w:b/>
          <w:bCs/>
        </w:rPr>
        <w:t>Cochran Sample Size Formula</w:t>
      </w:r>
    </w:p>
    <w:p w14:paraId="6C511DA4" w14:textId="77777777" w:rsidR="00E13F3B" w:rsidRPr="00E13F3B" w:rsidRDefault="00E13F3B" w:rsidP="00E13F3B">
      <w:pPr>
        <w:jc w:val="both"/>
        <w:rPr>
          <w:rFonts w:eastAsia="Times New Roman"/>
        </w:rPr>
      </w:pPr>
      <m:oMathPara>
        <m:oMath>
          <m:sSub>
            <m:sSubPr>
              <m:ctrlPr>
                <w:rPr>
                  <w:rFonts w:ascii="Cambria Math" w:eastAsia="Times New Roman" w:hAnsi="Cambria Math"/>
                </w:rPr>
              </m:ctrlPr>
            </m:sSubPr>
            <m:e>
              <m:r>
                <w:rPr>
                  <w:rFonts w:ascii="Cambria Math" w:eastAsia="Times New Roman" w:hAnsi="Cambria Math"/>
                </w:rPr>
                <m:t>n</m:t>
              </m:r>
            </m:e>
            <m:sub>
              <m:r>
                <w:rPr>
                  <w:rFonts w:ascii="Cambria Math" w:eastAsia="Times New Roman" w:hAnsi="Cambria Math"/>
                </w:rPr>
                <m:t>0</m:t>
              </m:r>
            </m:sub>
          </m:sSub>
          <m:r>
            <w:rPr>
              <w:rFonts w:ascii="Cambria Math" w:eastAsia="Times New Roman" w:hAnsi="Cambria Math"/>
            </w:rPr>
            <m:t>=</m:t>
          </m:r>
          <m:f>
            <m:fPr>
              <m:ctrlPr>
                <w:rPr>
                  <w:rFonts w:ascii="Cambria Math" w:eastAsia="Times New Roman" w:hAnsi="Cambria Math"/>
                </w:rPr>
              </m:ctrlPr>
            </m:fPr>
            <m:num>
              <m:sSup>
                <m:sSupPr>
                  <m:ctrlPr>
                    <w:rPr>
                      <w:rFonts w:ascii="Cambria Math" w:eastAsia="Times New Roman" w:hAnsi="Cambria Math"/>
                    </w:rPr>
                  </m:ctrlPr>
                </m:sSupPr>
                <m:e>
                  <m:r>
                    <w:rPr>
                      <w:rFonts w:ascii="Cambria Math" w:eastAsia="Times New Roman" w:hAnsi="Cambria Math"/>
                    </w:rPr>
                    <m:t>Z</m:t>
                  </m:r>
                </m:e>
                <m:sup>
                  <m:r>
                    <w:rPr>
                      <w:rFonts w:ascii="Cambria Math" w:eastAsia="Times New Roman" w:hAnsi="Cambria Math"/>
                    </w:rPr>
                    <m:t>2</m:t>
                  </m:r>
                </m:sup>
              </m:sSup>
              <m:r>
                <w:rPr>
                  <w:rFonts w:ascii="Cambria Math" w:eastAsia="Times New Roman" w:hAnsi="Cambria Math"/>
                </w:rPr>
                <m:t>×p×(1-p)</m:t>
              </m:r>
            </m:num>
            <m:den>
              <m:sSup>
                <m:sSupPr>
                  <m:ctrlPr>
                    <w:rPr>
                      <w:rFonts w:ascii="Cambria Math" w:eastAsia="Times New Roman" w:hAnsi="Cambria Math"/>
                    </w:rPr>
                  </m:ctrlPr>
                </m:sSupPr>
                <m:e>
                  <m:r>
                    <w:rPr>
                      <w:rFonts w:ascii="Cambria Math" w:eastAsia="Times New Roman" w:hAnsi="Cambria Math"/>
                    </w:rPr>
                    <m:t>e</m:t>
                  </m:r>
                </m:e>
                <m:sup>
                  <m:r>
                    <w:rPr>
                      <w:rFonts w:ascii="Cambria Math" w:eastAsia="Times New Roman" w:hAnsi="Cambria Math"/>
                    </w:rPr>
                    <m:t>2</m:t>
                  </m:r>
                </m:sup>
              </m:sSup>
            </m:den>
          </m:f>
          <m:r>
            <m:rPr>
              <m:sty m:val="p"/>
            </m:rPr>
            <w:rPr>
              <w:rFonts w:eastAsia="Times New Roman"/>
            </w:rPr>
            <w:br/>
          </m:r>
        </m:oMath>
      </m:oMathPara>
    </w:p>
    <w:p w14:paraId="7EEB027A" w14:textId="77777777" w:rsidR="00E13F3B" w:rsidRPr="00E13F3B" w:rsidRDefault="00E13F3B" w:rsidP="00E13F3B">
      <w:pPr>
        <w:jc w:val="both"/>
        <w:rPr>
          <w:rFonts w:eastAsia="Times New Roman"/>
        </w:rPr>
      </w:pPr>
      <w:r w:rsidRPr="00E13F3B">
        <w:rPr>
          <w:rFonts w:eastAsia="Times New Roman"/>
        </w:rPr>
        <w:t>Where:</w:t>
      </w:r>
    </w:p>
    <w:p w14:paraId="18CB03B9" w14:textId="77777777" w:rsidR="00E13F3B" w:rsidRPr="00E13F3B" w:rsidRDefault="00E13F3B" w:rsidP="00E13F3B">
      <w:pPr>
        <w:numPr>
          <w:ilvl w:val="0"/>
          <w:numId w:val="3"/>
        </w:numPr>
        <w:jc w:val="both"/>
        <w:rPr>
          <w:rFonts w:eastAsia="Times New Roman"/>
        </w:rPr>
      </w:pPr>
      <w:r w:rsidRPr="00E13F3B">
        <w:rPr>
          <w:rFonts w:eastAsia="Times New Roman"/>
          <w:b/>
          <w:bCs/>
        </w:rPr>
        <w:t>n₀</w:t>
      </w:r>
      <w:r w:rsidRPr="00E13F3B">
        <w:rPr>
          <w:rFonts w:eastAsia="Times New Roman"/>
        </w:rPr>
        <w:t xml:space="preserve"> = required sample size</w:t>
      </w:r>
    </w:p>
    <w:p w14:paraId="3F5A9E5C" w14:textId="77777777" w:rsidR="00E13F3B" w:rsidRPr="00E13F3B" w:rsidRDefault="00E13F3B" w:rsidP="00E13F3B">
      <w:pPr>
        <w:numPr>
          <w:ilvl w:val="0"/>
          <w:numId w:val="3"/>
        </w:numPr>
        <w:jc w:val="both"/>
        <w:rPr>
          <w:rFonts w:eastAsia="Times New Roman"/>
        </w:rPr>
      </w:pPr>
      <w:r w:rsidRPr="00E13F3B">
        <w:rPr>
          <w:rFonts w:eastAsia="Times New Roman"/>
          <w:b/>
          <w:bCs/>
        </w:rPr>
        <w:t>Z</w:t>
      </w:r>
      <w:r w:rsidRPr="00E13F3B">
        <w:rPr>
          <w:rFonts w:eastAsia="Times New Roman"/>
        </w:rPr>
        <w:t xml:space="preserve"> = Z-value for confidence level (1.96 for 95% confidence)</w:t>
      </w:r>
    </w:p>
    <w:p w14:paraId="1279F436" w14:textId="77777777" w:rsidR="00E13F3B" w:rsidRPr="00E13F3B" w:rsidRDefault="00E13F3B" w:rsidP="00E13F3B">
      <w:pPr>
        <w:numPr>
          <w:ilvl w:val="0"/>
          <w:numId w:val="3"/>
        </w:numPr>
        <w:jc w:val="both"/>
        <w:rPr>
          <w:rFonts w:eastAsia="Times New Roman"/>
        </w:rPr>
      </w:pPr>
      <w:r w:rsidRPr="00E13F3B">
        <w:rPr>
          <w:rFonts w:eastAsia="Times New Roman"/>
          <w:b/>
          <w:bCs/>
        </w:rPr>
        <w:t>p</w:t>
      </w:r>
      <w:r w:rsidRPr="00E13F3B">
        <w:rPr>
          <w:rFonts w:eastAsia="Times New Roman"/>
        </w:rPr>
        <w:t xml:space="preserve"> = estimated proportion of the population (0.5 used when unknown)</w:t>
      </w:r>
    </w:p>
    <w:p w14:paraId="6B9A655A" w14:textId="77777777" w:rsidR="00E13F3B" w:rsidRPr="00E13F3B" w:rsidRDefault="00E13F3B" w:rsidP="00E13F3B">
      <w:pPr>
        <w:numPr>
          <w:ilvl w:val="0"/>
          <w:numId w:val="3"/>
        </w:numPr>
        <w:jc w:val="both"/>
        <w:rPr>
          <w:rFonts w:eastAsia="Times New Roman"/>
        </w:rPr>
      </w:pPr>
      <w:r w:rsidRPr="00E13F3B">
        <w:rPr>
          <w:rFonts w:eastAsia="Times New Roman"/>
          <w:b/>
          <w:bCs/>
        </w:rPr>
        <w:t>e</w:t>
      </w:r>
      <w:r w:rsidRPr="00E13F3B">
        <w:rPr>
          <w:rFonts w:eastAsia="Times New Roman"/>
        </w:rPr>
        <w:t xml:space="preserve"> = margin of error (0.05 or 5%)</w:t>
      </w:r>
    </w:p>
    <w:p w14:paraId="1D2F0E35" w14:textId="77777777" w:rsidR="00E13F3B" w:rsidRPr="00E13F3B" w:rsidRDefault="00E13F3B" w:rsidP="00E13F3B">
      <w:pPr>
        <w:jc w:val="both"/>
        <w:rPr>
          <w:rFonts w:eastAsia="Times New Roman"/>
        </w:rPr>
      </w:pPr>
      <w:r w:rsidRPr="00E13F3B">
        <w:rPr>
          <w:rFonts w:eastAsia="Times New Roman"/>
        </w:rPr>
        <w:t xml:space="preserve"> Initial Sample Size,</w:t>
      </w:r>
    </w:p>
    <w:p w14:paraId="3140B8EF" w14:textId="77777777" w:rsidR="00E13F3B" w:rsidRPr="00E13F3B" w:rsidRDefault="00E13F3B" w:rsidP="00E13F3B">
      <w:pPr>
        <w:jc w:val="both"/>
        <w:rPr>
          <w:rFonts w:eastAsia="Times New Roman"/>
        </w:rPr>
      </w:pPr>
      <m:oMathPara>
        <m:oMath>
          <m:sSub>
            <m:sSubPr>
              <m:ctrlPr>
                <w:rPr>
                  <w:rFonts w:ascii="Cambria Math" w:eastAsia="Times New Roman" w:hAnsi="Cambria Math"/>
                </w:rPr>
              </m:ctrlPr>
            </m:sSubPr>
            <m:e>
              <m:r>
                <w:rPr>
                  <w:rFonts w:ascii="Cambria Math" w:eastAsia="Times New Roman" w:hAnsi="Cambria Math"/>
                </w:rPr>
                <m:t>n</m:t>
              </m:r>
            </m:e>
            <m:sub>
              <m:r>
                <w:rPr>
                  <w:rFonts w:ascii="Cambria Math" w:eastAsia="Times New Roman" w:hAnsi="Cambria Math"/>
                </w:rPr>
                <m:t>0</m:t>
              </m:r>
            </m:sub>
          </m:sSub>
          <m:r>
            <w:rPr>
              <w:rFonts w:ascii="Cambria Math" w:eastAsia="Times New Roman" w:hAnsi="Cambria Math"/>
            </w:rPr>
            <m:t>=</m:t>
          </m:r>
          <m:f>
            <m:fPr>
              <m:ctrlPr>
                <w:rPr>
                  <w:rFonts w:ascii="Cambria Math" w:eastAsia="Times New Roman" w:hAnsi="Cambria Math"/>
                </w:rPr>
              </m:ctrlPr>
            </m:fPr>
            <m:num>
              <m:d>
                <m:dPr>
                  <m:ctrlPr>
                    <w:rPr>
                      <w:rFonts w:ascii="Cambria Math" w:eastAsia="Times New Roman" w:hAnsi="Cambria Math"/>
                    </w:rPr>
                  </m:ctrlPr>
                </m:dPr>
                <m:e>
                  <m:r>
                    <w:rPr>
                      <w:rFonts w:ascii="Cambria Math" w:eastAsia="Times New Roman" w:hAnsi="Cambria Math"/>
                    </w:rPr>
                    <m:t>1.96</m:t>
                  </m:r>
                  <m:sSup>
                    <m:sSupPr>
                      <m:ctrlPr>
                        <w:rPr>
                          <w:rFonts w:ascii="Cambria Math" w:eastAsia="Times New Roman" w:hAnsi="Cambria Math"/>
                        </w:rPr>
                      </m:ctrlPr>
                    </m:sSupPr>
                    <m:e>
                      <m:r>
                        <w:rPr>
                          <w:rFonts w:ascii="Cambria Math" w:eastAsia="Times New Roman" w:hAnsi="Cambria Math"/>
                        </w:rPr>
                        <m:t>)</m:t>
                      </m:r>
                    </m:e>
                    <m:sup>
                      <m:r>
                        <w:rPr>
                          <w:rFonts w:ascii="Cambria Math" w:eastAsia="Times New Roman" w:hAnsi="Cambria Math"/>
                        </w:rPr>
                        <m:t>2</m:t>
                      </m:r>
                    </m:sup>
                  </m:sSup>
                  <m:r>
                    <w:rPr>
                      <w:rFonts w:ascii="Cambria Math" w:eastAsia="Times New Roman" w:hAnsi="Cambria Math"/>
                    </w:rPr>
                    <m:t>×0.5×(1-0.5</m:t>
                  </m:r>
                </m:e>
              </m:d>
            </m:num>
            <m:den>
              <m:d>
                <m:dPr>
                  <m:endChr m:val=""/>
                  <m:ctrlPr>
                    <w:rPr>
                      <w:rFonts w:ascii="Cambria Math" w:eastAsia="Times New Roman" w:hAnsi="Cambria Math"/>
                    </w:rPr>
                  </m:ctrlPr>
                </m:dPr>
                <m:e>
                  <m:r>
                    <w:rPr>
                      <w:rFonts w:ascii="Cambria Math" w:eastAsia="Times New Roman" w:hAnsi="Cambria Math"/>
                    </w:rPr>
                    <m:t>0.05</m:t>
                  </m:r>
                  <m:sSup>
                    <m:sSupPr>
                      <m:ctrlPr>
                        <w:rPr>
                          <w:rFonts w:ascii="Cambria Math" w:eastAsia="Times New Roman" w:hAnsi="Cambria Math"/>
                        </w:rPr>
                      </m:ctrlPr>
                    </m:sSupPr>
                    <m:e>
                      <m:r>
                        <w:rPr>
                          <w:rFonts w:ascii="Cambria Math" w:eastAsia="Times New Roman" w:hAnsi="Cambria Math"/>
                        </w:rPr>
                        <m:t>)</m:t>
                      </m:r>
                    </m:e>
                    <m:sup>
                      <m:r>
                        <w:rPr>
                          <w:rFonts w:ascii="Cambria Math" w:eastAsia="Times New Roman" w:hAnsi="Cambria Math"/>
                        </w:rPr>
                        <m:t>2</m:t>
                      </m:r>
                    </m:sup>
                  </m:sSup>
                </m:e>
              </m:d>
            </m:den>
          </m:f>
          <m:r>
            <m:rPr>
              <m:sty m:val="p"/>
            </m:rPr>
            <w:rPr>
              <w:rFonts w:eastAsia="Times New Roman"/>
            </w:rPr>
            <w:br/>
          </m:r>
        </m:oMath>
        <m:oMath>
          <m:sSub>
            <m:sSubPr>
              <m:ctrlPr>
                <w:rPr>
                  <w:rFonts w:ascii="Cambria Math" w:eastAsia="Times New Roman" w:hAnsi="Cambria Math"/>
                </w:rPr>
              </m:ctrlPr>
            </m:sSubPr>
            <m:e>
              <m:r>
                <w:rPr>
                  <w:rFonts w:ascii="Cambria Math" w:eastAsia="Times New Roman" w:hAnsi="Cambria Math"/>
                </w:rPr>
                <m:t>n</m:t>
              </m:r>
            </m:e>
            <m:sub>
              <m:r>
                <w:rPr>
                  <w:rFonts w:ascii="Cambria Math" w:eastAsia="Times New Roman" w:hAnsi="Cambria Math"/>
                </w:rPr>
                <m:t>0</m:t>
              </m:r>
            </m:sub>
          </m:sSub>
          <m:r>
            <w:rPr>
              <w:rFonts w:ascii="Cambria Math" w:eastAsia="Times New Roman" w:hAnsi="Cambria Math"/>
            </w:rPr>
            <m:t>=</m:t>
          </m:r>
          <m:f>
            <m:fPr>
              <m:ctrlPr>
                <w:rPr>
                  <w:rFonts w:ascii="Cambria Math" w:eastAsia="Times New Roman" w:hAnsi="Cambria Math"/>
                </w:rPr>
              </m:ctrlPr>
            </m:fPr>
            <m:num>
              <m:r>
                <w:rPr>
                  <w:rFonts w:ascii="Cambria Math" w:eastAsia="Times New Roman" w:hAnsi="Cambria Math"/>
                </w:rPr>
                <m:t>3.8416×0.25</m:t>
              </m:r>
            </m:num>
            <m:den>
              <m:r>
                <w:rPr>
                  <w:rFonts w:ascii="Cambria Math" w:eastAsia="Times New Roman" w:hAnsi="Cambria Math"/>
                </w:rPr>
                <m:t>0.0025</m:t>
              </m:r>
            </m:den>
          </m:f>
          <m:r>
            <m:rPr>
              <m:sty m:val="p"/>
            </m:rPr>
            <w:rPr>
              <w:rFonts w:eastAsia="Times New Roman"/>
            </w:rPr>
            <w:br/>
          </m:r>
        </m:oMath>
        <m:oMath>
          <m:sSub>
            <m:sSubPr>
              <m:ctrlPr>
                <w:rPr>
                  <w:rFonts w:ascii="Cambria Math" w:eastAsia="Times New Roman" w:hAnsi="Cambria Math"/>
                </w:rPr>
              </m:ctrlPr>
            </m:sSubPr>
            <m:e>
              <m:r>
                <w:rPr>
                  <w:rFonts w:ascii="Cambria Math" w:eastAsia="Times New Roman" w:hAnsi="Cambria Math"/>
                </w:rPr>
                <m:t>n</m:t>
              </m:r>
            </m:e>
            <m:sub>
              <m:r>
                <w:rPr>
                  <w:rFonts w:ascii="Cambria Math" w:eastAsia="Times New Roman" w:hAnsi="Cambria Math"/>
                </w:rPr>
                <m:t>0</m:t>
              </m:r>
            </m:sub>
          </m:sSub>
          <m:r>
            <w:rPr>
              <w:rFonts w:ascii="Cambria Math" w:eastAsia="Times New Roman" w:hAnsi="Cambria Math"/>
            </w:rPr>
            <m:t>=</m:t>
          </m:r>
          <m:f>
            <m:fPr>
              <m:ctrlPr>
                <w:rPr>
                  <w:rFonts w:ascii="Cambria Math" w:eastAsia="Times New Roman" w:hAnsi="Cambria Math"/>
                </w:rPr>
              </m:ctrlPr>
            </m:fPr>
            <m:num>
              <m:r>
                <w:rPr>
                  <w:rFonts w:ascii="Cambria Math" w:eastAsia="Times New Roman" w:hAnsi="Cambria Math"/>
                </w:rPr>
                <m:t>0.9604</m:t>
              </m:r>
            </m:num>
            <m:den>
              <m:r>
                <w:rPr>
                  <w:rFonts w:ascii="Cambria Math" w:eastAsia="Times New Roman" w:hAnsi="Cambria Math"/>
                </w:rPr>
                <m:t>0.0025</m:t>
              </m:r>
            </m:den>
          </m:f>
          <m:r>
            <m:rPr>
              <m:sty m:val="p"/>
            </m:rPr>
            <w:rPr>
              <w:rFonts w:eastAsia="Times New Roman"/>
            </w:rPr>
            <w:br/>
          </m:r>
        </m:oMath>
        <m:oMath>
          <m:sSub>
            <m:sSubPr>
              <m:ctrlPr>
                <w:rPr>
                  <w:rFonts w:ascii="Cambria Math" w:eastAsia="Times New Roman" w:hAnsi="Cambria Math"/>
                </w:rPr>
              </m:ctrlPr>
            </m:sSubPr>
            <m:e>
              <m:r>
                <w:rPr>
                  <w:rFonts w:ascii="Cambria Math" w:eastAsia="Times New Roman" w:hAnsi="Cambria Math"/>
                </w:rPr>
                <m:t>n</m:t>
              </m:r>
            </m:e>
            <m:sub>
              <m:r>
                <w:rPr>
                  <w:rFonts w:ascii="Cambria Math" w:eastAsia="Times New Roman" w:hAnsi="Cambria Math"/>
                </w:rPr>
                <m:t>0</m:t>
              </m:r>
            </m:sub>
          </m:sSub>
          <m:r>
            <w:rPr>
              <w:rFonts w:ascii="Cambria Math" w:eastAsia="Times New Roman" w:hAnsi="Cambria Math"/>
            </w:rPr>
            <m:t>=384</m:t>
          </m:r>
          <m:r>
            <w:rPr>
              <w:rFonts w:eastAsia="Times New Roman"/>
            </w:rPr>
            <w:br/>
          </m:r>
        </m:oMath>
      </m:oMathPara>
    </w:p>
    <w:p w14:paraId="1B036CB6" w14:textId="77777777" w:rsidR="00E13F3B" w:rsidRPr="00E13F3B" w:rsidRDefault="00E13F3B" w:rsidP="00E13F3B">
      <w:pPr>
        <w:jc w:val="both"/>
        <w:rPr>
          <w:rFonts w:eastAsia="Times New Roman"/>
        </w:rPr>
      </w:pPr>
      <w:r w:rsidRPr="00E13F3B">
        <w:rPr>
          <w:rFonts w:eastAsia="Times New Roman"/>
        </w:rPr>
        <w:t>So, the ideal sample size = 384 respondents.</w:t>
      </w:r>
    </w:p>
    <w:p w14:paraId="6D6E4B52" w14:textId="77777777" w:rsidR="00E13F3B" w:rsidRPr="00E13F3B" w:rsidRDefault="00E13F3B" w:rsidP="00E13F3B">
      <w:pPr>
        <w:jc w:val="both"/>
        <w:rPr>
          <w:rFonts w:eastAsia="Times New Roman"/>
        </w:rPr>
      </w:pPr>
    </w:p>
    <w:p w14:paraId="3B4C7463" w14:textId="77777777" w:rsidR="00E13F3B" w:rsidRPr="00E13F3B" w:rsidRDefault="00E13F3B" w:rsidP="00E13F3B">
      <w:pPr>
        <w:jc w:val="both"/>
        <w:rPr>
          <w:rFonts w:eastAsia="Times New Roman"/>
        </w:rPr>
      </w:pPr>
      <w:r w:rsidRPr="00E13F3B">
        <w:rPr>
          <w:rFonts w:eastAsia="Times New Roman"/>
        </w:rPr>
        <w:t>In social science surveys, researchers usually adjust the sample, assuming that about 3% responses may be incomplete or invalid.</w:t>
      </w:r>
    </w:p>
    <w:p w14:paraId="7F19CD82" w14:textId="77777777" w:rsidR="00E13F3B" w:rsidRPr="00E13F3B" w:rsidRDefault="00E13F3B" w:rsidP="00E13F3B">
      <w:pPr>
        <w:ind w:left="1440"/>
        <w:jc w:val="both"/>
        <w:rPr>
          <w:rFonts w:eastAsia="Times New Roman"/>
        </w:rPr>
      </w:pPr>
      <m:oMathPara>
        <m:oMathParaPr>
          <m:jc m:val="center"/>
        </m:oMathParaPr>
        <m:oMath>
          <m:r>
            <w:rPr>
              <w:rFonts w:ascii="Cambria Math" w:eastAsia="Times New Roman" w:hAnsi="Cambria Math"/>
            </w:rPr>
            <m:t>Adjusted</m:t>
          </m:r>
          <m:r>
            <m:rPr>
              <m:nor/>
            </m:rPr>
            <w:rPr>
              <w:rFonts w:eastAsia="Times New Roman"/>
            </w:rPr>
            <m:t xml:space="preserve"> </m:t>
          </m:r>
          <m:r>
            <w:rPr>
              <w:rFonts w:ascii="Cambria Math" w:eastAsia="Times New Roman" w:hAnsi="Cambria Math"/>
            </w:rPr>
            <m:t>Sample=384×0.97</m:t>
          </m:r>
          <m:r>
            <w:rPr>
              <w:rFonts w:eastAsia="Times New Roman"/>
            </w:rPr>
            <w:br/>
          </m:r>
        </m:oMath>
        <m:oMath>
          <m:r>
            <w:rPr>
              <w:rFonts w:ascii="Cambria Math" w:eastAsia="Times New Roman" w:hAnsi="Cambria Math"/>
            </w:rPr>
            <m:t>Adjusted</m:t>
          </m:r>
          <m:r>
            <m:rPr>
              <m:nor/>
            </m:rPr>
            <w:rPr>
              <w:rFonts w:eastAsia="Times New Roman"/>
            </w:rPr>
            <m:t xml:space="preserve"> </m:t>
          </m:r>
          <m:r>
            <w:rPr>
              <w:rFonts w:ascii="Cambria Math" w:eastAsia="Times New Roman" w:hAnsi="Cambria Math"/>
            </w:rPr>
            <m:t>Sample=372.48≈372</m:t>
          </m:r>
          <m:r>
            <w:rPr>
              <w:rFonts w:eastAsia="Times New Roman"/>
            </w:rPr>
            <w:br/>
          </m:r>
        </m:oMath>
      </m:oMathPara>
    </w:p>
    <w:p w14:paraId="1BEDE260" w14:textId="77777777" w:rsidR="00E13F3B" w:rsidRPr="00E13F3B" w:rsidRDefault="00E13F3B" w:rsidP="00E13F3B">
      <w:pPr>
        <w:jc w:val="both"/>
        <w:rPr>
          <w:rFonts w:eastAsia="Times New Roman"/>
        </w:rPr>
      </w:pPr>
      <w:r w:rsidRPr="00E13F3B">
        <w:rPr>
          <w:rFonts w:eastAsia="Times New Roman"/>
        </w:rPr>
        <w:t>Therefore, the final sample size used in this study is 372</w:t>
      </w:r>
      <w:r w:rsidRPr="00E13F3B">
        <w:rPr>
          <w:rFonts w:eastAsia="Times New Roman"/>
          <w:b/>
          <w:bCs/>
        </w:rPr>
        <w:t xml:space="preserve"> </w:t>
      </w:r>
      <w:r w:rsidRPr="00E13F3B">
        <w:rPr>
          <w:rFonts w:eastAsia="Times New Roman"/>
        </w:rPr>
        <w:t>respondents.</w:t>
      </w:r>
    </w:p>
    <w:p w14:paraId="101230F4" w14:textId="77777777" w:rsidR="00E13F3B" w:rsidRPr="00E13F3B" w:rsidRDefault="00E13F3B" w:rsidP="00E13F3B">
      <w:pPr>
        <w:jc w:val="both"/>
        <w:rPr>
          <w:rFonts w:eastAsia="Times New Roman"/>
        </w:rPr>
      </w:pPr>
    </w:p>
    <w:p w14:paraId="24ECBD56" w14:textId="77777777" w:rsidR="00E13F3B" w:rsidRPr="00E13F3B" w:rsidRDefault="00E13F3B" w:rsidP="00E13F3B">
      <w:pPr>
        <w:jc w:val="both"/>
        <w:rPr>
          <w:rFonts w:eastAsia="Times New Roman"/>
        </w:rPr>
      </w:pPr>
      <w:r w:rsidRPr="00E13F3B">
        <w:rPr>
          <w:rFonts w:eastAsia="Times New Roman"/>
        </w:rPr>
        <w:t xml:space="preserve">Data were collected through a questionnaire containing closed-ended questions. The survey method was used to gather information on cybercrime awareness, legal knowledge, and online behavior. Likert scale items were also used to measure respondents’ attitudes. The collected data were coded and processed using SPSS and Microsoft Excel. Coding allowed the responses to be converted into numerical values for easier statistical </w:t>
      </w:r>
      <w:proofErr w:type="gramStart"/>
      <w:r w:rsidRPr="00E13F3B">
        <w:rPr>
          <w:rFonts w:eastAsia="Times New Roman"/>
        </w:rPr>
        <w:t>analysis..</w:t>
      </w:r>
      <w:proofErr w:type="gramEnd"/>
    </w:p>
    <w:p w14:paraId="292844AA" w14:textId="77777777" w:rsidR="00E13F3B" w:rsidRPr="00E13F3B" w:rsidRDefault="00E13F3B" w:rsidP="00E13F3B">
      <w:pPr>
        <w:jc w:val="both"/>
        <w:rPr>
          <w:rFonts w:eastAsia="Times New Roman"/>
        </w:rPr>
      </w:pPr>
      <w:r w:rsidRPr="00E13F3B">
        <w:rPr>
          <w:rFonts w:eastAsia="Times New Roman"/>
        </w:rPr>
        <w:t xml:space="preserve"> </w:t>
      </w:r>
    </w:p>
    <w:p w14:paraId="08DEFEFC" w14:textId="77777777" w:rsidR="00E13F3B" w:rsidRPr="00E13F3B" w:rsidRDefault="00E13F3B" w:rsidP="00E13F3B">
      <w:pPr>
        <w:pStyle w:val="Heading1"/>
        <w:spacing w:before="0" w:after="0"/>
        <w:rPr>
          <w:color w:val="auto"/>
        </w:rPr>
      </w:pPr>
      <w:r w:rsidRPr="00E13F3B">
        <w:rPr>
          <w:color w:val="auto"/>
        </w:rPr>
        <w:t>Result and Discussion</w:t>
      </w:r>
    </w:p>
    <w:p w14:paraId="6DE8B920" w14:textId="77777777" w:rsidR="00E13F3B" w:rsidRPr="00E13F3B" w:rsidRDefault="00E13F3B" w:rsidP="00E13F3B">
      <w:pPr>
        <w:jc w:val="both"/>
        <w:rPr>
          <w:rFonts w:eastAsia="Times New Roman"/>
          <w:sz w:val="24"/>
          <w:szCs w:val="24"/>
        </w:rPr>
      </w:pPr>
      <w:r w:rsidRPr="00E13F3B">
        <w:rPr>
          <w:rFonts w:eastAsia="Times New Roman"/>
        </w:rPr>
        <w:t xml:space="preserve">     The primary target respondents were the young generation who were aware of various computer-related crimes and security issues within their educational institution</w:t>
      </w:r>
      <w:r w:rsidRPr="00E13F3B">
        <w:rPr>
          <w:rFonts w:eastAsia="Times New Roman"/>
          <w:sz w:val="24"/>
          <w:szCs w:val="24"/>
        </w:rPr>
        <w:t xml:space="preserve">. </w:t>
      </w:r>
    </w:p>
    <w:p w14:paraId="1412E794" w14:textId="77777777" w:rsidR="00E13F3B" w:rsidRPr="00E13F3B" w:rsidRDefault="00E13F3B" w:rsidP="00E13F3B">
      <w:pPr>
        <w:pStyle w:val="BodyText"/>
        <w:spacing w:before="240"/>
        <w:ind w:firstLine="0"/>
        <w:rPr>
          <w:b/>
          <w:bCs/>
        </w:rPr>
      </w:pPr>
      <w:r w:rsidRPr="00E13F3B">
        <w:t xml:space="preserve">      </w:t>
      </w:r>
      <w:r w:rsidRPr="00E13F3B">
        <w:rPr>
          <w:b/>
          <w:bCs/>
        </w:rPr>
        <w:t xml:space="preserve">Table 01: Socio-Demographic Characteristics </w:t>
      </w:r>
    </w:p>
    <w:tbl>
      <w:tblPr>
        <w:tblStyle w:val="TableGrid"/>
        <w:tblW w:w="466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86"/>
        <w:gridCol w:w="1429"/>
        <w:gridCol w:w="1286"/>
        <w:gridCol w:w="962"/>
      </w:tblGrid>
      <w:tr w:rsidR="00E13F3B" w:rsidRPr="00E13F3B" w14:paraId="5A8A64D4" w14:textId="77777777" w:rsidTr="00D206DE">
        <w:trPr>
          <w:trHeight w:val="58"/>
        </w:trPr>
        <w:tc>
          <w:tcPr>
            <w:tcW w:w="2415" w:type="dxa"/>
            <w:gridSpan w:val="2"/>
          </w:tcPr>
          <w:p w14:paraId="344AE26C" w14:textId="77777777" w:rsidR="00E13F3B" w:rsidRPr="00E13F3B" w:rsidRDefault="00E13F3B" w:rsidP="00D206DE">
            <w:pPr>
              <w:rPr>
                <w:b/>
                <w:bCs/>
              </w:rPr>
            </w:pPr>
            <w:r w:rsidRPr="00E13F3B">
              <w:rPr>
                <w:b/>
                <w:bCs/>
              </w:rPr>
              <w:t>Criteria</w:t>
            </w:r>
          </w:p>
        </w:tc>
        <w:tc>
          <w:tcPr>
            <w:tcW w:w="1286" w:type="dxa"/>
          </w:tcPr>
          <w:p w14:paraId="37DD11EA" w14:textId="77777777" w:rsidR="00E13F3B" w:rsidRPr="00E13F3B" w:rsidRDefault="00E13F3B" w:rsidP="00D206DE">
            <w:pPr>
              <w:rPr>
                <w:b/>
                <w:bCs/>
              </w:rPr>
            </w:pPr>
            <w:r w:rsidRPr="00E13F3B">
              <w:rPr>
                <w:b/>
                <w:bCs/>
              </w:rPr>
              <w:t>Frequency</w:t>
            </w:r>
          </w:p>
        </w:tc>
        <w:tc>
          <w:tcPr>
            <w:tcW w:w="962" w:type="dxa"/>
          </w:tcPr>
          <w:p w14:paraId="37051F31" w14:textId="77777777" w:rsidR="00E13F3B" w:rsidRPr="00E13F3B" w:rsidRDefault="00E13F3B" w:rsidP="00D206DE">
            <w:pPr>
              <w:rPr>
                <w:b/>
                <w:bCs/>
              </w:rPr>
            </w:pPr>
            <w:r w:rsidRPr="00E13F3B">
              <w:rPr>
                <w:b/>
                <w:bCs/>
              </w:rPr>
              <w:t>Percent</w:t>
            </w:r>
          </w:p>
        </w:tc>
      </w:tr>
      <w:tr w:rsidR="00E13F3B" w:rsidRPr="00E13F3B" w14:paraId="1C641B72" w14:textId="77777777" w:rsidTr="00D206DE">
        <w:trPr>
          <w:trHeight w:val="27"/>
        </w:trPr>
        <w:tc>
          <w:tcPr>
            <w:tcW w:w="986" w:type="dxa"/>
            <w:vMerge w:val="restart"/>
          </w:tcPr>
          <w:p w14:paraId="0A4B048B" w14:textId="77777777" w:rsidR="00E13F3B" w:rsidRPr="00E13F3B" w:rsidRDefault="00E13F3B" w:rsidP="00D206DE">
            <w:r w:rsidRPr="00E13F3B">
              <w:rPr>
                <w:b/>
                <w:bCs/>
              </w:rPr>
              <w:t xml:space="preserve">Age </w:t>
            </w:r>
          </w:p>
        </w:tc>
        <w:tc>
          <w:tcPr>
            <w:tcW w:w="1429" w:type="dxa"/>
          </w:tcPr>
          <w:p w14:paraId="7AF9EEB5" w14:textId="77777777" w:rsidR="00E13F3B" w:rsidRPr="00E13F3B" w:rsidRDefault="00E13F3B" w:rsidP="00D206DE">
            <w:r w:rsidRPr="00E13F3B">
              <w:t>18 to 23</w:t>
            </w:r>
          </w:p>
        </w:tc>
        <w:tc>
          <w:tcPr>
            <w:tcW w:w="1286" w:type="dxa"/>
          </w:tcPr>
          <w:p w14:paraId="61478805" w14:textId="77777777" w:rsidR="00E13F3B" w:rsidRPr="00E13F3B" w:rsidRDefault="00E13F3B" w:rsidP="00D206DE">
            <w:r w:rsidRPr="00E13F3B">
              <w:t>222</w:t>
            </w:r>
          </w:p>
        </w:tc>
        <w:tc>
          <w:tcPr>
            <w:tcW w:w="962" w:type="dxa"/>
          </w:tcPr>
          <w:p w14:paraId="103A01CF" w14:textId="77777777" w:rsidR="00E13F3B" w:rsidRPr="00E13F3B" w:rsidRDefault="00E13F3B" w:rsidP="00D206DE">
            <w:r w:rsidRPr="00E13F3B">
              <w:t>59.7</w:t>
            </w:r>
          </w:p>
        </w:tc>
      </w:tr>
      <w:tr w:rsidR="00E13F3B" w:rsidRPr="00E13F3B" w14:paraId="154731F7" w14:textId="77777777" w:rsidTr="00D206DE">
        <w:trPr>
          <w:trHeight w:val="42"/>
        </w:trPr>
        <w:tc>
          <w:tcPr>
            <w:tcW w:w="986" w:type="dxa"/>
            <w:vMerge/>
          </w:tcPr>
          <w:p w14:paraId="477DB590" w14:textId="77777777" w:rsidR="00E13F3B" w:rsidRPr="00E13F3B" w:rsidRDefault="00E13F3B" w:rsidP="00D206DE"/>
        </w:tc>
        <w:tc>
          <w:tcPr>
            <w:tcW w:w="1429" w:type="dxa"/>
          </w:tcPr>
          <w:p w14:paraId="3CAB244A" w14:textId="77777777" w:rsidR="00E13F3B" w:rsidRPr="00E13F3B" w:rsidRDefault="00E13F3B" w:rsidP="00D206DE">
            <w:r w:rsidRPr="00E13F3B">
              <w:t>24 to 28</w:t>
            </w:r>
          </w:p>
        </w:tc>
        <w:tc>
          <w:tcPr>
            <w:tcW w:w="1286" w:type="dxa"/>
          </w:tcPr>
          <w:p w14:paraId="0C9BEF98" w14:textId="77777777" w:rsidR="00E13F3B" w:rsidRPr="00E13F3B" w:rsidRDefault="00E13F3B" w:rsidP="00D206DE">
            <w:r w:rsidRPr="00E13F3B">
              <w:t>150</w:t>
            </w:r>
          </w:p>
        </w:tc>
        <w:tc>
          <w:tcPr>
            <w:tcW w:w="962" w:type="dxa"/>
          </w:tcPr>
          <w:p w14:paraId="55436359" w14:textId="77777777" w:rsidR="00E13F3B" w:rsidRPr="00E13F3B" w:rsidRDefault="00E13F3B" w:rsidP="00D206DE">
            <w:r w:rsidRPr="00E13F3B">
              <w:t>40.3</w:t>
            </w:r>
          </w:p>
        </w:tc>
      </w:tr>
      <w:tr w:rsidR="00E13F3B" w:rsidRPr="00E13F3B" w14:paraId="566D2B44" w14:textId="77777777" w:rsidTr="00D206DE">
        <w:trPr>
          <w:trHeight w:val="42"/>
        </w:trPr>
        <w:tc>
          <w:tcPr>
            <w:tcW w:w="986" w:type="dxa"/>
            <w:vMerge/>
          </w:tcPr>
          <w:p w14:paraId="67548208" w14:textId="77777777" w:rsidR="00E13F3B" w:rsidRPr="00E13F3B" w:rsidRDefault="00E13F3B" w:rsidP="00D206DE"/>
        </w:tc>
        <w:tc>
          <w:tcPr>
            <w:tcW w:w="1429" w:type="dxa"/>
          </w:tcPr>
          <w:p w14:paraId="300D5AAD" w14:textId="77777777" w:rsidR="00E13F3B" w:rsidRPr="00E13F3B" w:rsidRDefault="00E13F3B" w:rsidP="00D206DE">
            <w:r w:rsidRPr="00E13F3B">
              <w:t>Total</w:t>
            </w:r>
          </w:p>
        </w:tc>
        <w:tc>
          <w:tcPr>
            <w:tcW w:w="1286" w:type="dxa"/>
          </w:tcPr>
          <w:p w14:paraId="0B5C7CA9" w14:textId="77777777" w:rsidR="00E13F3B" w:rsidRPr="00E13F3B" w:rsidRDefault="00E13F3B" w:rsidP="00D206DE">
            <w:r w:rsidRPr="00E13F3B">
              <w:t>372</w:t>
            </w:r>
          </w:p>
        </w:tc>
        <w:tc>
          <w:tcPr>
            <w:tcW w:w="962" w:type="dxa"/>
          </w:tcPr>
          <w:p w14:paraId="762722C1" w14:textId="77777777" w:rsidR="00E13F3B" w:rsidRPr="00E13F3B" w:rsidRDefault="00E13F3B" w:rsidP="00D206DE">
            <w:r w:rsidRPr="00E13F3B">
              <w:t>100.0</w:t>
            </w:r>
          </w:p>
        </w:tc>
      </w:tr>
      <w:tr w:rsidR="00E13F3B" w:rsidRPr="00E13F3B" w14:paraId="7144DF81" w14:textId="77777777" w:rsidTr="00D206DE">
        <w:trPr>
          <w:trHeight w:val="89"/>
        </w:trPr>
        <w:tc>
          <w:tcPr>
            <w:tcW w:w="986" w:type="dxa"/>
            <w:vMerge w:val="restart"/>
          </w:tcPr>
          <w:p w14:paraId="3521B1EF" w14:textId="77777777" w:rsidR="00E13F3B" w:rsidRPr="00E13F3B" w:rsidRDefault="00E13F3B" w:rsidP="00D206DE">
            <w:r w:rsidRPr="00E13F3B">
              <w:rPr>
                <w:b/>
                <w:bCs/>
              </w:rPr>
              <w:t>Gender</w:t>
            </w:r>
          </w:p>
        </w:tc>
        <w:tc>
          <w:tcPr>
            <w:tcW w:w="1429" w:type="dxa"/>
          </w:tcPr>
          <w:p w14:paraId="68B3FCAE" w14:textId="77777777" w:rsidR="00E13F3B" w:rsidRPr="00E13F3B" w:rsidRDefault="00E13F3B" w:rsidP="00D206DE">
            <w:r w:rsidRPr="00E13F3B">
              <w:t>Male</w:t>
            </w:r>
          </w:p>
        </w:tc>
        <w:tc>
          <w:tcPr>
            <w:tcW w:w="1286" w:type="dxa"/>
          </w:tcPr>
          <w:p w14:paraId="5BF19DC3" w14:textId="77777777" w:rsidR="00E13F3B" w:rsidRPr="00E13F3B" w:rsidRDefault="00E13F3B" w:rsidP="00D206DE">
            <w:r w:rsidRPr="00E13F3B">
              <w:t>238</w:t>
            </w:r>
          </w:p>
        </w:tc>
        <w:tc>
          <w:tcPr>
            <w:tcW w:w="962" w:type="dxa"/>
            <w:vAlign w:val="center"/>
          </w:tcPr>
          <w:p w14:paraId="5F3E3A06" w14:textId="77777777" w:rsidR="00E13F3B" w:rsidRPr="00E13F3B" w:rsidRDefault="00E13F3B" w:rsidP="00D206DE">
            <w:r w:rsidRPr="00E13F3B">
              <w:t>64.0</w:t>
            </w:r>
          </w:p>
        </w:tc>
      </w:tr>
      <w:tr w:rsidR="00E13F3B" w:rsidRPr="00E13F3B" w14:paraId="257A253E" w14:textId="77777777" w:rsidTr="00D206DE">
        <w:trPr>
          <w:trHeight w:val="42"/>
        </w:trPr>
        <w:tc>
          <w:tcPr>
            <w:tcW w:w="986" w:type="dxa"/>
            <w:vMerge/>
          </w:tcPr>
          <w:p w14:paraId="7A3F4435" w14:textId="77777777" w:rsidR="00E13F3B" w:rsidRPr="00E13F3B" w:rsidRDefault="00E13F3B" w:rsidP="00D206DE"/>
        </w:tc>
        <w:tc>
          <w:tcPr>
            <w:tcW w:w="1429" w:type="dxa"/>
          </w:tcPr>
          <w:p w14:paraId="68289844" w14:textId="77777777" w:rsidR="00E13F3B" w:rsidRPr="00E13F3B" w:rsidRDefault="00E13F3B" w:rsidP="00D206DE">
            <w:r w:rsidRPr="00E13F3B">
              <w:t>Female</w:t>
            </w:r>
          </w:p>
        </w:tc>
        <w:tc>
          <w:tcPr>
            <w:tcW w:w="1286" w:type="dxa"/>
          </w:tcPr>
          <w:p w14:paraId="78666202" w14:textId="77777777" w:rsidR="00E13F3B" w:rsidRPr="00E13F3B" w:rsidRDefault="00E13F3B" w:rsidP="00D206DE">
            <w:r w:rsidRPr="00E13F3B">
              <w:t>134</w:t>
            </w:r>
          </w:p>
        </w:tc>
        <w:tc>
          <w:tcPr>
            <w:tcW w:w="962" w:type="dxa"/>
            <w:vAlign w:val="center"/>
          </w:tcPr>
          <w:p w14:paraId="0ACAE9DB" w14:textId="77777777" w:rsidR="00E13F3B" w:rsidRPr="00E13F3B" w:rsidRDefault="00E13F3B" w:rsidP="00D206DE">
            <w:r w:rsidRPr="00E13F3B">
              <w:t>36.0</w:t>
            </w:r>
          </w:p>
        </w:tc>
      </w:tr>
      <w:tr w:rsidR="00E13F3B" w:rsidRPr="00E13F3B" w14:paraId="07E0C154" w14:textId="77777777" w:rsidTr="00D206DE">
        <w:trPr>
          <w:trHeight w:val="42"/>
        </w:trPr>
        <w:tc>
          <w:tcPr>
            <w:tcW w:w="986" w:type="dxa"/>
            <w:vMerge/>
          </w:tcPr>
          <w:p w14:paraId="59F37538" w14:textId="77777777" w:rsidR="00E13F3B" w:rsidRPr="00E13F3B" w:rsidRDefault="00E13F3B" w:rsidP="00D206DE"/>
        </w:tc>
        <w:tc>
          <w:tcPr>
            <w:tcW w:w="1429" w:type="dxa"/>
          </w:tcPr>
          <w:p w14:paraId="6BE4B9EF" w14:textId="77777777" w:rsidR="00E13F3B" w:rsidRPr="00E13F3B" w:rsidRDefault="00E13F3B" w:rsidP="00D206DE">
            <w:r w:rsidRPr="00E13F3B">
              <w:t>Total</w:t>
            </w:r>
          </w:p>
        </w:tc>
        <w:tc>
          <w:tcPr>
            <w:tcW w:w="1286" w:type="dxa"/>
          </w:tcPr>
          <w:p w14:paraId="40BE08CD" w14:textId="77777777" w:rsidR="00E13F3B" w:rsidRPr="00E13F3B" w:rsidRDefault="00E13F3B" w:rsidP="00D206DE">
            <w:r w:rsidRPr="00E13F3B">
              <w:t>372</w:t>
            </w:r>
          </w:p>
        </w:tc>
        <w:tc>
          <w:tcPr>
            <w:tcW w:w="962" w:type="dxa"/>
            <w:vAlign w:val="center"/>
          </w:tcPr>
          <w:p w14:paraId="5564676E" w14:textId="77777777" w:rsidR="00E13F3B" w:rsidRPr="00E13F3B" w:rsidRDefault="00E13F3B" w:rsidP="00D206DE">
            <w:r w:rsidRPr="00E13F3B">
              <w:t>100.0</w:t>
            </w:r>
          </w:p>
        </w:tc>
      </w:tr>
    </w:tbl>
    <w:p w14:paraId="5465693D" w14:textId="77777777" w:rsidR="00E13F3B" w:rsidRPr="00E13F3B" w:rsidRDefault="00E13F3B" w:rsidP="00E13F3B">
      <w:pPr>
        <w:spacing w:before="240" w:after="160" w:line="278" w:lineRule="auto"/>
        <w:jc w:val="both"/>
        <w:rPr>
          <w:b/>
          <w:bCs/>
        </w:rPr>
      </w:pPr>
      <w:r w:rsidRPr="00E13F3B">
        <w:rPr>
          <w:b/>
          <w:bCs/>
        </w:rPr>
        <w:t xml:space="preserve">     </w:t>
      </w:r>
      <w:r w:rsidRPr="00E13F3B">
        <w:t>The demographic Table 1 presents the characteristics of the respondents involved in this study. Out of the total 372 respondents, the majority were male, accounting for 64%, while 36% were female. With reference to age distribution, 59.7% of the respondents fall within the 18–23 years age group, whereas the remaining 40.3% belong to the 24–28 years category. Then, when using digital platforms, it was found that 18.3% of the respondents use smartphones. Laptop or computer users constituted 13.2% of the respondents. A considerable proportion, 30.4%, reported using tablets, while the highest percentage of respondents, 34.1%, indicated that they use smart TVs. The remaining 4% of the respondents reported using gaming consoles.</w:t>
      </w:r>
    </w:p>
    <w:p w14:paraId="51832C11" w14:textId="77777777" w:rsidR="00E13F3B" w:rsidRPr="00E13F3B" w:rsidRDefault="00E13F3B" w:rsidP="00E13F3B">
      <w:pPr>
        <w:jc w:val="both"/>
        <w:rPr>
          <w:b/>
          <w:bCs/>
        </w:rPr>
      </w:pPr>
      <w:r w:rsidRPr="00E13F3B">
        <w:rPr>
          <w:noProof/>
        </w:rPr>
        <w:drawing>
          <wp:anchor distT="0" distB="0" distL="114300" distR="114300" simplePos="0" relativeHeight="251660288" behindDoc="1" locked="0" layoutInCell="1" allowOverlap="1" wp14:anchorId="1293CE33" wp14:editId="4B5A2310">
            <wp:simplePos x="0" y="0"/>
            <wp:positionH relativeFrom="margin">
              <wp:posOffset>3369310</wp:posOffset>
            </wp:positionH>
            <wp:positionV relativeFrom="paragraph">
              <wp:posOffset>288925</wp:posOffset>
            </wp:positionV>
            <wp:extent cx="3003550" cy="3648710"/>
            <wp:effectExtent l="0" t="0" r="6350" b="8890"/>
            <wp:wrapTight wrapText="bothSides">
              <wp:wrapPolygon edited="0">
                <wp:start x="0" y="0"/>
                <wp:lineTo x="0" y="21540"/>
                <wp:lineTo x="21509" y="21540"/>
                <wp:lineTo x="21509" y="0"/>
                <wp:lineTo x="0" y="0"/>
              </wp:wrapPolygon>
            </wp:wrapTight>
            <wp:docPr id="1036236006" name="Chart 1">
              <a:extLst xmlns:a="http://schemas.openxmlformats.org/drawingml/2006/main">
                <a:ext uri="{FF2B5EF4-FFF2-40B4-BE49-F238E27FC236}">
                  <a16:creationId xmlns:a16="http://schemas.microsoft.com/office/drawing/2014/main" id="{0546A8DD-A983-2018-EF0A-31D46F0198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r w:rsidRPr="00E13F3B">
        <w:t xml:space="preserve">    </w:t>
      </w:r>
      <w:r w:rsidRPr="00E13F3B">
        <w:rPr>
          <w:b/>
          <w:bCs/>
        </w:rPr>
        <w:t>Figure 01: Awareness of Cybercrime Law</w:t>
      </w:r>
    </w:p>
    <w:p w14:paraId="303E5906" w14:textId="77777777" w:rsidR="00E13F3B" w:rsidRPr="00E13F3B" w:rsidRDefault="00E13F3B" w:rsidP="00E13F3B">
      <w:pPr>
        <w:jc w:val="both"/>
        <w:rPr>
          <w:b/>
          <w:bCs/>
        </w:rPr>
      </w:pPr>
    </w:p>
    <w:p w14:paraId="62EA14A4" w14:textId="77777777" w:rsidR="00E13F3B" w:rsidRPr="00E13F3B" w:rsidRDefault="00E13F3B" w:rsidP="00E13F3B">
      <w:pPr>
        <w:jc w:val="both"/>
        <w:rPr>
          <w:b/>
          <w:bCs/>
        </w:rPr>
      </w:pPr>
    </w:p>
    <w:p w14:paraId="4926D322" w14:textId="77777777" w:rsidR="00E13F3B" w:rsidRPr="00E13F3B" w:rsidRDefault="00E13F3B" w:rsidP="00E13F3B">
      <w:pPr>
        <w:pStyle w:val="BodyText"/>
        <w:spacing w:line="240" w:lineRule="auto"/>
        <w:ind w:firstLine="0"/>
        <w:rPr>
          <w:lang w:val="en-US"/>
        </w:rPr>
      </w:pPr>
      <w:r w:rsidRPr="00E13F3B">
        <w:rPr>
          <w:lang w:val="en-US"/>
        </w:rPr>
        <w:t xml:space="preserve">     Figure 1 illustrates the level of respondents’ awareness of cybercrime law, categorized into three groups: low, medium, and high. The chart presents both frequency and percentage distributions of respondents across these categories. The results indicate that the majority of respondents fall within the medium level of awareness. This group represents the highest frequency among the participants, accounting for the largest proportion of the sample. This suggests that most students possess a moderate understanding of cybercrime laws, implying that they are somewhat familiar with legal provisions related to cyber offenses but may lack comprehensive knowledge.</w:t>
      </w:r>
    </w:p>
    <w:p w14:paraId="717EAD58" w14:textId="77777777" w:rsidR="00E13F3B" w:rsidRPr="00E13F3B" w:rsidRDefault="00E13F3B" w:rsidP="00E13F3B">
      <w:pPr>
        <w:pStyle w:val="Caption"/>
        <w:spacing w:after="0"/>
        <w:jc w:val="both"/>
        <w:rPr>
          <w:rFonts w:ascii="Times New Roman" w:eastAsia="Times New Roman" w:hAnsi="Times New Roman" w:cs="Times New Roman"/>
          <w:b/>
          <w:bCs/>
          <w:i w:val="0"/>
          <w:iCs w:val="0"/>
          <w:color w:val="auto"/>
          <w:sz w:val="20"/>
          <w:szCs w:val="20"/>
        </w:rPr>
      </w:pPr>
      <w:bookmarkStart w:id="0" w:name="_Toc196513640"/>
      <w:bookmarkStart w:id="1" w:name="_Toc196513710"/>
      <w:bookmarkStart w:id="2" w:name="_Toc196687999"/>
      <w:r w:rsidRPr="00E13F3B">
        <w:rPr>
          <w:rFonts w:ascii="Times New Roman" w:hAnsi="Times New Roman" w:cs="Times New Roman"/>
          <w:b/>
          <w:bCs/>
          <w:i w:val="0"/>
          <w:iCs w:val="0"/>
          <w:color w:val="auto"/>
          <w:sz w:val="20"/>
          <w:szCs w:val="20"/>
        </w:rPr>
        <w:lastRenderedPageBreak/>
        <w:t xml:space="preserve">   Figure </w:t>
      </w:r>
      <w:r w:rsidRPr="00E13F3B">
        <w:rPr>
          <w:rFonts w:ascii="Times New Roman" w:hAnsi="Times New Roman" w:cs="Times New Roman"/>
          <w:b/>
          <w:bCs/>
          <w:i w:val="0"/>
          <w:iCs w:val="0"/>
          <w:color w:val="auto"/>
          <w:sz w:val="20"/>
          <w:szCs w:val="20"/>
        </w:rPr>
        <w:fldChar w:fldCharType="begin"/>
      </w:r>
      <w:r w:rsidRPr="00E13F3B">
        <w:rPr>
          <w:rFonts w:ascii="Times New Roman" w:hAnsi="Times New Roman" w:cs="Times New Roman"/>
          <w:b/>
          <w:bCs/>
          <w:i w:val="0"/>
          <w:iCs w:val="0"/>
          <w:color w:val="auto"/>
          <w:sz w:val="20"/>
          <w:szCs w:val="20"/>
        </w:rPr>
        <w:instrText xml:space="preserve"> SEQ Figure \* ARABIC </w:instrText>
      </w:r>
      <w:r w:rsidRPr="00E13F3B">
        <w:rPr>
          <w:rFonts w:ascii="Times New Roman" w:hAnsi="Times New Roman" w:cs="Times New Roman"/>
          <w:b/>
          <w:bCs/>
          <w:i w:val="0"/>
          <w:iCs w:val="0"/>
          <w:color w:val="auto"/>
          <w:sz w:val="20"/>
          <w:szCs w:val="20"/>
        </w:rPr>
        <w:fldChar w:fldCharType="separate"/>
      </w:r>
      <w:r w:rsidRPr="00E13F3B">
        <w:rPr>
          <w:rFonts w:ascii="Times New Roman" w:hAnsi="Times New Roman" w:cs="Times New Roman"/>
          <w:b/>
          <w:bCs/>
          <w:i w:val="0"/>
          <w:iCs w:val="0"/>
          <w:noProof/>
          <w:color w:val="auto"/>
          <w:sz w:val="20"/>
          <w:szCs w:val="20"/>
        </w:rPr>
        <w:t>02</w:t>
      </w:r>
      <w:r w:rsidRPr="00E13F3B">
        <w:rPr>
          <w:rFonts w:ascii="Times New Roman" w:hAnsi="Times New Roman" w:cs="Times New Roman"/>
          <w:b/>
          <w:bCs/>
          <w:i w:val="0"/>
          <w:iCs w:val="0"/>
          <w:color w:val="auto"/>
          <w:sz w:val="20"/>
          <w:szCs w:val="20"/>
        </w:rPr>
        <w:fldChar w:fldCharType="end"/>
      </w:r>
      <w:r w:rsidRPr="00E13F3B">
        <w:rPr>
          <w:rFonts w:ascii="Times New Roman" w:hAnsi="Times New Roman" w:cs="Times New Roman"/>
          <w:b/>
          <w:bCs/>
          <w:i w:val="0"/>
          <w:iCs w:val="0"/>
          <w:color w:val="auto"/>
          <w:sz w:val="20"/>
          <w:szCs w:val="20"/>
        </w:rPr>
        <w:t>: Personal Experiences with Online Threats and Cybercrime</w:t>
      </w:r>
      <w:bookmarkEnd w:id="0"/>
      <w:bookmarkEnd w:id="1"/>
      <w:bookmarkEnd w:id="2"/>
    </w:p>
    <w:p w14:paraId="23CCFBB0" w14:textId="77777777" w:rsidR="00E13F3B" w:rsidRPr="00E13F3B" w:rsidRDefault="00E13F3B" w:rsidP="00E13F3B">
      <w:pPr>
        <w:spacing w:before="240"/>
        <w:jc w:val="both"/>
        <w:rPr>
          <w:rFonts w:eastAsia="Times New Roman"/>
        </w:rPr>
      </w:pPr>
      <w:bookmarkStart w:id="3" w:name="_Toc196509946"/>
      <w:bookmarkStart w:id="4" w:name="_Toc196687759"/>
      <w:r w:rsidRPr="00E13F3B">
        <w:rPr>
          <w:noProof/>
        </w:rPr>
        <w:drawing>
          <wp:anchor distT="114300" distB="114300" distL="114300" distR="114300" simplePos="0" relativeHeight="251659264" behindDoc="0" locked="0" layoutInCell="1" hidden="0" allowOverlap="1" wp14:anchorId="5C0000EA" wp14:editId="073004A0">
            <wp:simplePos x="0" y="0"/>
            <wp:positionH relativeFrom="column">
              <wp:align>right</wp:align>
            </wp:positionH>
            <wp:positionV relativeFrom="paragraph">
              <wp:posOffset>676486</wp:posOffset>
            </wp:positionV>
            <wp:extent cx="3267710" cy="3691255"/>
            <wp:effectExtent l="0" t="0" r="8890" b="4445"/>
            <wp:wrapTopAndBottom distT="114300" distB="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269018" cy="3692945"/>
                    </a:xfrm>
                    <a:prstGeom prst="rect">
                      <a:avLst/>
                    </a:prstGeom>
                    <a:ln/>
                  </pic:spPr>
                </pic:pic>
              </a:graphicData>
            </a:graphic>
            <wp14:sizeRelH relativeFrom="margin">
              <wp14:pctWidth>0</wp14:pctWidth>
            </wp14:sizeRelH>
            <wp14:sizeRelV relativeFrom="margin">
              <wp14:pctHeight>0</wp14:pctHeight>
            </wp14:sizeRelV>
          </wp:anchor>
        </w:drawing>
      </w:r>
      <w:bookmarkEnd w:id="3"/>
      <w:bookmarkEnd w:id="4"/>
      <w:r w:rsidRPr="00E13F3B">
        <w:rPr>
          <w:rFonts w:eastAsia="Times New Roman"/>
        </w:rPr>
        <w:t>In Figure 2, the data shows that many respondents have encountered online threats or cybercrimes. 62.9% of respondents have received emails from fake accounts, and 57.5% have encountered fake websites that closely resembled legitimate ones. 50.5% experienced online fraud during an online purchase, while 37.9% faced financial loss due to online scams or fraud.39.2% have had malware installed on their devices, and 37.4% received phishing emails attempting to steal personal or banking information. Additionally, 30.6% have been victims of cyberbullying, and 25.3% have experienced identity theft, such as hijacked social media or WhatsApp accounts.</w:t>
      </w:r>
    </w:p>
    <w:p w14:paraId="09E04603" w14:textId="77777777" w:rsidR="00E13F3B" w:rsidRPr="00E13F3B" w:rsidRDefault="00E13F3B" w:rsidP="00E13F3B">
      <w:pPr>
        <w:spacing w:before="240"/>
        <w:jc w:val="both"/>
        <w:rPr>
          <w:rFonts w:eastAsia="Times New Roman"/>
        </w:rPr>
      </w:pPr>
      <w:r w:rsidRPr="00E13F3B">
        <w:rPr>
          <w:rFonts w:eastAsia="Times New Roman"/>
        </w:rPr>
        <w:t xml:space="preserve">    A smaller percentage, 28.2%, unknowingly shared personal details with a fake account or scammer, indicating that while many participants have faced significant online threats, there is still a degree of vulnerability and awareness needed regarding online security.</w:t>
      </w:r>
    </w:p>
    <w:p w14:paraId="7BEAA7F8" w14:textId="77777777" w:rsidR="00E13F3B" w:rsidRPr="00E13F3B" w:rsidRDefault="00E13F3B" w:rsidP="00E13F3B">
      <w:pPr>
        <w:spacing w:before="240"/>
        <w:jc w:val="both"/>
        <w:rPr>
          <w:rFonts w:eastAsia="Times New Roman"/>
          <w:b/>
          <w:bCs/>
        </w:rPr>
      </w:pPr>
      <w:r w:rsidRPr="00E13F3B">
        <w:rPr>
          <w:rFonts w:eastAsia="Times New Roman"/>
          <w:b/>
          <w:bCs/>
        </w:rPr>
        <w:t xml:space="preserve">   Figure 03: Online Misconduct Behaviors Influenced by Cybercrime Exposure</w:t>
      </w:r>
    </w:p>
    <w:p w14:paraId="743ACED9" w14:textId="77777777" w:rsidR="00E13F3B" w:rsidRPr="00E13F3B" w:rsidRDefault="00E13F3B" w:rsidP="00E13F3B">
      <w:pPr>
        <w:jc w:val="both"/>
      </w:pPr>
      <w:r w:rsidRPr="00E13F3B">
        <w:rPr>
          <w:noProof/>
        </w:rPr>
        <w:drawing>
          <wp:anchor distT="0" distB="0" distL="114300" distR="114300" simplePos="0" relativeHeight="251661312" behindDoc="1" locked="0" layoutInCell="1" allowOverlap="1" wp14:anchorId="582E2C04" wp14:editId="7E5B70A3">
            <wp:simplePos x="0" y="0"/>
            <wp:positionH relativeFrom="column">
              <wp:posOffset>0</wp:posOffset>
            </wp:positionH>
            <wp:positionV relativeFrom="paragraph">
              <wp:posOffset>-553720</wp:posOffset>
            </wp:positionV>
            <wp:extent cx="3013710" cy="3462655"/>
            <wp:effectExtent l="0" t="0" r="15240" b="4445"/>
            <wp:wrapTight wrapText="bothSides">
              <wp:wrapPolygon edited="0">
                <wp:start x="0" y="0"/>
                <wp:lineTo x="0" y="21509"/>
                <wp:lineTo x="21573" y="21509"/>
                <wp:lineTo x="21573" y="0"/>
                <wp:lineTo x="0" y="0"/>
              </wp:wrapPolygon>
            </wp:wrapTight>
            <wp:docPr id="672411676" name="Chart 1">
              <a:extLst xmlns:a="http://schemas.openxmlformats.org/drawingml/2006/main">
                <a:ext uri="{FF2B5EF4-FFF2-40B4-BE49-F238E27FC236}">
                  <a16:creationId xmlns:a16="http://schemas.microsoft.com/office/drawing/2014/main" id="{87FC7CD9-F884-546E-414B-A0E7B5E409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V relativeFrom="margin">
              <wp14:pctHeight>0</wp14:pctHeight>
            </wp14:sizeRelV>
          </wp:anchor>
        </w:drawing>
      </w:r>
    </w:p>
    <w:p w14:paraId="0F1E617B" w14:textId="77777777" w:rsidR="00E13F3B" w:rsidRPr="00E13F3B" w:rsidRDefault="00E13F3B" w:rsidP="00E13F3B">
      <w:pPr>
        <w:jc w:val="both"/>
      </w:pPr>
      <w:r w:rsidRPr="00E13F3B">
        <w:t xml:space="preserve">     Figure 3  illustrates the percentage of participants who reported engaging in different types of online misconduct. Creating fake online accounts (26.9%) and attempting to hack websites (25.0%) were more commonly reported, whereas spreading false information to harm others’ reputations was less frequent (15.6%).</w:t>
      </w:r>
    </w:p>
    <w:p w14:paraId="1B8E6EE6" w14:textId="77777777" w:rsidR="00E13F3B" w:rsidRPr="00E13F3B" w:rsidRDefault="00E13F3B" w:rsidP="00E13F3B">
      <w:pPr>
        <w:pStyle w:val="BodyText"/>
        <w:ind w:firstLine="0"/>
        <w:rPr>
          <w:lang w:val="en-US"/>
        </w:rPr>
      </w:pPr>
    </w:p>
    <w:p w14:paraId="42411E68" w14:textId="77777777" w:rsidR="00E13F3B" w:rsidRPr="00E13F3B" w:rsidRDefault="00E13F3B" w:rsidP="00E13F3B">
      <w:pPr>
        <w:spacing w:after="160" w:line="278" w:lineRule="auto"/>
        <w:jc w:val="both"/>
        <w:rPr>
          <w:b/>
          <w:bCs/>
        </w:rPr>
      </w:pPr>
      <w:r w:rsidRPr="00E13F3B">
        <w:rPr>
          <w:b/>
          <w:bCs/>
        </w:rPr>
        <w:t xml:space="preserve">      Table 02: Group Statistics of Gender</w:t>
      </w:r>
    </w:p>
    <w:tbl>
      <w:tblPr>
        <w:tblW w:w="4536"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296"/>
        <w:gridCol w:w="780"/>
        <w:gridCol w:w="780"/>
        <w:gridCol w:w="816"/>
        <w:gridCol w:w="864"/>
      </w:tblGrid>
      <w:tr w:rsidR="00E13F3B" w:rsidRPr="00E13F3B" w14:paraId="44577C9F" w14:textId="77777777" w:rsidTr="00D206DE">
        <w:trPr>
          <w:cantSplit/>
          <w:trHeight w:val="598"/>
        </w:trPr>
        <w:tc>
          <w:tcPr>
            <w:tcW w:w="1296" w:type="dxa"/>
            <w:shd w:val="clear" w:color="auto" w:fill="FFFFFF"/>
          </w:tcPr>
          <w:p w14:paraId="5738661A" w14:textId="77777777" w:rsidR="00E13F3B" w:rsidRPr="00E13F3B" w:rsidRDefault="00E13F3B" w:rsidP="00D206DE">
            <w:pPr>
              <w:spacing w:after="160" w:line="278" w:lineRule="auto"/>
            </w:pPr>
          </w:p>
        </w:tc>
        <w:tc>
          <w:tcPr>
            <w:tcW w:w="780" w:type="dxa"/>
            <w:shd w:val="clear" w:color="auto" w:fill="FFFFFF"/>
          </w:tcPr>
          <w:p w14:paraId="29B1E9FC" w14:textId="77777777" w:rsidR="00E13F3B" w:rsidRPr="00E13F3B" w:rsidRDefault="00E13F3B" w:rsidP="00D206DE">
            <w:pPr>
              <w:spacing w:after="160" w:line="278" w:lineRule="auto"/>
              <w:jc w:val="left"/>
            </w:pPr>
            <w:r w:rsidRPr="00E13F3B">
              <w:t>N</w:t>
            </w:r>
          </w:p>
        </w:tc>
        <w:tc>
          <w:tcPr>
            <w:tcW w:w="780" w:type="dxa"/>
            <w:shd w:val="clear" w:color="auto" w:fill="FFFFFF"/>
          </w:tcPr>
          <w:p w14:paraId="296A29A9" w14:textId="77777777" w:rsidR="00E13F3B" w:rsidRPr="00E13F3B" w:rsidRDefault="00E13F3B" w:rsidP="00D206DE">
            <w:pPr>
              <w:spacing w:after="160" w:line="278" w:lineRule="auto"/>
              <w:jc w:val="left"/>
            </w:pPr>
            <w:r w:rsidRPr="00E13F3B">
              <w:t>Mean</w:t>
            </w:r>
          </w:p>
        </w:tc>
        <w:tc>
          <w:tcPr>
            <w:tcW w:w="816" w:type="dxa"/>
            <w:shd w:val="clear" w:color="auto" w:fill="FFFFFF"/>
          </w:tcPr>
          <w:p w14:paraId="68CD0C50" w14:textId="77777777" w:rsidR="00E13F3B" w:rsidRPr="00E13F3B" w:rsidRDefault="00E13F3B" w:rsidP="00D206DE">
            <w:pPr>
              <w:spacing w:after="160" w:line="278" w:lineRule="auto"/>
              <w:jc w:val="left"/>
            </w:pPr>
            <w:r w:rsidRPr="00E13F3B">
              <w:t>Std. Error Mean</w:t>
            </w:r>
          </w:p>
        </w:tc>
        <w:tc>
          <w:tcPr>
            <w:tcW w:w="864" w:type="dxa"/>
            <w:shd w:val="clear" w:color="auto" w:fill="FFFFFF"/>
          </w:tcPr>
          <w:p w14:paraId="1D5E43B0" w14:textId="77777777" w:rsidR="00E13F3B" w:rsidRPr="00E13F3B" w:rsidRDefault="00E13F3B" w:rsidP="00D206DE">
            <w:pPr>
              <w:spacing w:after="160" w:line="278" w:lineRule="auto"/>
              <w:jc w:val="left"/>
            </w:pPr>
            <w:r w:rsidRPr="00E13F3B">
              <w:t>Statistic</w:t>
            </w:r>
          </w:p>
        </w:tc>
      </w:tr>
      <w:tr w:rsidR="00E13F3B" w:rsidRPr="00E13F3B" w14:paraId="7496F221" w14:textId="77777777" w:rsidTr="00D206DE">
        <w:trPr>
          <w:cantSplit/>
          <w:trHeight w:val="358"/>
        </w:trPr>
        <w:tc>
          <w:tcPr>
            <w:tcW w:w="1296" w:type="dxa"/>
            <w:shd w:val="clear" w:color="auto" w:fill="FFFFFF"/>
            <w:vAlign w:val="center"/>
          </w:tcPr>
          <w:p w14:paraId="6B54B6C0" w14:textId="77777777" w:rsidR="00E13F3B" w:rsidRPr="00E13F3B" w:rsidRDefault="00E13F3B" w:rsidP="00D206DE">
            <w:pPr>
              <w:spacing w:after="160" w:line="278" w:lineRule="auto"/>
            </w:pPr>
            <w:r w:rsidRPr="00E13F3B">
              <w:t>Gender</w:t>
            </w:r>
          </w:p>
        </w:tc>
        <w:tc>
          <w:tcPr>
            <w:tcW w:w="780" w:type="dxa"/>
            <w:shd w:val="clear" w:color="auto" w:fill="FFFFFF"/>
            <w:vAlign w:val="center"/>
          </w:tcPr>
          <w:p w14:paraId="2BF3DF88" w14:textId="77777777" w:rsidR="00E13F3B" w:rsidRPr="00E13F3B" w:rsidRDefault="00E13F3B" w:rsidP="00D206DE">
            <w:pPr>
              <w:spacing w:after="160" w:line="278" w:lineRule="auto"/>
              <w:jc w:val="left"/>
            </w:pPr>
            <w:r w:rsidRPr="00E13F3B">
              <w:t>372</w:t>
            </w:r>
          </w:p>
        </w:tc>
        <w:tc>
          <w:tcPr>
            <w:tcW w:w="780" w:type="dxa"/>
            <w:shd w:val="clear" w:color="auto" w:fill="FFFFFF"/>
            <w:vAlign w:val="center"/>
          </w:tcPr>
          <w:p w14:paraId="45D340F1" w14:textId="77777777" w:rsidR="00E13F3B" w:rsidRPr="00E13F3B" w:rsidRDefault="00E13F3B" w:rsidP="00D206DE">
            <w:pPr>
              <w:spacing w:after="160" w:line="278" w:lineRule="auto"/>
              <w:jc w:val="left"/>
            </w:pPr>
            <w:r w:rsidRPr="00E13F3B">
              <w:t>1.36</w:t>
            </w:r>
          </w:p>
        </w:tc>
        <w:tc>
          <w:tcPr>
            <w:tcW w:w="816" w:type="dxa"/>
            <w:shd w:val="clear" w:color="auto" w:fill="FFFFFF"/>
            <w:vAlign w:val="center"/>
          </w:tcPr>
          <w:p w14:paraId="546F43E7" w14:textId="77777777" w:rsidR="00E13F3B" w:rsidRPr="00E13F3B" w:rsidRDefault="00E13F3B" w:rsidP="00D206DE">
            <w:pPr>
              <w:spacing w:after="160" w:line="278" w:lineRule="auto"/>
              <w:jc w:val="left"/>
            </w:pPr>
            <w:r w:rsidRPr="00E13F3B">
              <w:t>.025</w:t>
            </w:r>
          </w:p>
        </w:tc>
        <w:tc>
          <w:tcPr>
            <w:tcW w:w="864" w:type="dxa"/>
            <w:shd w:val="clear" w:color="auto" w:fill="FFFFFF"/>
            <w:vAlign w:val="center"/>
          </w:tcPr>
          <w:p w14:paraId="4B8CD367" w14:textId="77777777" w:rsidR="00E13F3B" w:rsidRPr="00E13F3B" w:rsidRDefault="00E13F3B" w:rsidP="00D206DE">
            <w:pPr>
              <w:spacing w:after="160" w:line="278" w:lineRule="auto"/>
              <w:jc w:val="left"/>
            </w:pPr>
            <w:r w:rsidRPr="00E13F3B">
              <w:t>.481</w:t>
            </w:r>
          </w:p>
        </w:tc>
      </w:tr>
      <w:tr w:rsidR="00E13F3B" w:rsidRPr="00E13F3B" w14:paraId="27BA99DE" w14:textId="77777777" w:rsidTr="00D206DE">
        <w:trPr>
          <w:cantSplit/>
          <w:trHeight w:val="358"/>
        </w:trPr>
        <w:tc>
          <w:tcPr>
            <w:tcW w:w="1296" w:type="dxa"/>
            <w:shd w:val="clear" w:color="auto" w:fill="FFFFFF"/>
            <w:vAlign w:val="center"/>
          </w:tcPr>
          <w:p w14:paraId="5DD3C26A" w14:textId="77777777" w:rsidR="00E13F3B" w:rsidRPr="00E13F3B" w:rsidRDefault="00E13F3B" w:rsidP="00D206DE">
            <w:pPr>
              <w:spacing w:after="160" w:line="278" w:lineRule="auto"/>
            </w:pPr>
            <w:r w:rsidRPr="00E13F3B">
              <w:t>Awareness</w:t>
            </w:r>
          </w:p>
        </w:tc>
        <w:tc>
          <w:tcPr>
            <w:tcW w:w="780" w:type="dxa"/>
            <w:shd w:val="clear" w:color="auto" w:fill="FFFFFF"/>
            <w:vAlign w:val="center"/>
          </w:tcPr>
          <w:p w14:paraId="1FD6420A" w14:textId="77777777" w:rsidR="00E13F3B" w:rsidRPr="00E13F3B" w:rsidRDefault="00E13F3B" w:rsidP="00D206DE">
            <w:pPr>
              <w:spacing w:after="160" w:line="278" w:lineRule="auto"/>
              <w:jc w:val="left"/>
            </w:pPr>
            <w:r w:rsidRPr="00E13F3B">
              <w:t>372</w:t>
            </w:r>
          </w:p>
        </w:tc>
        <w:tc>
          <w:tcPr>
            <w:tcW w:w="780" w:type="dxa"/>
            <w:shd w:val="clear" w:color="auto" w:fill="FFFFFF"/>
            <w:vAlign w:val="center"/>
          </w:tcPr>
          <w:p w14:paraId="79B031D3" w14:textId="77777777" w:rsidR="00E13F3B" w:rsidRPr="00E13F3B" w:rsidRDefault="00E13F3B" w:rsidP="00D206DE">
            <w:pPr>
              <w:spacing w:after="160" w:line="278" w:lineRule="auto"/>
              <w:jc w:val="left"/>
            </w:pPr>
            <w:r w:rsidRPr="00E13F3B">
              <w:t>2.4785</w:t>
            </w:r>
          </w:p>
        </w:tc>
        <w:tc>
          <w:tcPr>
            <w:tcW w:w="816" w:type="dxa"/>
            <w:shd w:val="clear" w:color="auto" w:fill="FFFFFF"/>
            <w:vAlign w:val="center"/>
          </w:tcPr>
          <w:p w14:paraId="777474B1" w14:textId="77777777" w:rsidR="00E13F3B" w:rsidRPr="00E13F3B" w:rsidRDefault="00E13F3B" w:rsidP="00D206DE">
            <w:pPr>
              <w:spacing w:after="160" w:line="278" w:lineRule="auto"/>
              <w:jc w:val="left"/>
            </w:pPr>
            <w:r w:rsidRPr="00E13F3B">
              <w:t>.02756</w:t>
            </w:r>
          </w:p>
        </w:tc>
        <w:tc>
          <w:tcPr>
            <w:tcW w:w="864" w:type="dxa"/>
            <w:shd w:val="clear" w:color="auto" w:fill="FFFFFF"/>
            <w:vAlign w:val="center"/>
          </w:tcPr>
          <w:p w14:paraId="49ADB30B" w14:textId="77777777" w:rsidR="00E13F3B" w:rsidRPr="00E13F3B" w:rsidRDefault="00E13F3B" w:rsidP="00D206DE">
            <w:pPr>
              <w:spacing w:after="160" w:line="278" w:lineRule="auto"/>
              <w:jc w:val="left"/>
            </w:pPr>
            <w:r w:rsidRPr="00E13F3B">
              <w:t>.53156</w:t>
            </w:r>
          </w:p>
        </w:tc>
      </w:tr>
    </w:tbl>
    <w:p w14:paraId="3CADB091" w14:textId="77777777" w:rsidR="00E13F3B" w:rsidRPr="00E13F3B" w:rsidRDefault="00E13F3B" w:rsidP="00E13F3B">
      <w:pPr>
        <w:pStyle w:val="BodyText"/>
        <w:ind w:firstLine="0"/>
      </w:pPr>
    </w:p>
    <w:p w14:paraId="6E5B7920" w14:textId="77777777" w:rsidR="00E13F3B" w:rsidRPr="00E13F3B" w:rsidRDefault="00E13F3B" w:rsidP="00E13F3B">
      <w:pPr>
        <w:pStyle w:val="BodyText"/>
        <w:rPr>
          <w:lang w:val="en-US"/>
        </w:rPr>
      </w:pPr>
      <w:r w:rsidRPr="00E13F3B">
        <w:rPr>
          <w:lang w:val="en-US"/>
        </w:rPr>
        <w:t>Table 2 presents the descriptive statistics of the main variables used in the study. A total of 372 respondents participated in the survey. For the gender variable, the mean score was 1.36 with a standard error of 0.025 and a standard deviation of 0.481. This indicates that the sample consisted of both male and female respondents, with the distribution slightly leaning toward one category depending on the coding of the variable.</w:t>
      </w:r>
    </w:p>
    <w:p w14:paraId="4642A148" w14:textId="77777777" w:rsidR="00E13F3B" w:rsidRPr="00E13F3B" w:rsidRDefault="00E13F3B" w:rsidP="00E13F3B">
      <w:pPr>
        <w:pStyle w:val="BodyText"/>
        <w:rPr>
          <w:lang w:val="en-US"/>
        </w:rPr>
      </w:pPr>
      <w:r w:rsidRPr="00E13F3B">
        <w:rPr>
          <w:lang w:val="en-US"/>
        </w:rPr>
        <w:t>Regarding awareness, the mean score was 2.4785 with a standard error of the mean of 0.02756 and a standard deviation of 0.53156. The relatively small standard error suggests that the sample mean is a reliable estimate of the population mean. The results indicate a moderate to relatively high level of awareness among the respondents included in this study. Overall, these descriptive statistics provide an initial understanding of the sample characteristics and the general level of awareness before further statistical analysis is conducted.</w:t>
      </w:r>
    </w:p>
    <w:p w14:paraId="05322D4A" w14:textId="77777777" w:rsidR="00E13F3B" w:rsidRPr="00E13F3B" w:rsidRDefault="00E13F3B" w:rsidP="00E13F3B">
      <w:pPr>
        <w:pStyle w:val="BodyText"/>
        <w:ind w:firstLine="0"/>
        <w:rPr>
          <w:b/>
          <w:bCs/>
        </w:rPr>
      </w:pPr>
      <w:r w:rsidRPr="00E13F3B">
        <w:rPr>
          <w:b/>
          <w:bCs/>
        </w:rPr>
        <w:lastRenderedPageBreak/>
        <w:t xml:space="preserve">     Table 03: ANOVA</w:t>
      </w:r>
    </w:p>
    <w:tbl>
      <w:tblPr>
        <w:tblW w:w="494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01"/>
        <w:gridCol w:w="959"/>
        <w:gridCol w:w="658"/>
        <w:gridCol w:w="910"/>
        <w:gridCol w:w="658"/>
        <w:gridCol w:w="663"/>
      </w:tblGrid>
      <w:tr w:rsidR="00E13F3B" w:rsidRPr="00E13F3B" w14:paraId="3267323C" w14:textId="77777777" w:rsidTr="00D206DE">
        <w:trPr>
          <w:cantSplit/>
          <w:trHeight w:val="598"/>
        </w:trPr>
        <w:tc>
          <w:tcPr>
            <w:tcW w:w="1101" w:type="dxa"/>
            <w:tcBorders>
              <w:top w:val="single" w:sz="16" w:space="0" w:color="000000"/>
              <w:left w:val="single" w:sz="16" w:space="0" w:color="000000"/>
              <w:bottom w:val="single" w:sz="16" w:space="0" w:color="000000"/>
              <w:right w:val="single" w:sz="16" w:space="0" w:color="000000"/>
            </w:tcBorders>
            <w:shd w:val="clear" w:color="auto" w:fill="FFFFFF"/>
          </w:tcPr>
          <w:p w14:paraId="71001319" w14:textId="77777777" w:rsidR="00E13F3B" w:rsidRPr="00E13F3B" w:rsidRDefault="00E13F3B" w:rsidP="00D206DE">
            <w:pPr>
              <w:spacing w:after="160" w:line="278" w:lineRule="auto"/>
            </w:pPr>
          </w:p>
        </w:tc>
        <w:tc>
          <w:tcPr>
            <w:tcW w:w="959" w:type="dxa"/>
            <w:tcBorders>
              <w:top w:val="single" w:sz="16" w:space="0" w:color="000000"/>
              <w:left w:val="single" w:sz="16" w:space="0" w:color="000000"/>
              <w:bottom w:val="single" w:sz="16" w:space="0" w:color="000000"/>
            </w:tcBorders>
            <w:shd w:val="clear" w:color="auto" w:fill="FFFFFF"/>
          </w:tcPr>
          <w:p w14:paraId="2AE98E29" w14:textId="77777777" w:rsidR="00E13F3B" w:rsidRPr="00E13F3B" w:rsidRDefault="00E13F3B" w:rsidP="00D206DE">
            <w:pPr>
              <w:spacing w:after="160" w:line="278" w:lineRule="auto"/>
              <w:jc w:val="left"/>
            </w:pPr>
            <w:r w:rsidRPr="00E13F3B">
              <w:t>Sum of Squares</w:t>
            </w:r>
          </w:p>
        </w:tc>
        <w:tc>
          <w:tcPr>
            <w:tcW w:w="658" w:type="dxa"/>
            <w:tcBorders>
              <w:top w:val="single" w:sz="16" w:space="0" w:color="000000"/>
              <w:bottom w:val="single" w:sz="16" w:space="0" w:color="000000"/>
            </w:tcBorders>
            <w:shd w:val="clear" w:color="auto" w:fill="FFFFFF"/>
          </w:tcPr>
          <w:p w14:paraId="5CFF79E8" w14:textId="77777777" w:rsidR="00E13F3B" w:rsidRPr="00E13F3B" w:rsidRDefault="00E13F3B" w:rsidP="00D206DE">
            <w:pPr>
              <w:spacing w:after="160" w:line="278" w:lineRule="auto"/>
              <w:jc w:val="left"/>
            </w:pPr>
            <w:proofErr w:type="spellStart"/>
            <w:r w:rsidRPr="00E13F3B">
              <w:t>df</w:t>
            </w:r>
            <w:proofErr w:type="spellEnd"/>
          </w:p>
        </w:tc>
        <w:tc>
          <w:tcPr>
            <w:tcW w:w="910" w:type="dxa"/>
            <w:tcBorders>
              <w:top w:val="single" w:sz="16" w:space="0" w:color="000000"/>
              <w:bottom w:val="single" w:sz="16" w:space="0" w:color="000000"/>
            </w:tcBorders>
            <w:shd w:val="clear" w:color="auto" w:fill="FFFFFF"/>
          </w:tcPr>
          <w:p w14:paraId="4FF4B044" w14:textId="77777777" w:rsidR="00E13F3B" w:rsidRPr="00E13F3B" w:rsidRDefault="00E13F3B" w:rsidP="00D206DE">
            <w:pPr>
              <w:spacing w:after="160" w:line="278" w:lineRule="auto"/>
              <w:jc w:val="left"/>
            </w:pPr>
            <w:r w:rsidRPr="00E13F3B">
              <w:t>Mean Square</w:t>
            </w:r>
          </w:p>
        </w:tc>
        <w:tc>
          <w:tcPr>
            <w:tcW w:w="658" w:type="dxa"/>
            <w:tcBorders>
              <w:top w:val="single" w:sz="16" w:space="0" w:color="000000"/>
              <w:bottom w:val="single" w:sz="16" w:space="0" w:color="000000"/>
            </w:tcBorders>
            <w:shd w:val="clear" w:color="auto" w:fill="FFFFFF"/>
          </w:tcPr>
          <w:p w14:paraId="791B0B9F" w14:textId="77777777" w:rsidR="00E13F3B" w:rsidRPr="00E13F3B" w:rsidRDefault="00E13F3B" w:rsidP="00D206DE">
            <w:pPr>
              <w:spacing w:after="160" w:line="278" w:lineRule="auto"/>
              <w:jc w:val="left"/>
            </w:pPr>
            <w:r w:rsidRPr="00E13F3B">
              <w:t>F</w:t>
            </w:r>
          </w:p>
        </w:tc>
        <w:tc>
          <w:tcPr>
            <w:tcW w:w="663" w:type="dxa"/>
            <w:tcBorders>
              <w:top w:val="single" w:sz="16" w:space="0" w:color="000000"/>
              <w:bottom w:val="single" w:sz="16" w:space="0" w:color="000000"/>
              <w:right w:val="single" w:sz="16" w:space="0" w:color="000000"/>
            </w:tcBorders>
            <w:shd w:val="clear" w:color="auto" w:fill="FFFFFF"/>
          </w:tcPr>
          <w:p w14:paraId="1D99DAAF" w14:textId="77777777" w:rsidR="00E13F3B" w:rsidRPr="00E13F3B" w:rsidRDefault="00E13F3B" w:rsidP="00D206DE">
            <w:pPr>
              <w:spacing w:after="160" w:line="278" w:lineRule="auto"/>
              <w:jc w:val="left"/>
            </w:pPr>
            <w:r w:rsidRPr="00E13F3B">
              <w:t>Sig.</w:t>
            </w:r>
          </w:p>
        </w:tc>
      </w:tr>
      <w:tr w:rsidR="00E13F3B" w:rsidRPr="00E13F3B" w14:paraId="7A27A8C9" w14:textId="77777777" w:rsidTr="00D206DE">
        <w:trPr>
          <w:cantSplit/>
          <w:trHeight w:val="358"/>
        </w:trPr>
        <w:tc>
          <w:tcPr>
            <w:tcW w:w="1101" w:type="dxa"/>
            <w:tcBorders>
              <w:top w:val="single" w:sz="16" w:space="0" w:color="000000"/>
              <w:left w:val="single" w:sz="16" w:space="0" w:color="000000"/>
              <w:bottom w:val="nil"/>
              <w:right w:val="single" w:sz="16" w:space="0" w:color="000000"/>
            </w:tcBorders>
            <w:shd w:val="clear" w:color="auto" w:fill="FFFFFF"/>
            <w:vAlign w:val="center"/>
          </w:tcPr>
          <w:p w14:paraId="3BFEE64A" w14:textId="77777777" w:rsidR="00E13F3B" w:rsidRPr="00E13F3B" w:rsidRDefault="00E13F3B" w:rsidP="00D206DE">
            <w:pPr>
              <w:spacing w:after="160" w:line="278" w:lineRule="auto"/>
            </w:pPr>
            <w:r w:rsidRPr="00E13F3B">
              <w:t>Between Groups</w:t>
            </w:r>
          </w:p>
        </w:tc>
        <w:tc>
          <w:tcPr>
            <w:tcW w:w="959" w:type="dxa"/>
            <w:tcBorders>
              <w:top w:val="single" w:sz="16" w:space="0" w:color="000000"/>
              <w:left w:val="single" w:sz="16" w:space="0" w:color="000000"/>
              <w:bottom w:val="nil"/>
            </w:tcBorders>
            <w:shd w:val="clear" w:color="auto" w:fill="FFFFFF"/>
            <w:vAlign w:val="center"/>
          </w:tcPr>
          <w:p w14:paraId="3CD56B17" w14:textId="77777777" w:rsidR="00E13F3B" w:rsidRPr="00E13F3B" w:rsidRDefault="00E13F3B" w:rsidP="00D206DE">
            <w:pPr>
              <w:spacing w:after="160" w:line="278" w:lineRule="auto"/>
              <w:jc w:val="left"/>
            </w:pPr>
            <w:r w:rsidRPr="00E13F3B">
              <w:t>.993</w:t>
            </w:r>
          </w:p>
        </w:tc>
        <w:tc>
          <w:tcPr>
            <w:tcW w:w="658" w:type="dxa"/>
            <w:tcBorders>
              <w:top w:val="single" w:sz="16" w:space="0" w:color="000000"/>
              <w:bottom w:val="nil"/>
            </w:tcBorders>
            <w:shd w:val="clear" w:color="auto" w:fill="FFFFFF"/>
            <w:vAlign w:val="center"/>
          </w:tcPr>
          <w:p w14:paraId="627A32C3" w14:textId="77777777" w:rsidR="00E13F3B" w:rsidRPr="00E13F3B" w:rsidRDefault="00E13F3B" w:rsidP="00D206DE">
            <w:pPr>
              <w:spacing w:after="160" w:line="278" w:lineRule="auto"/>
              <w:jc w:val="left"/>
            </w:pPr>
            <w:r w:rsidRPr="00E13F3B">
              <w:t>2</w:t>
            </w:r>
          </w:p>
        </w:tc>
        <w:tc>
          <w:tcPr>
            <w:tcW w:w="910" w:type="dxa"/>
            <w:tcBorders>
              <w:top w:val="single" w:sz="16" w:space="0" w:color="000000"/>
              <w:bottom w:val="nil"/>
            </w:tcBorders>
            <w:shd w:val="clear" w:color="auto" w:fill="FFFFFF"/>
            <w:vAlign w:val="center"/>
          </w:tcPr>
          <w:p w14:paraId="04FA41C7" w14:textId="77777777" w:rsidR="00E13F3B" w:rsidRPr="00E13F3B" w:rsidRDefault="00E13F3B" w:rsidP="00D206DE">
            <w:pPr>
              <w:spacing w:after="160" w:line="278" w:lineRule="auto"/>
              <w:jc w:val="left"/>
            </w:pPr>
            <w:r w:rsidRPr="00E13F3B">
              <w:t>.497</w:t>
            </w:r>
          </w:p>
        </w:tc>
        <w:tc>
          <w:tcPr>
            <w:tcW w:w="658" w:type="dxa"/>
            <w:tcBorders>
              <w:top w:val="single" w:sz="16" w:space="0" w:color="000000"/>
              <w:bottom w:val="nil"/>
            </w:tcBorders>
            <w:shd w:val="clear" w:color="auto" w:fill="FFFFFF"/>
            <w:vAlign w:val="center"/>
          </w:tcPr>
          <w:p w14:paraId="0FBA2818" w14:textId="77777777" w:rsidR="00E13F3B" w:rsidRPr="00E13F3B" w:rsidRDefault="00E13F3B" w:rsidP="00D206DE">
            <w:pPr>
              <w:spacing w:after="160" w:line="278" w:lineRule="auto"/>
              <w:jc w:val="left"/>
            </w:pPr>
            <w:r w:rsidRPr="00E13F3B">
              <w:t>2.070</w:t>
            </w:r>
          </w:p>
        </w:tc>
        <w:tc>
          <w:tcPr>
            <w:tcW w:w="663" w:type="dxa"/>
            <w:tcBorders>
              <w:top w:val="single" w:sz="16" w:space="0" w:color="000000"/>
              <w:bottom w:val="nil"/>
              <w:right w:val="single" w:sz="16" w:space="0" w:color="000000"/>
            </w:tcBorders>
            <w:shd w:val="clear" w:color="auto" w:fill="FFFFFF"/>
            <w:vAlign w:val="center"/>
          </w:tcPr>
          <w:p w14:paraId="73A0C80E" w14:textId="77777777" w:rsidR="00E13F3B" w:rsidRPr="00E13F3B" w:rsidRDefault="00E13F3B" w:rsidP="00D206DE">
            <w:pPr>
              <w:spacing w:after="160" w:line="278" w:lineRule="auto"/>
              <w:jc w:val="left"/>
            </w:pPr>
            <w:r w:rsidRPr="00E13F3B">
              <w:t>.128</w:t>
            </w:r>
          </w:p>
        </w:tc>
      </w:tr>
      <w:tr w:rsidR="00E13F3B" w:rsidRPr="00E13F3B" w14:paraId="0A393F88" w14:textId="77777777" w:rsidTr="00D206DE">
        <w:trPr>
          <w:cantSplit/>
          <w:trHeight w:val="358"/>
        </w:trPr>
        <w:tc>
          <w:tcPr>
            <w:tcW w:w="1101" w:type="dxa"/>
            <w:tcBorders>
              <w:top w:val="nil"/>
              <w:left w:val="single" w:sz="16" w:space="0" w:color="000000"/>
              <w:bottom w:val="nil"/>
              <w:right w:val="single" w:sz="16" w:space="0" w:color="000000"/>
            </w:tcBorders>
            <w:shd w:val="clear" w:color="auto" w:fill="FFFFFF"/>
            <w:vAlign w:val="center"/>
          </w:tcPr>
          <w:p w14:paraId="5E830FD8" w14:textId="77777777" w:rsidR="00E13F3B" w:rsidRPr="00E13F3B" w:rsidRDefault="00E13F3B" w:rsidP="00D206DE">
            <w:pPr>
              <w:spacing w:after="160" w:line="278" w:lineRule="auto"/>
            </w:pPr>
            <w:r w:rsidRPr="00E13F3B">
              <w:t>Within Groups</w:t>
            </w:r>
          </w:p>
        </w:tc>
        <w:tc>
          <w:tcPr>
            <w:tcW w:w="959" w:type="dxa"/>
            <w:tcBorders>
              <w:top w:val="nil"/>
              <w:left w:val="single" w:sz="16" w:space="0" w:color="000000"/>
              <w:bottom w:val="nil"/>
            </w:tcBorders>
            <w:shd w:val="clear" w:color="auto" w:fill="FFFFFF"/>
            <w:vAlign w:val="center"/>
          </w:tcPr>
          <w:p w14:paraId="6503AFCD" w14:textId="77777777" w:rsidR="00E13F3B" w:rsidRPr="00E13F3B" w:rsidRDefault="00E13F3B" w:rsidP="00D206DE">
            <w:pPr>
              <w:spacing w:after="160" w:line="278" w:lineRule="auto"/>
              <w:jc w:val="left"/>
            </w:pPr>
            <w:r w:rsidRPr="00E13F3B">
              <w:t>88.523</w:t>
            </w:r>
          </w:p>
        </w:tc>
        <w:tc>
          <w:tcPr>
            <w:tcW w:w="658" w:type="dxa"/>
            <w:tcBorders>
              <w:top w:val="nil"/>
              <w:bottom w:val="nil"/>
            </w:tcBorders>
            <w:shd w:val="clear" w:color="auto" w:fill="FFFFFF"/>
            <w:vAlign w:val="center"/>
          </w:tcPr>
          <w:p w14:paraId="597C3F9C" w14:textId="77777777" w:rsidR="00E13F3B" w:rsidRPr="00E13F3B" w:rsidRDefault="00E13F3B" w:rsidP="00D206DE">
            <w:pPr>
              <w:spacing w:after="160" w:line="278" w:lineRule="auto"/>
              <w:jc w:val="left"/>
            </w:pPr>
            <w:r w:rsidRPr="00E13F3B">
              <w:t>369</w:t>
            </w:r>
          </w:p>
        </w:tc>
        <w:tc>
          <w:tcPr>
            <w:tcW w:w="910" w:type="dxa"/>
            <w:tcBorders>
              <w:top w:val="nil"/>
              <w:bottom w:val="nil"/>
            </w:tcBorders>
            <w:shd w:val="clear" w:color="auto" w:fill="FFFFFF"/>
            <w:vAlign w:val="center"/>
          </w:tcPr>
          <w:p w14:paraId="0EA13258" w14:textId="77777777" w:rsidR="00E13F3B" w:rsidRPr="00E13F3B" w:rsidRDefault="00E13F3B" w:rsidP="00D206DE">
            <w:pPr>
              <w:spacing w:after="160" w:line="278" w:lineRule="auto"/>
              <w:jc w:val="left"/>
            </w:pPr>
            <w:r w:rsidRPr="00E13F3B">
              <w:t>.240</w:t>
            </w:r>
          </w:p>
        </w:tc>
        <w:tc>
          <w:tcPr>
            <w:tcW w:w="658" w:type="dxa"/>
            <w:tcBorders>
              <w:top w:val="nil"/>
              <w:bottom w:val="nil"/>
            </w:tcBorders>
            <w:shd w:val="clear" w:color="auto" w:fill="FFFFFF"/>
          </w:tcPr>
          <w:p w14:paraId="5915184F" w14:textId="77777777" w:rsidR="00E13F3B" w:rsidRPr="00E13F3B" w:rsidRDefault="00E13F3B" w:rsidP="00D206DE">
            <w:pPr>
              <w:spacing w:after="160" w:line="278" w:lineRule="auto"/>
            </w:pPr>
          </w:p>
        </w:tc>
        <w:tc>
          <w:tcPr>
            <w:tcW w:w="663" w:type="dxa"/>
            <w:tcBorders>
              <w:top w:val="nil"/>
              <w:bottom w:val="nil"/>
              <w:right w:val="single" w:sz="16" w:space="0" w:color="000000"/>
            </w:tcBorders>
            <w:shd w:val="clear" w:color="auto" w:fill="FFFFFF"/>
          </w:tcPr>
          <w:p w14:paraId="19526D56" w14:textId="77777777" w:rsidR="00E13F3B" w:rsidRPr="00E13F3B" w:rsidRDefault="00E13F3B" w:rsidP="00D206DE">
            <w:pPr>
              <w:spacing w:after="160" w:line="278" w:lineRule="auto"/>
            </w:pPr>
          </w:p>
        </w:tc>
      </w:tr>
      <w:tr w:rsidR="00E13F3B" w:rsidRPr="00E13F3B" w14:paraId="08466647" w14:textId="77777777" w:rsidTr="00D206DE">
        <w:trPr>
          <w:cantSplit/>
          <w:trHeight w:val="358"/>
        </w:trPr>
        <w:tc>
          <w:tcPr>
            <w:tcW w:w="1101" w:type="dxa"/>
            <w:tcBorders>
              <w:top w:val="nil"/>
              <w:left w:val="single" w:sz="16" w:space="0" w:color="000000"/>
              <w:bottom w:val="single" w:sz="16" w:space="0" w:color="000000"/>
              <w:right w:val="single" w:sz="16" w:space="0" w:color="000000"/>
            </w:tcBorders>
            <w:shd w:val="clear" w:color="auto" w:fill="FFFFFF"/>
            <w:vAlign w:val="center"/>
          </w:tcPr>
          <w:p w14:paraId="5146FC3A" w14:textId="77777777" w:rsidR="00E13F3B" w:rsidRPr="00E13F3B" w:rsidRDefault="00E13F3B" w:rsidP="00D206DE">
            <w:pPr>
              <w:spacing w:after="160" w:line="278" w:lineRule="auto"/>
            </w:pPr>
            <w:r w:rsidRPr="00E13F3B">
              <w:t>Total</w:t>
            </w:r>
          </w:p>
        </w:tc>
        <w:tc>
          <w:tcPr>
            <w:tcW w:w="959" w:type="dxa"/>
            <w:tcBorders>
              <w:top w:val="nil"/>
              <w:left w:val="single" w:sz="16" w:space="0" w:color="000000"/>
              <w:bottom w:val="single" w:sz="16" w:space="0" w:color="000000"/>
            </w:tcBorders>
            <w:shd w:val="clear" w:color="auto" w:fill="FFFFFF"/>
            <w:vAlign w:val="center"/>
          </w:tcPr>
          <w:p w14:paraId="2B472346" w14:textId="77777777" w:rsidR="00E13F3B" w:rsidRPr="00E13F3B" w:rsidRDefault="00E13F3B" w:rsidP="00D206DE">
            <w:pPr>
              <w:spacing w:after="160" w:line="278" w:lineRule="auto"/>
              <w:jc w:val="left"/>
            </w:pPr>
            <w:r w:rsidRPr="00E13F3B">
              <w:t>89.516</w:t>
            </w:r>
          </w:p>
        </w:tc>
        <w:tc>
          <w:tcPr>
            <w:tcW w:w="658" w:type="dxa"/>
            <w:tcBorders>
              <w:top w:val="nil"/>
              <w:bottom w:val="single" w:sz="16" w:space="0" w:color="000000"/>
            </w:tcBorders>
            <w:shd w:val="clear" w:color="auto" w:fill="FFFFFF"/>
            <w:vAlign w:val="center"/>
          </w:tcPr>
          <w:p w14:paraId="632104FA" w14:textId="77777777" w:rsidR="00E13F3B" w:rsidRPr="00E13F3B" w:rsidRDefault="00E13F3B" w:rsidP="00D206DE">
            <w:pPr>
              <w:spacing w:after="160" w:line="278" w:lineRule="auto"/>
              <w:jc w:val="left"/>
            </w:pPr>
            <w:r w:rsidRPr="00E13F3B">
              <w:t>371</w:t>
            </w:r>
          </w:p>
        </w:tc>
        <w:tc>
          <w:tcPr>
            <w:tcW w:w="910" w:type="dxa"/>
            <w:tcBorders>
              <w:top w:val="nil"/>
              <w:bottom w:val="single" w:sz="16" w:space="0" w:color="000000"/>
            </w:tcBorders>
            <w:shd w:val="clear" w:color="auto" w:fill="FFFFFF"/>
          </w:tcPr>
          <w:p w14:paraId="04C8CEC7" w14:textId="77777777" w:rsidR="00E13F3B" w:rsidRPr="00E13F3B" w:rsidRDefault="00E13F3B" w:rsidP="00D206DE">
            <w:pPr>
              <w:spacing w:after="160" w:line="278" w:lineRule="auto"/>
            </w:pPr>
          </w:p>
        </w:tc>
        <w:tc>
          <w:tcPr>
            <w:tcW w:w="658" w:type="dxa"/>
            <w:tcBorders>
              <w:top w:val="nil"/>
              <w:bottom w:val="single" w:sz="16" w:space="0" w:color="000000"/>
            </w:tcBorders>
            <w:shd w:val="clear" w:color="auto" w:fill="FFFFFF"/>
          </w:tcPr>
          <w:p w14:paraId="26B1679C" w14:textId="77777777" w:rsidR="00E13F3B" w:rsidRPr="00E13F3B" w:rsidRDefault="00E13F3B" w:rsidP="00D206DE">
            <w:pPr>
              <w:spacing w:after="160" w:line="278" w:lineRule="auto"/>
            </w:pPr>
          </w:p>
        </w:tc>
        <w:tc>
          <w:tcPr>
            <w:tcW w:w="663" w:type="dxa"/>
            <w:tcBorders>
              <w:top w:val="nil"/>
              <w:bottom w:val="single" w:sz="16" w:space="0" w:color="000000"/>
              <w:right w:val="single" w:sz="16" w:space="0" w:color="000000"/>
            </w:tcBorders>
            <w:shd w:val="clear" w:color="auto" w:fill="FFFFFF"/>
          </w:tcPr>
          <w:p w14:paraId="7EE091CD" w14:textId="77777777" w:rsidR="00E13F3B" w:rsidRPr="00E13F3B" w:rsidRDefault="00E13F3B" w:rsidP="00D206DE">
            <w:pPr>
              <w:spacing w:after="160" w:line="278" w:lineRule="auto"/>
            </w:pPr>
          </w:p>
        </w:tc>
      </w:tr>
    </w:tbl>
    <w:p w14:paraId="0FCE6E90" w14:textId="77777777" w:rsidR="00E13F3B" w:rsidRPr="00E13F3B" w:rsidRDefault="00E13F3B" w:rsidP="00E13F3B">
      <w:pPr>
        <w:pStyle w:val="BodyText"/>
        <w:ind w:firstLine="0"/>
      </w:pPr>
    </w:p>
    <w:p w14:paraId="7D7449B3" w14:textId="77777777" w:rsidR="00E13F3B" w:rsidRPr="00E13F3B" w:rsidRDefault="00E13F3B" w:rsidP="00E13F3B">
      <w:pPr>
        <w:jc w:val="both"/>
      </w:pPr>
      <w:r w:rsidRPr="00E13F3B">
        <w:t xml:space="preserve">   Table 03 shows the results of the ANOVA test conducted to examine whether there is a significant difference in cybercrime awareness among different age groups. The significance value is p = 0.128, which is greater than the standard significance level of 0.05. Therefore, the null hypothesis cannot be rejected. This indicates that there is no statistically significant difference in cybercrime awareness among respondents from different age groups.</w:t>
      </w:r>
    </w:p>
    <w:p w14:paraId="713C4B7D" w14:textId="77777777" w:rsidR="00E13F3B" w:rsidRPr="00E13F3B" w:rsidRDefault="00E13F3B" w:rsidP="00E13F3B">
      <w:pPr>
        <w:jc w:val="both"/>
      </w:pPr>
    </w:p>
    <w:p w14:paraId="3128F72B" w14:textId="77777777" w:rsidR="00E13F3B" w:rsidRPr="00E13F3B" w:rsidRDefault="00E13F3B" w:rsidP="00E13F3B">
      <w:pPr>
        <w:spacing w:after="160" w:line="278" w:lineRule="auto"/>
        <w:jc w:val="both"/>
        <w:rPr>
          <w:b/>
          <w:bCs/>
        </w:rPr>
      </w:pPr>
      <w:r w:rsidRPr="00E13F3B">
        <w:rPr>
          <w:b/>
          <w:bCs/>
        </w:rPr>
        <w:t xml:space="preserve">   Table 04: Correlation Between Cybercrime Awareness and Responsible Online Behavior</w:t>
      </w:r>
    </w:p>
    <w:tbl>
      <w:tblPr>
        <w:tblStyle w:val="TableGrid"/>
        <w:tblW w:w="4962"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84"/>
        <w:gridCol w:w="1255"/>
        <w:gridCol w:w="1523"/>
      </w:tblGrid>
      <w:tr w:rsidR="00E13F3B" w:rsidRPr="00E13F3B" w14:paraId="6C23B12D" w14:textId="77777777" w:rsidTr="00D206DE">
        <w:tc>
          <w:tcPr>
            <w:tcW w:w="2155" w:type="dxa"/>
            <w:hideMark/>
          </w:tcPr>
          <w:p w14:paraId="0B9EF0BC" w14:textId="77777777" w:rsidR="00E13F3B" w:rsidRPr="00E13F3B" w:rsidRDefault="00E13F3B" w:rsidP="00D206DE">
            <w:pPr>
              <w:spacing w:after="160" w:line="278" w:lineRule="auto"/>
              <w:jc w:val="left"/>
              <w:rPr>
                <w:b/>
                <w:bCs/>
              </w:rPr>
            </w:pPr>
            <w:r w:rsidRPr="00E13F3B">
              <w:rPr>
                <w:b/>
                <w:bCs/>
              </w:rPr>
              <w:t>Variables</w:t>
            </w:r>
          </w:p>
        </w:tc>
        <w:tc>
          <w:tcPr>
            <w:tcW w:w="0" w:type="dxa"/>
            <w:hideMark/>
          </w:tcPr>
          <w:p w14:paraId="6B86140B" w14:textId="77777777" w:rsidR="00E13F3B" w:rsidRPr="00E13F3B" w:rsidRDefault="00E13F3B" w:rsidP="00D206DE">
            <w:pPr>
              <w:spacing w:after="160" w:line="278" w:lineRule="auto"/>
              <w:jc w:val="left"/>
              <w:rPr>
                <w:b/>
                <w:bCs/>
              </w:rPr>
            </w:pPr>
            <w:r w:rsidRPr="00E13F3B">
              <w:rPr>
                <w:b/>
                <w:bCs/>
              </w:rPr>
              <w:t>Cybercrime Awareness</w:t>
            </w:r>
          </w:p>
        </w:tc>
        <w:tc>
          <w:tcPr>
            <w:tcW w:w="1503" w:type="dxa"/>
            <w:hideMark/>
          </w:tcPr>
          <w:p w14:paraId="11BBC93C" w14:textId="77777777" w:rsidR="00E13F3B" w:rsidRPr="00E13F3B" w:rsidRDefault="00E13F3B" w:rsidP="00D206DE">
            <w:pPr>
              <w:spacing w:after="160" w:line="278" w:lineRule="auto"/>
              <w:jc w:val="left"/>
              <w:rPr>
                <w:b/>
                <w:bCs/>
              </w:rPr>
            </w:pPr>
            <w:r w:rsidRPr="00E13F3B">
              <w:rPr>
                <w:b/>
                <w:bCs/>
              </w:rPr>
              <w:t>Responsible Online Behavior</w:t>
            </w:r>
          </w:p>
        </w:tc>
      </w:tr>
      <w:tr w:rsidR="00E13F3B" w:rsidRPr="00E13F3B" w14:paraId="5D65E689" w14:textId="77777777" w:rsidTr="00D206DE">
        <w:tc>
          <w:tcPr>
            <w:tcW w:w="2155" w:type="dxa"/>
            <w:hideMark/>
          </w:tcPr>
          <w:p w14:paraId="3050F5E6" w14:textId="77777777" w:rsidR="00E13F3B" w:rsidRPr="00E13F3B" w:rsidRDefault="00E13F3B" w:rsidP="00D206DE">
            <w:pPr>
              <w:spacing w:after="160" w:line="278" w:lineRule="auto"/>
            </w:pPr>
            <w:r w:rsidRPr="00E13F3B">
              <w:t>Cybercrime Awareness</w:t>
            </w:r>
          </w:p>
        </w:tc>
        <w:tc>
          <w:tcPr>
            <w:tcW w:w="0" w:type="dxa"/>
            <w:hideMark/>
          </w:tcPr>
          <w:p w14:paraId="2CF6376C" w14:textId="77777777" w:rsidR="00E13F3B" w:rsidRPr="00E13F3B" w:rsidRDefault="00E13F3B" w:rsidP="00D206DE">
            <w:pPr>
              <w:spacing w:after="160" w:line="278" w:lineRule="auto"/>
            </w:pPr>
            <w:r w:rsidRPr="00E13F3B">
              <w:t>1</w:t>
            </w:r>
          </w:p>
        </w:tc>
        <w:tc>
          <w:tcPr>
            <w:tcW w:w="1503" w:type="dxa"/>
            <w:hideMark/>
          </w:tcPr>
          <w:p w14:paraId="7CB8ECEB" w14:textId="77777777" w:rsidR="00E13F3B" w:rsidRPr="00E13F3B" w:rsidRDefault="00E13F3B" w:rsidP="00D206DE">
            <w:pPr>
              <w:spacing w:after="160" w:line="278" w:lineRule="auto"/>
            </w:pPr>
            <w:r w:rsidRPr="00E13F3B">
              <w:t>0.312**</w:t>
            </w:r>
          </w:p>
        </w:tc>
      </w:tr>
      <w:tr w:rsidR="00E13F3B" w:rsidRPr="00E13F3B" w14:paraId="6B6A3CB4" w14:textId="77777777" w:rsidTr="00D206DE">
        <w:tc>
          <w:tcPr>
            <w:tcW w:w="2155" w:type="dxa"/>
            <w:hideMark/>
          </w:tcPr>
          <w:p w14:paraId="2949F6A7" w14:textId="77777777" w:rsidR="00E13F3B" w:rsidRPr="00E13F3B" w:rsidRDefault="00E13F3B" w:rsidP="00D206DE">
            <w:pPr>
              <w:spacing w:after="160" w:line="278" w:lineRule="auto"/>
            </w:pPr>
            <w:r w:rsidRPr="00E13F3B">
              <w:t>Responsible Online Behavior</w:t>
            </w:r>
          </w:p>
        </w:tc>
        <w:tc>
          <w:tcPr>
            <w:tcW w:w="0" w:type="dxa"/>
            <w:hideMark/>
          </w:tcPr>
          <w:p w14:paraId="15883931" w14:textId="77777777" w:rsidR="00E13F3B" w:rsidRPr="00E13F3B" w:rsidRDefault="00E13F3B" w:rsidP="00D206DE">
            <w:pPr>
              <w:spacing w:after="160" w:line="278" w:lineRule="auto"/>
            </w:pPr>
            <w:r w:rsidRPr="00E13F3B">
              <w:t>0.312**</w:t>
            </w:r>
          </w:p>
        </w:tc>
        <w:tc>
          <w:tcPr>
            <w:tcW w:w="1503" w:type="dxa"/>
            <w:hideMark/>
          </w:tcPr>
          <w:p w14:paraId="2606BC15" w14:textId="77777777" w:rsidR="00E13F3B" w:rsidRPr="00E13F3B" w:rsidRDefault="00E13F3B" w:rsidP="00D206DE">
            <w:pPr>
              <w:spacing w:after="160" w:line="278" w:lineRule="auto"/>
            </w:pPr>
            <w:r w:rsidRPr="00E13F3B">
              <w:t>1</w:t>
            </w:r>
          </w:p>
        </w:tc>
      </w:tr>
    </w:tbl>
    <w:p w14:paraId="65A7C5BE" w14:textId="77777777" w:rsidR="00E13F3B" w:rsidRPr="00E13F3B" w:rsidRDefault="00E13F3B" w:rsidP="00E13F3B">
      <w:pPr>
        <w:spacing w:after="160" w:line="278" w:lineRule="auto"/>
        <w:jc w:val="both"/>
      </w:pPr>
      <w:r w:rsidRPr="00E13F3B">
        <w:t>Note: Correlation is significant at the 0.01 level (2-tailed).</w:t>
      </w:r>
    </w:p>
    <w:p w14:paraId="7059E9B4" w14:textId="77777777" w:rsidR="00E13F3B" w:rsidRPr="00E13F3B" w:rsidRDefault="00E13F3B" w:rsidP="00E13F3B">
      <w:pPr>
        <w:jc w:val="both"/>
      </w:pPr>
      <w:r w:rsidRPr="00E13F3B">
        <w:t xml:space="preserve">    The Pearson correlation test was conducted to examine the relationship between cybercrime awareness and responsible online behavior among respondents. The results indicate a positive correlation (r = 0.312, p &lt; 0.01) between cybercrime awareness and responsible online behavior. This suggests that individuals with higher levels of cybercrime awareness are more likely to engage in safe and responsible online practices. Since the p-value is less than the significance level of 0.05, the null hypothesis is rejected. Therefore, it can be concluded that cybercrime awareness significantly influences responsible online behavior among respondents.</w:t>
      </w:r>
    </w:p>
    <w:p w14:paraId="44679CDF" w14:textId="77777777" w:rsidR="00E13F3B" w:rsidRPr="00E13F3B" w:rsidRDefault="00E13F3B" w:rsidP="00E13F3B">
      <w:pPr>
        <w:jc w:val="both"/>
      </w:pPr>
    </w:p>
    <w:p w14:paraId="55F9E1DD" w14:textId="77777777" w:rsidR="00E13F3B" w:rsidRPr="00E13F3B" w:rsidRDefault="00E13F3B" w:rsidP="00E13F3B">
      <w:pPr>
        <w:pStyle w:val="Heading1"/>
        <w:spacing w:before="0" w:after="0"/>
        <w:rPr>
          <w:color w:val="auto"/>
        </w:rPr>
      </w:pPr>
      <w:r w:rsidRPr="00E13F3B">
        <w:rPr>
          <w:color w:val="auto"/>
        </w:rPr>
        <w:t>Conclusion</w:t>
      </w:r>
    </w:p>
    <w:p w14:paraId="6E5AC6BB" w14:textId="77777777" w:rsidR="00E13F3B" w:rsidRPr="00E13F3B" w:rsidRDefault="00E13F3B" w:rsidP="00E13F3B"/>
    <w:p w14:paraId="2B86DFE8" w14:textId="77777777" w:rsidR="00E13F3B" w:rsidRPr="00E13F3B" w:rsidRDefault="00E13F3B" w:rsidP="00E13F3B">
      <w:pPr>
        <w:pStyle w:val="NormalWeb"/>
        <w:spacing w:before="0" w:beforeAutospacing="0" w:after="0" w:afterAutospacing="0"/>
        <w:jc w:val="both"/>
        <w:rPr>
          <w:sz w:val="20"/>
          <w:szCs w:val="20"/>
        </w:rPr>
      </w:pPr>
      <w:r w:rsidRPr="00E13F3B">
        <w:rPr>
          <w:sz w:val="20"/>
          <w:szCs w:val="20"/>
        </w:rPr>
        <w:t xml:space="preserve">     With the rapid development of emerging technologies, society is evolving into a new form that combines both digital and physical environments. This transformation has significantly enhanced communication systems and enabled advanced human–machine interactions while generating massive volumes of data. At the same time, technological advancement has led to the rapid growth of cybercrime, which is increasing in new and complex forms every day. The use of computers, smartphones, the Internet, and social media </w:t>
      </w:r>
      <w:r w:rsidRPr="00E13F3B">
        <w:rPr>
          <w:sz w:val="20"/>
          <w:szCs w:val="20"/>
        </w:rPr>
        <w:t>platforms has become a part of everyday life. While these technologies bring convenience and efficiency, they also expose individuals and organizations to various cyber threats. Therefore, awareness of cybercrime has become an essential factor in ensuring cyber safety. The research also utilized statistical techniques such as ANOVA testing, descriptive analysis,  analyze the collected data. The results highlight the importance of considering socioeconomic factors in predicting cybersecurity risks. Furthermore, cybersecurity awareness among young people and students remains a major concern. Studies show that the young generation in Bangladesh has a below-average level of awareness regarding cybersecurity threats and online privacy. Since young people are among the most active users of social media and digital platforms, they are particularly vulnerable to cyber risks.</w:t>
      </w:r>
    </w:p>
    <w:p w14:paraId="70489761" w14:textId="77777777" w:rsidR="00E13F3B" w:rsidRPr="00E13F3B" w:rsidRDefault="00E13F3B" w:rsidP="00E13F3B">
      <w:pPr>
        <w:pStyle w:val="Heading5"/>
        <w:rPr>
          <w:color w:val="auto"/>
        </w:rPr>
      </w:pPr>
      <w:r w:rsidRPr="00E13F3B">
        <w:rPr>
          <w:color w:val="auto"/>
        </w:rPr>
        <w:t xml:space="preserve">Acknowledgment </w:t>
      </w:r>
    </w:p>
    <w:p w14:paraId="2BE444BF" w14:textId="77777777" w:rsidR="00E13F3B" w:rsidRPr="00E13F3B" w:rsidRDefault="00E13F3B" w:rsidP="00E13F3B">
      <w:pPr>
        <w:pStyle w:val="BodyText"/>
        <w:spacing w:after="0" w:line="240" w:lineRule="auto"/>
        <w:rPr>
          <w:lang w:val="en-US"/>
        </w:rPr>
      </w:pPr>
      <w:r w:rsidRPr="00E13F3B">
        <w:rPr>
          <w:lang w:val="en-US"/>
        </w:rPr>
        <w:t>I would like to express my sincere gratitude to all those who supported and guided me throughout this research. I am deeply thankful to my mentors and academic advisors for their invaluable guidance, encouragement, and constructive feedback, which helped shape the direction of this study. I also extend my appreciation to the respondents who participated in the survey and shared their experiences, making this research possible. Their cooperation provided the essential data needed for a meaningful analysis. This work would not have been possible without the contributions and support of all these individuals.</w:t>
      </w:r>
    </w:p>
    <w:p w14:paraId="6F2E2B6D" w14:textId="77777777" w:rsidR="00E13F3B" w:rsidRPr="00E13F3B" w:rsidRDefault="00E13F3B" w:rsidP="00E13F3B">
      <w:pPr>
        <w:pStyle w:val="Heading5"/>
        <w:rPr>
          <w:color w:val="auto"/>
        </w:rPr>
      </w:pPr>
      <w:r w:rsidRPr="00E13F3B">
        <w:rPr>
          <w:color w:val="auto"/>
        </w:rPr>
        <w:t>References</w:t>
      </w:r>
    </w:p>
    <w:p w14:paraId="5944DED8" w14:textId="77777777" w:rsidR="00E13F3B" w:rsidRPr="00E13F3B" w:rsidRDefault="00E13F3B" w:rsidP="00E13F3B">
      <w:pPr>
        <w:pStyle w:val="references"/>
      </w:pPr>
      <w:r w:rsidRPr="00E13F3B">
        <w:t>Babu, K.-E.-K. (2023). The Reality of Cyber Security in Bangladesh, Relevant Laws, Drawbacks, and Challenges. In </w:t>
      </w:r>
      <w:r w:rsidRPr="00E13F3B">
        <w:rPr>
          <w:i/>
          <w:iCs/>
        </w:rPr>
        <w:t>Advanced Sciences and Technologies for Security Applications</w:t>
      </w:r>
      <w:r w:rsidRPr="00E13F3B">
        <w:t> (pp. 89–104). Springer International Publishing. https://doi.org/10.1007/978-3-031-20160-8_6</w:t>
      </w:r>
    </w:p>
    <w:p w14:paraId="4225F430" w14:textId="77777777" w:rsidR="00E13F3B" w:rsidRPr="00E13F3B" w:rsidRDefault="00E13F3B" w:rsidP="00E13F3B">
      <w:pPr>
        <w:pStyle w:val="references"/>
      </w:pPr>
      <w:r w:rsidRPr="00E13F3B">
        <w:t>Bipasha, N. J., Bhuyan, M., &amp; Islam, S. (2025). Influence of demographics and digital literacy skills on students’ awareness and usage of electronic information resources (EIRs) in Bangladeshi public universities. </w:t>
      </w:r>
      <w:r w:rsidRPr="00E13F3B">
        <w:rPr>
          <w:i/>
          <w:iCs/>
        </w:rPr>
        <w:t>Information Development</w:t>
      </w:r>
      <w:r w:rsidRPr="00E13F3B">
        <w:t>. https://doi.org/10.1177/02666669251376037</w:t>
      </w:r>
    </w:p>
    <w:p w14:paraId="4515A89C" w14:textId="77777777" w:rsidR="00E13F3B" w:rsidRPr="00E13F3B" w:rsidRDefault="00E13F3B" w:rsidP="00E13F3B">
      <w:pPr>
        <w:pStyle w:val="references"/>
        <w:autoSpaceDE w:val="0"/>
        <w:autoSpaceDN w:val="0"/>
        <w:adjustRightInd w:val="0"/>
        <w:spacing w:line="240" w:lineRule="auto"/>
        <w:ind w:left="354" w:hanging="354"/>
      </w:pPr>
      <w:r w:rsidRPr="00E13F3B">
        <w:t xml:space="preserve">Chandra, A., &amp; Snowe, M. J. (2020). A taxonomy of cybercrime: theory and design. International Journal of Accounting Information Systems, 38, 100467. </w:t>
      </w:r>
      <w:hyperlink r:id="rId9" w:history="1">
        <w:r w:rsidRPr="00E13F3B">
          <w:rPr>
            <w:rStyle w:val="Hyperlink"/>
            <w:rFonts w:eastAsia="Times New Roman"/>
            <w:color w:val="auto"/>
          </w:rPr>
          <w:t>https://doi.org/10.1016/j.accinf.2020.100467</w:t>
        </w:r>
      </w:hyperlink>
    </w:p>
    <w:p w14:paraId="6AF233F9" w14:textId="77777777" w:rsidR="00E13F3B" w:rsidRPr="00E13F3B" w:rsidRDefault="00E13F3B" w:rsidP="00E13F3B">
      <w:pPr>
        <w:pStyle w:val="references"/>
      </w:pPr>
      <w:r w:rsidRPr="00E13F3B">
        <w:t>Cyber Security Awareness (CSA) and Cyber Crime in Bangladesh: A Statistical Modeling Approach. (2023). </w:t>
      </w:r>
      <w:r w:rsidRPr="00E13F3B">
        <w:rPr>
          <w:i/>
          <w:iCs/>
        </w:rPr>
        <w:t>Australian Journal of Engineering and Innovative Technology</w:t>
      </w:r>
      <w:r w:rsidRPr="00E13F3B">
        <w:t xml:space="preserve">, 15–25. </w:t>
      </w:r>
      <w:hyperlink r:id="rId10" w:history="1">
        <w:r w:rsidRPr="00E13F3B">
          <w:rPr>
            <w:rStyle w:val="Hyperlink"/>
            <w:color w:val="auto"/>
          </w:rPr>
          <w:t>https://doi.org/10.34104/ajeit.023.015025</w:t>
        </w:r>
      </w:hyperlink>
    </w:p>
    <w:p w14:paraId="68C0C659" w14:textId="77777777" w:rsidR="00E13F3B" w:rsidRPr="00E13F3B" w:rsidRDefault="00E13F3B" w:rsidP="00E13F3B">
      <w:pPr>
        <w:pStyle w:val="references"/>
        <w:spacing w:after="0" w:line="240" w:lineRule="auto"/>
      </w:pPr>
      <w:r w:rsidRPr="00E13F3B">
        <w:t>Donalds, C., &amp; Osei-Bryson, K.-M. (2019). Toward a cybercrime classification ontology: A knowledge-based approach. </w:t>
      </w:r>
      <w:r w:rsidRPr="00E13F3B">
        <w:rPr>
          <w:i/>
          <w:iCs/>
        </w:rPr>
        <w:t>Computers in Human Behavior</w:t>
      </w:r>
      <w:r w:rsidRPr="00E13F3B">
        <w:t>, </w:t>
      </w:r>
      <w:r w:rsidRPr="00E13F3B">
        <w:rPr>
          <w:i/>
          <w:iCs/>
        </w:rPr>
        <w:t>92</w:t>
      </w:r>
      <w:r w:rsidRPr="00E13F3B">
        <w:t xml:space="preserve">, 403–418. </w:t>
      </w:r>
      <w:hyperlink r:id="rId11" w:history="1">
        <w:r w:rsidRPr="00E13F3B">
          <w:rPr>
            <w:rStyle w:val="Hyperlink"/>
            <w:rFonts w:eastAsia="Times New Roman"/>
            <w:color w:val="auto"/>
          </w:rPr>
          <w:t>https://doi.org/10.1016/j.chb.2018.11.039</w:t>
        </w:r>
      </w:hyperlink>
    </w:p>
    <w:p w14:paraId="46863DF1" w14:textId="77777777" w:rsidR="00E13F3B" w:rsidRPr="00E13F3B" w:rsidRDefault="00E13F3B" w:rsidP="00E13F3B">
      <w:pPr>
        <w:pStyle w:val="references"/>
        <w:autoSpaceDE w:val="0"/>
        <w:autoSpaceDN w:val="0"/>
        <w:adjustRightInd w:val="0"/>
        <w:spacing w:line="240" w:lineRule="auto"/>
        <w:ind w:left="354" w:hanging="354"/>
      </w:pPr>
      <w:r w:rsidRPr="00E13F3B">
        <w:rPr>
          <w:rFonts w:eastAsia="Times New Roman"/>
        </w:rPr>
        <w:t xml:space="preserve">Gray, M., &amp; Goodman, P. (2019). Emerging cyber threats and the need for adaptive legal frameworks. </w:t>
      </w:r>
      <w:r w:rsidRPr="00E13F3B">
        <w:rPr>
          <w:rFonts w:eastAsia="Times New Roman"/>
          <w:i/>
        </w:rPr>
        <w:t>International Cybersecurity Journal, 6</w:t>
      </w:r>
      <w:r w:rsidRPr="00E13F3B">
        <w:rPr>
          <w:rFonts w:eastAsia="Times New Roman"/>
        </w:rPr>
        <w:t xml:space="preserve">(2), 203-220. </w:t>
      </w:r>
      <w:hyperlink r:id="rId12">
        <w:r w:rsidRPr="00E13F3B">
          <w:rPr>
            <w:rFonts w:eastAsia="Times New Roman"/>
            <w:u w:val="single"/>
          </w:rPr>
          <w:t>https://doi.org/10.1016/j.cyber.2019.01.002</w:t>
        </w:r>
      </w:hyperlink>
    </w:p>
    <w:p w14:paraId="270318D3" w14:textId="77777777" w:rsidR="00E13F3B" w:rsidRPr="00E13F3B" w:rsidRDefault="00E13F3B" w:rsidP="00E13F3B">
      <w:pPr>
        <w:pStyle w:val="references"/>
      </w:pPr>
      <w:r w:rsidRPr="00E13F3B">
        <w:t>Mahmud, I., Ramayah, T., Nayeem, Md. M. H., Islam, S. M. M., &amp; Gan, P. L. (2020). Modelling Cyber-Crime Protection Behaviour among Computer Users in the Context of Bangladesh. In </w:t>
      </w:r>
      <w:r w:rsidRPr="00E13F3B">
        <w:rPr>
          <w:i/>
          <w:iCs/>
        </w:rPr>
        <w:t>Cyber Warfare and Terrorism</w:t>
      </w:r>
      <w:r w:rsidRPr="00E13F3B">
        <w:t> (pp. 321–341). IGI Global. https://doi.org/10.4018/978-1-7998-2466-4.ch021</w:t>
      </w:r>
    </w:p>
    <w:p w14:paraId="3CDC1B10" w14:textId="77777777" w:rsidR="00E13F3B" w:rsidRPr="00E13F3B" w:rsidRDefault="00E13F3B" w:rsidP="00E13F3B">
      <w:pPr>
        <w:pStyle w:val="references"/>
      </w:pPr>
      <w:r w:rsidRPr="00E13F3B">
        <w:t>Mamun, A., Bin, J., &amp; Mostofa, Sk. M. (2021). Cyber security awareness in Bangladesh: An overview of challenges and strategies. In </w:t>
      </w:r>
      <w:r w:rsidRPr="00E13F3B">
        <w:rPr>
          <w:i/>
          <w:iCs/>
        </w:rPr>
        <w:t>Int. J. Comp. Sci. Informat. Technol. Res 9, 88-94, 2021</w:t>
      </w:r>
      <w:r w:rsidRPr="00E13F3B">
        <w:t>.</w:t>
      </w:r>
    </w:p>
    <w:p w14:paraId="6307086E" w14:textId="77777777" w:rsidR="00E13F3B" w:rsidRPr="00E13F3B" w:rsidRDefault="00E13F3B" w:rsidP="00E13F3B">
      <w:pPr>
        <w:pStyle w:val="references"/>
      </w:pPr>
      <w:r w:rsidRPr="00E13F3B">
        <w:t>Mupila, F. K., Gupta, H., &amp; Bhardwaj, A. (2023). An Empirical Study on Cyber Crimes and Cybersecurity Awareness. In </w:t>
      </w:r>
      <w:r w:rsidRPr="00E13F3B">
        <w:rPr>
          <w:i/>
          <w:iCs/>
        </w:rPr>
        <w:t>Research Square</w:t>
      </w:r>
      <w:r w:rsidRPr="00E13F3B">
        <w:t xml:space="preserve">. Springer Science and Business Media LLC. </w:t>
      </w:r>
      <w:hyperlink r:id="rId13" w:history="1">
        <w:r w:rsidRPr="00E13F3B">
          <w:rPr>
            <w:rStyle w:val="Hyperlink"/>
            <w:color w:val="auto"/>
          </w:rPr>
          <w:t>https://doi.org/10.21203/rs.3.rs-3037289/v1</w:t>
        </w:r>
      </w:hyperlink>
    </w:p>
    <w:p w14:paraId="1FDB5913" w14:textId="77777777" w:rsidR="00E13F3B" w:rsidRPr="00E13F3B" w:rsidRDefault="00E13F3B" w:rsidP="00E13F3B">
      <w:pPr>
        <w:pStyle w:val="references"/>
      </w:pPr>
      <w:r w:rsidRPr="00E13F3B">
        <w:t xml:space="preserve">Noor Uddin Milon, M., Ghose, P., Chowdhury Pinky, T., Nowshin Tabassum, Mst., Nazmul Hasan, M., &amp; Khatun, M. (2024). An in-depth </w:t>
      </w:r>
      <w:r w:rsidRPr="00E13F3B">
        <w:lastRenderedPageBreak/>
        <w:t>PRISMA based review of cybercrime in a developing economy: Examining sector-wide impacts, legal frameworks, and emerging trends in the digital era. </w:t>
      </w:r>
      <w:r w:rsidRPr="00E13F3B">
        <w:rPr>
          <w:i/>
          <w:iCs/>
        </w:rPr>
        <w:t>Edelweiss Applied Science and Technology</w:t>
      </w:r>
      <w:r w:rsidRPr="00E13F3B">
        <w:t>, </w:t>
      </w:r>
      <w:r w:rsidRPr="00E13F3B">
        <w:rPr>
          <w:i/>
          <w:iCs/>
        </w:rPr>
        <w:t>8</w:t>
      </w:r>
      <w:r w:rsidRPr="00E13F3B">
        <w:t xml:space="preserve">(4), 2072–2093. </w:t>
      </w:r>
      <w:hyperlink r:id="rId14" w:history="1">
        <w:r w:rsidRPr="00E13F3B">
          <w:rPr>
            <w:rStyle w:val="Hyperlink"/>
            <w:color w:val="auto"/>
          </w:rPr>
          <w:t>https://doi.org/10.55214/25768484.v8i4.1583</w:t>
        </w:r>
      </w:hyperlink>
    </w:p>
    <w:p w14:paraId="3CF50412" w14:textId="77777777" w:rsidR="00E13F3B" w:rsidRPr="00E13F3B" w:rsidRDefault="00E13F3B" w:rsidP="00E13F3B">
      <w:pPr>
        <w:pStyle w:val="references"/>
        <w:autoSpaceDE w:val="0"/>
        <w:autoSpaceDN w:val="0"/>
        <w:adjustRightInd w:val="0"/>
        <w:spacing w:line="240" w:lineRule="auto"/>
        <w:ind w:left="354" w:hanging="354"/>
      </w:pPr>
      <w:r w:rsidRPr="00E13F3B">
        <w:t xml:space="preserve">Purvi, S., Rahman, M. M., &amp; Ahmed, T. (2025). Cybersecurity awareness among vulnerable groups: Focus on students and the elderly. </w:t>
      </w:r>
      <w:r w:rsidRPr="00E13F3B">
        <w:rPr>
          <w:i/>
          <w:iCs/>
        </w:rPr>
        <w:t>Journal of Information Security, 11</w:t>
      </w:r>
      <w:r w:rsidRPr="00E13F3B">
        <w:t>(3), 87–105</w:t>
      </w:r>
    </w:p>
    <w:p w14:paraId="1EA9FC09" w14:textId="77777777" w:rsidR="00E13F3B" w:rsidRPr="00E13F3B" w:rsidRDefault="00E13F3B" w:rsidP="00E13F3B">
      <w:pPr>
        <w:pStyle w:val="references"/>
        <w:spacing w:line="240" w:lineRule="auto"/>
      </w:pPr>
      <w:r w:rsidRPr="00E13F3B">
        <w:t>Rady, F., &amp; Elsakka, S. (2024). Cybercrimes and Information Crimes: From a Legal and Technical Perspective. </w:t>
      </w:r>
      <w:r w:rsidRPr="00E13F3B">
        <w:rPr>
          <w:i/>
          <w:iCs/>
        </w:rPr>
        <w:t>International Journal of Law Research and Studies</w:t>
      </w:r>
      <w:r w:rsidRPr="00E13F3B">
        <w:t>, </w:t>
      </w:r>
      <w:r w:rsidRPr="00E13F3B">
        <w:rPr>
          <w:i/>
          <w:iCs/>
        </w:rPr>
        <w:t>3</w:t>
      </w:r>
      <w:r w:rsidRPr="00E13F3B">
        <w:t xml:space="preserve">(5), 40–54. </w:t>
      </w:r>
      <w:hyperlink r:id="rId15" w:history="1">
        <w:r w:rsidRPr="00E13F3B">
          <w:rPr>
            <w:rStyle w:val="Hyperlink"/>
            <w:color w:val="auto"/>
          </w:rPr>
          <w:t>https://doi.org/10.59992/ijlrs.2024.v3n5p2</w:t>
        </w:r>
      </w:hyperlink>
    </w:p>
    <w:p w14:paraId="7A36A268" w14:textId="77777777" w:rsidR="00E13F3B" w:rsidRPr="00E13F3B" w:rsidRDefault="00E13F3B" w:rsidP="00E13F3B">
      <w:pPr>
        <w:pStyle w:val="references"/>
        <w:autoSpaceDE w:val="0"/>
        <w:autoSpaceDN w:val="0"/>
        <w:adjustRightInd w:val="0"/>
        <w:spacing w:line="240" w:lineRule="auto"/>
        <w:ind w:left="354" w:hanging="354"/>
      </w:pPr>
      <w:r w:rsidRPr="00E13F3B">
        <w:t xml:space="preserve">Shahjahan, M., Haque, M. E., &amp; Jahan, S. (2024). Psychological and emotional impacts of cybercrime on individuals: A cross-sectional study. </w:t>
      </w:r>
      <w:r w:rsidRPr="00E13F3B">
        <w:rPr>
          <w:i/>
          <w:iCs/>
        </w:rPr>
        <w:t>Journal of Cybersecurity and Mental Health, 6</w:t>
      </w:r>
      <w:r w:rsidRPr="00E13F3B">
        <w:t>(3), 98–110</w:t>
      </w:r>
    </w:p>
    <w:p w14:paraId="1D017861" w14:textId="77777777" w:rsidR="00E13F3B" w:rsidRPr="00E13F3B" w:rsidRDefault="00E13F3B" w:rsidP="00E13F3B">
      <w:pPr>
        <w:pStyle w:val="references"/>
        <w:spacing w:line="240" w:lineRule="auto"/>
      </w:pPr>
      <w:r w:rsidRPr="00E13F3B">
        <w:t>Tamang, S., Chandana, G. S., &amp; Roy, B. K. (2024). </w:t>
      </w:r>
      <w:r w:rsidRPr="00E13F3B">
        <w:rPr>
          <w:i/>
          <w:iCs/>
        </w:rPr>
        <w:t>Different Cybercrimes and their Solution for Common People</w:t>
      </w:r>
      <w:r w:rsidRPr="00E13F3B">
        <w:t> (Version 1). arXiv. https://doi.org/10.48550/ARXIV.2410.09089</w:t>
      </w:r>
    </w:p>
    <w:p w14:paraId="5C73D9CF" w14:textId="77777777" w:rsidR="00E13F3B" w:rsidRPr="00E13F3B" w:rsidRDefault="00E13F3B" w:rsidP="00E13F3B">
      <w:pPr>
        <w:pStyle w:val="references"/>
        <w:spacing w:line="240" w:lineRule="auto"/>
      </w:pPr>
      <w:r w:rsidRPr="00E13F3B">
        <w:rPr>
          <w:lang w:val="en"/>
        </w:rPr>
        <w:t>Zwilling, M., Klien, G., Lesjak, D., Wiechetek, Ł., Cetin, F. and Basim, H.N. (2022), “Cybersecurity awareness, knowledge and behavior: a comparative study”, Journal of Computer Information Systems, Vol. 62 No. 1, pp. 82-97.</w:t>
      </w:r>
    </w:p>
    <w:p w14:paraId="6377B95B" w14:textId="77777777" w:rsidR="00E13F3B" w:rsidRPr="00E13F3B" w:rsidRDefault="00E13F3B" w:rsidP="00E13F3B">
      <w:pPr>
        <w:pStyle w:val="references"/>
        <w:numPr>
          <w:ilvl w:val="0"/>
          <w:numId w:val="0"/>
        </w:numPr>
        <w:ind w:left="360" w:hanging="360"/>
      </w:pPr>
    </w:p>
    <w:p w14:paraId="030ECC20" w14:textId="77777777" w:rsidR="00E13F3B" w:rsidRPr="00E13F3B" w:rsidRDefault="00E13F3B" w:rsidP="00E13F3B">
      <w:pPr>
        <w:pStyle w:val="references"/>
        <w:numPr>
          <w:ilvl w:val="0"/>
          <w:numId w:val="0"/>
        </w:numPr>
        <w:spacing w:line="240" w:lineRule="auto"/>
        <w:ind w:left="360" w:hanging="360"/>
        <w:jc w:val="center"/>
        <w:rPr>
          <w:rFonts w:eastAsia="SimSun"/>
          <w:b/>
          <w:noProof w:val="0"/>
          <w:spacing w:val="-1"/>
          <w:sz w:val="20"/>
          <w:szCs w:val="20"/>
          <w:lang w:val="x-none" w:eastAsia="x-none"/>
        </w:rPr>
        <w:sectPr w:rsidR="00E13F3B" w:rsidRPr="00E13F3B" w:rsidSect="00E13F3B">
          <w:type w:val="continuous"/>
          <w:pgSz w:w="11906" w:h="16838" w:code="9"/>
          <w:pgMar w:top="1080" w:right="907" w:bottom="1440" w:left="907" w:header="720" w:footer="720" w:gutter="0"/>
          <w:cols w:num="2" w:space="360"/>
          <w:docGrid w:linePitch="360"/>
        </w:sectPr>
      </w:pPr>
    </w:p>
    <w:p w14:paraId="69B9A8F6" w14:textId="77777777" w:rsidR="00E13F3B" w:rsidRPr="00E13F3B" w:rsidRDefault="00E13F3B" w:rsidP="00E13F3B"/>
    <w:p w14:paraId="733E999F" w14:textId="77777777" w:rsidR="0061349A" w:rsidRPr="00E13F3B" w:rsidRDefault="0061349A"/>
    <w:sectPr w:rsidR="0061349A" w:rsidRPr="00E13F3B" w:rsidSect="00E13F3B">
      <w:type w:val="continuous"/>
      <w:pgSz w:w="11906" w:h="16838" w:code="9"/>
      <w:pgMar w:top="1080" w:right="893" w:bottom="1440" w:left="8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D1F98" w14:textId="77777777" w:rsidR="00E13F3B" w:rsidRPr="006F6D3D" w:rsidRDefault="00E13F3B" w:rsidP="0056610F">
    <w:pPr>
      <w:pStyle w:val="Footer"/>
      <w:jc w:val="left"/>
      <w:rPr>
        <w:sz w:val="16"/>
        <w:szCs w:val="16"/>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 w15:restartNumberingAfterBreak="0">
    <w:nsid w:val="685B46A9"/>
    <w:multiLevelType w:val="multilevel"/>
    <w:tmpl w:val="13FE5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B54FB2"/>
    <w:multiLevelType w:val="multilevel"/>
    <w:tmpl w:val="46A23438"/>
    <w:lvl w:ilvl="0">
      <w:start w:val="1"/>
      <w:numFmt w:val="bullet"/>
      <w:lvlText w:val="●"/>
      <w:lvlJc w:val="left"/>
      <w:pPr>
        <w:ind w:left="927"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88458160">
    <w:abstractNumId w:val="0"/>
  </w:num>
  <w:num w:numId="2" w16cid:durableId="1670715788">
    <w:abstractNumId w:val="2"/>
  </w:num>
  <w:num w:numId="3" w16cid:durableId="1290278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F3B"/>
    <w:rsid w:val="002B6B17"/>
    <w:rsid w:val="002C6C9B"/>
    <w:rsid w:val="004D272A"/>
    <w:rsid w:val="00612295"/>
    <w:rsid w:val="0061349A"/>
    <w:rsid w:val="00955374"/>
    <w:rsid w:val="00960032"/>
    <w:rsid w:val="009D4B50"/>
    <w:rsid w:val="00E13F3B"/>
    <w:rsid w:val="00E36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32BDD"/>
  <w15:chartTrackingRefBased/>
  <w15:docId w15:val="{F4AB8788-DBA8-4DB3-90FB-959EA7B58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F3B"/>
    <w:pPr>
      <w:spacing w:after="0" w:line="240" w:lineRule="auto"/>
      <w:jc w:val="center"/>
    </w:pPr>
    <w:rPr>
      <w:rFonts w:ascii="Times New Roman" w:eastAsia="SimSun" w:hAnsi="Times New Roman" w:cs="Times New Roman"/>
      <w:kern w:val="0"/>
      <w:sz w:val="20"/>
      <w:szCs w:val="20"/>
      <w14:ligatures w14:val="none"/>
    </w:rPr>
  </w:style>
  <w:style w:type="paragraph" w:styleId="Heading1">
    <w:name w:val="heading 1"/>
    <w:basedOn w:val="Normal"/>
    <w:next w:val="Normal"/>
    <w:link w:val="Heading1Char"/>
    <w:qFormat/>
    <w:rsid w:val="00E13F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E13F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E13F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E13F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E13F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3F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3F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3F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3F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F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3F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3F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3F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3F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3F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3F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3F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3F3B"/>
    <w:rPr>
      <w:rFonts w:eastAsiaTheme="majorEastAsia" w:cstheme="majorBidi"/>
      <w:color w:val="272727" w:themeColor="text1" w:themeTint="D8"/>
    </w:rPr>
  </w:style>
  <w:style w:type="paragraph" w:styleId="Title">
    <w:name w:val="Title"/>
    <w:basedOn w:val="Normal"/>
    <w:next w:val="Normal"/>
    <w:link w:val="TitleChar"/>
    <w:uiPriority w:val="10"/>
    <w:qFormat/>
    <w:rsid w:val="00E13F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F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F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3F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3F3B"/>
    <w:pPr>
      <w:spacing w:before="160"/>
    </w:pPr>
    <w:rPr>
      <w:i/>
      <w:iCs/>
      <w:color w:val="404040" w:themeColor="text1" w:themeTint="BF"/>
    </w:rPr>
  </w:style>
  <w:style w:type="character" w:customStyle="1" w:styleId="QuoteChar">
    <w:name w:val="Quote Char"/>
    <w:basedOn w:val="DefaultParagraphFont"/>
    <w:link w:val="Quote"/>
    <w:uiPriority w:val="29"/>
    <w:rsid w:val="00E13F3B"/>
    <w:rPr>
      <w:i/>
      <w:iCs/>
      <w:color w:val="404040" w:themeColor="text1" w:themeTint="BF"/>
    </w:rPr>
  </w:style>
  <w:style w:type="paragraph" w:styleId="ListParagraph">
    <w:name w:val="List Paragraph"/>
    <w:basedOn w:val="Normal"/>
    <w:uiPriority w:val="34"/>
    <w:qFormat/>
    <w:rsid w:val="00E13F3B"/>
    <w:pPr>
      <w:ind w:left="720"/>
      <w:contextualSpacing/>
    </w:pPr>
  </w:style>
  <w:style w:type="character" w:styleId="IntenseEmphasis">
    <w:name w:val="Intense Emphasis"/>
    <w:basedOn w:val="DefaultParagraphFont"/>
    <w:uiPriority w:val="21"/>
    <w:qFormat/>
    <w:rsid w:val="00E13F3B"/>
    <w:rPr>
      <w:i/>
      <w:iCs/>
      <w:color w:val="2F5496" w:themeColor="accent1" w:themeShade="BF"/>
    </w:rPr>
  </w:style>
  <w:style w:type="paragraph" w:styleId="IntenseQuote">
    <w:name w:val="Intense Quote"/>
    <w:basedOn w:val="Normal"/>
    <w:next w:val="Normal"/>
    <w:link w:val="IntenseQuoteChar"/>
    <w:uiPriority w:val="30"/>
    <w:qFormat/>
    <w:rsid w:val="00E13F3B"/>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E13F3B"/>
    <w:rPr>
      <w:i/>
      <w:iCs/>
      <w:color w:val="2F5496" w:themeColor="accent1" w:themeShade="BF"/>
    </w:rPr>
  </w:style>
  <w:style w:type="character" w:styleId="IntenseReference">
    <w:name w:val="Intense Reference"/>
    <w:basedOn w:val="DefaultParagraphFont"/>
    <w:uiPriority w:val="32"/>
    <w:qFormat/>
    <w:rsid w:val="00E13F3B"/>
    <w:rPr>
      <w:b/>
      <w:bCs/>
      <w:smallCaps/>
      <w:color w:val="2F5496" w:themeColor="accent1" w:themeShade="BF"/>
      <w:spacing w:val="5"/>
    </w:rPr>
  </w:style>
  <w:style w:type="paragraph" w:customStyle="1" w:styleId="Abstract">
    <w:name w:val="Abstract"/>
    <w:rsid w:val="00E13F3B"/>
    <w:pPr>
      <w:spacing w:after="200" w:line="240" w:lineRule="auto"/>
      <w:ind w:firstLine="272"/>
      <w:jc w:val="both"/>
    </w:pPr>
    <w:rPr>
      <w:rFonts w:ascii="Times New Roman" w:eastAsia="SimSun" w:hAnsi="Times New Roman" w:cs="Times New Roman"/>
      <w:b/>
      <w:bCs/>
      <w:kern w:val="0"/>
      <w:sz w:val="18"/>
      <w:szCs w:val="18"/>
      <w14:ligatures w14:val="none"/>
    </w:rPr>
  </w:style>
  <w:style w:type="paragraph" w:customStyle="1" w:styleId="Author">
    <w:name w:val="Author"/>
    <w:rsid w:val="00E13F3B"/>
    <w:pPr>
      <w:spacing w:before="360" w:after="40" w:line="240" w:lineRule="auto"/>
      <w:jc w:val="center"/>
    </w:pPr>
    <w:rPr>
      <w:rFonts w:ascii="Times New Roman" w:eastAsia="SimSun" w:hAnsi="Times New Roman" w:cs="Times New Roman"/>
      <w:noProof/>
      <w:kern w:val="0"/>
      <w:sz w:val="22"/>
      <w:szCs w:val="22"/>
      <w14:ligatures w14:val="none"/>
    </w:rPr>
  </w:style>
  <w:style w:type="paragraph" w:styleId="BodyText">
    <w:name w:val="Body Text"/>
    <w:basedOn w:val="Normal"/>
    <w:link w:val="BodyTextChar"/>
    <w:rsid w:val="00E13F3B"/>
    <w:pPr>
      <w:tabs>
        <w:tab w:val="left" w:pos="288"/>
      </w:tabs>
      <w:spacing w:after="120" w:line="228" w:lineRule="auto"/>
      <w:ind w:firstLine="288"/>
      <w:jc w:val="both"/>
    </w:pPr>
    <w:rPr>
      <w:spacing w:val="-1"/>
      <w:lang w:val="x-none" w:eastAsia="x-none"/>
    </w:rPr>
  </w:style>
  <w:style w:type="character" w:customStyle="1" w:styleId="BodyTextChar">
    <w:name w:val="Body Text Char"/>
    <w:basedOn w:val="DefaultParagraphFont"/>
    <w:link w:val="BodyText"/>
    <w:rsid w:val="00E13F3B"/>
    <w:rPr>
      <w:rFonts w:ascii="Times New Roman" w:eastAsia="SimSun" w:hAnsi="Times New Roman" w:cs="Times New Roman"/>
      <w:spacing w:val="-1"/>
      <w:kern w:val="0"/>
      <w:sz w:val="20"/>
      <w:szCs w:val="20"/>
      <w:lang w:val="x-none" w:eastAsia="x-none"/>
      <w14:ligatures w14:val="none"/>
    </w:rPr>
  </w:style>
  <w:style w:type="paragraph" w:customStyle="1" w:styleId="papertitle">
    <w:name w:val="paper title"/>
    <w:rsid w:val="00E13F3B"/>
    <w:pPr>
      <w:spacing w:after="120" w:line="240" w:lineRule="auto"/>
      <w:jc w:val="center"/>
    </w:pPr>
    <w:rPr>
      <w:rFonts w:ascii="Times New Roman" w:eastAsia="MS Mincho" w:hAnsi="Times New Roman" w:cs="Times New Roman"/>
      <w:noProof/>
      <w:kern w:val="0"/>
      <w:sz w:val="48"/>
      <w:szCs w:val="48"/>
      <w14:ligatures w14:val="none"/>
    </w:rPr>
  </w:style>
  <w:style w:type="paragraph" w:customStyle="1" w:styleId="references">
    <w:name w:val="references"/>
    <w:rsid w:val="00E13F3B"/>
    <w:pPr>
      <w:numPr>
        <w:numId w:val="1"/>
      </w:numPr>
      <w:spacing w:after="50" w:line="180" w:lineRule="exact"/>
      <w:jc w:val="both"/>
    </w:pPr>
    <w:rPr>
      <w:rFonts w:ascii="Times New Roman" w:eastAsia="MS Mincho" w:hAnsi="Times New Roman" w:cs="Times New Roman"/>
      <w:noProof/>
      <w:kern w:val="0"/>
      <w:sz w:val="16"/>
      <w:szCs w:val="16"/>
      <w14:ligatures w14:val="none"/>
    </w:rPr>
  </w:style>
  <w:style w:type="paragraph" w:customStyle="1" w:styleId="Keywords">
    <w:name w:val="Keywords"/>
    <w:basedOn w:val="Abstract"/>
    <w:qFormat/>
    <w:rsid w:val="00E13F3B"/>
    <w:pPr>
      <w:spacing w:after="120"/>
      <w:ind w:firstLine="274"/>
    </w:pPr>
    <w:rPr>
      <w:i/>
    </w:rPr>
  </w:style>
  <w:style w:type="paragraph" w:styleId="Footer">
    <w:name w:val="footer"/>
    <w:basedOn w:val="Normal"/>
    <w:link w:val="FooterChar"/>
    <w:rsid w:val="00E13F3B"/>
    <w:pPr>
      <w:tabs>
        <w:tab w:val="center" w:pos="4680"/>
        <w:tab w:val="right" w:pos="9360"/>
      </w:tabs>
    </w:pPr>
  </w:style>
  <w:style w:type="character" w:customStyle="1" w:styleId="FooterChar">
    <w:name w:val="Footer Char"/>
    <w:basedOn w:val="DefaultParagraphFont"/>
    <w:link w:val="Footer"/>
    <w:rsid w:val="00E13F3B"/>
    <w:rPr>
      <w:rFonts w:ascii="Times New Roman" w:eastAsia="SimSun" w:hAnsi="Times New Roman" w:cs="Times New Roman"/>
      <w:kern w:val="0"/>
      <w:sz w:val="20"/>
      <w:szCs w:val="20"/>
      <w14:ligatures w14:val="none"/>
    </w:rPr>
  </w:style>
  <w:style w:type="character" w:styleId="Hyperlink">
    <w:name w:val="Hyperlink"/>
    <w:basedOn w:val="DefaultParagraphFont"/>
    <w:uiPriority w:val="99"/>
    <w:unhideWhenUsed/>
    <w:rsid w:val="00E13F3B"/>
    <w:rPr>
      <w:color w:val="0563C1" w:themeColor="hyperlink"/>
      <w:u w:val="single"/>
    </w:rPr>
  </w:style>
  <w:style w:type="table" w:styleId="TableGrid">
    <w:name w:val="Table Grid"/>
    <w:basedOn w:val="TableNormal"/>
    <w:uiPriority w:val="39"/>
    <w:rsid w:val="00E13F3B"/>
    <w:pPr>
      <w:spacing w:after="0" w:line="240" w:lineRule="auto"/>
    </w:pPr>
    <w:rPr>
      <w:rFonts w:ascii="Arial" w:eastAsia="Arial" w:hAnsi="Arial" w:cs="Arial"/>
      <w:kern w:val="0"/>
      <w:sz w:val="22"/>
      <w:szCs w:val="22"/>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13F3B"/>
    <w:pPr>
      <w:spacing w:before="100" w:beforeAutospacing="1" w:after="100" w:afterAutospacing="1"/>
      <w:jc w:val="left"/>
    </w:pPr>
    <w:rPr>
      <w:rFonts w:eastAsia="Times New Roman"/>
      <w:sz w:val="24"/>
      <w:szCs w:val="24"/>
    </w:rPr>
  </w:style>
  <w:style w:type="paragraph" w:styleId="Caption">
    <w:name w:val="caption"/>
    <w:basedOn w:val="Normal"/>
    <w:next w:val="Normal"/>
    <w:uiPriority w:val="35"/>
    <w:unhideWhenUsed/>
    <w:qFormat/>
    <w:rsid w:val="00E13F3B"/>
    <w:pPr>
      <w:spacing w:after="200"/>
      <w:jc w:val="left"/>
    </w:pPr>
    <w:rPr>
      <w:rFonts w:ascii="Arial" w:eastAsia="Arial" w:hAnsi="Arial" w:cs="Arial"/>
      <w:i/>
      <w:iCs/>
      <w:color w:val="44546A" w:themeColor="text2"/>
      <w:sz w:val="18"/>
      <w:szCs w:val="1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21203/rs.3.rs-3037289/v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16/j.cyber.2019.01.00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s://doi.org/10.1016/j.chb.2018.11.039" TargetMode="External"/><Relationship Id="rId5" Type="http://schemas.openxmlformats.org/officeDocument/2006/relationships/footer" Target="footer1.xml"/><Relationship Id="rId15" Type="http://schemas.openxmlformats.org/officeDocument/2006/relationships/hyperlink" Target="https://doi.org/10.59992/ijlrs.2024.v3n5p2" TargetMode="External"/><Relationship Id="rId10" Type="http://schemas.openxmlformats.org/officeDocument/2006/relationships/hyperlink" Target="https://doi.org/10.34104/ajeit.023.015025" TargetMode="External"/><Relationship Id="rId4" Type="http://schemas.openxmlformats.org/officeDocument/2006/relationships/webSettings" Target="webSettings.xml"/><Relationship Id="rId9" Type="http://schemas.openxmlformats.org/officeDocument/2006/relationships/hyperlink" Target="https://doi.org/10.1016/j.accinf.2020.100467" TargetMode="External"/><Relationship Id="rId14" Type="http://schemas.openxmlformats.org/officeDocument/2006/relationships/hyperlink" Target="https://doi.org/10.55214/25768484.v8i4.1583"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7"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Sheet1!$C$1</c:f>
              <c:strCache>
                <c:ptCount val="1"/>
                <c:pt idx="0">
                  <c:v>Frequency</c:v>
                </c:pt>
              </c:strCache>
            </c:strRef>
          </c:tx>
          <c:spPr>
            <a:solidFill>
              <a:schemeClr val="accent1"/>
            </a:solidFill>
            <a:ln>
              <a:noFill/>
            </a:ln>
            <a:effectLst/>
            <a:sp3d/>
          </c:spPr>
          <c:invertIfNegative val="0"/>
          <c:cat>
            <c:multiLvlStrRef>
              <c:f>Sheet1!$A$2:$B$4</c:f>
              <c:multiLvlStrCache>
                <c:ptCount val="3"/>
                <c:lvl>
                  <c:pt idx="0">
                    <c:v>Low</c:v>
                  </c:pt>
                  <c:pt idx="1">
                    <c:v>Medium</c:v>
                  </c:pt>
                  <c:pt idx="2">
                    <c:v>High</c:v>
                  </c:pt>
                </c:lvl>
                <c:lvl>
                  <c:pt idx="0">
                    <c:v>Awareness of cybercrime law</c:v>
                  </c:pt>
                </c:lvl>
              </c:multiLvlStrCache>
            </c:multiLvlStrRef>
          </c:cat>
          <c:val>
            <c:numRef>
              <c:f>Sheet1!$C$2:$C$4</c:f>
              <c:numCache>
                <c:formatCode>General</c:formatCode>
                <c:ptCount val="3"/>
                <c:pt idx="0">
                  <c:v>153</c:v>
                </c:pt>
                <c:pt idx="1">
                  <c:v>205</c:v>
                </c:pt>
                <c:pt idx="2">
                  <c:v>14</c:v>
                </c:pt>
              </c:numCache>
            </c:numRef>
          </c:val>
          <c:extLst>
            <c:ext xmlns:c16="http://schemas.microsoft.com/office/drawing/2014/chart" uri="{C3380CC4-5D6E-409C-BE32-E72D297353CC}">
              <c16:uniqueId val="{00000000-03C8-4D3C-BD4A-C2422ADDA65D}"/>
            </c:ext>
          </c:extLst>
        </c:ser>
        <c:ser>
          <c:idx val="1"/>
          <c:order val="1"/>
          <c:tx>
            <c:strRef>
              <c:f>Sheet1!$D$1</c:f>
              <c:strCache>
                <c:ptCount val="1"/>
                <c:pt idx="0">
                  <c:v>Percent</c:v>
                </c:pt>
              </c:strCache>
            </c:strRef>
          </c:tx>
          <c:spPr>
            <a:solidFill>
              <a:schemeClr val="accent2"/>
            </a:solidFill>
            <a:ln>
              <a:noFill/>
            </a:ln>
            <a:effectLst/>
            <a:sp3d/>
          </c:spPr>
          <c:invertIfNegative val="0"/>
          <c:cat>
            <c:multiLvlStrRef>
              <c:f>Sheet1!$A$2:$B$4</c:f>
              <c:multiLvlStrCache>
                <c:ptCount val="3"/>
                <c:lvl>
                  <c:pt idx="0">
                    <c:v>Low</c:v>
                  </c:pt>
                  <c:pt idx="1">
                    <c:v>Medium</c:v>
                  </c:pt>
                  <c:pt idx="2">
                    <c:v>High</c:v>
                  </c:pt>
                </c:lvl>
                <c:lvl>
                  <c:pt idx="0">
                    <c:v>Awareness of cybercrime law</c:v>
                  </c:pt>
                </c:lvl>
              </c:multiLvlStrCache>
            </c:multiLvlStrRef>
          </c:cat>
          <c:val>
            <c:numRef>
              <c:f>Sheet1!$D$2:$D$4</c:f>
              <c:numCache>
                <c:formatCode>General</c:formatCode>
                <c:ptCount val="3"/>
                <c:pt idx="0">
                  <c:v>41.1</c:v>
                </c:pt>
                <c:pt idx="1">
                  <c:v>55.1</c:v>
                </c:pt>
                <c:pt idx="2">
                  <c:v>3.8</c:v>
                </c:pt>
              </c:numCache>
            </c:numRef>
          </c:val>
          <c:extLst>
            <c:ext xmlns:c16="http://schemas.microsoft.com/office/drawing/2014/chart" uri="{C3380CC4-5D6E-409C-BE32-E72D297353CC}">
              <c16:uniqueId val="{00000001-03C8-4D3C-BD4A-C2422ADDA65D}"/>
            </c:ext>
          </c:extLst>
        </c:ser>
        <c:dLbls>
          <c:showLegendKey val="0"/>
          <c:showVal val="0"/>
          <c:showCatName val="0"/>
          <c:showSerName val="0"/>
          <c:showPercent val="0"/>
          <c:showBubbleSize val="0"/>
        </c:dLbls>
        <c:gapWidth val="150"/>
        <c:shape val="box"/>
        <c:axId val="1016694592"/>
        <c:axId val="1016693152"/>
        <c:axId val="0"/>
      </c:bar3DChart>
      <c:catAx>
        <c:axId val="10166945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6693152"/>
        <c:crosses val="autoZero"/>
        <c:auto val="1"/>
        <c:lblAlgn val="ctr"/>
        <c:lblOffset val="100"/>
        <c:noMultiLvlLbl val="0"/>
      </c:catAx>
      <c:valAx>
        <c:axId val="10166931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6694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Online</a:t>
            </a:r>
            <a:r>
              <a:rPr lang="en-US" baseline="0"/>
              <a:t>  Misconduct of Respondent</a:t>
            </a:r>
            <a:endParaRPr lang="en-US"/>
          </a:p>
        </c:rich>
      </c:tx>
      <c:layout>
        <c:manualLayout>
          <c:xMode val="edge"/>
          <c:yMode val="edge"/>
          <c:x val="0.19939884918231374"/>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Sheet1!$C$1</c:f>
              <c:strCache>
                <c:ptCount val="1"/>
                <c:pt idx="0">
                  <c:v>Frequency</c:v>
                </c:pt>
              </c:strCache>
            </c:strRef>
          </c:tx>
          <c:spPr>
            <a:solidFill>
              <a:schemeClr val="accent1"/>
            </a:solidFill>
            <a:ln>
              <a:noFill/>
            </a:ln>
            <a:effectLst/>
            <a:sp3d/>
          </c:spPr>
          <c:invertIfNegative val="0"/>
          <c:cat>
            <c:multiLvlStrRef>
              <c:f>Sheet1!$A$2:$B$7</c:f>
              <c:multiLvlStrCache>
                <c:ptCount val="6"/>
                <c:lvl>
                  <c:pt idx="0">
                    <c:v>Yes</c:v>
                  </c:pt>
                  <c:pt idx="1">
                    <c:v>No</c:v>
                  </c:pt>
                  <c:pt idx="2">
                    <c:v>Yes</c:v>
                  </c:pt>
                  <c:pt idx="3">
                    <c:v>No</c:v>
                  </c:pt>
                  <c:pt idx="4">
                    <c:v>Yes</c:v>
                  </c:pt>
                  <c:pt idx="5">
                    <c:v>No</c:v>
                  </c:pt>
                </c:lvl>
                <c:lvl>
                  <c:pt idx="0">
                    <c:v>Created a fake online account to spy or manipulate others</c:v>
                  </c:pt>
                  <c:pt idx="2">
                    <c:v>Spread false information online to harm someone’s reputation</c:v>
                  </c:pt>
                  <c:pt idx="4">
                    <c:v>Attempted to hack a website for fun or learning</c:v>
                  </c:pt>
                </c:lvl>
              </c:multiLvlStrCache>
            </c:multiLvlStrRef>
          </c:cat>
          <c:val>
            <c:numRef>
              <c:f>Sheet1!$C$2:$C$7</c:f>
              <c:numCache>
                <c:formatCode>General</c:formatCode>
                <c:ptCount val="6"/>
                <c:pt idx="0">
                  <c:v>100</c:v>
                </c:pt>
                <c:pt idx="1">
                  <c:v>272</c:v>
                </c:pt>
                <c:pt idx="2">
                  <c:v>58</c:v>
                </c:pt>
                <c:pt idx="3">
                  <c:v>314</c:v>
                </c:pt>
                <c:pt idx="4">
                  <c:v>93</c:v>
                </c:pt>
                <c:pt idx="5">
                  <c:v>279</c:v>
                </c:pt>
              </c:numCache>
            </c:numRef>
          </c:val>
          <c:extLst>
            <c:ext xmlns:c16="http://schemas.microsoft.com/office/drawing/2014/chart" uri="{C3380CC4-5D6E-409C-BE32-E72D297353CC}">
              <c16:uniqueId val="{00000000-8E80-4D70-B337-3C5EAAFC6FD9}"/>
            </c:ext>
          </c:extLst>
        </c:ser>
        <c:ser>
          <c:idx val="1"/>
          <c:order val="1"/>
          <c:tx>
            <c:strRef>
              <c:f>Sheet1!$D$1</c:f>
              <c:strCache>
                <c:ptCount val="1"/>
                <c:pt idx="0">
                  <c:v>Percent</c:v>
                </c:pt>
              </c:strCache>
            </c:strRef>
          </c:tx>
          <c:spPr>
            <a:solidFill>
              <a:schemeClr val="accent2"/>
            </a:solidFill>
            <a:ln>
              <a:noFill/>
            </a:ln>
            <a:effectLst/>
            <a:sp3d/>
          </c:spPr>
          <c:invertIfNegative val="0"/>
          <c:cat>
            <c:multiLvlStrRef>
              <c:f>Sheet1!$A$2:$B$7</c:f>
              <c:multiLvlStrCache>
                <c:ptCount val="6"/>
                <c:lvl>
                  <c:pt idx="0">
                    <c:v>Yes</c:v>
                  </c:pt>
                  <c:pt idx="1">
                    <c:v>No</c:v>
                  </c:pt>
                  <c:pt idx="2">
                    <c:v>Yes</c:v>
                  </c:pt>
                  <c:pt idx="3">
                    <c:v>No</c:v>
                  </c:pt>
                  <c:pt idx="4">
                    <c:v>Yes</c:v>
                  </c:pt>
                  <c:pt idx="5">
                    <c:v>No</c:v>
                  </c:pt>
                </c:lvl>
                <c:lvl>
                  <c:pt idx="0">
                    <c:v>Created a fake online account to spy or manipulate others</c:v>
                  </c:pt>
                  <c:pt idx="2">
                    <c:v>Spread false information online to harm someone’s reputation</c:v>
                  </c:pt>
                  <c:pt idx="4">
                    <c:v>Attempted to hack a website for fun or learning</c:v>
                  </c:pt>
                </c:lvl>
              </c:multiLvlStrCache>
            </c:multiLvlStrRef>
          </c:cat>
          <c:val>
            <c:numRef>
              <c:f>Sheet1!$D$2:$D$7</c:f>
              <c:numCache>
                <c:formatCode>General</c:formatCode>
                <c:ptCount val="6"/>
                <c:pt idx="0">
                  <c:v>26.9</c:v>
                </c:pt>
                <c:pt idx="1">
                  <c:v>73.099999999999994</c:v>
                </c:pt>
                <c:pt idx="2">
                  <c:v>15.6</c:v>
                </c:pt>
                <c:pt idx="3">
                  <c:v>84.4</c:v>
                </c:pt>
                <c:pt idx="4">
                  <c:v>25</c:v>
                </c:pt>
                <c:pt idx="5">
                  <c:v>75</c:v>
                </c:pt>
              </c:numCache>
            </c:numRef>
          </c:val>
          <c:extLst>
            <c:ext xmlns:c16="http://schemas.microsoft.com/office/drawing/2014/chart" uri="{C3380CC4-5D6E-409C-BE32-E72D297353CC}">
              <c16:uniqueId val="{00000001-8E80-4D70-B337-3C5EAAFC6FD9}"/>
            </c:ext>
          </c:extLst>
        </c:ser>
        <c:dLbls>
          <c:showLegendKey val="0"/>
          <c:showVal val="0"/>
          <c:showCatName val="0"/>
          <c:showSerName val="0"/>
          <c:showPercent val="0"/>
          <c:showBubbleSize val="0"/>
        </c:dLbls>
        <c:gapWidth val="150"/>
        <c:shape val="box"/>
        <c:axId val="19845727"/>
        <c:axId val="19843807"/>
        <c:axId val="0"/>
      </c:bar3DChart>
      <c:catAx>
        <c:axId val="1984572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43807"/>
        <c:crosses val="autoZero"/>
        <c:auto val="1"/>
        <c:lblAlgn val="ctr"/>
        <c:lblOffset val="100"/>
        <c:noMultiLvlLbl val="0"/>
      </c:catAx>
      <c:valAx>
        <c:axId val="198438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457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3391</Words>
  <Characters>19332</Characters>
  <Application>Microsoft Office Word</Application>
  <DocSecurity>0</DocSecurity>
  <Lines>161</Lines>
  <Paragraphs>45</Paragraphs>
  <ScaleCrop>false</ScaleCrop>
  <Company/>
  <LinksUpToDate>false</LinksUpToDate>
  <CharactersWithSpaces>22678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2026-06-24T04:14:00Z</dcterms:created>
  <dcterms:modified xsi:type="dcterms:W3CDTF">2026-06-24T04:14:00Z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8e07b827-76e7-43f6-8426-eff5d669615e</vt:lpwstr>
  </property>
</Properties>
</file>