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0B98" w14:textId="77777777" w:rsidR="00C972E2" w:rsidRPr="00CE4BA0" w:rsidRDefault="00C972E2"/>
    <w:p w14:paraId="0FCFA2FC" w14:textId="77777777" w:rsidR="00C972E2" w:rsidRPr="00CE4BA0" w:rsidRDefault="00C972E2"/>
    <w:p w14:paraId="0BEF6D64" w14:textId="3C48FC89" w:rsidR="00C972E2" w:rsidRPr="00CE4BA0" w:rsidRDefault="00396ACE">
      <w:pPr>
        <w:spacing w:after="240" w:line="480" w:lineRule="auto"/>
        <w:jc w:val="center"/>
      </w:pPr>
      <w:r w:rsidRPr="00396ACE">
        <w:rPr>
          <w:b/>
          <w:bCs/>
        </w:rPr>
        <w:t>Query Topic, Technology Acceptance, and Session Drop-Off: A Socio-Technical Analysis of a Conversational Virtual Reference Assistant in a Nigerian University Library</w:t>
      </w:r>
    </w:p>
    <w:p w14:paraId="7B444BCC" w14:textId="7103D924" w:rsidR="00C972E2" w:rsidRPr="00CE4BA0" w:rsidRDefault="00387A7E">
      <w:pPr>
        <w:spacing w:line="480" w:lineRule="auto"/>
        <w:jc w:val="center"/>
      </w:pPr>
      <w:proofErr w:type="spellStart"/>
      <w:r w:rsidRPr="00387A7E">
        <w:t/>
      </w:r>
      <w:proofErr w:type="spellEnd"/>
      <w:r w:rsidRPr="00387A7E">
        <w:t xml:space="preserve"/>
      </w:r>
      <w:r w:rsidR="00000000" w:rsidRPr="00CE4BA0">
        <w:t/>
      </w:r>
    </w:p>
    <w:p w14:paraId="061CD357" w14:textId="54F3DEBC" w:rsidR="00C972E2" w:rsidRPr="00CE4BA0" w:rsidRDefault="00000000">
      <w:pPr>
        <w:spacing w:line="480" w:lineRule="auto"/>
        <w:jc w:val="center"/>
      </w:pPr>
      <w:r w:rsidRPr="00CE4BA0">
        <w:rPr>
          <w:i/>
          <w:iCs/>
        </w:rPr>
        <w:t/>
      </w:r>
      <w:r w:rsidR="00C02A3A" w:rsidRPr="00CE4BA0">
        <w:rPr>
          <w:i/>
          <w:iCs/>
        </w:rPr>
        <w:t xml:space="preserve"/>
      </w:r>
      <w:r w:rsidR="00A365D9" w:rsidRPr="00A365D9">
        <w:rPr>
          <w:i/>
          <w:iCs/>
        </w:rPr>
        <w:t xml:space="preserve"/>
      </w:r>
      <w:proofErr w:type="spellStart"/>
      <w:r w:rsidR="00A365D9" w:rsidRPr="00A365D9">
        <w:rPr>
          <w:i/>
          <w:iCs/>
        </w:rPr>
        <w:t/>
      </w:r>
      <w:proofErr w:type="spellEnd"/>
      <w:r w:rsidR="00A365D9" w:rsidRPr="00A365D9">
        <w:rPr>
          <w:i/>
          <w:iCs/>
        </w:rPr>
        <w:t xml:space="preserve"/>
      </w:r>
    </w:p>
    <w:p w14:paraId="5649440F" w14:textId="77777777" w:rsidR="00387A7E" w:rsidRPr="00A365D9" w:rsidRDefault="00387A7E" w:rsidP="00387A7E">
      <w:pPr>
        <w:spacing w:line="480" w:lineRule="auto"/>
        <w:jc w:val="center"/>
        <w:rPr>
          <w:sz w:val="8"/>
          <w:szCs w:val="8"/>
        </w:rPr>
      </w:pPr>
    </w:p>
    <w:p w14:paraId="2C6EC462" w14:textId="55AC83CD" w:rsidR="00387A7E" w:rsidRPr="00387A7E" w:rsidRDefault="00387A7E" w:rsidP="00387A7E">
      <w:pPr>
        <w:spacing w:line="480" w:lineRule="auto"/>
        <w:jc w:val="center"/>
        <w:rPr>
          <w:vertAlign w:val="superscript"/>
        </w:rPr>
      </w:pPr>
      <w:r>
        <w:t/>
      </w:r>
      <w:r w:rsidRPr="00387A7E">
        <w:rPr>
          <w:vertAlign w:val="superscript"/>
        </w:rPr>
        <w:t/>
      </w:r>
    </w:p>
    <w:p w14:paraId="3070B9EC" w14:textId="4D1ADED3" w:rsidR="00387A7E" w:rsidRPr="00CE4BA0" w:rsidRDefault="00387A7E" w:rsidP="00387A7E">
      <w:pPr>
        <w:spacing w:line="480" w:lineRule="auto"/>
        <w:jc w:val="center"/>
      </w:pPr>
      <w:r w:rsidRPr="00387A7E">
        <w:rPr>
          <w:i/>
          <w:iCs/>
          <w:vertAlign w:val="superscript"/>
        </w:rPr>
        <w:t/>
      </w:r>
      <w:r w:rsidRPr="00CE4BA0">
        <w:rPr>
          <w:i/>
          <w:iCs/>
        </w:rPr>
        <w:t xml:space="preserve"/>
      </w:r>
      <w:r>
        <w:rPr>
          <w:i/>
          <w:iCs/>
        </w:rPr>
        <w:t/>
      </w:r>
      <w:r w:rsidRPr="00CE4BA0">
        <w:rPr>
          <w:i/>
          <w:iCs/>
        </w:rPr>
        <w:t xml:space="preserve"/>
      </w:r>
      <w:r>
        <w:rPr>
          <w:i/>
          <w:iCs/>
        </w:rPr>
        <w:t/>
      </w:r>
      <w:r w:rsidRPr="00CE4BA0">
        <w:rPr>
          <w:i/>
          <w:iCs/>
        </w:rPr>
        <w:t/>
      </w:r>
      <w:r>
        <w:rPr>
          <w:i/>
          <w:iCs/>
        </w:rPr>
        <w:t xml:space="preserve"/>
      </w:r>
      <w:proofErr w:type="spellStart"/>
      <w:r>
        <w:rPr>
          <w:i/>
          <w:iCs/>
        </w:rPr>
        <w:t/>
      </w:r>
      <w:proofErr w:type="spellEnd"/>
      <w:r>
        <w:rPr>
          <w:i/>
          <w:iCs/>
        </w:rPr>
        <w:t xml:space="preserve"/>
      </w:r>
      <w:r w:rsidRPr="00CE4BA0">
        <w:rPr>
          <w:i/>
          <w:iCs/>
        </w:rPr>
        <w:t/>
      </w:r>
    </w:p>
    <w:p w14:paraId="16159973" w14:textId="77777777" w:rsidR="00387A7E" w:rsidRPr="00387A7E" w:rsidRDefault="00387A7E" w:rsidP="00387A7E">
      <w:pPr>
        <w:spacing w:line="480" w:lineRule="auto"/>
        <w:jc w:val="center"/>
        <w:rPr>
          <w:sz w:val="8"/>
          <w:szCs w:val="8"/>
        </w:rPr>
      </w:pPr>
    </w:p>
    <w:p w14:paraId="6F994FCC" w14:textId="14D6CD85" w:rsidR="00387A7E" w:rsidRPr="00CE4BA0" w:rsidRDefault="00387A7E" w:rsidP="00387A7E">
      <w:pPr>
        <w:spacing w:line="480" w:lineRule="auto"/>
        <w:jc w:val="center"/>
      </w:pPr>
      <w:r w:rsidRPr="00387A7E">
        <w:t xml:space="preserve"/>
      </w:r>
      <w:proofErr w:type="spellStart"/>
      <w:r w:rsidRPr="00387A7E">
        <w:t/>
      </w:r>
      <w:proofErr w:type="spellEnd"/>
      <w:r w:rsidR="001803DB">
        <w:t xml:space="preserve"/>
      </w:r>
      <w:r w:rsidR="001803DB" w:rsidRPr="00387A7E">
        <w:rPr>
          <w:i/>
          <w:iCs/>
        </w:rPr>
        <w:t/>
      </w:r>
      <w:r w:rsidR="001803DB" w:rsidRPr="00387A7E">
        <w:rPr>
          <w:vertAlign w:val="superscript"/>
        </w:rPr>
        <w:t xml:space="preserve"/>
      </w:r>
      <w:r w:rsidRPr="00387A7E">
        <w:rPr>
          <w:vertAlign w:val="superscript"/>
        </w:rPr>
        <w:t/>
      </w:r>
    </w:p>
    <w:p w14:paraId="679746BC" w14:textId="170391C1" w:rsidR="00387A7E" w:rsidRPr="00387A7E" w:rsidRDefault="00387A7E" w:rsidP="00387A7E">
      <w:pPr>
        <w:spacing w:line="480" w:lineRule="auto"/>
        <w:jc w:val="center"/>
        <w:rPr>
          <w:i/>
          <w:iCs/>
        </w:rPr>
      </w:pPr>
      <w:r w:rsidRPr="00387A7E">
        <w:rPr>
          <w:i/>
          <w:iCs/>
          <w:vertAlign w:val="superscript"/>
        </w:rPr>
        <w:t/>
      </w:r>
      <w:r w:rsidRPr="00CE4BA0">
        <w:rPr>
          <w:i/>
          <w:iCs/>
        </w:rPr>
        <w:t xml:space="preserve"/>
      </w:r>
      <w:r w:rsidRPr="00387A7E">
        <w:rPr>
          <w:i/>
          <w:iCs/>
        </w:rPr>
        <w:t/>
      </w:r>
      <w:r>
        <w:rPr>
          <w:i/>
          <w:iCs/>
        </w:rPr>
        <w:t xml:space="preserve"/>
      </w:r>
      <w:r w:rsidRPr="00387A7E">
        <w:rPr>
          <w:i/>
          <w:iCs/>
        </w:rPr>
        <w:t/>
      </w:r>
      <w:r>
        <w:rPr>
          <w:i/>
          <w:iCs/>
        </w:rPr>
        <w:t xml:space="preserve"/>
      </w:r>
      <w:r w:rsidRPr="00387A7E">
        <w:rPr>
          <w:i/>
          <w:iCs/>
        </w:rPr>
        <w:t/>
      </w:r>
      <w:r>
        <w:rPr>
          <w:i/>
          <w:iCs/>
        </w:rPr>
        <w:t xml:space="preserve"/>
      </w:r>
      <w:r w:rsidRPr="00387A7E">
        <w:rPr>
          <w:i/>
          <w:iCs/>
        </w:rPr>
        <w:t/>
      </w:r>
      <w:r>
        <w:rPr>
          <w:i/>
          <w:iCs/>
        </w:rPr>
        <w:t xml:space="preserve"/>
      </w:r>
      <w:r w:rsidRPr="00387A7E">
        <w:rPr>
          <w:i/>
          <w:iCs/>
        </w:rPr>
        <w:t/>
      </w:r>
    </w:p>
    <w:p w14:paraId="6382CFE7" w14:textId="77777777" w:rsidR="00387A7E" w:rsidRDefault="00387A7E">
      <w:pPr>
        <w:spacing w:before="240" w:line="480" w:lineRule="auto"/>
      </w:pPr>
    </w:p>
    <w:p w14:paraId="0FED2511" w14:textId="77777777" w:rsidR="001803DB" w:rsidRDefault="00000000">
      <w:pPr>
        <w:spacing w:before="240" w:line="480" w:lineRule="auto"/>
      </w:pPr>
      <w:r w:rsidRPr="00CE4BA0">
        <w:t xml:space="preserve"/>
      </w:r>
      <w:r w:rsidR="001803DB">
        <w:t/>
      </w:r>
      <w:r w:rsidRPr="00CE4BA0">
        <w:t xml:space="preserve"/>
      </w:r>
      <w:r w:rsidR="001803DB" w:rsidRPr="001803DB">
        <w:rPr>
          <w:i/>
          <w:iCs/>
        </w:rPr>
        <w:t xml:space="preserve"/>
      </w:r>
      <w:proofErr w:type="spellStart"/>
      <w:r w:rsidR="001803DB" w:rsidRPr="001803DB">
        <w:rPr>
          <w:i/>
          <w:iCs/>
        </w:rPr>
        <w:t/>
      </w:r>
      <w:proofErr w:type="spellEnd"/>
      <w:r w:rsidR="001803DB" w:rsidRPr="001803DB">
        <w:rPr>
          <w:i/>
          <w:iCs/>
        </w:rPr>
        <w:t xml:space="preserve"/>
      </w:r>
      <w:r w:rsidRPr="00CE4BA0">
        <w:t/>
      </w:r>
    </w:p>
    <w:p w14:paraId="3941430B" w14:textId="7387B58B" w:rsidR="00C972E2" w:rsidRPr="00CE4BA0" w:rsidRDefault="00000000" w:rsidP="001803DB">
      <w:pPr>
        <w:spacing w:line="480" w:lineRule="auto"/>
      </w:pPr>
      <w:r w:rsidRPr="00CE4BA0">
        <w:t/>
      </w:r>
      <w:r w:rsidR="00C02A3A" w:rsidRPr="00CE4BA0">
        <w:t xml:space="preserve"/>
      </w:r>
      <w:r w:rsidR="001803DB">
        <w:t/>
      </w:r>
      <w:r w:rsidR="00C02A3A" w:rsidRPr="00CE4BA0">
        <w:t/>
      </w:r>
      <w:r w:rsidR="001803DB">
        <w:t/>
      </w:r>
      <w:r w:rsidRPr="00CE4BA0">
        <w:t/>
      </w:r>
      <w:r w:rsidR="00C02A3A" w:rsidRPr="00CE4BA0">
        <w:t/>
      </w:r>
      <w:r w:rsidRPr="00CE4BA0">
        <w:t/>
      </w:r>
    </w:p>
    <w:p w14:paraId="17B5C65B" w14:textId="77777777" w:rsidR="00C972E2" w:rsidRPr="00CE4BA0" w:rsidRDefault="00000000">
      <w:r w:rsidRPr="00CE4BA0">
        <w:br w:type="page"/>
      </w:r>
    </w:p>
    <w:p w14:paraId="33873DDE" w14:textId="77777777" w:rsidR="00C972E2" w:rsidRPr="00CE4BA0" w:rsidRDefault="00000000">
      <w:pPr>
        <w:pStyle w:val="Heading1"/>
        <w:spacing w:before="0" w:after="0"/>
      </w:pPr>
      <w:r w:rsidRPr="00CE4BA0">
        <w:lastRenderedPageBreak/>
        <w:t>Abstract</w:t>
      </w:r>
    </w:p>
    <w:p w14:paraId="25986FE6" w14:textId="77777777" w:rsidR="00AA33C0" w:rsidRPr="00CE4BA0" w:rsidRDefault="00AA33C0" w:rsidP="00AA33C0">
      <w:pPr>
        <w:spacing w:before="240" w:line="480" w:lineRule="auto"/>
        <w:jc w:val="both"/>
      </w:pPr>
      <w:r w:rsidRPr="00CE4BA0">
        <w:t xml:space="preserve">Academic libraries increasingly deploy conversational artificial intelligence (AI) as natural language virtual reference assistants, yet the behavioural traces these systems generate are rarely mined to anticipate when and why student research effort breaks down. Anchored in socio-technical systems (STS) theory and the Unified Theory of Acceptance and Use of Technology (UTAUT), this study examined student research engagement using the linked conversational logs of a virtual reference assistant and a structured technology acceptance survey administered in a Nigerian university library. A concurrent mixed-source design combined descriptive analysis of six pre-classified query topics, Kaplan–Meier and Cox proportional hazards survival analysis of session drop-off (N = 3,612 sessions), binary logistic regression of retrieval success, and hierarchical multiple regression of behavioural engagement on UTAUT constructs with a total-enumeration census (N = 147) of registered student users. Technical-friction topics, particularly remote-access troubleshooting, predicted the fastest research drop-off (Cox HR = 3.99, p &lt; .001) and the lowest probability of retrieval success, but neither facilitating conditions nor research self-efficacy showed a statistically significant protective association with the drop-off hazard once topic was accounted for. Logistic regression classified retrieval success with 72.4% accuracy (AUC = .74, Nagelkerke R² = .21), and UTAUT constructs explained 48.2% of the variance in behavioural engagement, with performance expectancy, facilitating conditions, and research self-efficacy emerging as significant predictors; effort expectancy and social influence were not significant. The findings indicate that query-topic membership, rather than the social subsystem variables measured here, is the dominant driver of when a session is abandoned, while the social subsystem instead shapes the perceptual outcomes of engagement and the session-level probability of success. The study offers a portable analytic pipeline grounded in transparent, re-runnable </w:t>
      </w:r>
      <w:r w:rsidRPr="00CE4BA0">
        <w:lastRenderedPageBreak/>
        <w:t>statistics for converting reference assistant logs into an early warning instrument for academic libraries, and it discusses why the technical and social signals diverge across outcomes.</w:t>
      </w:r>
    </w:p>
    <w:p w14:paraId="64098825" w14:textId="77777777" w:rsidR="00AA33C0" w:rsidRPr="00CE4BA0" w:rsidRDefault="00AA33C0" w:rsidP="00AA33C0">
      <w:pPr>
        <w:spacing w:before="240" w:line="480" w:lineRule="auto"/>
        <w:jc w:val="both"/>
      </w:pPr>
      <w:r w:rsidRPr="00CE4BA0">
        <w:rPr>
          <w:b/>
          <w:bCs/>
        </w:rPr>
        <w:t>Keywords:</w:t>
      </w:r>
      <w:r w:rsidRPr="00CE4BA0">
        <w:t xml:space="preserve"> conversational AI, virtual reference services, query topic analysis, survival analysis, UTAUT, socio-technical systems, learning analytics, academic libraries.</w:t>
      </w:r>
    </w:p>
    <w:p w14:paraId="215EB12C" w14:textId="0868552E" w:rsidR="00C972E2" w:rsidRPr="00CE4BA0" w:rsidRDefault="00C972E2" w:rsidP="00AA33C0">
      <w:pPr>
        <w:spacing w:before="240" w:line="480" w:lineRule="auto"/>
        <w:jc w:val="both"/>
      </w:pPr>
    </w:p>
    <w:p w14:paraId="48BFB83B" w14:textId="77777777" w:rsidR="00C972E2" w:rsidRPr="00CE4BA0" w:rsidRDefault="00000000" w:rsidP="00AA33C0">
      <w:pPr>
        <w:jc w:val="both"/>
      </w:pPr>
      <w:r w:rsidRPr="00CE4BA0">
        <w:br w:type="page"/>
      </w:r>
    </w:p>
    <w:p w14:paraId="7870D90D" w14:textId="51827754" w:rsidR="00AA33C0" w:rsidRPr="00CE4BA0" w:rsidRDefault="00AA33C0" w:rsidP="00AA33C0">
      <w:pPr>
        <w:spacing w:line="480" w:lineRule="auto"/>
        <w:jc w:val="both"/>
        <w:rPr>
          <w:b/>
          <w:bCs/>
        </w:rPr>
      </w:pPr>
      <w:r w:rsidRPr="00CE4BA0">
        <w:rPr>
          <w:b/>
          <w:bCs/>
        </w:rPr>
        <w:lastRenderedPageBreak/>
        <w:t>1. Introduction</w:t>
      </w:r>
      <w:r w:rsidR="00502C33" w:rsidRPr="00CE4BA0">
        <w:rPr>
          <w:b/>
          <w:bCs/>
        </w:rPr>
        <w:t>/Background</w:t>
      </w:r>
    </w:p>
    <w:p w14:paraId="1A7BC12B" w14:textId="637AC8A9" w:rsidR="00C972E2" w:rsidRPr="00CE4BA0" w:rsidRDefault="00000000" w:rsidP="00AA33C0">
      <w:pPr>
        <w:spacing w:line="480" w:lineRule="auto"/>
        <w:jc w:val="both"/>
      </w:pPr>
      <w:r w:rsidRPr="00CE4BA0">
        <w:t xml:space="preserve">Academic libraries have moved decisively beyond their historical role as static custodians of print collections. Confronted by round-the-clock service expectations, constrained staffing, and a generation of researchers who expect immediate, conversational answers, libraries increasingly deploy intelligent chatbots and virtual reference assistants powered by natural-language processing (NLP; Andrews et al., 2021; </w:t>
      </w:r>
      <w:proofErr w:type="spellStart"/>
      <w:r w:rsidRPr="00CE4BA0">
        <w:t>Asemi</w:t>
      </w:r>
      <w:proofErr w:type="spellEnd"/>
      <w:r w:rsidRPr="00CE4BA0">
        <w:t xml:space="preserve"> et al., 2021). These systems answer routine reference and circulation questions, triage complex enquiries, and extend service hours at marginal cost (Cox et al., 2019). In doing so, they generate a continuous, fine-grained record of how students phrase their information needs, where retrieval succeeds, and at which point research effort is abandoned. This record is a largely untapped behavioural sensor.</w:t>
      </w:r>
    </w:p>
    <w:p w14:paraId="2F296E57" w14:textId="77777777" w:rsidR="00AA33C0" w:rsidRPr="00CE4BA0" w:rsidRDefault="00AA33C0" w:rsidP="00AA33C0">
      <w:pPr>
        <w:spacing w:line="480" w:lineRule="auto"/>
        <w:jc w:val="both"/>
      </w:pPr>
    </w:p>
    <w:p w14:paraId="18AE3BF5" w14:textId="24356326" w:rsidR="00C972E2" w:rsidRPr="00CE4BA0" w:rsidRDefault="00000000" w:rsidP="00AA33C0">
      <w:pPr>
        <w:spacing w:line="480" w:lineRule="auto"/>
        <w:jc w:val="both"/>
      </w:pPr>
      <w:r w:rsidRPr="00CE4BA0">
        <w:t>In developing-country contexts such as Nigeria, the case for harvesting this signal is acute. Adoption of AI in academic libraries remains uneven, constrained by infrastructure, funding, and staff competencies, even as student demand for digital research support grows rapidly (Ali et al., 2021). Where a virtual reference assistant has been deployed, its logs offer an unusually cost-effective lens on the research behaviour of large student cohorts that would otherwise be invisible to library management. Yet most institutions treat these logs as a transactional by-product rather than as a predictive asset, and the literature has likewise concentrated on chatbot design and user satisfaction rather than on the modelling of disengagement (</w:t>
      </w:r>
      <w:proofErr w:type="spellStart"/>
      <w:r w:rsidRPr="00CE4BA0">
        <w:t>Yallappa</w:t>
      </w:r>
      <w:proofErr w:type="spellEnd"/>
      <w:r w:rsidRPr="00CE4BA0">
        <w:t>, 2026).</w:t>
      </w:r>
    </w:p>
    <w:p w14:paraId="6F3ED55B" w14:textId="77777777" w:rsidR="00C972E2" w:rsidRPr="00CE4BA0" w:rsidRDefault="00000000" w:rsidP="00AA33C0">
      <w:pPr>
        <w:spacing w:line="480" w:lineRule="auto"/>
        <w:jc w:val="both"/>
      </w:pPr>
      <w:r w:rsidRPr="00CE4BA0">
        <w:t xml:space="preserve">The central problem this study addresses is the gap between independent student research struggles and proactive institutional intervention. When a student repeatedly reformulates a failing query and then disappears, the library currently has no mechanism to </w:t>
      </w:r>
      <w:proofErr w:type="spellStart"/>
      <w:r w:rsidRPr="00CE4BA0">
        <w:t>recognise</w:t>
      </w:r>
      <w:proofErr w:type="spellEnd"/>
      <w:r w:rsidRPr="00CE4BA0">
        <w:t xml:space="preserve"> the pattern, let alone act on it. A passive resource repository reacts only when a student chooses to seek help; a predictive </w:t>
      </w:r>
      <w:r w:rsidRPr="00CE4BA0">
        <w:lastRenderedPageBreak/>
        <w:t xml:space="preserve">instructional assistant anticipates the breakdown and reaches out first. Closing this gap requires two things the field has rarely combined: a rigorous statistical treatment of the behavioural trace, and an explicit account of how that technical behaviour relates to the human and </w:t>
      </w:r>
      <w:proofErr w:type="spellStart"/>
      <w:r w:rsidRPr="00CE4BA0">
        <w:t>organisational</w:t>
      </w:r>
      <w:proofErr w:type="spellEnd"/>
      <w:r w:rsidRPr="00CE4BA0">
        <w:t xml:space="preserve"> subsystem surrounding it.</w:t>
      </w:r>
    </w:p>
    <w:p w14:paraId="588BFC78" w14:textId="608F0E4F" w:rsidR="00C972E2" w:rsidRPr="00CE4BA0" w:rsidRDefault="00000000" w:rsidP="00AA33C0">
      <w:pPr>
        <w:spacing w:line="480" w:lineRule="auto"/>
        <w:jc w:val="both"/>
      </w:pPr>
      <w:r w:rsidRPr="00CE4BA0">
        <w:t>Accordingly, this study pursues a deliberately socio-technical objective. It applies survival analysis, logistic regression, and descriptive topic analysis to the conversational logs of a virtual reference assistant in a Nigerian university library, and it links those technical signals to a validated measurement of user perceptions drawn from UTAUT. The intent is not to describe the system in isolation but to examine how technical patterns in retrieval behaviour relate to human dimensions</w:t>
      </w:r>
      <w:r w:rsidR="00660F3B" w:rsidRPr="00CE4BA0">
        <w:t xml:space="preserve"> </w:t>
      </w:r>
      <w:r w:rsidRPr="00CE4BA0">
        <w:t>research self-efficacy, facilitating conditions, and the broader perceptual climate captured by the UTAUT instrument.</w:t>
      </w:r>
    </w:p>
    <w:p w14:paraId="0D615D8A" w14:textId="7D76E714" w:rsidR="00C972E2" w:rsidRPr="00CE4BA0" w:rsidRDefault="00AA33C0" w:rsidP="00AA33C0">
      <w:pPr>
        <w:pStyle w:val="Heading2"/>
        <w:spacing w:before="0" w:after="0"/>
        <w:jc w:val="both"/>
      </w:pPr>
      <w:r w:rsidRPr="00CE4BA0">
        <w:t>1.</w:t>
      </w:r>
      <w:r w:rsidR="00660F3B" w:rsidRPr="00CE4BA0">
        <w:t>1</w:t>
      </w:r>
      <w:r w:rsidRPr="00CE4BA0">
        <w:t xml:space="preserve"> </w:t>
      </w:r>
      <w:r w:rsidR="00000000" w:rsidRPr="00CE4BA0">
        <w:t>Research Questions</w:t>
      </w:r>
    </w:p>
    <w:p w14:paraId="6B4E37B8" w14:textId="77777777" w:rsidR="00C972E2" w:rsidRPr="00CE4BA0" w:rsidRDefault="00000000" w:rsidP="00AA33C0">
      <w:pPr>
        <w:spacing w:line="480" w:lineRule="auto"/>
        <w:jc w:val="both"/>
      </w:pPr>
      <w:r w:rsidRPr="00CE4BA0">
        <w:t>The study is guided by four research questions:</w:t>
      </w:r>
    </w:p>
    <w:p w14:paraId="32BC7DB6" w14:textId="77777777" w:rsidR="00C972E2" w:rsidRPr="00CE4BA0" w:rsidRDefault="00000000" w:rsidP="00AA33C0">
      <w:pPr>
        <w:spacing w:line="480" w:lineRule="auto"/>
        <w:jc w:val="both"/>
      </w:pPr>
      <w:r w:rsidRPr="00CE4BA0">
        <w:rPr>
          <w:b/>
          <w:bCs/>
        </w:rPr>
        <w:t xml:space="preserve">RQ1. </w:t>
      </w:r>
      <w:r w:rsidRPr="00CE4BA0">
        <w:t>What is the topical composition of queries submitted to a conversational virtual reference assistant, and how do technical-friction and substantive-need topics compare in prevalence?</w:t>
      </w:r>
    </w:p>
    <w:p w14:paraId="042F904E" w14:textId="77777777" w:rsidR="00C972E2" w:rsidRPr="00CE4BA0" w:rsidRDefault="00000000" w:rsidP="00AA33C0">
      <w:pPr>
        <w:spacing w:line="480" w:lineRule="auto"/>
        <w:jc w:val="both"/>
      </w:pPr>
      <w:r w:rsidRPr="00CE4BA0">
        <w:rPr>
          <w:b/>
          <w:bCs/>
        </w:rPr>
        <w:t xml:space="preserve">RQ2. </w:t>
      </w:r>
      <w:r w:rsidRPr="00CE4BA0">
        <w:t>How does the time-to-drop-off of a research session vary across query topics, and which behavioural and perceptual factors raise or lower the hazard of abandonment?</w:t>
      </w:r>
    </w:p>
    <w:p w14:paraId="2FBFA401" w14:textId="77777777" w:rsidR="00C972E2" w:rsidRPr="00CE4BA0" w:rsidRDefault="00000000" w:rsidP="00AA33C0">
      <w:pPr>
        <w:spacing w:line="480" w:lineRule="auto"/>
        <w:jc w:val="both"/>
      </w:pPr>
      <w:r w:rsidRPr="00CE4BA0">
        <w:rPr>
          <w:b/>
          <w:bCs/>
        </w:rPr>
        <w:t xml:space="preserve">RQ3. </w:t>
      </w:r>
      <w:r w:rsidRPr="00CE4BA0">
        <w:t>Which interaction-level and perceptual variables predict the probability of successful information retrieval within a session?</w:t>
      </w:r>
    </w:p>
    <w:p w14:paraId="66037F85" w14:textId="77777777" w:rsidR="00C972E2" w:rsidRPr="00CE4BA0" w:rsidRDefault="00000000" w:rsidP="00AA33C0">
      <w:pPr>
        <w:spacing w:line="480" w:lineRule="auto"/>
        <w:jc w:val="both"/>
      </w:pPr>
      <w:r w:rsidRPr="00CE4BA0">
        <w:rPr>
          <w:b/>
          <w:bCs/>
        </w:rPr>
        <w:t xml:space="preserve">RQ4. </w:t>
      </w:r>
      <w:r w:rsidRPr="00CE4BA0">
        <w:t>To what extent do UTAUT constructs explain students’ behavioural engagement with the assistant, and how do the social and technical subsystems jointly account for engagement?</w:t>
      </w:r>
    </w:p>
    <w:p w14:paraId="35A5BC58" w14:textId="77777777" w:rsidR="00660F3B" w:rsidRPr="00CE4BA0" w:rsidRDefault="00660F3B">
      <w:pPr>
        <w:rPr>
          <w:b/>
          <w:bCs/>
        </w:rPr>
      </w:pPr>
      <w:r w:rsidRPr="00CE4BA0">
        <w:br w:type="page"/>
      </w:r>
    </w:p>
    <w:p w14:paraId="7AF72DD1" w14:textId="20B75E34" w:rsidR="00AA33C0" w:rsidRPr="00CE4BA0" w:rsidRDefault="00AA33C0" w:rsidP="00AA33C0">
      <w:pPr>
        <w:pStyle w:val="Heading2"/>
        <w:spacing w:before="0" w:after="0"/>
        <w:jc w:val="both"/>
      </w:pPr>
      <w:r w:rsidRPr="00CE4BA0">
        <w:lastRenderedPageBreak/>
        <w:t>1.</w:t>
      </w:r>
      <w:r w:rsidR="00660F3B" w:rsidRPr="00CE4BA0">
        <w:t>2</w:t>
      </w:r>
      <w:r w:rsidRPr="00CE4BA0">
        <w:t xml:space="preserve"> </w:t>
      </w:r>
      <w:r w:rsidRPr="00CE4BA0">
        <w:t>Hypotheses</w:t>
      </w:r>
    </w:p>
    <w:p w14:paraId="77A5A1C2" w14:textId="77777777" w:rsidR="00AA33C0" w:rsidRPr="00CE4BA0" w:rsidRDefault="00AA33C0" w:rsidP="00AA33C0">
      <w:pPr>
        <w:spacing w:line="480" w:lineRule="auto"/>
        <w:jc w:val="both"/>
      </w:pPr>
      <w:r w:rsidRPr="00CE4BA0">
        <w:t>Integrating the social and technical strands, the study tests the following hypotheses:</w:t>
      </w:r>
    </w:p>
    <w:p w14:paraId="283B92FA" w14:textId="77777777" w:rsidR="00AA33C0" w:rsidRPr="00CE4BA0" w:rsidRDefault="00AA33C0" w:rsidP="00AA33C0">
      <w:pPr>
        <w:spacing w:line="480" w:lineRule="auto"/>
        <w:jc w:val="both"/>
      </w:pPr>
      <w:r w:rsidRPr="00CE4BA0">
        <w:rPr>
          <w:b/>
          <w:bCs/>
        </w:rPr>
        <w:t xml:space="preserve">H1. </w:t>
      </w:r>
      <w:r w:rsidRPr="00CE4BA0">
        <w:t>Performance expectancy positively predicts behavioural engagement with the assistant.</w:t>
      </w:r>
    </w:p>
    <w:p w14:paraId="10825245" w14:textId="77777777" w:rsidR="00AA33C0" w:rsidRPr="00CE4BA0" w:rsidRDefault="00AA33C0" w:rsidP="00AA33C0">
      <w:pPr>
        <w:spacing w:line="480" w:lineRule="auto"/>
        <w:jc w:val="both"/>
      </w:pPr>
      <w:r w:rsidRPr="00CE4BA0">
        <w:rPr>
          <w:b/>
          <w:bCs/>
        </w:rPr>
        <w:t xml:space="preserve">H2. </w:t>
      </w:r>
      <w:r w:rsidRPr="00CE4BA0">
        <w:t>Effort expectancy positively predicts behavioural engagement.</w:t>
      </w:r>
    </w:p>
    <w:p w14:paraId="729AE58C" w14:textId="77777777" w:rsidR="00AA33C0" w:rsidRPr="00CE4BA0" w:rsidRDefault="00AA33C0" w:rsidP="00AA33C0">
      <w:pPr>
        <w:spacing w:line="480" w:lineRule="auto"/>
        <w:jc w:val="both"/>
      </w:pPr>
      <w:r w:rsidRPr="00CE4BA0">
        <w:rPr>
          <w:b/>
          <w:bCs/>
        </w:rPr>
        <w:t xml:space="preserve">H3. </w:t>
      </w:r>
      <w:r w:rsidRPr="00CE4BA0">
        <w:t>Social influence positively predicts behavioural engagement.</w:t>
      </w:r>
    </w:p>
    <w:p w14:paraId="3B652CD0" w14:textId="77777777" w:rsidR="00AA33C0" w:rsidRPr="00CE4BA0" w:rsidRDefault="00AA33C0" w:rsidP="00AA33C0">
      <w:pPr>
        <w:spacing w:line="480" w:lineRule="auto"/>
        <w:jc w:val="both"/>
      </w:pPr>
      <w:r w:rsidRPr="00CE4BA0">
        <w:rPr>
          <w:b/>
          <w:bCs/>
        </w:rPr>
        <w:t xml:space="preserve">H4. </w:t>
      </w:r>
      <w:r w:rsidRPr="00CE4BA0">
        <w:t>Facilitating conditions positively predict engagement and reduce the hazard of session drop-off.</w:t>
      </w:r>
    </w:p>
    <w:p w14:paraId="3374F244" w14:textId="77777777" w:rsidR="00AA33C0" w:rsidRPr="00CE4BA0" w:rsidRDefault="00AA33C0" w:rsidP="00AA33C0">
      <w:pPr>
        <w:spacing w:line="480" w:lineRule="auto"/>
        <w:jc w:val="both"/>
      </w:pPr>
      <w:r w:rsidRPr="00CE4BA0">
        <w:rPr>
          <w:b/>
          <w:bCs/>
        </w:rPr>
        <w:t xml:space="preserve">H5. </w:t>
      </w:r>
      <w:r w:rsidRPr="00CE4BA0">
        <w:t>Research self-efficacy increases the probability of successful retrieval and reduces the drop-off hazard.</w:t>
      </w:r>
    </w:p>
    <w:p w14:paraId="287EF837" w14:textId="77777777" w:rsidR="00AA33C0" w:rsidRPr="00CE4BA0" w:rsidRDefault="00AA33C0" w:rsidP="00AA33C0">
      <w:pPr>
        <w:spacing w:line="480" w:lineRule="auto"/>
        <w:jc w:val="both"/>
      </w:pPr>
      <w:r w:rsidRPr="00CE4BA0">
        <w:rPr>
          <w:b/>
          <w:bCs/>
        </w:rPr>
        <w:t xml:space="preserve">H6. </w:t>
      </w:r>
      <w:r w:rsidRPr="00CE4BA0">
        <w:t>Query topic membership significantly differentiates time-to-drop-off, with technical-friction topics exhibiting the highest hazard.</w:t>
      </w:r>
    </w:p>
    <w:p w14:paraId="13BDFF48" w14:textId="77777777" w:rsidR="00AA33C0" w:rsidRPr="00CE4BA0" w:rsidRDefault="00AA33C0" w:rsidP="00AA33C0">
      <w:pPr>
        <w:spacing w:line="480" w:lineRule="auto"/>
        <w:jc w:val="both"/>
      </w:pPr>
    </w:p>
    <w:p w14:paraId="18FAA16A" w14:textId="77777777" w:rsidR="00AA33C0" w:rsidRPr="00CE4BA0" w:rsidRDefault="00AA33C0">
      <w:pPr>
        <w:rPr>
          <w:b/>
          <w:bCs/>
        </w:rPr>
      </w:pPr>
      <w:r w:rsidRPr="00CE4BA0">
        <w:br w:type="page"/>
      </w:r>
    </w:p>
    <w:p w14:paraId="1C29AD0B" w14:textId="77777777" w:rsidR="00CE4BA0" w:rsidRPr="00CE4BA0" w:rsidRDefault="00CE4BA0" w:rsidP="00CE4BA0">
      <w:pPr>
        <w:spacing w:line="360" w:lineRule="auto"/>
        <w:jc w:val="both"/>
        <w:rPr>
          <w:b/>
          <w:bCs/>
        </w:rPr>
      </w:pPr>
      <w:r w:rsidRPr="00CE4BA0">
        <w:rPr>
          <w:b/>
          <w:bCs/>
        </w:rPr>
        <w:lastRenderedPageBreak/>
        <w:t>2. Literature Review and Theoretical Framework</w:t>
      </w:r>
    </w:p>
    <w:p w14:paraId="05E044C2" w14:textId="77777777" w:rsidR="00CE4BA0" w:rsidRPr="00CE4BA0" w:rsidRDefault="00CE4BA0" w:rsidP="00CE4BA0">
      <w:pPr>
        <w:spacing w:line="360" w:lineRule="auto"/>
        <w:jc w:val="both"/>
        <w:rPr>
          <w:b/>
          <w:bCs/>
        </w:rPr>
      </w:pPr>
      <w:r w:rsidRPr="00CE4BA0">
        <w:rPr>
          <w:b/>
          <w:bCs/>
        </w:rPr>
        <w:t>2.1 Socio-Technical Systems Theory as the Integrating Lens</w:t>
      </w:r>
    </w:p>
    <w:p w14:paraId="07BA7E14" w14:textId="77777777" w:rsidR="00CE4BA0" w:rsidRPr="00CE4BA0" w:rsidRDefault="00CE4BA0" w:rsidP="00CE4BA0">
      <w:pPr>
        <w:spacing w:line="360" w:lineRule="auto"/>
        <w:jc w:val="both"/>
      </w:pPr>
      <w:r w:rsidRPr="00CE4BA0">
        <w:t xml:space="preserve">Socio-technical systems (STS) theory posits that </w:t>
      </w:r>
      <w:proofErr w:type="spellStart"/>
      <w:r w:rsidRPr="00CE4BA0">
        <w:t>organisational</w:t>
      </w:r>
      <w:proofErr w:type="spellEnd"/>
      <w:r w:rsidRPr="00CE4BA0">
        <w:t xml:space="preserve"> performance is the product of interactions between technical subsystems (technologies, processes, and information artefacts) and social subsystems (people, skills, attitudes, and </w:t>
      </w:r>
      <w:proofErr w:type="spellStart"/>
      <w:r w:rsidRPr="00CE4BA0">
        <w:t>organisational</w:t>
      </w:r>
      <w:proofErr w:type="spellEnd"/>
      <w:r w:rsidRPr="00CE4BA0">
        <w:t xml:space="preserve"> arrangements), such that optimizing one subsystem while neglecting the other often produces suboptimal outcomes (Trist &amp; Bamforth, 1951; Bostrom &amp; Heinen, 1977). The theory emerged from studies of workplace systems and has subsequently been applied extensively in information systems research to explain technology adoption, user behaviour, and </w:t>
      </w:r>
      <w:proofErr w:type="spellStart"/>
      <w:r w:rsidRPr="00CE4BA0">
        <w:t>organisational</w:t>
      </w:r>
      <w:proofErr w:type="spellEnd"/>
      <w:r w:rsidRPr="00CE4BA0">
        <w:t xml:space="preserve"> performance.</w:t>
      </w:r>
    </w:p>
    <w:p w14:paraId="18837034" w14:textId="77777777" w:rsidR="00CE4BA0" w:rsidRPr="00CE4BA0" w:rsidRDefault="00CE4BA0" w:rsidP="00CE4BA0">
      <w:pPr>
        <w:spacing w:line="360" w:lineRule="auto"/>
        <w:jc w:val="both"/>
      </w:pPr>
      <w:r w:rsidRPr="00CE4BA0">
        <w:t>Within the context of conversational virtual reference assistants, the technical subsystem comprises the natural language processing (NLP) engine, retrieval algorithms, institutional repositories, authentication systems, and supporting digital infrastructure. The social subsystem consists of students’ information-seeking competencies, research self-efficacy, technology perceptions, institutional support mechanisms, and the librarians responsible for system maintenance and supervision. STS theory suggests that successful engagement with virtual reference systems depends on the alignment of these social and technical components.</w:t>
      </w:r>
    </w:p>
    <w:p w14:paraId="05743171" w14:textId="77777777" w:rsidR="00CE4BA0" w:rsidRPr="00CE4BA0" w:rsidRDefault="00CE4BA0" w:rsidP="00CE4BA0">
      <w:pPr>
        <w:spacing w:line="360" w:lineRule="auto"/>
        <w:jc w:val="both"/>
      </w:pPr>
      <w:r w:rsidRPr="00CE4BA0">
        <w:t>The relevance of STS theory to conversational AI is increasingly evident in contemporary library environments. Although advanced AI systems can provide efficient information retrieval services, user outcomes are often shaped by factors such as digital literacy, confidence in technology use, institutional support, and access to reliable internet connectivity. Consequently, disengagement from virtual reference interactions is unlikely to result solely from technological shortcomings; rather, it may emerge from interactions between technical friction and users’ readiness to engage with the system. This proposition underpins the present study's integration of behavioural interaction logs with survey-based measures of user perceptions and capabilities.</w:t>
      </w:r>
    </w:p>
    <w:p w14:paraId="55997884" w14:textId="77777777" w:rsidR="00CE4BA0" w:rsidRPr="00CE4BA0" w:rsidRDefault="00CE4BA0" w:rsidP="00CE4BA0">
      <w:pPr>
        <w:spacing w:line="360" w:lineRule="auto"/>
        <w:jc w:val="both"/>
      </w:pPr>
    </w:p>
    <w:p w14:paraId="7BB15031" w14:textId="77777777" w:rsidR="00CE4BA0" w:rsidRPr="00CE4BA0" w:rsidRDefault="00CE4BA0" w:rsidP="00CE4BA0">
      <w:pPr>
        <w:spacing w:line="360" w:lineRule="auto"/>
        <w:jc w:val="both"/>
        <w:rPr>
          <w:b/>
          <w:bCs/>
        </w:rPr>
      </w:pPr>
      <w:r w:rsidRPr="00CE4BA0">
        <w:rPr>
          <w:b/>
          <w:bCs/>
        </w:rPr>
        <w:t>2.2 UTAUT and the Technology–Organization–Environment Framework</w:t>
      </w:r>
    </w:p>
    <w:p w14:paraId="5C5E6BC0" w14:textId="77777777" w:rsidR="00CE4BA0" w:rsidRPr="00CE4BA0" w:rsidRDefault="00CE4BA0" w:rsidP="00CE4BA0">
      <w:pPr>
        <w:spacing w:line="360" w:lineRule="auto"/>
        <w:jc w:val="both"/>
      </w:pPr>
      <w:r w:rsidRPr="00CE4BA0">
        <w:t xml:space="preserve">The Unified Theory of Acceptance and Use of Technology (UTAUT) </w:t>
      </w:r>
      <w:proofErr w:type="gramStart"/>
      <w:r w:rsidRPr="00CE4BA0">
        <w:t>provides</w:t>
      </w:r>
      <w:proofErr w:type="gramEnd"/>
      <w:r w:rsidRPr="00CE4BA0">
        <w:t xml:space="preserve"> a complementary framework for understanding individual-level technology adoption behaviours. Developed by Venkatesh et al. (2003), UTAUT </w:t>
      </w:r>
      <w:proofErr w:type="spellStart"/>
      <w:r w:rsidRPr="00CE4BA0">
        <w:t>synthesises</w:t>
      </w:r>
      <w:proofErr w:type="spellEnd"/>
      <w:r w:rsidRPr="00CE4BA0">
        <w:t xml:space="preserve"> eight prominent technology acceptance theories into four primary determinants of technology use: performance expectancy, effort expectancy, social </w:t>
      </w:r>
      <w:r w:rsidRPr="00CE4BA0">
        <w:lastRenderedPageBreak/>
        <w:t>influence, and facilitating conditions. The model has subsequently been validated across diverse technological contexts and extended to consumer environments (Venkatesh et al., 2012).</w:t>
      </w:r>
    </w:p>
    <w:p w14:paraId="2D5879A5" w14:textId="77777777" w:rsidR="00CE4BA0" w:rsidRPr="00CE4BA0" w:rsidRDefault="00CE4BA0" w:rsidP="00CE4BA0">
      <w:pPr>
        <w:spacing w:line="360" w:lineRule="auto"/>
        <w:jc w:val="both"/>
      </w:pPr>
      <w:r w:rsidRPr="00CE4BA0">
        <w:t xml:space="preserve">Performance expectancy refers to the extent to which users believe that a technology will improve their performance. Effort expectancy captures perceived ease of use, while social influence reflects the degree to which important others encourage technology adoption. Facilitating conditions represent the </w:t>
      </w:r>
      <w:proofErr w:type="spellStart"/>
      <w:r w:rsidRPr="00CE4BA0">
        <w:t>organisational</w:t>
      </w:r>
      <w:proofErr w:type="spellEnd"/>
      <w:r w:rsidRPr="00CE4BA0">
        <w:t xml:space="preserve"> and technical resources available to support system use. Collectively, these constructs provide a robust framework for explaining behavioural engagement with digital systems.</w:t>
      </w:r>
    </w:p>
    <w:p w14:paraId="363F8110" w14:textId="77777777" w:rsidR="00CE4BA0" w:rsidRPr="00CE4BA0" w:rsidRDefault="00CE4BA0" w:rsidP="00CE4BA0">
      <w:pPr>
        <w:spacing w:line="360" w:lineRule="auto"/>
        <w:jc w:val="both"/>
      </w:pPr>
      <w:r w:rsidRPr="00CE4BA0">
        <w:t xml:space="preserve">At the </w:t>
      </w:r>
      <w:proofErr w:type="spellStart"/>
      <w:r w:rsidRPr="00CE4BA0">
        <w:t>organisational</w:t>
      </w:r>
      <w:proofErr w:type="spellEnd"/>
      <w:r w:rsidRPr="00CE4BA0">
        <w:t xml:space="preserve"> level, the Technology–Organization–Environment (TOE) framework broadens the analysis by situating technology adoption within technological, </w:t>
      </w:r>
      <w:proofErr w:type="spellStart"/>
      <w:r w:rsidRPr="00CE4BA0">
        <w:t>organisational</w:t>
      </w:r>
      <w:proofErr w:type="spellEnd"/>
      <w:r w:rsidRPr="00CE4BA0">
        <w:t>, and environmental contexts (</w:t>
      </w:r>
      <w:proofErr w:type="spellStart"/>
      <w:r w:rsidRPr="00CE4BA0">
        <w:t>Tornatzky</w:t>
      </w:r>
      <w:proofErr w:type="spellEnd"/>
      <w:r w:rsidRPr="00CE4BA0">
        <w:t xml:space="preserve"> &amp; Fleischer, 1990). The technological dimension concerns the characteristics of available technologies; the </w:t>
      </w:r>
      <w:proofErr w:type="spellStart"/>
      <w:r w:rsidRPr="00CE4BA0">
        <w:t>organisational</w:t>
      </w:r>
      <w:proofErr w:type="spellEnd"/>
      <w:r w:rsidRPr="00CE4BA0">
        <w:t xml:space="preserve"> dimension encompasses institutional resources and structures; and the environmental dimension includes external pressures, policies, and competitive conditions.</w:t>
      </w:r>
    </w:p>
    <w:p w14:paraId="3D471FA6" w14:textId="77777777" w:rsidR="00CE4BA0" w:rsidRPr="00CE4BA0" w:rsidRDefault="00CE4BA0" w:rsidP="00CE4BA0">
      <w:pPr>
        <w:spacing w:line="360" w:lineRule="auto"/>
        <w:jc w:val="both"/>
      </w:pPr>
      <w:r w:rsidRPr="00CE4BA0">
        <w:t xml:space="preserve">The present study combines UTAUT and TOE perspectives to examine how individual perceptions and </w:t>
      </w:r>
      <w:proofErr w:type="spellStart"/>
      <w:r w:rsidRPr="00CE4BA0">
        <w:t>organisational</w:t>
      </w:r>
      <w:proofErr w:type="spellEnd"/>
      <w:r w:rsidRPr="00CE4BA0">
        <w:t xml:space="preserve"> conditions jointly influence engagement with a conversational virtual reference assistant. While UTAUT </w:t>
      </w:r>
      <w:proofErr w:type="spellStart"/>
      <w:r w:rsidRPr="00CE4BA0">
        <w:t>operationalises</w:t>
      </w:r>
      <w:proofErr w:type="spellEnd"/>
      <w:r w:rsidRPr="00CE4BA0">
        <w:t xml:space="preserve"> the social subsystem at the user level, TOE provides contextual insight into institutional factors that may facilitate or constrain engagement.</w:t>
      </w:r>
    </w:p>
    <w:p w14:paraId="6C95FF2A" w14:textId="77777777" w:rsidR="00CE4BA0" w:rsidRPr="00CE4BA0" w:rsidRDefault="00CE4BA0" w:rsidP="00CE4BA0">
      <w:pPr>
        <w:spacing w:line="360" w:lineRule="auto"/>
        <w:jc w:val="both"/>
      </w:pPr>
    </w:p>
    <w:p w14:paraId="516AE29F" w14:textId="77777777" w:rsidR="00CE4BA0" w:rsidRPr="00CE4BA0" w:rsidRDefault="00CE4BA0" w:rsidP="00CE4BA0">
      <w:pPr>
        <w:spacing w:line="360" w:lineRule="auto"/>
        <w:jc w:val="both"/>
        <w:rPr>
          <w:b/>
          <w:bCs/>
        </w:rPr>
      </w:pPr>
      <w:r w:rsidRPr="00CE4BA0">
        <w:rPr>
          <w:b/>
          <w:bCs/>
        </w:rPr>
        <w:t>2.3 Conversational AI and Virtual Reference Services</w:t>
      </w:r>
    </w:p>
    <w:p w14:paraId="0C84CB0D" w14:textId="77777777" w:rsidR="00CE4BA0" w:rsidRPr="00CE4BA0" w:rsidRDefault="00CE4BA0" w:rsidP="00CE4BA0">
      <w:pPr>
        <w:spacing w:line="360" w:lineRule="auto"/>
        <w:jc w:val="both"/>
      </w:pPr>
      <w:r w:rsidRPr="00CE4BA0">
        <w:t>Conversational artificial intelligence has become increasingly prominent in academic libraries as institutions seek to enhance service accessibility, improve responsiveness, and support users beyond traditional operating hours. Conversational AI systems employ natural language processing, machine learning, and information retrieval technologies to simulate human-like interactions and assist users in locating information resources.</w:t>
      </w:r>
    </w:p>
    <w:p w14:paraId="5D6E6AAB" w14:textId="77777777" w:rsidR="00CE4BA0" w:rsidRPr="00CE4BA0" w:rsidRDefault="00CE4BA0" w:rsidP="00CE4BA0">
      <w:pPr>
        <w:spacing w:line="360" w:lineRule="auto"/>
        <w:jc w:val="both"/>
      </w:pPr>
      <w:r w:rsidRPr="00CE4BA0">
        <w:t>The adoption of chatbots and virtual assistants in libraries has expanded rapidly in recent years. Existing literature indicates that conversational systems are particularly effective for handling routine reference enquiries, answering frequently asked questions, providing directional guidance, and facilitating access to digital resources (</w:t>
      </w:r>
      <w:proofErr w:type="spellStart"/>
      <w:r w:rsidRPr="00CE4BA0">
        <w:t>Asemi</w:t>
      </w:r>
      <w:proofErr w:type="spellEnd"/>
      <w:r w:rsidRPr="00CE4BA0">
        <w:t xml:space="preserve"> et al., 2021; Hervieux &amp; Wheatley, 2022). Such systems offer advantages including continuous availability, scalability, and reduced workload for library personnel.</w:t>
      </w:r>
    </w:p>
    <w:p w14:paraId="6FFEFDC1" w14:textId="77777777" w:rsidR="00CE4BA0" w:rsidRPr="00CE4BA0" w:rsidRDefault="00CE4BA0" w:rsidP="00CE4BA0">
      <w:pPr>
        <w:spacing w:line="360" w:lineRule="auto"/>
        <w:jc w:val="both"/>
      </w:pPr>
      <w:r w:rsidRPr="00CE4BA0">
        <w:lastRenderedPageBreak/>
        <w:t>Despite these benefits, important limitations remain. Chatbots frequently struggle with complex research enquiries requiring contextual understanding, critical reasoning, and nuanced interpretation. Existing studies also identify concerns relating to response accuracy, trustworthiness, conversational coherence, and user satisfaction (Ali et al., 2021). Furthermore, much of the literature focuses on implementation experiences and user perceptions rather than behavioural interaction patterns.</w:t>
      </w:r>
    </w:p>
    <w:p w14:paraId="2459DAF0" w14:textId="77777777" w:rsidR="00CE4BA0" w:rsidRPr="00CE4BA0" w:rsidRDefault="00CE4BA0" w:rsidP="00CE4BA0">
      <w:pPr>
        <w:spacing w:line="360" w:lineRule="auto"/>
        <w:jc w:val="both"/>
      </w:pPr>
      <w:r w:rsidRPr="00CE4BA0">
        <w:t>A particularly important gap concerns the limited use of interaction-log data to understand engagement dynamics within conversational AI systems. Consequently, there remains insufficient understanding of how users interact with virtual reference assistants over time, what factors contribute to successful retrieval, and when users are most likely to disengage from research sessions.</w:t>
      </w:r>
    </w:p>
    <w:p w14:paraId="2630EC8D" w14:textId="77777777" w:rsidR="00CE4BA0" w:rsidRPr="00CE4BA0" w:rsidRDefault="00CE4BA0" w:rsidP="00CE4BA0">
      <w:pPr>
        <w:spacing w:line="360" w:lineRule="auto"/>
        <w:jc w:val="both"/>
      </w:pPr>
    </w:p>
    <w:p w14:paraId="3DEF9C03" w14:textId="77777777" w:rsidR="00CE4BA0" w:rsidRPr="00CE4BA0" w:rsidRDefault="00CE4BA0" w:rsidP="00CE4BA0">
      <w:pPr>
        <w:spacing w:line="360" w:lineRule="auto"/>
        <w:jc w:val="both"/>
        <w:rPr>
          <w:b/>
          <w:bCs/>
        </w:rPr>
      </w:pPr>
      <w:r w:rsidRPr="00CE4BA0">
        <w:rPr>
          <w:b/>
          <w:bCs/>
        </w:rPr>
        <w:t>2.4 Topic Structure in Query Logs</w:t>
      </w:r>
    </w:p>
    <w:p w14:paraId="2C41012C" w14:textId="77777777" w:rsidR="00CE4BA0" w:rsidRPr="00CE4BA0" w:rsidRDefault="00CE4BA0" w:rsidP="00CE4BA0">
      <w:pPr>
        <w:spacing w:line="360" w:lineRule="auto"/>
        <w:jc w:val="both"/>
      </w:pPr>
      <w:r w:rsidRPr="00CE4BA0">
        <w:t xml:space="preserve">Query logs provide a rich source of behavioural data for understanding users’ information needs and search behaviours. Because search queries are typically brief, ambiguous, and context-dependent, researchers frequently </w:t>
      </w:r>
      <w:proofErr w:type="spellStart"/>
      <w:r w:rsidRPr="00CE4BA0">
        <w:t>categorise</w:t>
      </w:r>
      <w:proofErr w:type="spellEnd"/>
      <w:r w:rsidRPr="00CE4BA0">
        <w:t xml:space="preserve"> them into broader thematic topics to facilitate analysis and interpretation.</w:t>
      </w:r>
    </w:p>
    <w:p w14:paraId="54D6C5E8" w14:textId="77777777" w:rsidR="00CE4BA0" w:rsidRPr="00CE4BA0" w:rsidRDefault="00CE4BA0" w:rsidP="00CE4BA0">
      <w:pPr>
        <w:spacing w:line="360" w:lineRule="auto"/>
        <w:jc w:val="both"/>
      </w:pPr>
      <w:r w:rsidRPr="00CE4BA0">
        <w:t>Topic modelling approaches, particularly Latent Dirichlet Allocation (LDA), have become common techniques for uncovering latent thematic structures within collections of textual queries (Blei et al., 2003). Such approaches enable researchers to identify recurring information needs, classify search intentions, and improve information retrieval performance.</w:t>
      </w:r>
    </w:p>
    <w:p w14:paraId="4E7335B7" w14:textId="77777777" w:rsidR="00CE4BA0" w:rsidRPr="00CE4BA0" w:rsidRDefault="00CE4BA0" w:rsidP="00CE4BA0">
      <w:pPr>
        <w:spacing w:line="360" w:lineRule="auto"/>
        <w:jc w:val="both"/>
      </w:pPr>
      <w:r w:rsidRPr="00CE4BA0">
        <w:t>Beyond descriptive purposes, topic structures may have important implications for user engagement. Different query categories often require varying levels of cognitive effort, resource availability, and search complexity. Technical-friction queries, for example, may involve authentication difficulties, access barriers, or navigation problems, whereas substantive research queries may focus on locating academic information and scholarly resources.</w:t>
      </w:r>
    </w:p>
    <w:p w14:paraId="34E07E8E" w14:textId="77777777" w:rsidR="00CE4BA0" w:rsidRPr="00CE4BA0" w:rsidRDefault="00CE4BA0" w:rsidP="00CE4BA0">
      <w:pPr>
        <w:spacing w:line="360" w:lineRule="auto"/>
        <w:jc w:val="both"/>
      </w:pPr>
      <w:r w:rsidRPr="00CE4BA0">
        <w:t xml:space="preserve">In the present study, query sessions were classified into six predefined categories at the point of log extraction. Rather than re-deriving topics from raw text, the analysis treats topic membership as an observed behavioural feature and investigates its association with engagement, retrieval success, and session abandonment. This approach reflects operational realities in many </w:t>
      </w:r>
      <w:r w:rsidRPr="00CE4BA0">
        <w:lastRenderedPageBreak/>
        <w:t>institutional systems where interaction logs are stored as classified intents rather than raw query strings.</w:t>
      </w:r>
    </w:p>
    <w:p w14:paraId="2363D598" w14:textId="77777777" w:rsidR="00CE4BA0" w:rsidRPr="00CE4BA0" w:rsidRDefault="00CE4BA0" w:rsidP="00CE4BA0">
      <w:pPr>
        <w:spacing w:line="360" w:lineRule="auto"/>
        <w:jc w:val="both"/>
      </w:pPr>
    </w:p>
    <w:p w14:paraId="4805F10D" w14:textId="77777777" w:rsidR="00CE4BA0" w:rsidRPr="00CE4BA0" w:rsidRDefault="00CE4BA0" w:rsidP="00CE4BA0">
      <w:pPr>
        <w:spacing w:line="360" w:lineRule="auto"/>
        <w:jc w:val="both"/>
        <w:rPr>
          <w:b/>
          <w:bCs/>
        </w:rPr>
      </w:pPr>
      <w:r w:rsidRPr="00CE4BA0">
        <w:rPr>
          <w:b/>
          <w:bCs/>
        </w:rPr>
        <w:t>2.5 Survival Analysis of Research Drop-Off</w:t>
      </w:r>
    </w:p>
    <w:p w14:paraId="26FD487B" w14:textId="77777777" w:rsidR="00CE4BA0" w:rsidRPr="00CE4BA0" w:rsidRDefault="00CE4BA0" w:rsidP="00CE4BA0">
      <w:pPr>
        <w:spacing w:line="360" w:lineRule="auto"/>
        <w:jc w:val="both"/>
      </w:pPr>
      <w:r w:rsidRPr="00CE4BA0">
        <w:t>Traditional analyses of information-seeking behaviour often focus on whether users succeed or fail in obtaining information. However, such approaches provide limited insight into the timing and progression of disengagement. Survival analysis addresses this limitation by modelling the time until a specified event occurs while appropriately handling censored observations (Kaplan &amp; Meier, 1958; Cox, 1972).</w:t>
      </w:r>
    </w:p>
    <w:p w14:paraId="5DD25878" w14:textId="77777777" w:rsidR="00CE4BA0" w:rsidRPr="00CE4BA0" w:rsidRDefault="00CE4BA0" w:rsidP="00CE4BA0">
      <w:pPr>
        <w:spacing w:line="360" w:lineRule="auto"/>
        <w:jc w:val="both"/>
      </w:pPr>
      <w:r w:rsidRPr="00CE4BA0">
        <w:t>The methodology has been widely applied in fields such as medicine, engineering, and educational research. Within educational contexts, survival models have proven particularly valuable for understanding student retention, persistence, and dropout behaviour (Ameri et al., 2016; Tinto, 1975, 2017). By estimating hazard rates and identifying periods of elevated risk, survival analysis enables more targeted interventions.</w:t>
      </w:r>
    </w:p>
    <w:p w14:paraId="6998DFDD" w14:textId="77777777" w:rsidR="00CE4BA0" w:rsidRPr="00CE4BA0" w:rsidRDefault="00CE4BA0" w:rsidP="00CE4BA0">
      <w:pPr>
        <w:spacing w:line="360" w:lineRule="auto"/>
        <w:jc w:val="both"/>
      </w:pPr>
      <w:r w:rsidRPr="00CE4BA0">
        <w:t xml:space="preserve">Applying survival analysis to conversational virtual reference environments represents a logical extension of this work. Rather than examining programme-level attrition, the present study focuses on the micro-level lifecycle of individual research sessions. Session abandonment is </w:t>
      </w:r>
      <w:proofErr w:type="spellStart"/>
      <w:r w:rsidRPr="00CE4BA0">
        <w:t>conceptualised</w:t>
      </w:r>
      <w:proofErr w:type="spellEnd"/>
      <w:r w:rsidRPr="00CE4BA0">
        <w:t xml:space="preserve"> as a time-dependent event influenced by user characteristics, query topics, technical conditions, and technology perceptions. Identifying factors associated with elevated abandonment risk can provide valuable insights for improving user support and service design.</w:t>
      </w:r>
    </w:p>
    <w:p w14:paraId="28D10D2F" w14:textId="77777777" w:rsidR="00CE4BA0" w:rsidRPr="00CE4BA0" w:rsidRDefault="00CE4BA0" w:rsidP="00CE4BA0">
      <w:pPr>
        <w:spacing w:line="360" w:lineRule="auto"/>
        <w:jc w:val="both"/>
      </w:pPr>
    </w:p>
    <w:p w14:paraId="76F38D20" w14:textId="77777777" w:rsidR="00CE4BA0" w:rsidRPr="00CE4BA0" w:rsidRDefault="00CE4BA0" w:rsidP="00CE4BA0">
      <w:pPr>
        <w:spacing w:line="360" w:lineRule="auto"/>
        <w:jc w:val="both"/>
        <w:rPr>
          <w:b/>
          <w:bCs/>
        </w:rPr>
      </w:pPr>
      <w:r w:rsidRPr="00CE4BA0">
        <w:rPr>
          <w:b/>
          <w:bCs/>
        </w:rPr>
        <w:t>2.6 Empirical Literature Review</w:t>
      </w:r>
    </w:p>
    <w:p w14:paraId="787A08A5" w14:textId="77777777" w:rsidR="00CE4BA0" w:rsidRPr="00CE4BA0" w:rsidRDefault="00CE4BA0" w:rsidP="00CE4BA0">
      <w:pPr>
        <w:spacing w:line="360" w:lineRule="auto"/>
        <w:jc w:val="both"/>
        <w:rPr>
          <w:b/>
          <w:bCs/>
        </w:rPr>
      </w:pPr>
      <w:r w:rsidRPr="00CE4BA0">
        <w:rPr>
          <w:b/>
          <w:bCs/>
        </w:rPr>
        <w:t>2.6.1 Conversational AI and Virtual Reference Services</w:t>
      </w:r>
    </w:p>
    <w:p w14:paraId="7CAAA43D" w14:textId="77777777" w:rsidR="00CE4BA0" w:rsidRPr="00CE4BA0" w:rsidRDefault="00CE4BA0" w:rsidP="00CE4BA0">
      <w:pPr>
        <w:spacing w:line="360" w:lineRule="auto"/>
        <w:jc w:val="both"/>
      </w:pPr>
      <w:r w:rsidRPr="00CE4BA0">
        <w:t>Recent empirical evidence demonstrates the growing importance of conversational AI in academic library services. Guy et al. (2023) examined chatbot deployments across Canadian academic libraries and found that conversational agents effectively handled routine enquiries, improved service accessibility, and extended support beyond staffed service hours. However, the authors reported that users often required escalation to human librarians when addressing complex research problems.</w:t>
      </w:r>
    </w:p>
    <w:p w14:paraId="396BB391" w14:textId="77777777" w:rsidR="00CE4BA0" w:rsidRPr="00CE4BA0" w:rsidRDefault="00CE4BA0" w:rsidP="00CE4BA0">
      <w:pPr>
        <w:spacing w:line="360" w:lineRule="auto"/>
        <w:jc w:val="both"/>
      </w:pPr>
      <w:r w:rsidRPr="00CE4BA0">
        <w:t xml:space="preserve">Similarly, Chen et al. (2025) investigated user adoption of AI-powered library chatbots and found that perceived usefulness significantly influenced engagement intentions. Users who believed that </w:t>
      </w:r>
      <w:r w:rsidRPr="00CE4BA0">
        <w:lastRenderedPageBreak/>
        <w:t xml:space="preserve">chatbots enhanced information retrieval efficiency demonstrated stronger intentions to continue using such systems. </w:t>
      </w:r>
      <w:proofErr w:type="spellStart"/>
      <w:r w:rsidRPr="00CE4BA0">
        <w:t>Asemi</w:t>
      </w:r>
      <w:proofErr w:type="spellEnd"/>
      <w:r w:rsidRPr="00CE4BA0">
        <w:t xml:space="preserve"> et al. (2021) likewise reported positive perceptions regarding accessibility and responsiveness, although concerns regarding response quality and accuracy remained.</w:t>
      </w:r>
    </w:p>
    <w:p w14:paraId="73D4A1CE" w14:textId="77777777" w:rsidR="00CE4BA0" w:rsidRPr="00CE4BA0" w:rsidRDefault="00CE4BA0" w:rsidP="00CE4BA0">
      <w:pPr>
        <w:spacing w:line="360" w:lineRule="auto"/>
        <w:jc w:val="both"/>
      </w:pPr>
      <w:r w:rsidRPr="00CE4BA0">
        <w:t>Collectively, these studies indicate that conversational AI can improve service delivery while highlighting the importance of understanding behavioural engagement beyond simple satisfaction measures.</w:t>
      </w:r>
    </w:p>
    <w:p w14:paraId="3F505DC3" w14:textId="77777777" w:rsidR="00CE4BA0" w:rsidRPr="00CE4BA0" w:rsidRDefault="00CE4BA0" w:rsidP="00CE4BA0">
      <w:pPr>
        <w:spacing w:line="360" w:lineRule="auto"/>
        <w:jc w:val="both"/>
        <w:rPr>
          <w:b/>
          <w:bCs/>
        </w:rPr>
      </w:pPr>
      <w:r w:rsidRPr="00CE4BA0">
        <w:rPr>
          <w:b/>
          <w:bCs/>
        </w:rPr>
        <w:t>2.6.2 UTAUT Constructs and User Engagement</w:t>
      </w:r>
    </w:p>
    <w:p w14:paraId="0929DA7C" w14:textId="77777777" w:rsidR="00CE4BA0" w:rsidRPr="00CE4BA0" w:rsidRDefault="00CE4BA0" w:rsidP="00CE4BA0">
      <w:pPr>
        <w:spacing w:line="360" w:lineRule="auto"/>
        <w:jc w:val="both"/>
      </w:pPr>
      <w:r w:rsidRPr="00CE4BA0">
        <w:t>Numerous studies have validated the explanatory power of UTAUT constructs in technology adoption contexts. Habibi et al. (2023) found that performance expectancy, effort expectancy, and facilitating conditions significantly influenced students’ adoption of AI-supported educational technologies. Their findings suggest that users are more likely to engage with AI systems when they perceive them as useful, easy to use, and supported by adequate infrastructure.</w:t>
      </w:r>
    </w:p>
    <w:p w14:paraId="25AF75F4" w14:textId="26D2FBF8" w:rsidR="00CE4BA0" w:rsidRPr="00CE4BA0" w:rsidRDefault="00CE4BA0" w:rsidP="00CE4BA0">
      <w:pPr>
        <w:spacing w:line="360" w:lineRule="auto"/>
        <w:jc w:val="both"/>
      </w:pPr>
      <w:r w:rsidRPr="00CE4BA0">
        <w:t xml:space="preserve">Similarly, </w:t>
      </w:r>
      <w:r w:rsidR="00BB6445" w:rsidRPr="00BB6445">
        <w:t>Sergeeva</w:t>
      </w:r>
      <w:r w:rsidRPr="00CE4BA0">
        <w:t xml:space="preserve"> et al. (2024) reported that performance expectancy emerged as the strongest predictor of AI adoption among university students. The study also found significant effects for social influence, indicating that peer and institutional endorsement contributed positively to technology acceptance.</w:t>
      </w:r>
    </w:p>
    <w:p w14:paraId="574CE03D" w14:textId="77777777" w:rsidR="00CE4BA0" w:rsidRPr="00CE4BA0" w:rsidRDefault="00CE4BA0" w:rsidP="00CE4BA0">
      <w:pPr>
        <w:spacing w:line="360" w:lineRule="auto"/>
        <w:jc w:val="both"/>
      </w:pPr>
      <w:r w:rsidRPr="00CE4BA0">
        <w:t>Conversely, Andrews et al. (2021) found that while performance expectancy significantly influenced librarians’ intentions to adopt AI technologies, social influence exerted weaker effects. These mixed findings suggest that contextual factors may shape the relative importance of UTAUT constructs and justify further investigation within academic library environments.</w:t>
      </w:r>
    </w:p>
    <w:p w14:paraId="3B4372C1" w14:textId="77777777" w:rsidR="00CE4BA0" w:rsidRPr="00CE4BA0" w:rsidRDefault="00CE4BA0" w:rsidP="00CE4BA0">
      <w:pPr>
        <w:spacing w:line="360" w:lineRule="auto"/>
        <w:jc w:val="both"/>
        <w:rPr>
          <w:b/>
          <w:bCs/>
        </w:rPr>
      </w:pPr>
      <w:r w:rsidRPr="00CE4BA0">
        <w:rPr>
          <w:b/>
          <w:bCs/>
        </w:rPr>
        <w:t>2.6.3 Research Self-Efficacy and Information-Seeking Behaviour</w:t>
      </w:r>
    </w:p>
    <w:p w14:paraId="259633DA" w14:textId="77777777" w:rsidR="00CE4BA0" w:rsidRPr="00CE4BA0" w:rsidRDefault="00CE4BA0" w:rsidP="00CE4BA0">
      <w:pPr>
        <w:spacing w:line="360" w:lineRule="auto"/>
        <w:jc w:val="both"/>
      </w:pPr>
      <w:r w:rsidRPr="00CE4BA0">
        <w:t>Research self-efficacy has consistently been linked to successful information-seeking outcomes. Prabowo et al. (2024) found that students with higher information-literacy self-efficacy demonstrated greater persistence, used more diverse information resources, and achieved higher retrieval success rates. The authors further reported that self-efficacious students were more likely to reformulate queries and adapt search strategies when encountering difficulties.</w:t>
      </w:r>
    </w:p>
    <w:p w14:paraId="0E4FEE97" w14:textId="77777777" w:rsidR="00CE4BA0" w:rsidRPr="00CE4BA0" w:rsidRDefault="00CE4BA0" w:rsidP="00CE4BA0">
      <w:pPr>
        <w:spacing w:line="360" w:lineRule="auto"/>
        <w:jc w:val="both"/>
      </w:pPr>
      <w:r w:rsidRPr="00CE4BA0">
        <w:t>These findings align with broader educational research indicating that self-efficacy enhances persistence, resilience, and problem-solving behaviour. Consequently, research self-efficacy is expected to influence both retrieval success and the likelihood of sustained engagement within conversational virtual reference sessions.</w:t>
      </w:r>
    </w:p>
    <w:p w14:paraId="2B80D9C5" w14:textId="77777777" w:rsidR="00CE4BA0" w:rsidRPr="00CE4BA0" w:rsidRDefault="00CE4BA0" w:rsidP="00CE4BA0">
      <w:pPr>
        <w:spacing w:line="360" w:lineRule="auto"/>
        <w:jc w:val="both"/>
        <w:rPr>
          <w:b/>
          <w:bCs/>
        </w:rPr>
      </w:pPr>
      <w:r w:rsidRPr="00CE4BA0">
        <w:rPr>
          <w:b/>
          <w:bCs/>
        </w:rPr>
        <w:lastRenderedPageBreak/>
        <w:t>2.6.4 Query Behaviour and Retrieval Outcomes</w:t>
      </w:r>
    </w:p>
    <w:p w14:paraId="092F15EA" w14:textId="77777777" w:rsidR="00CE4BA0" w:rsidRPr="00CE4BA0" w:rsidRDefault="00CE4BA0" w:rsidP="00CE4BA0">
      <w:pPr>
        <w:spacing w:line="360" w:lineRule="auto"/>
        <w:jc w:val="both"/>
      </w:pPr>
      <w:r w:rsidRPr="00CE4BA0">
        <w:t>Empirical studies of search behaviour demonstrate strong relationships between query characteristics and information retrieval outcomes. Pan et al. (2022) found that users who formulated clearer and more iterative queries achieved significantly better retrieval outcomes than those submitting vague or poorly specified search requests. The study further reported that dissatisfaction with search results increased abandonment rates.</w:t>
      </w:r>
    </w:p>
    <w:p w14:paraId="6E686016" w14:textId="77777777" w:rsidR="00CE4BA0" w:rsidRPr="00CE4BA0" w:rsidRDefault="00CE4BA0" w:rsidP="00CE4BA0">
      <w:pPr>
        <w:spacing w:line="360" w:lineRule="auto"/>
        <w:jc w:val="both"/>
      </w:pPr>
      <w:r w:rsidRPr="00CE4BA0">
        <w:t>Similarly, Guan et al. (2013) observed that users frequently modify and refine queries throughout search sessions as their understanding of information needs evolves. Query reformulation patterns therefore provide valuable indicators of engagement and information-seeking effectiveness.</w:t>
      </w:r>
    </w:p>
    <w:p w14:paraId="353B2108" w14:textId="77777777" w:rsidR="00CE4BA0" w:rsidRPr="00CE4BA0" w:rsidRDefault="00CE4BA0" w:rsidP="00CE4BA0">
      <w:pPr>
        <w:spacing w:line="360" w:lineRule="auto"/>
        <w:jc w:val="both"/>
      </w:pPr>
      <w:r w:rsidRPr="00CE4BA0">
        <w:t>These findings suggest that topic membership and interaction behaviours may serve as important predictors of retrieval success and session abandonment within virtual reference systems.</w:t>
      </w:r>
    </w:p>
    <w:p w14:paraId="386EFF42" w14:textId="77777777" w:rsidR="00CE4BA0" w:rsidRPr="00CE4BA0" w:rsidRDefault="00CE4BA0" w:rsidP="00CE4BA0">
      <w:pPr>
        <w:spacing w:line="360" w:lineRule="auto"/>
        <w:jc w:val="both"/>
        <w:rPr>
          <w:b/>
          <w:bCs/>
        </w:rPr>
      </w:pPr>
      <w:r w:rsidRPr="00CE4BA0">
        <w:rPr>
          <w:b/>
          <w:bCs/>
        </w:rPr>
        <w:t>2.6.5 Survival Analysis and User Drop-Off</w:t>
      </w:r>
    </w:p>
    <w:p w14:paraId="1543482B" w14:textId="77777777" w:rsidR="00CE4BA0" w:rsidRPr="00CE4BA0" w:rsidRDefault="00CE4BA0" w:rsidP="00CE4BA0">
      <w:pPr>
        <w:spacing w:line="360" w:lineRule="auto"/>
        <w:jc w:val="both"/>
      </w:pPr>
      <w:r w:rsidRPr="00CE4BA0">
        <w:t>Research employing survival analysis has demonstrated its effectiveness in predicting disengagement and dropout behaviours. Ameri et al. (2016) found that survival models successfully identified periods associated with elevated student attrition risk and enabled more effective intervention strategies.</w:t>
      </w:r>
    </w:p>
    <w:p w14:paraId="51344E25" w14:textId="77777777" w:rsidR="00CE4BA0" w:rsidRPr="00CE4BA0" w:rsidRDefault="00CE4BA0" w:rsidP="00CE4BA0">
      <w:pPr>
        <w:spacing w:line="360" w:lineRule="auto"/>
        <w:jc w:val="both"/>
      </w:pPr>
      <w:r w:rsidRPr="00CE4BA0">
        <w:t>Although survival analysis has become increasingly common in learning analytics, its application to conversational information-seeking behaviour remains limited. Existing studies rarely examine the timing of abandonment within virtual reference interactions, creating an important methodological gap that the present study seeks to address.</w:t>
      </w:r>
    </w:p>
    <w:p w14:paraId="5EA6C7F1" w14:textId="77777777" w:rsidR="00CE4BA0" w:rsidRPr="00CE4BA0" w:rsidRDefault="00CE4BA0" w:rsidP="00CE4BA0">
      <w:pPr>
        <w:spacing w:line="360" w:lineRule="auto"/>
        <w:jc w:val="both"/>
      </w:pPr>
    </w:p>
    <w:p w14:paraId="3F5154F9" w14:textId="77777777" w:rsidR="00CE4BA0" w:rsidRPr="00CE4BA0" w:rsidRDefault="00CE4BA0" w:rsidP="00CE4BA0">
      <w:pPr>
        <w:spacing w:line="360" w:lineRule="auto"/>
        <w:jc w:val="both"/>
      </w:pPr>
      <w:r w:rsidRPr="00CE4BA0">
        <w:t xml:space="preserve">The reviewed literature demonstrates that conversational AI technologies offer considerable potential for improving academic library services. Existing studies establish the relevance of UTAUT constructs, research self-efficacy, and </w:t>
      </w:r>
      <w:proofErr w:type="spellStart"/>
      <w:r w:rsidRPr="00CE4BA0">
        <w:t>organisational</w:t>
      </w:r>
      <w:proofErr w:type="spellEnd"/>
      <w:r w:rsidRPr="00CE4BA0">
        <w:t xml:space="preserve"> support in shaping technology engagement. Research on information retrieval further highlights the importance of query characteristics and interaction behaviours in determining search outcomes.</w:t>
      </w:r>
    </w:p>
    <w:p w14:paraId="2E35A7EE" w14:textId="77777777" w:rsidR="00CE4BA0" w:rsidRPr="00CE4BA0" w:rsidRDefault="00CE4BA0" w:rsidP="00CE4BA0">
      <w:pPr>
        <w:spacing w:line="360" w:lineRule="auto"/>
        <w:jc w:val="both"/>
      </w:pPr>
      <w:r w:rsidRPr="00CE4BA0">
        <w:t xml:space="preserve">Despite these advances, several significant gaps remain. First, most studies focus on technology adoption intentions, implementation experiences, or user satisfaction rather than actual behavioural engagement. Second, relatively few studies integrate conversational interaction logs with survey-based measures of technology acceptance and self-efficacy. Third, survival analysis </w:t>
      </w:r>
      <w:r w:rsidRPr="00CE4BA0">
        <w:lastRenderedPageBreak/>
        <w:t xml:space="preserve">remains </w:t>
      </w:r>
      <w:proofErr w:type="spellStart"/>
      <w:r w:rsidRPr="00CE4BA0">
        <w:t>underutilised</w:t>
      </w:r>
      <w:proofErr w:type="spellEnd"/>
      <w:r w:rsidRPr="00CE4BA0">
        <w:t xml:space="preserve"> in studies of conversational information-seeking behaviour. Fourth, empirical evidence from developing-country academic libraries remains limited.</w:t>
      </w:r>
    </w:p>
    <w:p w14:paraId="5B781646" w14:textId="77777777" w:rsidR="00CE4BA0" w:rsidRPr="00CE4BA0" w:rsidRDefault="00CE4BA0" w:rsidP="00CE4BA0">
      <w:pPr>
        <w:spacing w:line="360" w:lineRule="auto"/>
        <w:jc w:val="both"/>
      </w:pPr>
      <w:r w:rsidRPr="00CE4BA0">
        <w:t>The present study addresses these gaps by integrating socio-technical systems theory, UTAUT constructs, research self-efficacy, interaction-log analytics, and survival analysis within a unified explanatory framework.</w:t>
      </w:r>
    </w:p>
    <w:p w14:paraId="28FB59D7" w14:textId="77777777" w:rsidR="00CE4BA0" w:rsidRPr="00CE4BA0" w:rsidRDefault="00CE4BA0" w:rsidP="00CE4BA0">
      <w:pPr>
        <w:spacing w:line="360" w:lineRule="auto"/>
        <w:jc w:val="both"/>
      </w:pPr>
    </w:p>
    <w:p w14:paraId="2F992806" w14:textId="77777777" w:rsidR="007643B0" w:rsidRPr="007643B0" w:rsidRDefault="007643B0" w:rsidP="007643B0">
      <w:pPr>
        <w:spacing w:line="480" w:lineRule="auto"/>
        <w:jc w:val="both"/>
        <w:rPr>
          <w:b/>
          <w:bCs/>
        </w:rPr>
      </w:pPr>
      <w:r w:rsidRPr="007643B0">
        <w:rPr>
          <w:b/>
          <w:bCs/>
        </w:rPr>
        <w:t>3. Method</w:t>
      </w:r>
    </w:p>
    <w:p w14:paraId="21A13883" w14:textId="77777777" w:rsidR="007643B0" w:rsidRPr="007643B0" w:rsidRDefault="007643B0" w:rsidP="007643B0">
      <w:pPr>
        <w:spacing w:line="480" w:lineRule="auto"/>
        <w:jc w:val="both"/>
        <w:rPr>
          <w:b/>
          <w:bCs/>
        </w:rPr>
      </w:pPr>
      <w:r w:rsidRPr="007643B0">
        <w:rPr>
          <w:b/>
          <w:bCs/>
        </w:rPr>
        <w:t>3.1 Research Design</w:t>
      </w:r>
    </w:p>
    <w:p w14:paraId="4101B442" w14:textId="77777777" w:rsidR="007643B0" w:rsidRPr="007643B0" w:rsidRDefault="007643B0" w:rsidP="007643B0">
      <w:pPr>
        <w:spacing w:line="480" w:lineRule="auto"/>
        <w:jc w:val="both"/>
      </w:pPr>
      <w:r w:rsidRPr="007643B0">
        <w:t xml:space="preserve">This study adopted a concurrent mixed-source design to investigate student engagement with a conversational virtual reference assistant from both behavioural and perceptual perspectives. The design was informed by socio-technical systems (STS) theory, which </w:t>
      </w:r>
      <w:proofErr w:type="spellStart"/>
      <w:r w:rsidRPr="007643B0">
        <w:t>conceptualises</w:t>
      </w:r>
      <w:proofErr w:type="spellEnd"/>
      <w:r w:rsidRPr="007643B0">
        <w:t xml:space="preserve"> system outcomes as the product of interactions between social and technical subsystems. Accordingly, two complementary data streams were integrated: (a) </w:t>
      </w:r>
      <w:proofErr w:type="spellStart"/>
      <w:r w:rsidRPr="007643B0">
        <w:t>anonymised</w:t>
      </w:r>
      <w:proofErr w:type="spellEnd"/>
      <w:r w:rsidRPr="007643B0">
        <w:t xml:space="preserve"> interaction logs generated by the library’s NLP-based virtual reference assistant (technical subsystem), and (b) survey responses collected from registered student users of the assistant (social subsystem).</w:t>
      </w:r>
    </w:p>
    <w:p w14:paraId="796D2A6E" w14:textId="77777777" w:rsidR="007643B0" w:rsidRPr="007643B0" w:rsidRDefault="007643B0" w:rsidP="007643B0">
      <w:pPr>
        <w:spacing w:line="480" w:lineRule="auto"/>
        <w:jc w:val="both"/>
      </w:pPr>
      <w:r w:rsidRPr="007643B0">
        <w:t>Data were collected over two consecutive academic sessions. To facilitate socio-technical analysis, the two datasets were linked at the individual-user level using a one-way hashed identifier generated by the library's information systems unit. This procedure enabled the matching of users’ perceptions, attitudes, and self-efficacy beliefs with their observed interaction behaviours while preserving anonymity and data confidentiality. All 147 valid survey respondents were successfully matched to at least one interaction session in the log dataset.</w:t>
      </w:r>
    </w:p>
    <w:p w14:paraId="6C01B1B9" w14:textId="77777777" w:rsidR="007643B0" w:rsidRPr="007643B0" w:rsidRDefault="007643B0" w:rsidP="007643B0">
      <w:pPr>
        <w:spacing w:line="480" w:lineRule="auto"/>
        <w:jc w:val="both"/>
      </w:pPr>
      <w:r w:rsidRPr="007643B0">
        <w:t xml:space="preserve">The integrated design enabled the simultaneous examination of technology acceptance factors, behavioural engagement patterns, retrieval outcomes, and session abandonment dynamics. Unlike studies that </w:t>
      </w:r>
      <w:proofErr w:type="spellStart"/>
      <w:r w:rsidRPr="007643B0">
        <w:t>analyse</w:t>
      </w:r>
      <w:proofErr w:type="spellEnd"/>
      <w:r w:rsidRPr="007643B0">
        <w:t xml:space="preserve"> survey and behavioural data independently, the present approach permits direct </w:t>
      </w:r>
      <w:r w:rsidRPr="007643B0">
        <w:lastRenderedPageBreak/>
        <w:t>assessment of how user perceptions translate into actual system use and information-seeking behaviour.</w:t>
      </w:r>
    </w:p>
    <w:p w14:paraId="1E4813F3" w14:textId="77777777" w:rsidR="007643B0" w:rsidRPr="007643B0" w:rsidRDefault="007643B0" w:rsidP="007643B0">
      <w:pPr>
        <w:spacing w:line="480" w:lineRule="auto"/>
        <w:jc w:val="both"/>
        <w:rPr>
          <w:b/>
          <w:bCs/>
        </w:rPr>
      </w:pPr>
      <w:r w:rsidRPr="007643B0">
        <w:rPr>
          <w:b/>
          <w:bCs/>
        </w:rPr>
        <w:t>3.2 Study Context and Population</w:t>
      </w:r>
    </w:p>
    <w:p w14:paraId="4E320A86" w14:textId="77777777" w:rsidR="007643B0" w:rsidRPr="007643B0" w:rsidRDefault="007643B0" w:rsidP="007643B0">
      <w:pPr>
        <w:spacing w:line="480" w:lineRule="auto"/>
        <w:jc w:val="both"/>
      </w:pPr>
      <w:r w:rsidRPr="007643B0">
        <w:t xml:space="preserve">The study was conducted at the university library of a federal university located in South-Eastern Nigeria. The library had deployed a </w:t>
      </w:r>
      <w:proofErr w:type="spellStart"/>
      <w:r w:rsidRPr="007643B0">
        <w:t>Dialogflow</w:t>
      </w:r>
      <w:proofErr w:type="spellEnd"/>
      <w:r w:rsidRPr="007643B0">
        <w:t>-based conversational virtual reference assistant within its web portal to provide support for information discovery, reference enquiries, database access, and remote authentication services.</w:t>
      </w:r>
    </w:p>
    <w:p w14:paraId="70CA87D3" w14:textId="77777777" w:rsidR="007643B0" w:rsidRPr="007643B0" w:rsidRDefault="007643B0" w:rsidP="007643B0">
      <w:pPr>
        <w:spacing w:line="480" w:lineRule="auto"/>
        <w:jc w:val="both"/>
      </w:pPr>
      <w:r w:rsidRPr="007643B0">
        <w:t>The target population comprised all final-year undergraduate and postgraduate students who were registered active users of the virtual reference assistant during the study period. These students constituted the most intensive users of library research services and were therefore considered appropriate for examining engagement and information retrieval behaviour within the system.</w:t>
      </w:r>
    </w:p>
    <w:p w14:paraId="24C99EFE" w14:textId="77777777" w:rsidR="007643B0" w:rsidRPr="007643B0" w:rsidRDefault="007643B0" w:rsidP="007643B0">
      <w:pPr>
        <w:spacing w:line="480" w:lineRule="auto"/>
        <w:jc w:val="both"/>
      </w:pPr>
      <w:r w:rsidRPr="007643B0">
        <w:t xml:space="preserve">Because the population of active users was finite, accessible, and fully identifiable through system records, a census approach was adopted. Census-based studies eliminate sampling error and </w:t>
      </w:r>
      <w:proofErr w:type="spellStart"/>
      <w:r w:rsidRPr="007643B0">
        <w:t>maximise</w:t>
      </w:r>
      <w:proofErr w:type="spellEnd"/>
      <w:r w:rsidRPr="007643B0">
        <w:t xml:space="preserve"> statistical power by including all members of the target population (Hair et al., 2019). Consequently, probability sampling procedures were deemed unnecessary.</w:t>
      </w:r>
    </w:p>
    <w:p w14:paraId="261A5E6C" w14:textId="77777777" w:rsidR="007643B0" w:rsidRPr="007643B0" w:rsidRDefault="007643B0" w:rsidP="007643B0">
      <w:pPr>
        <w:spacing w:line="480" w:lineRule="auto"/>
        <w:jc w:val="both"/>
        <w:rPr>
          <w:b/>
          <w:bCs/>
        </w:rPr>
      </w:pPr>
      <w:r w:rsidRPr="007643B0">
        <w:rPr>
          <w:b/>
          <w:bCs/>
        </w:rPr>
        <w:t>3.3 Sample and Response Rate</w:t>
      </w:r>
    </w:p>
    <w:p w14:paraId="5CA50B42" w14:textId="77777777" w:rsidR="007643B0" w:rsidRPr="007643B0" w:rsidRDefault="007643B0" w:rsidP="007643B0">
      <w:pPr>
        <w:spacing w:line="480" w:lineRule="auto"/>
        <w:jc w:val="both"/>
      </w:pPr>
      <w:r w:rsidRPr="007643B0">
        <w:t>The census frame consisted of 152 registered active users of the virtual reference assistant. Questionnaires were distributed to all 152 users. Of these, 149 questionnaires were returned, representing a response rate of 98.0%. Following data screening, two questionnaires were excluded because of substantial item non-response. No cases were excluded for response-pattern irregularities such as straight-lining. The final sample therefore comprised 147 valid respondents, representing a usable response rate of 96.7%.</w:t>
      </w:r>
    </w:p>
    <w:p w14:paraId="60A82BD0" w14:textId="77777777" w:rsidR="00C972E2" w:rsidRPr="00CE4BA0" w:rsidRDefault="00000000">
      <w:pPr>
        <w:keepNext/>
        <w:keepLines/>
        <w:spacing w:before="240"/>
      </w:pPr>
      <w:r w:rsidRPr="00CE4BA0">
        <w:rPr>
          <w:b/>
          <w:bCs/>
        </w:rPr>
        <w:lastRenderedPageBreak/>
        <w:t>Table 1</w:t>
      </w:r>
    </w:p>
    <w:p w14:paraId="2EA5C705" w14:textId="77777777" w:rsidR="00C972E2" w:rsidRPr="00CE4BA0" w:rsidRDefault="00000000">
      <w:pPr>
        <w:keepNext/>
        <w:keepLines/>
        <w:spacing w:after="120"/>
      </w:pPr>
      <w:r w:rsidRPr="00CE4BA0">
        <w:rPr>
          <w:i/>
          <w:iCs/>
        </w:rPr>
        <w:t>Case-Processing Summary for the Survey Subsystem</w:t>
      </w:r>
    </w:p>
    <w:tbl>
      <w:tblPr>
        <w:tblW w:w="9360" w:type="dxa"/>
        <w:tblCellMar>
          <w:left w:w="10" w:type="dxa"/>
          <w:right w:w="10" w:type="dxa"/>
        </w:tblCellMar>
        <w:tblLook w:val="0000" w:firstRow="0" w:lastRow="0" w:firstColumn="0" w:lastColumn="0" w:noHBand="0" w:noVBand="0"/>
      </w:tblPr>
      <w:tblGrid>
        <w:gridCol w:w="5760"/>
        <w:gridCol w:w="1800"/>
        <w:gridCol w:w="1800"/>
      </w:tblGrid>
      <w:tr w:rsidR="00C972E2" w:rsidRPr="00CE4BA0" w14:paraId="3959A46A" w14:textId="77777777" w:rsidTr="005139CE">
        <w:tblPrEx>
          <w:tblCellMar>
            <w:top w:w="0" w:type="dxa"/>
            <w:bottom w:w="0" w:type="dxa"/>
          </w:tblCellMar>
        </w:tblPrEx>
        <w:trPr>
          <w:tblHeader/>
        </w:trPr>
        <w:tc>
          <w:tcPr>
            <w:tcW w:w="5760" w:type="dxa"/>
            <w:tcBorders>
              <w:top w:val="single" w:sz="4" w:space="0" w:color="auto"/>
              <w:bottom w:val="single" w:sz="4" w:space="0" w:color="auto"/>
            </w:tcBorders>
            <w:tcMar>
              <w:top w:w="60" w:type="dxa"/>
              <w:left w:w="100" w:type="dxa"/>
              <w:bottom w:w="60" w:type="dxa"/>
              <w:right w:w="100" w:type="dxa"/>
            </w:tcMar>
            <w:vAlign w:val="center"/>
          </w:tcPr>
          <w:p w14:paraId="28D0D958" w14:textId="77777777" w:rsidR="00C972E2" w:rsidRPr="00CE4BA0" w:rsidRDefault="00000000">
            <w:r w:rsidRPr="00CE4BA0">
              <w:rPr>
                <w:b/>
                <w:bCs/>
              </w:rPr>
              <w:t>Case category</w:t>
            </w:r>
          </w:p>
        </w:tc>
        <w:tc>
          <w:tcPr>
            <w:tcW w:w="1800" w:type="dxa"/>
            <w:tcBorders>
              <w:top w:val="single" w:sz="4" w:space="0" w:color="auto"/>
              <w:bottom w:val="single" w:sz="4" w:space="0" w:color="auto"/>
            </w:tcBorders>
            <w:tcMar>
              <w:top w:w="60" w:type="dxa"/>
              <w:left w:w="100" w:type="dxa"/>
              <w:bottom w:w="60" w:type="dxa"/>
              <w:right w:w="100" w:type="dxa"/>
            </w:tcMar>
            <w:vAlign w:val="center"/>
          </w:tcPr>
          <w:p w14:paraId="6F2EC63B" w14:textId="77777777" w:rsidR="00C972E2" w:rsidRPr="00CE4BA0" w:rsidRDefault="00000000">
            <w:pPr>
              <w:jc w:val="center"/>
            </w:pPr>
            <w:r w:rsidRPr="00CE4BA0">
              <w:rPr>
                <w:b/>
                <w:bCs/>
              </w:rPr>
              <w:t>n</w:t>
            </w:r>
          </w:p>
        </w:tc>
        <w:tc>
          <w:tcPr>
            <w:tcW w:w="1800" w:type="dxa"/>
            <w:tcBorders>
              <w:top w:val="single" w:sz="4" w:space="0" w:color="auto"/>
              <w:bottom w:val="single" w:sz="4" w:space="0" w:color="auto"/>
            </w:tcBorders>
            <w:tcMar>
              <w:top w:w="60" w:type="dxa"/>
              <w:left w:w="100" w:type="dxa"/>
              <w:bottom w:w="60" w:type="dxa"/>
              <w:right w:w="100" w:type="dxa"/>
            </w:tcMar>
            <w:vAlign w:val="center"/>
          </w:tcPr>
          <w:p w14:paraId="7077A74A" w14:textId="77777777" w:rsidR="00C972E2" w:rsidRPr="00CE4BA0" w:rsidRDefault="00000000">
            <w:pPr>
              <w:jc w:val="center"/>
            </w:pPr>
            <w:r w:rsidRPr="00CE4BA0">
              <w:rPr>
                <w:b/>
                <w:bCs/>
              </w:rPr>
              <w:t>%</w:t>
            </w:r>
          </w:p>
        </w:tc>
      </w:tr>
      <w:tr w:rsidR="00C972E2" w:rsidRPr="00CE4BA0" w14:paraId="2FF1C6BE" w14:textId="77777777" w:rsidTr="005139CE">
        <w:tblPrEx>
          <w:tblCellMar>
            <w:top w:w="0" w:type="dxa"/>
            <w:bottom w:w="0" w:type="dxa"/>
          </w:tblCellMar>
        </w:tblPrEx>
        <w:tc>
          <w:tcPr>
            <w:tcW w:w="5760" w:type="dxa"/>
            <w:tcBorders>
              <w:top w:val="single" w:sz="4" w:space="0" w:color="auto"/>
            </w:tcBorders>
            <w:tcMar>
              <w:top w:w="60" w:type="dxa"/>
              <w:left w:w="100" w:type="dxa"/>
              <w:bottom w:w="60" w:type="dxa"/>
              <w:right w:w="100" w:type="dxa"/>
            </w:tcMar>
            <w:vAlign w:val="center"/>
          </w:tcPr>
          <w:p w14:paraId="3F054AF4" w14:textId="77777777" w:rsidR="00C972E2" w:rsidRPr="00CE4BA0" w:rsidRDefault="00000000">
            <w:r w:rsidRPr="00CE4BA0">
              <w:t>Census frame (registered active users)</w:t>
            </w:r>
          </w:p>
        </w:tc>
        <w:tc>
          <w:tcPr>
            <w:tcW w:w="1800" w:type="dxa"/>
            <w:tcBorders>
              <w:top w:val="single" w:sz="4" w:space="0" w:color="auto"/>
            </w:tcBorders>
            <w:tcMar>
              <w:top w:w="60" w:type="dxa"/>
              <w:left w:w="100" w:type="dxa"/>
              <w:bottom w:w="60" w:type="dxa"/>
              <w:right w:w="100" w:type="dxa"/>
            </w:tcMar>
            <w:vAlign w:val="center"/>
          </w:tcPr>
          <w:p w14:paraId="49194151" w14:textId="77777777" w:rsidR="00C972E2" w:rsidRPr="00CE4BA0" w:rsidRDefault="00000000">
            <w:pPr>
              <w:jc w:val="center"/>
            </w:pPr>
            <w:r w:rsidRPr="00CE4BA0">
              <w:t>152</w:t>
            </w:r>
          </w:p>
        </w:tc>
        <w:tc>
          <w:tcPr>
            <w:tcW w:w="1800" w:type="dxa"/>
            <w:tcBorders>
              <w:top w:val="single" w:sz="4" w:space="0" w:color="auto"/>
            </w:tcBorders>
            <w:tcMar>
              <w:top w:w="60" w:type="dxa"/>
              <w:left w:w="100" w:type="dxa"/>
              <w:bottom w:w="60" w:type="dxa"/>
              <w:right w:w="100" w:type="dxa"/>
            </w:tcMar>
            <w:vAlign w:val="center"/>
          </w:tcPr>
          <w:p w14:paraId="68EB8F9F" w14:textId="77777777" w:rsidR="00C972E2" w:rsidRPr="00CE4BA0" w:rsidRDefault="00000000">
            <w:pPr>
              <w:jc w:val="center"/>
            </w:pPr>
            <w:r w:rsidRPr="00CE4BA0">
              <w:t>100.0</w:t>
            </w:r>
          </w:p>
        </w:tc>
      </w:tr>
      <w:tr w:rsidR="00C972E2" w:rsidRPr="00CE4BA0" w14:paraId="7A429951" w14:textId="77777777" w:rsidTr="005139CE">
        <w:tblPrEx>
          <w:tblCellMar>
            <w:top w:w="0" w:type="dxa"/>
            <w:bottom w:w="0" w:type="dxa"/>
          </w:tblCellMar>
        </w:tblPrEx>
        <w:tc>
          <w:tcPr>
            <w:tcW w:w="5760" w:type="dxa"/>
            <w:tcMar>
              <w:top w:w="60" w:type="dxa"/>
              <w:left w:w="100" w:type="dxa"/>
              <w:bottom w:w="60" w:type="dxa"/>
              <w:right w:w="100" w:type="dxa"/>
            </w:tcMar>
            <w:vAlign w:val="center"/>
          </w:tcPr>
          <w:p w14:paraId="696223CA" w14:textId="77777777" w:rsidR="00C972E2" w:rsidRPr="00CE4BA0" w:rsidRDefault="00000000">
            <w:r w:rsidRPr="00CE4BA0">
              <w:t>Questionnaires administered</w:t>
            </w:r>
          </w:p>
        </w:tc>
        <w:tc>
          <w:tcPr>
            <w:tcW w:w="1800" w:type="dxa"/>
            <w:tcMar>
              <w:top w:w="60" w:type="dxa"/>
              <w:left w:w="100" w:type="dxa"/>
              <w:bottom w:w="60" w:type="dxa"/>
              <w:right w:w="100" w:type="dxa"/>
            </w:tcMar>
            <w:vAlign w:val="center"/>
          </w:tcPr>
          <w:p w14:paraId="7503E222" w14:textId="77777777" w:rsidR="00C972E2" w:rsidRPr="00CE4BA0" w:rsidRDefault="00000000">
            <w:pPr>
              <w:jc w:val="center"/>
            </w:pPr>
            <w:r w:rsidRPr="00CE4BA0">
              <w:t>152</w:t>
            </w:r>
          </w:p>
        </w:tc>
        <w:tc>
          <w:tcPr>
            <w:tcW w:w="1800" w:type="dxa"/>
            <w:tcMar>
              <w:top w:w="60" w:type="dxa"/>
              <w:left w:w="100" w:type="dxa"/>
              <w:bottom w:w="60" w:type="dxa"/>
              <w:right w:w="100" w:type="dxa"/>
            </w:tcMar>
            <w:vAlign w:val="center"/>
          </w:tcPr>
          <w:p w14:paraId="310725D1" w14:textId="77777777" w:rsidR="00C972E2" w:rsidRPr="00CE4BA0" w:rsidRDefault="00000000">
            <w:pPr>
              <w:jc w:val="center"/>
            </w:pPr>
            <w:r w:rsidRPr="00CE4BA0">
              <w:t>100.0</w:t>
            </w:r>
          </w:p>
        </w:tc>
      </w:tr>
      <w:tr w:rsidR="00C972E2" w:rsidRPr="00CE4BA0" w14:paraId="676273E3" w14:textId="77777777" w:rsidTr="005139CE">
        <w:tblPrEx>
          <w:tblCellMar>
            <w:top w:w="0" w:type="dxa"/>
            <w:bottom w:w="0" w:type="dxa"/>
          </w:tblCellMar>
        </w:tblPrEx>
        <w:tc>
          <w:tcPr>
            <w:tcW w:w="5760" w:type="dxa"/>
            <w:tcMar>
              <w:top w:w="60" w:type="dxa"/>
              <w:left w:w="100" w:type="dxa"/>
              <w:bottom w:w="60" w:type="dxa"/>
              <w:right w:w="100" w:type="dxa"/>
            </w:tcMar>
            <w:vAlign w:val="center"/>
          </w:tcPr>
          <w:p w14:paraId="6800A2D2" w14:textId="77777777" w:rsidR="00C972E2" w:rsidRPr="00CE4BA0" w:rsidRDefault="00000000">
            <w:r w:rsidRPr="00CE4BA0">
              <w:t>Returned</w:t>
            </w:r>
          </w:p>
        </w:tc>
        <w:tc>
          <w:tcPr>
            <w:tcW w:w="1800" w:type="dxa"/>
            <w:tcMar>
              <w:top w:w="60" w:type="dxa"/>
              <w:left w:w="100" w:type="dxa"/>
              <w:bottom w:w="60" w:type="dxa"/>
              <w:right w:w="100" w:type="dxa"/>
            </w:tcMar>
            <w:vAlign w:val="center"/>
          </w:tcPr>
          <w:p w14:paraId="7B734FCA" w14:textId="77777777" w:rsidR="00C972E2" w:rsidRPr="00CE4BA0" w:rsidRDefault="00000000">
            <w:pPr>
              <w:jc w:val="center"/>
            </w:pPr>
            <w:r w:rsidRPr="00CE4BA0">
              <w:t>149</w:t>
            </w:r>
          </w:p>
        </w:tc>
        <w:tc>
          <w:tcPr>
            <w:tcW w:w="1800" w:type="dxa"/>
            <w:tcMar>
              <w:top w:w="60" w:type="dxa"/>
              <w:left w:w="100" w:type="dxa"/>
              <w:bottom w:w="60" w:type="dxa"/>
              <w:right w:w="100" w:type="dxa"/>
            </w:tcMar>
            <w:vAlign w:val="center"/>
          </w:tcPr>
          <w:p w14:paraId="11C9021B" w14:textId="77777777" w:rsidR="00C972E2" w:rsidRPr="00CE4BA0" w:rsidRDefault="00000000">
            <w:pPr>
              <w:jc w:val="center"/>
            </w:pPr>
            <w:r w:rsidRPr="00CE4BA0">
              <w:t>98.0</w:t>
            </w:r>
          </w:p>
        </w:tc>
      </w:tr>
      <w:tr w:rsidR="00C972E2" w:rsidRPr="00CE4BA0" w14:paraId="6EE91FBA" w14:textId="77777777" w:rsidTr="005139CE">
        <w:tblPrEx>
          <w:tblCellMar>
            <w:top w:w="0" w:type="dxa"/>
            <w:bottom w:w="0" w:type="dxa"/>
          </w:tblCellMar>
        </w:tblPrEx>
        <w:tc>
          <w:tcPr>
            <w:tcW w:w="5760" w:type="dxa"/>
            <w:tcMar>
              <w:top w:w="60" w:type="dxa"/>
              <w:left w:w="100" w:type="dxa"/>
              <w:bottom w:w="60" w:type="dxa"/>
              <w:right w:w="100" w:type="dxa"/>
            </w:tcMar>
            <w:vAlign w:val="center"/>
          </w:tcPr>
          <w:p w14:paraId="4704C081" w14:textId="77777777" w:rsidR="00C972E2" w:rsidRPr="00CE4BA0" w:rsidRDefault="00000000">
            <w:r w:rsidRPr="00CE4BA0">
              <w:t>Excluded — incomplete</w:t>
            </w:r>
          </w:p>
        </w:tc>
        <w:tc>
          <w:tcPr>
            <w:tcW w:w="1800" w:type="dxa"/>
            <w:tcMar>
              <w:top w:w="60" w:type="dxa"/>
              <w:left w:w="100" w:type="dxa"/>
              <w:bottom w:w="60" w:type="dxa"/>
              <w:right w:w="100" w:type="dxa"/>
            </w:tcMar>
            <w:vAlign w:val="center"/>
          </w:tcPr>
          <w:p w14:paraId="1C59E411" w14:textId="77777777" w:rsidR="00C972E2" w:rsidRPr="00CE4BA0" w:rsidRDefault="00000000">
            <w:pPr>
              <w:jc w:val="center"/>
            </w:pPr>
            <w:r w:rsidRPr="00CE4BA0">
              <w:t>2</w:t>
            </w:r>
          </w:p>
        </w:tc>
        <w:tc>
          <w:tcPr>
            <w:tcW w:w="1800" w:type="dxa"/>
            <w:tcMar>
              <w:top w:w="60" w:type="dxa"/>
              <w:left w:w="100" w:type="dxa"/>
              <w:bottom w:w="60" w:type="dxa"/>
              <w:right w:w="100" w:type="dxa"/>
            </w:tcMar>
            <w:vAlign w:val="center"/>
          </w:tcPr>
          <w:p w14:paraId="3F8F136D" w14:textId="77777777" w:rsidR="00C972E2" w:rsidRPr="00CE4BA0" w:rsidRDefault="00000000">
            <w:pPr>
              <w:jc w:val="center"/>
            </w:pPr>
            <w:r w:rsidRPr="00CE4BA0">
              <w:t>1.3</w:t>
            </w:r>
          </w:p>
        </w:tc>
      </w:tr>
      <w:tr w:rsidR="00C972E2" w:rsidRPr="00CE4BA0" w14:paraId="0D1BE124" w14:textId="77777777" w:rsidTr="005139CE">
        <w:tblPrEx>
          <w:tblCellMar>
            <w:top w:w="0" w:type="dxa"/>
            <w:bottom w:w="0" w:type="dxa"/>
          </w:tblCellMar>
        </w:tblPrEx>
        <w:tc>
          <w:tcPr>
            <w:tcW w:w="5760" w:type="dxa"/>
            <w:tcMar>
              <w:top w:w="60" w:type="dxa"/>
              <w:left w:w="100" w:type="dxa"/>
              <w:bottom w:w="60" w:type="dxa"/>
              <w:right w:w="100" w:type="dxa"/>
            </w:tcMar>
            <w:vAlign w:val="center"/>
          </w:tcPr>
          <w:p w14:paraId="00730854" w14:textId="77777777" w:rsidR="00C972E2" w:rsidRPr="00CE4BA0" w:rsidRDefault="00000000">
            <w:r w:rsidRPr="00CE4BA0">
              <w:t>Excluded — invalid response pattern</w:t>
            </w:r>
          </w:p>
        </w:tc>
        <w:tc>
          <w:tcPr>
            <w:tcW w:w="1800" w:type="dxa"/>
            <w:tcMar>
              <w:top w:w="60" w:type="dxa"/>
              <w:left w:w="100" w:type="dxa"/>
              <w:bottom w:w="60" w:type="dxa"/>
              <w:right w:w="100" w:type="dxa"/>
            </w:tcMar>
            <w:vAlign w:val="center"/>
          </w:tcPr>
          <w:p w14:paraId="58132567" w14:textId="77777777" w:rsidR="00C972E2" w:rsidRPr="00CE4BA0" w:rsidRDefault="00000000">
            <w:pPr>
              <w:jc w:val="center"/>
            </w:pPr>
            <w:r w:rsidRPr="00CE4BA0">
              <w:t>0</w:t>
            </w:r>
          </w:p>
        </w:tc>
        <w:tc>
          <w:tcPr>
            <w:tcW w:w="1800" w:type="dxa"/>
            <w:tcMar>
              <w:top w:w="60" w:type="dxa"/>
              <w:left w:w="100" w:type="dxa"/>
              <w:bottom w:w="60" w:type="dxa"/>
              <w:right w:w="100" w:type="dxa"/>
            </w:tcMar>
            <w:vAlign w:val="center"/>
          </w:tcPr>
          <w:p w14:paraId="718EC4AC" w14:textId="77777777" w:rsidR="00C972E2" w:rsidRPr="00CE4BA0" w:rsidRDefault="00000000">
            <w:pPr>
              <w:jc w:val="center"/>
            </w:pPr>
            <w:r w:rsidRPr="00CE4BA0">
              <w:t>0.0</w:t>
            </w:r>
          </w:p>
        </w:tc>
      </w:tr>
      <w:tr w:rsidR="00C972E2" w:rsidRPr="00CE4BA0" w14:paraId="7662936D" w14:textId="77777777" w:rsidTr="005139CE">
        <w:tblPrEx>
          <w:tblCellMar>
            <w:top w:w="0" w:type="dxa"/>
            <w:bottom w:w="0" w:type="dxa"/>
          </w:tblCellMar>
        </w:tblPrEx>
        <w:tc>
          <w:tcPr>
            <w:tcW w:w="5760" w:type="dxa"/>
            <w:tcBorders>
              <w:bottom w:val="single" w:sz="4" w:space="0" w:color="auto"/>
            </w:tcBorders>
            <w:tcMar>
              <w:top w:w="60" w:type="dxa"/>
              <w:left w:w="100" w:type="dxa"/>
              <w:bottom w:w="60" w:type="dxa"/>
              <w:right w:w="100" w:type="dxa"/>
            </w:tcMar>
            <w:vAlign w:val="center"/>
          </w:tcPr>
          <w:p w14:paraId="0198CFDD" w14:textId="77777777" w:rsidR="00C972E2" w:rsidRPr="00CE4BA0" w:rsidRDefault="00000000">
            <w:r w:rsidRPr="00CE4BA0">
              <w:t xml:space="preserve">Valid cases </w:t>
            </w:r>
            <w:proofErr w:type="spellStart"/>
            <w:r w:rsidRPr="00CE4BA0">
              <w:t>analysed</w:t>
            </w:r>
            <w:proofErr w:type="spellEnd"/>
          </w:p>
        </w:tc>
        <w:tc>
          <w:tcPr>
            <w:tcW w:w="1800" w:type="dxa"/>
            <w:tcBorders>
              <w:bottom w:val="single" w:sz="4" w:space="0" w:color="auto"/>
            </w:tcBorders>
            <w:tcMar>
              <w:top w:w="60" w:type="dxa"/>
              <w:left w:w="100" w:type="dxa"/>
              <w:bottom w:w="60" w:type="dxa"/>
              <w:right w:w="100" w:type="dxa"/>
            </w:tcMar>
            <w:vAlign w:val="center"/>
          </w:tcPr>
          <w:p w14:paraId="5E6B0416" w14:textId="77777777" w:rsidR="00C972E2" w:rsidRPr="00CE4BA0" w:rsidRDefault="00000000">
            <w:pPr>
              <w:jc w:val="center"/>
            </w:pPr>
            <w:r w:rsidRPr="00CE4BA0">
              <w:t>147</w:t>
            </w:r>
          </w:p>
        </w:tc>
        <w:tc>
          <w:tcPr>
            <w:tcW w:w="1800" w:type="dxa"/>
            <w:tcBorders>
              <w:bottom w:val="single" w:sz="4" w:space="0" w:color="auto"/>
            </w:tcBorders>
            <w:tcMar>
              <w:top w:w="60" w:type="dxa"/>
              <w:left w:w="100" w:type="dxa"/>
              <w:bottom w:w="60" w:type="dxa"/>
              <w:right w:w="100" w:type="dxa"/>
            </w:tcMar>
            <w:vAlign w:val="center"/>
          </w:tcPr>
          <w:p w14:paraId="4A889FAD" w14:textId="77777777" w:rsidR="00C972E2" w:rsidRPr="00CE4BA0" w:rsidRDefault="00000000">
            <w:pPr>
              <w:jc w:val="center"/>
            </w:pPr>
            <w:r w:rsidRPr="00CE4BA0">
              <w:t>96.7</w:t>
            </w:r>
          </w:p>
        </w:tc>
      </w:tr>
    </w:tbl>
    <w:p w14:paraId="3EBEA5CC" w14:textId="77777777" w:rsidR="00C972E2" w:rsidRPr="00CE4BA0" w:rsidRDefault="00000000">
      <w:pPr>
        <w:spacing w:before="80" w:after="240"/>
      </w:pPr>
      <w:r w:rsidRPr="00CE4BA0">
        <w:rPr>
          <w:i/>
          <w:iCs/>
        </w:rPr>
        <w:t xml:space="preserve">Note. </w:t>
      </w:r>
      <w:r w:rsidRPr="00CE4BA0">
        <w:t>Listwise deletion was applied to all subsequent reliability and regression procedures.</w:t>
      </w:r>
    </w:p>
    <w:p w14:paraId="40312847" w14:textId="77777777" w:rsidR="005139CE" w:rsidRPr="005139CE" w:rsidRDefault="005139CE" w:rsidP="005139CE">
      <w:pPr>
        <w:spacing w:line="480" w:lineRule="auto"/>
      </w:pPr>
      <w:r w:rsidRPr="005139CE">
        <w:t>For the technical subsystem, the conversational log database initially contained 3,824 recorded sessions generated by the 147 respondents. Following data cleaning procedures, which involved the removal of system-testing records, duplicate sessions, and interactions containing fewer than one interpretable conversational turn, 3,612 valid sessions were retained for analysis. Each retained session was linked to a corresponding survey respondent through the hashed identifier.</w:t>
      </w:r>
    </w:p>
    <w:p w14:paraId="75FD64CF" w14:textId="77777777" w:rsidR="005139CE" w:rsidRPr="005139CE" w:rsidRDefault="005139CE" w:rsidP="005139CE">
      <w:pPr>
        <w:spacing w:line="480" w:lineRule="auto"/>
        <w:rPr>
          <w:b/>
          <w:bCs/>
        </w:rPr>
      </w:pPr>
      <w:r w:rsidRPr="005139CE">
        <w:rPr>
          <w:b/>
          <w:bCs/>
        </w:rPr>
        <w:t>3.4 Instrumentation</w:t>
      </w:r>
    </w:p>
    <w:p w14:paraId="15114C24" w14:textId="77777777" w:rsidR="005139CE" w:rsidRPr="005139CE" w:rsidRDefault="005139CE" w:rsidP="005139CE">
      <w:pPr>
        <w:spacing w:line="480" w:lineRule="auto"/>
        <w:jc w:val="both"/>
      </w:pPr>
      <w:r w:rsidRPr="005139CE">
        <w:t>The survey instrument consisted of two sections. The first collected demographic information, while the second measured the latent constructs included in the conceptual framework.</w:t>
      </w:r>
    </w:p>
    <w:p w14:paraId="53A2CD21" w14:textId="77777777" w:rsidR="005139CE" w:rsidRPr="005139CE" w:rsidRDefault="005139CE" w:rsidP="005139CE">
      <w:pPr>
        <w:spacing w:line="480" w:lineRule="auto"/>
        <w:jc w:val="both"/>
      </w:pPr>
      <w:r w:rsidRPr="005139CE">
        <w:t>Items measuring performance expectancy, effort expectancy, social influence, and facilitating conditions were adapted from the Unified Theory of Acceptance and Use of Technology (UTAUT) instrument developed by Venkatesh et al. (2003). Additional scales were developed to measure research self-efficacy and behavioural engagement within the context of conversational virtual reference services.</w:t>
      </w:r>
    </w:p>
    <w:p w14:paraId="27A452D7" w14:textId="77777777" w:rsidR="005139CE" w:rsidRPr="005139CE" w:rsidRDefault="005139CE" w:rsidP="005139CE">
      <w:pPr>
        <w:spacing w:line="480" w:lineRule="auto"/>
        <w:jc w:val="both"/>
      </w:pPr>
      <w:r w:rsidRPr="005139CE">
        <w:t>Responses were measured using a four-point Likert-type scale ranging from 1 (</w:t>
      </w:r>
      <w:r w:rsidRPr="005139CE">
        <w:rPr>
          <w:i/>
          <w:iCs/>
        </w:rPr>
        <w:t>Strongly Disagree</w:t>
      </w:r>
      <w:r w:rsidRPr="005139CE">
        <w:t>) to 4 (</w:t>
      </w:r>
      <w:r w:rsidRPr="005139CE">
        <w:rPr>
          <w:i/>
          <w:iCs/>
        </w:rPr>
        <w:t>Strongly Agree</w:t>
      </w:r>
      <w:r w:rsidRPr="005139CE">
        <w:t>). The forced-choice format was adopted to reduce central tendency bias and encourage greater response discrimination.</w:t>
      </w:r>
    </w:p>
    <w:p w14:paraId="660AD280" w14:textId="77777777" w:rsidR="005139CE" w:rsidRPr="005139CE" w:rsidRDefault="005139CE" w:rsidP="005139CE">
      <w:pPr>
        <w:spacing w:line="480" w:lineRule="auto"/>
        <w:ind w:firstLine="720"/>
        <w:jc w:val="both"/>
      </w:pPr>
      <w:r w:rsidRPr="005139CE">
        <w:lastRenderedPageBreak/>
        <w:t>The final instrument comprised 26 items distributed across six constructs:</w:t>
      </w:r>
    </w:p>
    <w:p w14:paraId="483A74E1" w14:textId="77777777" w:rsidR="005139CE" w:rsidRPr="005139CE" w:rsidRDefault="005139CE" w:rsidP="005139CE">
      <w:pPr>
        <w:numPr>
          <w:ilvl w:val="0"/>
          <w:numId w:val="2"/>
        </w:numPr>
        <w:spacing w:line="480" w:lineRule="auto"/>
        <w:jc w:val="both"/>
      </w:pPr>
      <w:r w:rsidRPr="005139CE">
        <w:t xml:space="preserve">Performance Expectancy (4 items) </w:t>
      </w:r>
    </w:p>
    <w:p w14:paraId="05A2C9A9" w14:textId="77777777" w:rsidR="005139CE" w:rsidRPr="005139CE" w:rsidRDefault="005139CE" w:rsidP="005139CE">
      <w:pPr>
        <w:numPr>
          <w:ilvl w:val="0"/>
          <w:numId w:val="2"/>
        </w:numPr>
        <w:spacing w:line="480" w:lineRule="auto"/>
        <w:jc w:val="both"/>
      </w:pPr>
      <w:r w:rsidRPr="005139CE">
        <w:t xml:space="preserve">Effort Expectancy (4 items) </w:t>
      </w:r>
    </w:p>
    <w:p w14:paraId="511F1DC7" w14:textId="77777777" w:rsidR="005139CE" w:rsidRPr="005139CE" w:rsidRDefault="005139CE" w:rsidP="005139CE">
      <w:pPr>
        <w:numPr>
          <w:ilvl w:val="0"/>
          <w:numId w:val="2"/>
        </w:numPr>
        <w:spacing w:line="480" w:lineRule="auto"/>
        <w:jc w:val="both"/>
      </w:pPr>
      <w:r w:rsidRPr="005139CE">
        <w:t xml:space="preserve">Social Influence (4 items) </w:t>
      </w:r>
    </w:p>
    <w:p w14:paraId="31C63CC7" w14:textId="77777777" w:rsidR="005139CE" w:rsidRPr="005139CE" w:rsidRDefault="005139CE" w:rsidP="005139CE">
      <w:pPr>
        <w:numPr>
          <w:ilvl w:val="0"/>
          <w:numId w:val="2"/>
        </w:numPr>
        <w:spacing w:line="480" w:lineRule="auto"/>
        <w:jc w:val="both"/>
      </w:pPr>
      <w:r w:rsidRPr="005139CE">
        <w:t xml:space="preserve">Facilitating Conditions (4 items) </w:t>
      </w:r>
    </w:p>
    <w:p w14:paraId="1D165DD6" w14:textId="77777777" w:rsidR="005139CE" w:rsidRPr="005139CE" w:rsidRDefault="005139CE" w:rsidP="005139CE">
      <w:pPr>
        <w:numPr>
          <w:ilvl w:val="0"/>
          <w:numId w:val="2"/>
        </w:numPr>
        <w:spacing w:line="480" w:lineRule="auto"/>
        <w:jc w:val="both"/>
      </w:pPr>
      <w:r w:rsidRPr="005139CE">
        <w:t xml:space="preserve">Research Self-Efficacy (5 items) </w:t>
      </w:r>
    </w:p>
    <w:p w14:paraId="7E1A8F6A" w14:textId="77777777" w:rsidR="005139CE" w:rsidRPr="005139CE" w:rsidRDefault="005139CE" w:rsidP="005139CE">
      <w:pPr>
        <w:numPr>
          <w:ilvl w:val="0"/>
          <w:numId w:val="2"/>
        </w:numPr>
        <w:spacing w:line="480" w:lineRule="auto"/>
        <w:jc w:val="both"/>
      </w:pPr>
      <w:r w:rsidRPr="005139CE">
        <w:t xml:space="preserve">Behavioural Engagement (5 items) </w:t>
      </w:r>
    </w:p>
    <w:p w14:paraId="5BFCC9F2" w14:textId="5E72A9FE" w:rsidR="005139CE" w:rsidRPr="005139CE" w:rsidRDefault="005139CE" w:rsidP="005139CE">
      <w:pPr>
        <w:spacing w:line="480" w:lineRule="auto"/>
        <w:ind w:firstLine="720"/>
      </w:pPr>
    </w:p>
    <w:p w14:paraId="0BDC2D3F" w14:textId="77777777" w:rsidR="005139CE" w:rsidRPr="005139CE" w:rsidRDefault="005139CE" w:rsidP="005139CE">
      <w:pPr>
        <w:spacing w:line="480" w:lineRule="auto"/>
        <w:rPr>
          <w:b/>
          <w:bCs/>
        </w:rPr>
      </w:pPr>
      <w:r w:rsidRPr="005139CE">
        <w:rPr>
          <w:b/>
          <w:bCs/>
        </w:rPr>
        <w:t>3.5 Validity and Reliability of the Instrument</w:t>
      </w:r>
    </w:p>
    <w:p w14:paraId="18C085AF" w14:textId="77777777" w:rsidR="005139CE" w:rsidRPr="005139CE" w:rsidRDefault="005139CE" w:rsidP="005139CE">
      <w:pPr>
        <w:spacing w:line="480" w:lineRule="auto"/>
        <w:jc w:val="both"/>
      </w:pPr>
      <w:r w:rsidRPr="005139CE">
        <w:t>Content validity was established through expert review involving three senior academics in Library and Information Science and one statistician. The experts evaluated item relevance, clarity, representativeness, and alignment with the study objectives. Their recommendations informed subsequent revisions to the instrument.</w:t>
      </w:r>
    </w:p>
    <w:p w14:paraId="2CD53C1A" w14:textId="77777777" w:rsidR="005139CE" w:rsidRPr="005139CE" w:rsidRDefault="005139CE" w:rsidP="005139CE">
      <w:pPr>
        <w:spacing w:line="480" w:lineRule="auto"/>
        <w:jc w:val="both"/>
      </w:pPr>
      <w:r w:rsidRPr="005139CE">
        <w:t>Construct validity was assessed using exploratory factor analysis (EFA). Factor loadings indicated satisfactory convergence, with all retained items loading at or above the recommended threshold of 0.50 on their intended constructs and exhibiting no substantial cross-loadings. These results provided evidence of acceptable construct validity.</w:t>
      </w:r>
    </w:p>
    <w:p w14:paraId="5D40A6C7" w14:textId="7EAA1849" w:rsidR="00C972E2" w:rsidRPr="00CE4BA0" w:rsidRDefault="005139CE" w:rsidP="005139CE">
      <w:pPr>
        <w:spacing w:line="480" w:lineRule="auto"/>
        <w:jc w:val="both"/>
      </w:pPr>
      <w:r w:rsidRPr="005139CE">
        <w:t>Internal consistency reliability was evaluated using Cronbach’s alpha coefficient (Cronbach, 1951). Table 2 presents the reliability coefficients and descriptive statistics for the study constructs.</w:t>
      </w:r>
    </w:p>
    <w:p w14:paraId="4EA63374" w14:textId="77777777" w:rsidR="005139CE" w:rsidRDefault="005139CE">
      <w:pPr>
        <w:rPr>
          <w:b/>
          <w:bCs/>
        </w:rPr>
      </w:pPr>
      <w:r>
        <w:rPr>
          <w:b/>
          <w:bCs/>
        </w:rPr>
        <w:br w:type="page"/>
      </w:r>
    </w:p>
    <w:p w14:paraId="144B0E84" w14:textId="075478AD" w:rsidR="00C972E2" w:rsidRPr="00CE4BA0" w:rsidRDefault="00000000">
      <w:pPr>
        <w:keepNext/>
        <w:keepLines/>
        <w:spacing w:before="240"/>
      </w:pPr>
      <w:r w:rsidRPr="00CE4BA0">
        <w:rPr>
          <w:b/>
          <w:bCs/>
        </w:rPr>
        <w:lastRenderedPageBreak/>
        <w:t>Table 2</w:t>
      </w:r>
    </w:p>
    <w:p w14:paraId="1E7898D9" w14:textId="77777777" w:rsidR="00C972E2" w:rsidRPr="00CE4BA0" w:rsidRDefault="00000000">
      <w:pPr>
        <w:keepNext/>
        <w:keepLines/>
        <w:spacing w:after="120"/>
      </w:pPr>
      <w:r w:rsidRPr="00CE4BA0">
        <w:rPr>
          <w:i/>
          <w:iCs/>
        </w:rPr>
        <w:t>Construct Reliability and Descriptive Statistics (N = 147)</w:t>
      </w:r>
    </w:p>
    <w:tbl>
      <w:tblPr>
        <w:tblW w:w="9360" w:type="dxa"/>
        <w:tblCellMar>
          <w:left w:w="10" w:type="dxa"/>
          <w:right w:w="10" w:type="dxa"/>
        </w:tblCellMar>
        <w:tblLook w:val="0000" w:firstRow="0" w:lastRow="0" w:firstColumn="0" w:lastColumn="0" w:noHBand="0" w:noVBand="0"/>
      </w:tblPr>
      <w:tblGrid>
        <w:gridCol w:w="3960"/>
        <w:gridCol w:w="1200"/>
        <w:gridCol w:w="1200"/>
        <w:gridCol w:w="1500"/>
        <w:gridCol w:w="1500"/>
      </w:tblGrid>
      <w:tr w:rsidR="00C972E2" w:rsidRPr="00CE4BA0" w14:paraId="6AF4AB05" w14:textId="77777777" w:rsidTr="005139CE">
        <w:tblPrEx>
          <w:tblCellMar>
            <w:top w:w="0" w:type="dxa"/>
            <w:bottom w:w="0" w:type="dxa"/>
          </w:tblCellMar>
        </w:tblPrEx>
        <w:trPr>
          <w:tblHeader/>
        </w:trPr>
        <w:tc>
          <w:tcPr>
            <w:tcW w:w="3960" w:type="dxa"/>
            <w:tcBorders>
              <w:top w:val="single" w:sz="4" w:space="0" w:color="auto"/>
              <w:bottom w:val="single" w:sz="4" w:space="0" w:color="auto"/>
            </w:tcBorders>
            <w:tcMar>
              <w:top w:w="60" w:type="dxa"/>
              <w:left w:w="100" w:type="dxa"/>
              <w:bottom w:w="60" w:type="dxa"/>
              <w:right w:w="100" w:type="dxa"/>
            </w:tcMar>
            <w:vAlign w:val="center"/>
          </w:tcPr>
          <w:p w14:paraId="138C8DD5" w14:textId="77777777" w:rsidR="00C972E2" w:rsidRPr="00CE4BA0" w:rsidRDefault="00000000">
            <w:r w:rsidRPr="00CE4BA0">
              <w:rPr>
                <w:b/>
                <w:bCs/>
              </w:rPr>
              <w:t>Construct</w:t>
            </w:r>
          </w:p>
        </w:tc>
        <w:tc>
          <w:tcPr>
            <w:tcW w:w="1200" w:type="dxa"/>
            <w:tcBorders>
              <w:top w:val="single" w:sz="4" w:space="0" w:color="auto"/>
              <w:bottom w:val="single" w:sz="4" w:space="0" w:color="auto"/>
            </w:tcBorders>
            <w:tcMar>
              <w:top w:w="60" w:type="dxa"/>
              <w:left w:w="100" w:type="dxa"/>
              <w:bottom w:w="60" w:type="dxa"/>
              <w:right w:w="100" w:type="dxa"/>
            </w:tcMar>
            <w:vAlign w:val="center"/>
          </w:tcPr>
          <w:p w14:paraId="1229E56B" w14:textId="77777777" w:rsidR="00C972E2" w:rsidRPr="00CE4BA0" w:rsidRDefault="00000000">
            <w:pPr>
              <w:jc w:val="center"/>
            </w:pPr>
            <w:r w:rsidRPr="00CE4BA0">
              <w:rPr>
                <w:b/>
                <w:bCs/>
              </w:rPr>
              <w:t>Items</w:t>
            </w:r>
          </w:p>
        </w:tc>
        <w:tc>
          <w:tcPr>
            <w:tcW w:w="1200" w:type="dxa"/>
            <w:tcBorders>
              <w:top w:val="single" w:sz="4" w:space="0" w:color="auto"/>
              <w:bottom w:val="single" w:sz="4" w:space="0" w:color="auto"/>
            </w:tcBorders>
            <w:tcMar>
              <w:top w:w="60" w:type="dxa"/>
              <w:left w:w="100" w:type="dxa"/>
              <w:bottom w:w="60" w:type="dxa"/>
              <w:right w:w="100" w:type="dxa"/>
            </w:tcMar>
            <w:vAlign w:val="center"/>
          </w:tcPr>
          <w:p w14:paraId="6C5306D2" w14:textId="77777777" w:rsidR="00C972E2" w:rsidRPr="00CE4BA0" w:rsidRDefault="00000000">
            <w:pPr>
              <w:jc w:val="center"/>
            </w:pPr>
            <w:r w:rsidRPr="00CE4BA0">
              <w:rPr>
                <w:b/>
                <w:bCs/>
              </w:rPr>
              <w:t>α</w:t>
            </w:r>
          </w:p>
        </w:tc>
        <w:tc>
          <w:tcPr>
            <w:tcW w:w="1500" w:type="dxa"/>
            <w:tcBorders>
              <w:top w:val="single" w:sz="4" w:space="0" w:color="auto"/>
              <w:bottom w:val="single" w:sz="4" w:space="0" w:color="auto"/>
            </w:tcBorders>
            <w:tcMar>
              <w:top w:w="60" w:type="dxa"/>
              <w:left w:w="100" w:type="dxa"/>
              <w:bottom w:w="60" w:type="dxa"/>
              <w:right w:w="100" w:type="dxa"/>
            </w:tcMar>
            <w:vAlign w:val="center"/>
          </w:tcPr>
          <w:p w14:paraId="48399508" w14:textId="77777777" w:rsidR="00C972E2" w:rsidRPr="00CE4BA0" w:rsidRDefault="00000000">
            <w:pPr>
              <w:jc w:val="center"/>
            </w:pPr>
            <w:r w:rsidRPr="00CE4BA0">
              <w:rPr>
                <w:b/>
                <w:bCs/>
              </w:rPr>
              <w:t>M</w:t>
            </w:r>
          </w:p>
        </w:tc>
        <w:tc>
          <w:tcPr>
            <w:tcW w:w="1500" w:type="dxa"/>
            <w:tcBorders>
              <w:top w:val="single" w:sz="4" w:space="0" w:color="auto"/>
              <w:bottom w:val="single" w:sz="4" w:space="0" w:color="auto"/>
            </w:tcBorders>
            <w:tcMar>
              <w:top w:w="60" w:type="dxa"/>
              <w:left w:w="100" w:type="dxa"/>
              <w:bottom w:w="60" w:type="dxa"/>
              <w:right w:w="100" w:type="dxa"/>
            </w:tcMar>
            <w:vAlign w:val="center"/>
          </w:tcPr>
          <w:p w14:paraId="64173FBA" w14:textId="77777777" w:rsidR="00C972E2" w:rsidRPr="00CE4BA0" w:rsidRDefault="00000000">
            <w:pPr>
              <w:jc w:val="center"/>
            </w:pPr>
            <w:r w:rsidRPr="00CE4BA0">
              <w:rPr>
                <w:b/>
                <w:bCs/>
              </w:rPr>
              <w:t>SD</w:t>
            </w:r>
          </w:p>
        </w:tc>
      </w:tr>
      <w:tr w:rsidR="00C972E2" w:rsidRPr="00CE4BA0" w14:paraId="12C7D424" w14:textId="77777777" w:rsidTr="005139CE">
        <w:tblPrEx>
          <w:tblCellMar>
            <w:top w:w="0" w:type="dxa"/>
            <w:bottom w:w="0" w:type="dxa"/>
          </w:tblCellMar>
        </w:tblPrEx>
        <w:tc>
          <w:tcPr>
            <w:tcW w:w="3960" w:type="dxa"/>
            <w:tcBorders>
              <w:top w:val="single" w:sz="4" w:space="0" w:color="auto"/>
            </w:tcBorders>
            <w:tcMar>
              <w:top w:w="60" w:type="dxa"/>
              <w:left w:w="100" w:type="dxa"/>
              <w:bottom w:w="60" w:type="dxa"/>
              <w:right w:w="100" w:type="dxa"/>
            </w:tcMar>
            <w:vAlign w:val="center"/>
          </w:tcPr>
          <w:p w14:paraId="4751C099" w14:textId="77777777" w:rsidR="00C972E2" w:rsidRPr="00CE4BA0" w:rsidRDefault="00000000">
            <w:r w:rsidRPr="00CE4BA0">
              <w:t>Performance expectancy (PE)</w:t>
            </w:r>
          </w:p>
        </w:tc>
        <w:tc>
          <w:tcPr>
            <w:tcW w:w="1200" w:type="dxa"/>
            <w:tcBorders>
              <w:top w:val="single" w:sz="4" w:space="0" w:color="auto"/>
            </w:tcBorders>
            <w:tcMar>
              <w:top w:w="60" w:type="dxa"/>
              <w:left w:w="100" w:type="dxa"/>
              <w:bottom w:w="60" w:type="dxa"/>
              <w:right w:w="100" w:type="dxa"/>
            </w:tcMar>
            <w:vAlign w:val="center"/>
          </w:tcPr>
          <w:p w14:paraId="26568912" w14:textId="77777777" w:rsidR="00C972E2" w:rsidRPr="00CE4BA0" w:rsidRDefault="00000000">
            <w:pPr>
              <w:jc w:val="center"/>
            </w:pPr>
            <w:r w:rsidRPr="00CE4BA0">
              <w:t>4</w:t>
            </w:r>
          </w:p>
        </w:tc>
        <w:tc>
          <w:tcPr>
            <w:tcW w:w="1200" w:type="dxa"/>
            <w:tcBorders>
              <w:top w:val="single" w:sz="4" w:space="0" w:color="auto"/>
            </w:tcBorders>
            <w:tcMar>
              <w:top w:w="60" w:type="dxa"/>
              <w:left w:w="100" w:type="dxa"/>
              <w:bottom w:w="60" w:type="dxa"/>
              <w:right w:w="100" w:type="dxa"/>
            </w:tcMar>
            <w:vAlign w:val="center"/>
          </w:tcPr>
          <w:p w14:paraId="60D5490F" w14:textId="77777777" w:rsidR="00C972E2" w:rsidRPr="00CE4BA0" w:rsidRDefault="00000000">
            <w:pPr>
              <w:jc w:val="center"/>
            </w:pPr>
            <w:r w:rsidRPr="00CE4BA0">
              <w:t>.74</w:t>
            </w:r>
          </w:p>
        </w:tc>
        <w:tc>
          <w:tcPr>
            <w:tcW w:w="1500" w:type="dxa"/>
            <w:tcBorders>
              <w:top w:val="single" w:sz="4" w:space="0" w:color="auto"/>
            </w:tcBorders>
            <w:tcMar>
              <w:top w:w="60" w:type="dxa"/>
              <w:left w:w="100" w:type="dxa"/>
              <w:bottom w:w="60" w:type="dxa"/>
              <w:right w:w="100" w:type="dxa"/>
            </w:tcMar>
            <w:vAlign w:val="center"/>
          </w:tcPr>
          <w:p w14:paraId="7160B643" w14:textId="77777777" w:rsidR="00C972E2" w:rsidRPr="00CE4BA0" w:rsidRDefault="00000000">
            <w:pPr>
              <w:jc w:val="center"/>
            </w:pPr>
            <w:r w:rsidRPr="00CE4BA0">
              <w:t>3.22</w:t>
            </w:r>
          </w:p>
        </w:tc>
        <w:tc>
          <w:tcPr>
            <w:tcW w:w="1500" w:type="dxa"/>
            <w:tcBorders>
              <w:top w:val="single" w:sz="4" w:space="0" w:color="auto"/>
            </w:tcBorders>
            <w:tcMar>
              <w:top w:w="60" w:type="dxa"/>
              <w:left w:w="100" w:type="dxa"/>
              <w:bottom w:w="60" w:type="dxa"/>
              <w:right w:w="100" w:type="dxa"/>
            </w:tcMar>
            <w:vAlign w:val="center"/>
          </w:tcPr>
          <w:p w14:paraId="263D252C" w14:textId="77777777" w:rsidR="00C972E2" w:rsidRPr="00CE4BA0" w:rsidRDefault="00000000">
            <w:pPr>
              <w:jc w:val="center"/>
            </w:pPr>
            <w:r w:rsidRPr="00CE4BA0">
              <w:t>0.52</w:t>
            </w:r>
          </w:p>
        </w:tc>
      </w:tr>
      <w:tr w:rsidR="00C972E2" w:rsidRPr="00CE4BA0" w14:paraId="295F8094" w14:textId="77777777" w:rsidTr="005139CE">
        <w:tblPrEx>
          <w:tblCellMar>
            <w:top w:w="0" w:type="dxa"/>
            <w:bottom w:w="0" w:type="dxa"/>
          </w:tblCellMar>
        </w:tblPrEx>
        <w:tc>
          <w:tcPr>
            <w:tcW w:w="3960" w:type="dxa"/>
            <w:tcMar>
              <w:top w:w="60" w:type="dxa"/>
              <w:left w:w="100" w:type="dxa"/>
              <w:bottom w:w="60" w:type="dxa"/>
              <w:right w:w="100" w:type="dxa"/>
            </w:tcMar>
            <w:vAlign w:val="center"/>
          </w:tcPr>
          <w:p w14:paraId="172223AD" w14:textId="77777777" w:rsidR="00C972E2" w:rsidRPr="00CE4BA0" w:rsidRDefault="00000000">
            <w:r w:rsidRPr="00CE4BA0">
              <w:t>Effort expectancy (EE)</w:t>
            </w:r>
          </w:p>
        </w:tc>
        <w:tc>
          <w:tcPr>
            <w:tcW w:w="1200" w:type="dxa"/>
            <w:tcMar>
              <w:top w:w="60" w:type="dxa"/>
              <w:left w:w="100" w:type="dxa"/>
              <w:bottom w:w="60" w:type="dxa"/>
              <w:right w:w="100" w:type="dxa"/>
            </w:tcMar>
            <w:vAlign w:val="center"/>
          </w:tcPr>
          <w:p w14:paraId="13BF58FA" w14:textId="77777777" w:rsidR="00C972E2" w:rsidRPr="00CE4BA0" w:rsidRDefault="00000000">
            <w:pPr>
              <w:jc w:val="center"/>
            </w:pPr>
            <w:r w:rsidRPr="00CE4BA0">
              <w:t>4</w:t>
            </w:r>
          </w:p>
        </w:tc>
        <w:tc>
          <w:tcPr>
            <w:tcW w:w="1200" w:type="dxa"/>
            <w:tcMar>
              <w:top w:w="60" w:type="dxa"/>
              <w:left w:w="100" w:type="dxa"/>
              <w:bottom w:w="60" w:type="dxa"/>
              <w:right w:w="100" w:type="dxa"/>
            </w:tcMar>
            <w:vAlign w:val="center"/>
          </w:tcPr>
          <w:p w14:paraId="2EC519FB" w14:textId="77777777" w:rsidR="00C972E2" w:rsidRPr="00CE4BA0" w:rsidRDefault="00000000">
            <w:pPr>
              <w:jc w:val="center"/>
            </w:pPr>
            <w:r w:rsidRPr="00CE4BA0">
              <w:t>.65</w:t>
            </w:r>
          </w:p>
        </w:tc>
        <w:tc>
          <w:tcPr>
            <w:tcW w:w="1500" w:type="dxa"/>
            <w:tcMar>
              <w:top w:w="60" w:type="dxa"/>
              <w:left w:w="100" w:type="dxa"/>
              <w:bottom w:w="60" w:type="dxa"/>
              <w:right w:w="100" w:type="dxa"/>
            </w:tcMar>
            <w:vAlign w:val="center"/>
          </w:tcPr>
          <w:p w14:paraId="5A827DA3" w14:textId="77777777" w:rsidR="00C972E2" w:rsidRPr="00CE4BA0" w:rsidRDefault="00000000">
            <w:pPr>
              <w:jc w:val="center"/>
            </w:pPr>
            <w:r w:rsidRPr="00CE4BA0">
              <w:t>3.04</w:t>
            </w:r>
          </w:p>
        </w:tc>
        <w:tc>
          <w:tcPr>
            <w:tcW w:w="1500" w:type="dxa"/>
            <w:tcMar>
              <w:top w:w="60" w:type="dxa"/>
              <w:left w:w="100" w:type="dxa"/>
              <w:bottom w:w="60" w:type="dxa"/>
              <w:right w:w="100" w:type="dxa"/>
            </w:tcMar>
            <w:vAlign w:val="center"/>
          </w:tcPr>
          <w:p w14:paraId="5B1AACAE" w14:textId="77777777" w:rsidR="00C972E2" w:rsidRPr="00CE4BA0" w:rsidRDefault="00000000">
            <w:pPr>
              <w:jc w:val="center"/>
            </w:pPr>
            <w:r w:rsidRPr="00CE4BA0">
              <w:t>0.53</w:t>
            </w:r>
          </w:p>
        </w:tc>
      </w:tr>
      <w:tr w:rsidR="00C972E2" w:rsidRPr="00CE4BA0" w14:paraId="22B66AE3" w14:textId="77777777" w:rsidTr="005139CE">
        <w:tblPrEx>
          <w:tblCellMar>
            <w:top w:w="0" w:type="dxa"/>
            <w:bottom w:w="0" w:type="dxa"/>
          </w:tblCellMar>
        </w:tblPrEx>
        <w:tc>
          <w:tcPr>
            <w:tcW w:w="3960" w:type="dxa"/>
            <w:tcMar>
              <w:top w:w="60" w:type="dxa"/>
              <w:left w:w="100" w:type="dxa"/>
              <w:bottom w:w="60" w:type="dxa"/>
              <w:right w:w="100" w:type="dxa"/>
            </w:tcMar>
            <w:vAlign w:val="center"/>
          </w:tcPr>
          <w:p w14:paraId="4FD480C9" w14:textId="77777777" w:rsidR="00C972E2" w:rsidRPr="00CE4BA0" w:rsidRDefault="00000000">
            <w:r w:rsidRPr="00CE4BA0">
              <w:t>Social influence (SI)</w:t>
            </w:r>
          </w:p>
        </w:tc>
        <w:tc>
          <w:tcPr>
            <w:tcW w:w="1200" w:type="dxa"/>
            <w:tcMar>
              <w:top w:w="60" w:type="dxa"/>
              <w:left w:w="100" w:type="dxa"/>
              <w:bottom w:w="60" w:type="dxa"/>
              <w:right w:w="100" w:type="dxa"/>
            </w:tcMar>
            <w:vAlign w:val="center"/>
          </w:tcPr>
          <w:p w14:paraId="265D82C0" w14:textId="77777777" w:rsidR="00C972E2" w:rsidRPr="00CE4BA0" w:rsidRDefault="00000000">
            <w:pPr>
              <w:jc w:val="center"/>
            </w:pPr>
            <w:r w:rsidRPr="00CE4BA0">
              <w:t>4</w:t>
            </w:r>
          </w:p>
        </w:tc>
        <w:tc>
          <w:tcPr>
            <w:tcW w:w="1200" w:type="dxa"/>
            <w:tcMar>
              <w:top w:w="60" w:type="dxa"/>
              <w:left w:w="100" w:type="dxa"/>
              <w:bottom w:w="60" w:type="dxa"/>
              <w:right w:w="100" w:type="dxa"/>
            </w:tcMar>
            <w:vAlign w:val="center"/>
          </w:tcPr>
          <w:p w14:paraId="6C6DD085" w14:textId="77777777" w:rsidR="00C972E2" w:rsidRPr="00CE4BA0" w:rsidRDefault="00000000">
            <w:pPr>
              <w:jc w:val="center"/>
            </w:pPr>
            <w:r w:rsidRPr="00CE4BA0">
              <w:t>.69</w:t>
            </w:r>
          </w:p>
        </w:tc>
        <w:tc>
          <w:tcPr>
            <w:tcW w:w="1500" w:type="dxa"/>
            <w:tcMar>
              <w:top w:w="60" w:type="dxa"/>
              <w:left w:w="100" w:type="dxa"/>
              <w:bottom w:w="60" w:type="dxa"/>
              <w:right w:w="100" w:type="dxa"/>
            </w:tcMar>
            <w:vAlign w:val="center"/>
          </w:tcPr>
          <w:p w14:paraId="4BE5772D" w14:textId="77777777" w:rsidR="00C972E2" w:rsidRPr="00CE4BA0" w:rsidRDefault="00000000">
            <w:pPr>
              <w:jc w:val="center"/>
            </w:pPr>
            <w:r w:rsidRPr="00CE4BA0">
              <w:t>2.75</w:t>
            </w:r>
          </w:p>
        </w:tc>
        <w:tc>
          <w:tcPr>
            <w:tcW w:w="1500" w:type="dxa"/>
            <w:tcMar>
              <w:top w:w="60" w:type="dxa"/>
              <w:left w:w="100" w:type="dxa"/>
              <w:bottom w:w="60" w:type="dxa"/>
              <w:right w:w="100" w:type="dxa"/>
            </w:tcMar>
            <w:vAlign w:val="center"/>
          </w:tcPr>
          <w:p w14:paraId="3D19D2BD" w14:textId="77777777" w:rsidR="00C972E2" w:rsidRPr="00CE4BA0" w:rsidRDefault="00000000">
            <w:pPr>
              <w:jc w:val="center"/>
            </w:pPr>
            <w:r w:rsidRPr="00CE4BA0">
              <w:t>0.61</w:t>
            </w:r>
          </w:p>
        </w:tc>
      </w:tr>
      <w:tr w:rsidR="00C972E2" w:rsidRPr="00CE4BA0" w14:paraId="4922ACB2" w14:textId="77777777" w:rsidTr="005139CE">
        <w:tblPrEx>
          <w:tblCellMar>
            <w:top w:w="0" w:type="dxa"/>
            <w:bottom w:w="0" w:type="dxa"/>
          </w:tblCellMar>
        </w:tblPrEx>
        <w:tc>
          <w:tcPr>
            <w:tcW w:w="3960" w:type="dxa"/>
            <w:tcMar>
              <w:top w:w="60" w:type="dxa"/>
              <w:left w:w="100" w:type="dxa"/>
              <w:bottom w:w="60" w:type="dxa"/>
              <w:right w:w="100" w:type="dxa"/>
            </w:tcMar>
            <w:vAlign w:val="center"/>
          </w:tcPr>
          <w:p w14:paraId="4B2F5238" w14:textId="77777777" w:rsidR="00C972E2" w:rsidRPr="00CE4BA0" w:rsidRDefault="00000000">
            <w:r w:rsidRPr="00CE4BA0">
              <w:t>Facilitating conditions (FC)</w:t>
            </w:r>
          </w:p>
        </w:tc>
        <w:tc>
          <w:tcPr>
            <w:tcW w:w="1200" w:type="dxa"/>
            <w:tcMar>
              <w:top w:w="60" w:type="dxa"/>
              <w:left w:w="100" w:type="dxa"/>
              <w:bottom w:w="60" w:type="dxa"/>
              <w:right w:w="100" w:type="dxa"/>
            </w:tcMar>
            <w:vAlign w:val="center"/>
          </w:tcPr>
          <w:p w14:paraId="7171FA51" w14:textId="77777777" w:rsidR="00C972E2" w:rsidRPr="00CE4BA0" w:rsidRDefault="00000000">
            <w:pPr>
              <w:jc w:val="center"/>
            </w:pPr>
            <w:r w:rsidRPr="00CE4BA0">
              <w:t>4</w:t>
            </w:r>
          </w:p>
        </w:tc>
        <w:tc>
          <w:tcPr>
            <w:tcW w:w="1200" w:type="dxa"/>
            <w:tcMar>
              <w:top w:w="60" w:type="dxa"/>
              <w:left w:w="100" w:type="dxa"/>
              <w:bottom w:w="60" w:type="dxa"/>
              <w:right w:w="100" w:type="dxa"/>
            </w:tcMar>
            <w:vAlign w:val="center"/>
          </w:tcPr>
          <w:p w14:paraId="3C9CFCAC" w14:textId="77777777" w:rsidR="00C972E2" w:rsidRPr="00CE4BA0" w:rsidRDefault="00000000">
            <w:pPr>
              <w:jc w:val="center"/>
            </w:pPr>
            <w:r w:rsidRPr="00CE4BA0">
              <w:t>.71</w:t>
            </w:r>
          </w:p>
        </w:tc>
        <w:tc>
          <w:tcPr>
            <w:tcW w:w="1500" w:type="dxa"/>
            <w:tcMar>
              <w:top w:w="60" w:type="dxa"/>
              <w:left w:w="100" w:type="dxa"/>
              <w:bottom w:w="60" w:type="dxa"/>
              <w:right w:w="100" w:type="dxa"/>
            </w:tcMar>
            <w:vAlign w:val="center"/>
          </w:tcPr>
          <w:p w14:paraId="6D962713" w14:textId="77777777" w:rsidR="00C972E2" w:rsidRPr="00CE4BA0" w:rsidRDefault="00000000">
            <w:pPr>
              <w:jc w:val="center"/>
            </w:pPr>
            <w:r w:rsidRPr="00CE4BA0">
              <w:t>2.73</w:t>
            </w:r>
          </w:p>
        </w:tc>
        <w:tc>
          <w:tcPr>
            <w:tcW w:w="1500" w:type="dxa"/>
            <w:tcMar>
              <w:top w:w="60" w:type="dxa"/>
              <w:left w:w="100" w:type="dxa"/>
              <w:bottom w:w="60" w:type="dxa"/>
              <w:right w:w="100" w:type="dxa"/>
            </w:tcMar>
            <w:vAlign w:val="center"/>
          </w:tcPr>
          <w:p w14:paraId="346606E1" w14:textId="77777777" w:rsidR="00C972E2" w:rsidRPr="00CE4BA0" w:rsidRDefault="00000000">
            <w:pPr>
              <w:jc w:val="center"/>
            </w:pPr>
            <w:r w:rsidRPr="00CE4BA0">
              <w:t>0.64</w:t>
            </w:r>
          </w:p>
        </w:tc>
      </w:tr>
      <w:tr w:rsidR="00C972E2" w:rsidRPr="00CE4BA0" w14:paraId="5B56E23D" w14:textId="77777777" w:rsidTr="005139CE">
        <w:tblPrEx>
          <w:tblCellMar>
            <w:top w:w="0" w:type="dxa"/>
            <w:bottom w:w="0" w:type="dxa"/>
          </w:tblCellMar>
        </w:tblPrEx>
        <w:tc>
          <w:tcPr>
            <w:tcW w:w="3960" w:type="dxa"/>
            <w:tcMar>
              <w:top w:w="60" w:type="dxa"/>
              <w:left w:w="100" w:type="dxa"/>
              <w:bottom w:w="60" w:type="dxa"/>
              <w:right w:w="100" w:type="dxa"/>
            </w:tcMar>
            <w:vAlign w:val="center"/>
          </w:tcPr>
          <w:p w14:paraId="52480307" w14:textId="77777777" w:rsidR="00C972E2" w:rsidRPr="00CE4BA0" w:rsidRDefault="00000000">
            <w:r w:rsidRPr="00CE4BA0">
              <w:t>Research self-efficacy (RSE)</w:t>
            </w:r>
          </w:p>
        </w:tc>
        <w:tc>
          <w:tcPr>
            <w:tcW w:w="1200" w:type="dxa"/>
            <w:tcMar>
              <w:top w:w="60" w:type="dxa"/>
              <w:left w:w="100" w:type="dxa"/>
              <w:bottom w:w="60" w:type="dxa"/>
              <w:right w:w="100" w:type="dxa"/>
            </w:tcMar>
            <w:vAlign w:val="center"/>
          </w:tcPr>
          <w:p w14:paraId="2FA8FFA2" w14:textId="77777777" w:rsidR="00C972E2" w:rsidRPr="00CE4BA0" w:rsidRDefault="00000000">
            <w:pPr>
              <w:jc w:val="center"/>
            </w:pPr>
            <w:r w:rsidRPr="00CE4BA0">
              <w:t>5</w:t>
            </w:r>
          </w:p>
        </w:tc>
        <w:tc>
          <w:tcPr>
            <w:tcW w:w="1200" w:type="dxa"/>
            <w:tcMar>
              <w:top w:w="60" w:type="dxa"/>
              <w:left w:w="100" w:type="dxa"/>
              <w:bottom w:w="60" w:type="dxa"/>
              <w:right w:w="100" w:type="dxa"/>
            </w:tcMar>
            <w:vAlign w:val="center"/>
          </w:tcPr>
          <w:p w14:paraId="0163A666" w14:textId="77777777" w:rsidR="00C972E2" w:rsidRPr="00CE4BA0" w:rsidRDefault="00000000">
            <w:pPr>
              <w:jc w:val="center"/>
            </w:pPr>
            <w:r w:rsidRPr="00CE4BA0">
              <w:t>.83</w:t>
            </w:r>
          </w:p>
        </w:tc>
        <w:tc>
          <w:tcPr>
            <w:tcW w:w="1500" w:type="dxa"/>
            <w:tcMar>
              <w:top w:w="60" w:type="dxa"/>
              <w:left w:w="100" w:type="dxa"/>
              <w:bottom w:w="60" w:type="dxa"/>
              <w:right w:w="100" w:type="dxa"/>
            </w:tcMar>
            <w:vAlign w:val="center"/>
          </w:tcPr>
          <w:p w14:paraId="66F34189" w14:textId="77777777" w:rsidR="00C972E2" w:rsidRPr="00CE4BA0" w:rsidRDefault="00000000">
            <w:pPr>
              <w:jc w:val="center"/>
            </w:pPr>
            <w:r w:rsidRPr="00CE4BA0">
              <w:t>3.01</w:t>
            </w:r>
          </w:p>
        </w:tc>
        <w:tc>
          <w:tcPr>
            <w:tcW w:w="1500" w:type="dxa"/>
            <w:tcMar>
              <w:top w:w="60" w:type="dxa"/>
              <w:left w:w="100" w:type="dxa"/>
              <w:bottom w:w="60" w:type="dxa"/>
              <w:right w:w="100" w:type="dxa"/>
            </w:tcMar>
            <w:vAlign w:val="center"/>
          </w:tcPr>
          <w:p w14:paraId="1D26249A" w14:textId="77777777" w:rsidR="00C972E2" w:rsidRPr="00CE4BA0" w:rsidRDefault="00000000">
            <w:pPr>
              <w:jc w:val="center"/>
            </w:pPr>
            <w:r w:rsidRPr="00CE4BA0">
              <w:t>0.55</w:t>
            </w:r>
          </w:p>
        </w:tc>
      </w:tr>
      <w:tr w:rsidR="00C972E2" w:rsidRPr="00CE4BA0" w14:paraId="791283D8" w14:textId="77777777" w:rsidTr="005139CE">
        <w:tblPrEx>
          <w:tblCellMar>
            <w:top w:w="0" w:type="dxa"/>
            <w:bottom w:w="0" w:type="dxa"/>
          </w:tblCellMar>
        </w:tblPrEx>
        <w:tc>
          <w:tcPr>
            <w:tcW w:w="3960" w:type="dxa"/>
            <w:tcMar>
              <w:top w:w="60" w:type="dxa"/>
              <w:left w:w="100" w:type="dxa"/>
              <w:bottom w:w="60" w:type="dxa"/>
              <w:right w:w="100" w:type="dxa"/>
            </w:tcMar>
            <w:vAlign w:val="center"/>
          </w:tcPr>
          <w:p w14:paraId="2F322424" w14:textId="77777777" w:rsidR="00C972E2" w:rsidRPr="00CE4BA0" w:rsidRDefault="00000000">
            <w:r w:rsidRPr="00CE4BA0">
              <w:t>Behavioural engagement (BEA)</w:t>
            </w:r>
          </w:p>
        </w:tc>
        <w:tc>
          <w:tcPr>
            <w:tcW w:w="1200" w:type="dxa"/>
            <w:tcMar>
              <w:top w:w="60" w:type="dxa"/>
              <w:left w:w="100" w:type="dxa"/>
              <w:bottom w:w="60" w:type="dxa"/>
              <w:right w:w="100" w:type="dxa"/>
            </w:tcMar>
            <w:vAlign w:val="center"/>
          </w:tcPr>
          <w:p w14:paraId="31A134B9" w14:textId="77777777" w:rsidR="00C972E2" w:rsidRPr="00CE4BA0" w:rsidRDefault="00000000">
            <w:pPr>
              <w:jc w:val="center"/>
            </w:pPr>
            <w:r w:rsidRPr="00CE4BA0">
              <w:t>5</w:t>
            </w:r>
          </w:p>
        </w:tc>
        <w:tc>
          <w:tcPr>
            <w:tcW w:w="1200" w:type="dxa"/>
            <w:tcMar>
              <w:top w:w="60" w:type="dxa"/>
              <w:left w:w="100" w:type="dxa"/>
              <w:bottom w:w="60" w:type="dxa"/>
              <w:right w:w="100" w:type="dxa"/>
            </w:tcMar>
            <w:vAlign w:val="center"/>
          </w:tcPr>
          <w:p w14:paraId="1070672A" w14:textId="77777777" w:rsidR="00C972E2" w:rsidRPr="00CE4BA0" w:rsidRDefault="00000000">
            <w:pPr>
              <w:jc w:val="center"/>
            </w:pPr>
            <w:r w:rsidRPr="00CE4BA0">
              <w:t>.81</w:t>
            </w:r>
          </w:p>
        </w:tc>
        <w:tc>
          <w:tcPr>
            <w:tcW w:w="1500" w:type="dxa"/>
            <w:tcMar>
              <w:top w:w="60" w:type="dxa"/>
              <w:left w:w="100" w:type="dxa"/>
              <w:bottom w:w="60" w:type="dxa"/>
              <w:right w:w="100" w:type="dxa"/>
            </w:tcMar>
            <w:vAlign w:val="center"/>
          </w:tcPr>
          <w:p w14:paraId="43327473" w14:textId="77777777" w:rsidR="00C972E2" w:rsidRPr="00CE4BA0" w:rsidRDefault="00000000">
            <w:pPr>
              <w:jc w:val="center"/>
            </w:pPr>
            <w:r w:rsidRPr="00CE4BA0">
              <w:t>2.99</w:t>
            </w:r>
          </w:p>
        </w:tc>
        <w:tc>
          <w:tcPr>
            <w:tcW w:w="1500" w:type="dxa"/>
            <w:tcMar>
              <w:top w:w="60" w:type="dxa"/>
              <w:left w:w="100" w:type="dxa"/>
              <w:bottom w:w="60" w:type="dxa"/>
              <w:right w:w="100" w:type="dxa"/>
            </w:tcMar>
            <w:vAlign w:val="center"/>
          </w:tcPr>
          <w:p w14:paraId="01AA307B" w14:textId="77777777" w:rsidR="00C972E2" w:rsidRPr="00CE4BA0" w:rsidRDefault="00000000">
            <w:pPr>
              <w:jc w:val="center"/>
            </w:pPr>
            <w:r w:rsidRPr="00CE4BA0">
              <w:t>0.59</w:t>
            </w:r>
          </w:p>
        </w:tc>
      </w:tr>
      <w:tr w:rsidR="00C972E2" w:rsidRPr="00CE4BA0" w14:paraId="5F98A717" w14:textId="77777777" w:rsidTr="005139CE">
        <w:tblPrEx>
          <w:tblCellMar>
            <w:top w:w="0" w:type="dxa"/>
            <w:bottom w:w="0" w:type="dxa"/>
          </w:tblCellMar>
        </w:tblPrEx>
        <w:tc>
          <w:tcPr>
            <w:tcW w:w="3960" w:type="dxa"/>
            <w:tcBorders>
              <w:bottom w:val="single" w:sz="4" w:space="0" w:color="auto"/>
            </w:tcBorders>
            <w:tcMar>
              <w:top w:w="60" w:type="dxa"/>
              <w:left w:w="100" w:type="dxa"/>
              <w:bottom w:w="60" w:type="dxa"/>
              <w:right w:w="100" w:type="dxa"/>
            </w:tcMar>
            <w:vAlign w:val="center"/>
          </w:tcPr>
          <w:p w14:paraId="5658F945" w14:textId="77777777" w:rsidR="00C972E2" w:rsidRPr="00CE4BA0" w:rsidRDefault="00000000">
            <w:r w:rsidRPr="00CE4BA0">
              <w:t>Overall instrument</w:t>
            </w:r>
          </w:p>
        </w:tc>
        <w:tc>
          <w:tcPr>
            <w:tcW w:w="1200" w:type="dxa"/>
            <w:tcBorders>
              <w:bottom w:val="single" w:sz="4" w:space="0" w:color="auto"/>
            </w:tcBorders>
            <w:tcMar>
              <w:top w:w="60" w:type="dxa"/>
              <w:left w:w="100" w:type="dxa"/>
              <w:bottom w:w="60" w:type="dxa"/>
              <w:right w:w="100" w:type="dxa"/>
            </w:tcMar>
            <w:vAlign w:val="center"/>
          </w:tcPr>
          <w:p w14:paraId="2E5F9E90" w14:textId="77777777" w:rsidR="00C972E2" w:rsidRPr="00CE4BA0" w:rsidRDefault="00000000">
            <w:pPr>
              <w:jc w:val="center"/>
            </w:pPr>
            <w:r w:rsidRPr="00CE4BA0">
              <w:t>26</w:t>
            </w:r>
          </w:p>
        </w:tc>
        <w:tc>
          <w:tcPr>
            <w:tcW w:w="1200" w:type="dxa"/>
            <w:tcBorders>
              <w:bottom w:val="single" w:sz="4" w:space="0" w:color="auto"/>
            </w:tcBorders>
            <w:tcMar>
              <w:top w:w="60" w:type="dxa"/>
              <w:left w:w="100" w:type="dxa"/>
              <w:bottom w:w="60" w:type="dxa"/>
              <w:right w:w="100" w:type="dxa"/>
            </w:tcMar>
            <w:vAlign w:val="center"/>
          </w:tcPr>
          <w:p w14:paraId="2552D3A1" w14:textId="77777777" w:rsidR="00C972E2" w:rsidRPr="00CE4BA0" w:rsidRDefault="00000000">
            <w:pPr>
              <w:jc w:val="center"/>
            </w:pPr>
            <w:r w:rsidRPr="00CE4BA0">
              <w:t>.90</w:t>
            </w:r>
          </w:p>
        </w:tc>
        <w:tc>
          <w:tcPr>
            <w:tcW w:w="1500" w:type="dxa"/>
            <w:tcBorders>
              <w:bottom w:val="single" w:sz="4" w:space="0" w:color="auto"/>
            </w:tcBorders>
            <w:tcMar>
              <w:top w:w="60" w:type="dxa"/>
              <w:left w:w="100" w:type="dxa"/>
              <w:bottom w:w="60" w:type="dxa"/>
              <w:right w:w="100" w:type="dxa"/>
            </w:tcMar>
            <w:vAlign w:val="center"/>
          </w:tcPr>
          <w:p w14:paraId="758D8EBE" w14:textId="77777777" w:rsidR="00C972E2" w:rsidRPr="00CE4BA0" w:rsidRDefault="00000000">
            <w:pPr>
              <w:jc w:val="center"/>
            </w:pPr>
            <w:r w:rsidRPr="00CE4BA0">
              <w:t>—</w:t>
            </w:r>
          </w:p>
        </w:tc>
        <w:tc>
          <w:tcPr>
            <w:tcW w:w="1500" w:type="dxa"/>
            <w:tcBorders>
              <w:bottom w:val="single" w:sz="4" w:space="0" w:color="auto"/>
            </w:tcBorders>
            <w:tcMar>
              <w:top w:w="60" w:type="dxa"/>
              <w:left w:w="100" w:type="dxa"/>
              <w:bottom w:w="60" w:type="dxa"/>
              <w:right w:w="100" w:type="dxa"/>
            </w:tcMar>
            <w:vAlign w:val="center"/>
          </w:tcPr>
          <w:p w14:paraId="52AA0542" w14:textId="77777777" w:rsidR="00C972E2" w:rsidRPr="00CE4BA0" w:rsidRDefault="00000000">
            <w:pPr>
              <w:jc w:val="center"/>
            </w:pPr>
            <w:r w:rsidRPr="00CE4BA0">
              <w:t>—</w:t>
            </w:r>
          </w:p>
        </w:tc>
      </w:tr>
    </w:tbl>
    <w:p w14:paraId="7E4F0FB1" w14:textId="77777777" w:rsidR="00C972E2" w:rsidRPr="00CE4BA0" w:rsidRDefault="00000000">
      <w:pPr>
        <w:spacing w:before="80" w:after="240"/>
      </w:pPr>
      <w:r w:rsidRPr="00CE4BA0">
        <w:rPr>
          <w:i/>
          <w:iCs/>
        </w:rPr>
        <w:t xml:space="preserve">Note. </w:t>
      </w:r>
      <w:r w:rsidRPr="00CE4BA0">
        <w:t>Means are on a 1–4 scale. α = Cronbach’s alpha. The EE and SI subscales fall marginally below the conventional .70 threshold (Nunnally &amp; Bernstein, 1994) and are interpreted accordingly in the Results and Discussion.</w:t>
      </w:r>
    </w:p>
    <w:p w14:paraId="3F378C3D" w14:textId="77777777" w:rsidR="005139CE" w:rsidRDefault="005139CE" w:rsidP="005139CE">
      <w:pPr>
        <w:spacing w:line="480" w:lineRule="auto"/>
        <w:ind w:firstLine="720"/>
        <w:jc w:val="both"/>
        <w:rPr>
          <w:b/>
          <w:bCs/>
        </w:rPr>
      </w:pPr>
    </w:p>
    <w:p w14:paraId="019478AE" w14:textId="6315324C" w:rsidR="005139CE" w:rsidRPr="005139CE" w:rsidRDefault="005139CE" w:rsidP="005139CE">
      <w:pPr>
        <w:spacing w:line="480" w:lineRule="auto"/>
        <w:jc w:val="both"/>
        <w:rPr>
          <w:b/>
          <w:bCs/>
        </w:rPr>
      </w:pPr>
      <w:r w:rsidRPr="005139CE">
        <w:rPr>
          <w:b/>
          <w:bCs/>
        </w:rPr>
        <w:t xml:space="preserve">3.6 Conversational Log Data and </w:t>
      </w:r>
      <w:proofErr w:type="spellStart"/>
      <w:r w:rsidRPr="005139CE">
        <w:rPr>
          <w:b/>
          <w:bCs/>
        </w:rPr>
        <w:t>Operationalisation</w:t>
      </w:r>
      <w:proofErr w:type="spellEnd"/>
      <w:r w:rsidRPr="005139CE">
        <w:rPr>
          <w:b/>
          <w:bCs/>
        </w:rPr>
        <w:t xml:space="preserve"> of Variables</w:t>
      </w:r>
    </w:p>
    <w:p w14:paraId="37E666A1" w14:textId="77777777" w:rsidR="005139CE" w:rsidRPr="005139CE" w:rsidRDefault="005139CE" w:rsidP="005139CE">
      <w:pPr>
        <w:spacing w:line="480" w:lineRule="auto"/>
        <w:jc w:val="both"/>
      </w:pPr>
      <w:r w:rsidRPr="005139CE">
        <w:t xml:space="preserve">The conversational log dataset provided objective behavioural measures of user interaction with the virtual reference assistant. Each session included analyst-ready variables extracted and </w:t>
      </w:r>
      <w:proofErr w:type="spellStart"/>
      <w:r w:rsidRPr="005139CE">
        <w:t>standardised</w:t>
      </w:r>
      <w:proofErr w:type="spellEnd"/>
      <w:r w:rsidRPr="005139CE">
        <w:t xml:space="preserve"> by the system administrators.</w:t>
      </w:r>
    </w:p>
    <w:p w14:paraId="1CFC09E8" w14:textId="77777777" w:rsidR="005139CE" w:rsidRPr="005139CE" w:rsidRDefault="005139CE" w:rsidP="005139CE">
      <w:pPr>
        <w:spacing w:line="480" w:lineRule="auto"/>
        <w:jc w:val="both"/>
      </w:pPr>
      <w:r w:rsidRPr="005139CE">
        <w:t>The principal session-level variables were:</w:t>
      </w:r>
    </w:p>
    <w:p w14:paraId="0C14B8F0" w14:textId="77777777" w:rsidR="005139CE" w:rsidRPr="005139CE" w:rsidRDefault="005139CE" w:rsidP="005139CE">
      <w:pPr>
        <w:numPr>
          <w:ilvl w:val="0"/>
          <w:numId w:val="3"/>
        </w:numPr>
        <w:spacing w:line="480" w:lineRule="auto"/>
        <w:jc w:val="both"/>
      </w:pPr>
      <w:r w:rsidRPr="005139CE">
        <w:rPr>
          <w:b/>
          <w:bCs/>
        </w:rPr>
        <w:t>Query Specificity Index:</w:t>
      </w:r>
      <w:r w:rsidRPr="005139CE">
        <w:t xml:space="preserve"> A </w:t>
      </w:r>
      <w:proofErr w:type="spellStart"/>
      <w:r w:rsidRPr="005139CE">
        <w:t>standardised</w:t>
      </w:r>
      <w:proofErr w:type="spellEnd"/>
      <w:r w:rsidRPr="005139CE">
        <w:t xml:space="preserve"> measure of query informativeness derived from token-level characteristics and </w:t>
      </w:r>
      <w:proofErr w:type="spellStart"/>
      <w:r w:rsidRPr="005139CE">
        <w:t>normalised</w:t>
      </w:r>
      <w:proofErr w:type="spellEnd"/>
      <w:r w:rsidRPr="005139CE">
        <w:t xml:space="preserve"> across sessions. </w:t>
      </w:r>
    </w:p>
    <w:p w14:paraId="120796BF" w14:textId="77777777" w:rsidR="005139CE" w:rsidRPr="005139CE" w:rsidRDefault="005139CE" w:rsidP="005139CE">
      <w:pPr>
        <w:numPr>
          <w:ilvl w:val="0"/>
          <w:numId w:val="3"/>
        </w:numPr>
        <w:spacing w:line="480" w:lineRule="auto"/>
        <w:jc w:val="both"/>
      </w:pPr>
      <w:r w:rsidRPr="005139CE">
        <w:rPr>
          <w:b/>
          <w:bCs/>
        </w:rPr>
        <w:t>Query Reformulations:</w:t>
      </w:r>
      <w:r w:rsidRPr="005139CE">
        <w:t xml:space="preserve"> Number of times users modified or reformulated their queries during a session. </w:t>
      </w:r>
    </w:p>
    <w:p w14:paraId="482EE2C5" w14:textId="77777777" w:rsidR="005139CE" w:rsidRPr="005139CE" w:rsidRDefault="005139CE" w:rsidP="005139CE">
      <w:pPr>
        <w:numPr>
          <w:ilvl w:val="0"/>
          <w:numId w:val="3"/>
        </w:numPr>
        <w:spacing w:line="480" w:lineRule="auto"/>
        <w:jc w:val="both"/>
      </w:pPr>
      <w:r w:rsidRPr="005139CE">
        <w:rPr>
          <w:b/>
          <w:bCs/>
        </w:rPr>
        <w:t>Session Period:</w:t>
      </w:r>
      <w:r w:rsidRPr="005139CE">
        <w:t xml:space="preserve"> Classification of sessions into peak and off-peak periods. </w:t>
      </w:r>
    </w:p>
    <w:p w14:paraId="49BE810C" w14:textId="77777777" w:rsidR="005139CE" w:rsidRPr="005139CE" w:rsidRDefault="005139CE" w:rsidP="005139CE">
      <w:pPr>
        <w:numPr>
          <w:ilvl w:val="0"/>
          <w:numId w:val="3"/>
        </w:numPr>
        <w:spacing w:line="480" w:lineRule="auto"/>
        <w:jc w:val="both"/>
      </w:pPr>
      <w:r w:rsidRPr="005139CE">
        <w:rPr>
          <w:b/>
          <w:bCs/>
        </w:rPr>
        <w:t>Query Topic:</w:t>
      </w:r>
      <w:r w:rsidRPr="005139CE">
        <w:t xml:space="preserve"> Dominant category assigned to each interaction. </w:t>
      </w:r>
    </w:p>
    <w:p w14:paraId="2C698F43" w14:textId="77777777" w:rsidR="005139CE" w:rsidRPr="005139CE" w:rsidRDefault="005139CE" w:rsidP="005139CE">
      <w:pPr>
        <w:numPr>
          <w:ilvl w:val="0"/>
          <w:numId w:val="3"/>
        </w:numPr>
        <w:spacing w:line="480" w:lineRule="auto"/>
        <w:jc w:val="both"/>
      </w:pPr>
      <w:r w:rsidRPr="005139CE">
        <w:rPr>
          <w:b/>
          <w:bCs/>
        </w:rPr>
        <w:t>Retrieval Success:</w:t>
      </w:r>
      <w:r w:rsidRPr="005139CE">
        <w:t xml:space="preserve"> Binary indicator of successful information retrieval. </w:t>
      </w:r>
    </w:p>
    <w:p w14:paraId="68A9D860" w14:textId="77777777" w:rsidR="005139CE" w:rsidRPr="005139CE" w:rsidRDefault="005139CE" w:rsidP="005139CE">
      <w:pPr>
        <w:numPr>
          <w:ilvl w:val="0"/>
          <w:numId w:val="3"/>
        </w:numPr>
        <w:spacing w:line="480" w:lineRule="auto"/>
        <w:jc w:val="both"/>
      </w:pPr>
      <w:r w:rsidRPr="005139CE">
        <w:rPr>
          <w:b/>
          <w:bCs/>
        </w:rPr>
        <w:t>Time-to-Drop-Off:</w:t>
      </w:r>
      <w:r w:rsidRPr="005139CE">
        <w:t xml:space="preserve"> Number of conversational turns before session termination. </w:t>
      </w:r>
    </w:p>
    <w:p w14:paraId="56DECF50" w14:textId="77777777" w:rsidR="005139CE" w:rsidRPr="005139CE" w:rsidRDefault="005139CE" w:rsidP="005139CE">
      <w:pPr>
        <w:numPr>
          <w:ilvl w:val="0"/>
          <w:numId w:val="3"/>
        </w:numPr>
        <w:spacing w:line="480" w:lineRule="auto"/>
        <w:jc w:val="both"/>
      </w:pPr>
      <w:r w:rsidRPr="005139CE">
        <w:rPr>
          <w:b/>
          <w:bCs/>
        </w:rPr>
        <w:lastRenderedPageBreak/>
        <w:t>Drop-Off Event:</w:t>
      </w:r>
      <w:r w:rsidRPr="005139CE">
        <w:t xml:space="preserve"> Indicator distinguishing abandoned from completed sessions. </w:t>
      </w:r>
    </w:p>
    <w:p w14:paraId="3CC4143E" w14:textId="77777777" w:rsidR="005139CE" w:rsidRPr="005139CE" w:rsidRDefault="005139CE" w:rsidP="005139CE">
      <w:pPr>
        <w:spacing w:line="480" w:lineRule="auto"/>
        <w:jc w:val="both"/>
      </w:pPr>
      <w:r w:rsidRPr="005139CE">
        <w:t xml:space="preserve">Retrieval success was </w:t>
      </w:r>
      <w:proofErr w:type="spellStart"/>
      <w:r w:rsidRPr="005139CE">
        <w:t>operationalised</w:t>
      </w:r>
      <w:proofErr w:type="spellEnd"/>
      <w:r w:rsidRPr="005139CE">
        <w:t xml:space="preserve"> as a session culminating in either successful intent resolution or resource delivery. Session drop-off was defined as premature termination without resolution following at least one reformulation attempt. Sessions that were successfully completed or remained active at the close of the observation window were treated as right-censored observations in the survival analysis.</w:t>
      </w:r>
    </w:p>
    <w:p w14:paraId="494962BE" w14:textId="510BD8F3" w:rsidR="005139CE" w:rsidRPr="005139CE" w:rsidRDefault="005139CE" w:rsidP="005139CE">
      <w:pPr>
        <w:spacing w:line="480" w:lineRule="auto"/>
        <w:ind w:firstLine="720"/>
        <w:jc w:val="both"/>
      </w:pPr>
    </w:p>
    <w:p w14:paraId="1F5DF329" w14:textId="77777777" w:rsidR="005139CE" w:rsidRPr="005139CE" w:rsidRDefault="005139CE" w:rsidP="005139CE">
      <w:pPr>
        <w:spacing w:line="480" w:lineRule="auto"/>
        <w:jc w:val="both"/>
        <w:rPr>
          <w:b/>
          <w:bCs/>
        </w:rPr>
      </w:pPr>
      <w:r w:rsidRPr="005139CE">
        <w:rPr>
          <w:b/>
          <w:bCs/>
        </w:rPr>
        <w:t>3.7 Topic Classification</w:t>
      </w:r>
    </w:p>
    <w:p w14:paraId="72462117" w14:textId="77777777" w:rsidR="005139CE" w:rsidRPr="005139CE" w:rsidRDefault="005139CE" w:rsidP="005139CE">
      <w:pPr>
        <w:spacing w:line="480" w:lineRule="auto"/>
        <w:jc w:val="both"/>
      </w:pPr>
      <w:r w:rsidRPr="005139CE">
        <w:t>The virtual reference system classified user sessions into six predefined categories at the point of data capture. Because raw query strings were not available to the researchers, topic membership was treated as an observed categorical variable rather than being derived through post hoc topic modelling techniques such as Latent Dirichlet Allocation.</w:t>
      </w:r>
    </w:p>
    <w:p w14:paraId="07706E36" w14:textId="4FD51E50" w:rsidR="005139CE" w:rsidRPr="005139CE" w:rsidRDefault="005139CE" w:rsidP="005139CE">
      <w:pPr>
        <w:spacing w:line="480" w:lineRule="auto"/>
        <w:jc w:val="both"/>
      </w:pPr>
      <w:r w:rsidRPr="005139CE">
        <w:t>Two categories</w:t>
      </w:r>
      <w:r>
        <w:t xml:space="preserve">: </w:t>
      </w:r>
      <w:r w:rsidRPr="005139CE">
        <w:t>remote-access troubleshooting and full-text/database access requests</w:t>
      </w:r>
      <w:r>
        <w:t xml:space="preserve"> </w:t>
      </w:r>
      <w:r w:rsidRPr="005139CE">
        <w:t>were classified as technical-friction topics because they primarily reflected technological barriers to information access. The remaining categories represented substantive research-information needs. Consequently, the topic analysis focused on the prevalence of categories and their relationships with retrieval success and session abandonment outcomes rather than the reconstruction of latent semantic structures.</w:t>
      </w:r>
    </w:p>
    <w:p w14:paraId="7F40D505" w14:textId="3DF8D015" w:rsidR="005139CE" w:rsidRPr="005139CE" w:rsidRDefault="005139CE" w:rsidP="005139CE">
      <w:pPr>
        <w:spacing w:line="480" w:lineRule="auto"/>
        <w:ind w:firstLine="720"/>
        <w:jc w:val="both"/>
      </w:pPr>
    </w:p>
    <w:p w14:paraId="5B5A4D41" w14:textId="77777777" w:rsidR="005139CE" w:rsidRDefault="005139CE">
      <w:pPr>
        <w:rPr>
          <w:b/>
          <w:bCs/>
        </w:rPr>
      </w:pPr>
      <w:r>
        <w:rPr>
          <w:b/>
          <w:bCs/>
        </w:rPr>
        <w:br w:type="page"/>
      </w:r>
    </w:p>
    <w:p w14:paraId="753924FD" w14:textId="0D539A7C" w:rsidR="005139CE" w:rsidRPr="005139CE" w:rsidRDefault="005139CE" w:rsidP="005139CE">
      <w:pPr>
        <w:spacing w:line="480" w:lineRule="auto"/>
        <w:jc w:val="both"/>
        <w:rPr>
          <w:b/>
          <w:bCs/>
        </w:rPr>
      </w:pPr>
      <w:r w:rsidRPr="005139CE">
        <w:rPr>
          <w:b/>
          <w:bCs/>
        </w:rPr>
        <w:lastRenderedPageBreak/>
        <w:t>3.8 Data Analysis Procedures</w:t>
      </w:r>
    </w:p>
    <w:p w14:paraId="2C4CE7A3" w14:textId="77777777" w:rsidR="005139CE" w:rsidRPr="005139CE" w:rsidRDefault="005139CE" w:rsidP="005139CE">
      <w:pPr>
        <w:spacing w:line="480" w:lineRule="auto"/>
        <w:jc w:val="both"/>
      </w:pPr>
      <w:r w:rsidRPr="005139CE">
        <w:t xml:space="preserve">Data analysis was conducted using Python 3.12, employing the </w:t>
      </w:r>
      <w:r w:rsidRPr="005139CE">
        <w:rPr>
          <w:i/>
          <w:iCs/>
        </w:rPr>
        <w:t>pandas</w:t>
      </w:r>
      <w:r w:rsidRPr="005139CE">
        <w:t xml:space="preserve">, </w:t>
      </w:r>
      <w:proofErr w:type="spellStart"/>
      <w:r w:rsidRPr="005139CE">
        <w:rPr>
          <w:i/>
          <w:iCs/>
        </w:rPr>
        <w:t>statsmodels</w:t>
      </w:r>
      <w:proofErr w:type="spellEnd"/>
      <w:r w:rsidRPr="005139CE">
        <w:t xml:space="preserve">, </w:t>
      </w:r>
      <w:r w:rsidRPr="005139CE">
        <w:rPr>
          <w:i/>
          <w:iCs/>
        </w:rPr>
        <w:t>lifelines</w:t>
      </w:r>
      <w:r w:rsidRPr="005139CE">
        <w:t xml:space="preserve">, and </w:t>
      </w:r>
      <w:r w:rsidRPr="005139CE">
        <w:rPr>
          <w:i/>
          <w:iCs/>
        </w:rPr>
        <w:t>scikit-learn</w:t>
      </w:r>
      <w:r w:rsidRPr="005139CE">
        <w:t xml:space="preserve"> libraries. Analysis proceeded in four stages corresponding to the research questions and hypotheses.</w:t>
      </w:r>
    </w:p>
    <w:p w14:paraId="1D5F1715" w14:textId="77777777" w:rsidR="005139CE" w:rsidRPr="005139CE" w:rsidRDefault="005139CE" w:rsidP="005139CE">
      <w:pPr>
        <w:spacing w:line="480" w:lineRule="auto"/>
        <w:jc w:val="both"/>
        <w:rPr>
          <w:b/>
          <w:bCs/>
        </w:rPr>
      </w:pPr>
      <w:r w:rsidRPr="005139CE">
        <w:rPr>
          <w:b/>
          <w:bCs/>
        </w:rPr>
        <w:t>Descriptive Analysis</w:t>
      </w:r>
    </w:p>
    <w:p w14:paraId="64054350" w14:textId="77777777" w:rsidR="005139CE" w:rsidRPr="005139CE" w:rsidRDefault="005139CE" w:rsidP="005139CE">
      <w:pPr>
        <w:spacing w:line="480" w:lineRule="auto"/>
        <w:jc w:val="both"/>
      </w:pPr>
      <w:r w:rsidRPr="005139CE">
        <w:t xml:space="preserve">To address Research Question 1, frequency distributions and percentages were used to </w:t>
      </w:r>
      <w:proofErr w:type="spellStart"/>
      <w:r w:rsidRPr="005139CE">
        <w:t>characterise</w:t>
      </w:r>
      <w:proofErr w:type="spellEnd"/>
      <w:r w:rsidRPr="005139CE">
        <w:t xml:space="preserve"> the prevalence of the six query categories. Comparisons were subsequently made between technical-friction and substantive research topics.</w:t>
      </w:r>
    </w:p>
    <w:p w14:paraId="38F4473A" w14:textId="77777777" w:rsidR="005139CE" w:rsidRPr="005139CE" w:rsidRDefault="005139CE" w:rsidP="005139CE">
      <w:pPr>
        <w:spacing w:line="480" w:lineRule="auto"/>
        <w:jc w:val="both"/>
        <w:rPr>
          <w:b/>
          <w:bCs/>
        </w:rPr>
      </w:pPr>
      <w:r w:rsidRPr="005139CE">
        <w:rPr>
          <w:b/>
          <w:bCs/>
        </w:rPr>
        <w:t>Survival Analysis</w:t>
      </w:r>
    </w:p>
    <w:p w14:paraId="0E5D5CE2" w14:textId="77777777" w:rsidR="005139CE" w:rsidRPr="005139CE" w:rsidRDefault="005139CE" w:rsidP="005139CE">
      <w:pPr>
        <w:spacing w:line="480" w:lineRule="auto"/>
        <w:jc w:val="both"/>
      </w:pPr>
      <w:r w:rsidRPr="005139CE">
        <w:t>Research Question 2 was addressed using Kaplan–Meier survival estimation and Cox proportional hazards modelling. Kaplan–Meier curves were generated to compare time-to-drop-off patterns across query topics, while log-rank tests evaluated statistical differences between survival functions. The multivariate Cox proportional hazards model was then estimated to identify behavioural and perceptual predictors of abandonment risk. The proportional hazards assumption was assessed using Schoenfeld residual diagnostics.</w:t>
      </w:r>
    </w:p>
    <w:p w14:paraId="2EC0F14A" w14:textId="77777777" w:rsidR="005139CE" w:rsidRPr="005139CE" w:rsidRDefault="005139CE" w:rsidP="005139CE">
      <w:pPr>
        <w:spacing w:line="480" w:lineRule="auto"/>
        <w:jc w:val="both"/>
        <w:rPr>
          <w:b/>
          <w:bCs/>
        </w:rPr>
      </w:pPr>
      <w:r w:rsidRPr="005139CE">
        <w:rPr>
          <w:b/>
          <w:bCs/>
        </w:rPr>
        <w:t>Logistic Regression Analysis</w:t>
      </w:r>
    </w:p>
    <w:p w14:paraId="3AF57DA6" w14:textId="77777777" w:rsidR="005139CE" w:rsidRPr="005139CE" w:rsidRDefault="005139CE" w:rsidP="005139CE">
      <w:pPr>
        <w:spacing w:line="480" w:lineRule="auto"/>
        <w:jc w:val="both"/>
      </w:pPr>
      <w:r w:rsidRPr="005139CE">
        <w:t>To address Research Question 3, binary logistic regression was employed to model retrieval success. Predictor variables included query characteristics, behavioural indicators, UTAUT constructs, and research self-efficacy measures. Model adequacy was evaluated using the Hosmer–</w:t>
      </w:r>
      <w:proofErr w:type="spellStart"/>
      <w:r w:rsidRPr="005139CE">
        <w:t>Lemeshow</w:t>
      </w:r>
      <w:proofErr w:type="spellEnd"/>
      <w:r w:rsidRPr="005139CE">
        <w:t xml:space="preserve"> goodness-of-fit statistic, Nagelkerke's R², and overall classification accuracy. Odds ratios and confidence intervals were reported to facilitate interpretation.</w:t>
      </w:r>
    </w:p>
    <w:p w14:paraId="76E21401" w14:textId="77777777" w:rsidR="005139CE" w:rsidRPr="005139CE" w:rsidRDefault="005139CE" w:rsidP="005139CE">
      <w:pPr>
        <w:spacing w:line="480" w:lineRule="auto"/>
        <w:jc w:val="both"/>
        <w:rPr>
          <w:b/>
          <w:bCs/>
        </w:rPr>
      </w:pPr>
      <w:r w:rsidRPr="005139CE">
        <w:rPr>
          <w:b/>
          <w:bCs/>
        </w:rPr>
        <w:t>Hierarchical Multiple Regression</w:t>
      </w:r>
    </w:p>
    <w:p w14:paraId="5A266E3C" w14:textId="77777777" w:rsidR="005139CE" w:rsidRPr="005139CE" w:rsidRDefault="005139CE" w:rsidP="005139CE">
      <w:pPr>
        <w:spacing w:line="480" w:lineRule="auto"/>
        <w:jc w:val="both"/>
      </w:pPr>
      <w:r w:rsidRPr="005139CE">
        <w:lastRenderedPageBreak/>
        <w:t>Research Question 4 and Hypotheses H1–H5 were examined using hierarchical multiple regression. In the first block, demographic and control variables were entered. The second block introduced the UTAUT constructs, while the third block incorporated research self-efficacy. Behavioural engagement served as the dependent variable. Multicollinearity was assessed using variance inflation factors (VIF), and residual independence was evaluated using the Durbin–Watson statistic.</w:t>
      </w:r>
    </w:p>
    <w:p w14:paraId="7DE74CE6" w14:textId="0258936F" w:rsidR="00C972E2" w:rsidRPr="00CE4BA0" w:rsidRDefault="00000000" w:rsidP="005139CE">
      <w:pPr>
        <w:spacing w:line="480" w:lineRule="auto"/>
        <w:ind w:firstLine="720"/>
        <w:jc w:val="both"/>
      </w:pPr>
      <w:r w:rsidRPr="00CE4BA0">
        <w:t>.</w:t>
      </w:r>
    </w:p>
    <w:p w14:paraId="2D7E1602" w14:textId="59A162E8" w:rsidR="00C972E2" w:rsidRPr="00CE4BA0" w:rsidRDefault="005139CE" w:rsidP="005139CE">
      <w:pPr>
        <w:pStyle w:val="Heading1"/>
        <w:spacing w:before="0" w:after="0"/>
        <w:jc w:val="left"/>
      </w:pPr>
      <w:r>
        <w:t xml:space="preserve">4. </w:t>
      </w:r>
      <w:r w:rsidR="00000000" w:rsidRPr="00CE4BA0">
        <w:t>Results</w:t>
      </w:r>
    </w:p>
    <w:p w14:paraId="591F0758" w14:textId="77777777" w:rsidR="00C972E2" w:rsidRPr="00CE4BA0" w:rsidRDefault="00000000">
      <w:pPr>
        <w:pStyle w:val="Heading2"/>
        <w:spacing w:before="0" w:after="0"/>
      </w:pPr>
      <w:r w:rsidRPr="00CE4BA0">
        <w:t>Respondent Profile</w:t>
      </w:r>
    </w:p>
    <w:p w14:paraId="166992CA" w14:textId="0ACEB278" w:rsidR="00C972E2" w:rsidRPr="00CE4BA0" w:rsidRDefault="00000000" w:rsidP="005139CE">
      <w:pPr>
        <w:spacing w:line="480" w:lineRule="auto"/>
        <w:jc w:val="both"/>
      </w:pPr>
      <w:r w:rsidRPr="00CE4BA0">
        <w:t>The census population (</w:t>
      </w:r>
      <w:r w:rsidRPr="00CE4BA0">
        <w:rPr>
          <w:i/>
          <w:iCs/>
        </w:rPr>
        <w:t>N</w:t>
      </w:r>
      <w:r w:rsidRPr="00CE4BA0">
        <w:t xml:space="preserve"> = 147) was balanced by gender and weighted, as expected, toward final-year and </w:t>
      </w:r>
      <w:r w:rsidR="005139CE">
        <w:t xml:space="preserve">postgraduate students, </w:t>
      </w:r>
      <w:r w:rsidRPr="00CE4BA0">
        <w:t>the cohorts with the heaviest discovery and citation needs (Table 3).</w:t>
      </w:r>
    </w:p>
    <w:p w14:paraId="6B30FE5C" w14:textId="77777777" w:rsidR="00C972E2" w:rsidRPr="00CE4BA0" w:rsidRDefault="00000000">
      <w:pPr>
        <w:keepNext/>
        <w:keepLines/>
        <w:spacing w:before="240"/>
      </w:pPr>
      <w:r w:rsidRPr="00CE4BA0">
        <w:rPr>
          <w:b/>
          <w:bCs/>
        </w:rPr>
        <w:t>Table 3</w:t>
      </w:r>
    </w:p>
    <w:p w14:paraId="519B0B5A" w14:textId="77777777" w:rsidR="00C972E2" w:rsidRPr="00CE4BA0" w:rsidRDefault="00000000">
      <w:pPr>
        <w:keepNext/>
        <w:keepLines/>
        <w:spacing w:after="120"/>
      </w:pPr>
      <w:r w:rsidRPr="00CE4BA0">
        <w:rPr>
          <w:i/>
          <w:iCs/>
        </w:rPr>
        <w:t>Demographic Profile of Respondents (N = 147)</w:t>
      </w:r>
    </w:p>
    <w:tbl>
      <w:tblPr>
        <w:tblW w:w="9360" w:type="dxa"/>
        <w:tblCellMar>
          <w:left w:w="10" w:type="dxa"/>
          <w:right w:w="10" w:type="dxa"/>
        </w:tblCellMar>
        <w:tblLook w:val="0000" w:firstRow="0" w:lastRow="0" w:firstColumn="0" w:lastColumn="0" w:noHBand="0" w:noVBand="0"/>
      </w:tblPr>
      <w:tblGrid>
        <w:gridCol w:w="2160"/>
        <w:gridCol w:w="3960"/>
        <w:gridCol w:w="1620"/>
        <w:gridCol w:w="1620"/>
      </w:tblGrid>
      <w:tr w:rsidR="00C972E2" w:rsidRPr="00CE4BA0" w14:paraId="769FB533" w14:textId="77777777" w:rsidTr="005139CE">
        <w:tblPrEx>
          <w:tblCellMar>
            <w:top w:w="0" w:type="dxa"/>
            <w:bottom w:w="0" w:type="dxa"/>
          </w:tblCellMar>
        </w:tblPrEx>
        <w:trPr>
          <w:tblHeader/>
        </w:trPr>
        <w:tc>
          <w:tcPr>
            <w:tcW w:w="2160" w:type="dxa"/>
            <w:tcBorders>
              <w:top w:val="single" w:sz="4" w:space="0" w:color="auto"/>
              <w:bottom w:val="single" w:sz="4" w:space="0" w:color="auto"/>
            </w:tcBorders>
            <w:tcMar>
              <w:top w:w="60" w:type="dxa"/>
              <w:left w:w="100" w:type="dxa"/>
              <w:bottom w:w="60" w:type="dxa"/>
              <w:right w:w="100" w:type="dxa"/>
            </w:tcMar>
            <w:vAlign w:val="center"/>
          </w:tcPr>
          <w:p w14:paraId="440F6651" w14:textId="77777777" w:rsidR="00C972E2" w:rsidRPr="00CE4BA0" w:rsidRDefault="00000000">
            <w:r w:rsidRPr="00CE4BA0">
              <w:rPr>
                <w:b/>
                <w:bCs/>
              </w:rPr>
              <w:t>Variable</w:t>
            </w:r>
          </w:p>
        </w:tc>
        <w:tc>
          <w:tcPr>
            <w:tcW w:w="3960" w:type="dxa"/>
            <w:tcBorders>
              <w:top w:val="single" w:sz="4" w:space="0" w:color="auto"/>
              <w:bottom w:val="single" w:sz="4" w:space="0" w:color="auto"/>
            </w:tcBorders>
            <w:tcMar>
              <w:top w:w="60" w:type="dxa"/>
              <w:left w:w="100" w:type="dxa"/>
              <w:bottom w:w="60" w:type="dxa"/>
              <w:right w:w="100" w:type="dxa"/>
            </w:tcMar>
            <w:vAlign w:val="center"/>
          </w:tcPr>
          <w:p w14:paraId="1DD51D7A" w14:textId="77777777" w:rsidR="00C972E2" w:rsidRPr="00CE4BA0" w:rsidRDefault="00000000">
            <w:pPr>
              <w:jc w:val="center"/>
            </w:pPr>
            <w:r w:rsidRPr="00CE4BA0">
              <w:rPr>
                <w:b/>
                <w:bCs/>
              </w:rPr>
              <w:t>Category</w:t>
            </w:r>
          </w:p>
        </w:tc>
        <w:tc>
          <w:tcPr>
            <w:tcW w:w="1620" w:type="dxa"/>
            <w:tcBorders>
              <w:top w:val="single" w:sz="4" w:space="0" w:color="auto"/>
              <w:bottom w:val="single" w:sz="4" w:space="0" w:color="auto"/>
            </w:tcBorders>
            <w:tcMar>
              <w:top w:w="60" w:type="dxa"/>
              <w:left w:w="100" w:type="dxa"/>
              <w:bottom w:w="60" w:type="dxa"/>
              <w:right w:w="100" w:type="dxa"/>
            </w:tcMar>
            <w:vAlign w:val="center"/>
          </w:tcPr>
          <w:p w14:paraId="13D881F4" w14:textId="77777777" w:rsidR="00C972E2" w:rsidRPr="00CE4BA0" w:rsidRDefault="00000000">
            <w:pPr>
              <w:jc w:val="center"/>
            </w:pPr>
            <w:r w:rsidRPr="00CE4BA0">
              <w:rPr>
                <w:b/>
                <w:bCs/>
              </w:rPr>
              <w:t>Frequency</w:t>
            </w:r>
          </w:p>
        </w:tc>
        <w:tc>
          <w:tcPr>
            <w:tcW w:w="1620" w:type="dxa"/>
            <w:tcBorders>
              <w:top w:val="single" w:sz="4" w:space="0" w:color="auto"/>
              <w:bottom w:val="single" w:sz="4" w:space="0" w:color="auto"/>
            </w:tcBorders>
            <w:tcMar>
              <w:top w:w="60" w:type="dxa"/>
              <w:left w:w="100" w:type="dxa"/>
              <w:bottom w:w="60" w:type="dxa"/>
              <w:right w:w="100" w:type="dxa"/>
            </w:tcMar>
            <w:vAlign w:val="center"/>
          </w:tcPr>
          <w:p w14:paraId="73FE1CB1" w14:textId="77777777" w:rsidR="00C972E2" w:rsidRPr="00CE4BA0" w:rsidRDefault="00000000">
            <w:pPr>
              <w:jc w:val="center"/>
            </w:pPr>
            <w:r w:rsidRPr="00CE4BA0">
              <w:rPr>
                <w:b/>
                <w:bCs/>
              </w:rPr>
              <w:t>%</w:t>
            </w:r>
          </w:p>
        </w:tc>
      </w:tr>
      <w:tr w:rsidR="00C972E2" w:rsidRPr="00CE4BA0" w14:paraId="434782B6" w14:textId="77777777" w:rsidTr="005139CE">
        <w:tblPrEx>
          <w:tblCellMar>
            <w:top w:w="0" w:type="dxa"/>
            <w:bottom w:w="0" w:type="dxa"/>
          </w:tblCellMar>
        </w:tblPrEx>
        <w:tc>
          <w:tcPr>
            <w:tcW w:w="2160" w:type="dxa"/>
            <w:tcBorders>
              <w:top w:val="single" w:sz="4" w:space="0" w:color="auto"/>
            </w:tcBorders>
            <w:tcMar>
              <w:top w:w="60" w:type="dxa"/>
              <w:left w:w="100" w:type="dxa"/>
              <w:bottom w:w="60" w:type="dxa"/>
              <w:right w:w="100" w:type="dxa"/>
            </w:tcMar>
            <w:vAlign w:val="center"/>
          </w:tcPr>
          <w:p w14:paraId="67F74BF4" w14:textId="77777777" w:rsidR="00C972E2" w:rsidRPr="00CE4BA0" w:rsidRDefault="00000000">
            <w:r w:rsidRPr="00CE4BA0">
              <w:t>Gender</w:t>
            </w:r>
          </w:p>
        </w:tc>
        <w:tc>
          <w:tcPr>
            <w:tcW w:w="3960" w:type="dxa"/>
            <w:tcBorders>
              <w:top w:val="single" w:sz="4" w:space="0" w:color="auto"/>
            </w:tcBorders>
            <w:tcMar>
              <w:top w:w="60" w:type="dxa"/>
              <w:left w:w="100" w:type="dxa"/>
              <w:bottom w:w="60" w:type="dxa"/>
              <w:right w:w="100" w:type="dxa"/>
            </w:tcMar>
            <w:vAlign w:val="center"/>
          </w:tcPr>
          <w:p w14:paraId="1529B52C" w14:textId="77777777" w:rsidR="00C972E2" w:rsidRPr="00CE4BA0" w:rsidRDefault="00000000">
            <w:pPr>
              <w:jc w:val="center"/>
            </w:pPr>
            <w:r w:rsidRPr="00CE4BA0">
              <w:t>Male</w:t>
            </w:r>
          </w:p>
        </w:tc>
        <w:tc>
          <w:tcPr>
            <w:tcW w:w="1620" w:type="dxa"/>
            <w:tcBorders>
              <w:top w:val="single" w:sz="4" w:space="0" w:color="auto"/>
            </w:tcBorders>
            <w:tcMar>
              <w:top w:w="60" w:type="dxa"/>
              <w:left w:w="100" w:type="dxa"/>
              <w:bottom w:w="60" w:type="dxa"/>
              <w:right w:w="100" w:type="dxa"/>
            </w:tcMar>
            <w:vAlign w:val="center"/>
          </w:tcPr>
          <w:p w14:paraId="7C18112D" w14:textId="77777777" w:rsidR="00C972E2" w:rsidRPr="00CE4BA0" w:rsidRDefault="00000000">
            <w:pPr>
              <w:jc w:val="center"/>
            </w:pPr>
            <w:r w:rsidRPr="00CE4BA0">
              <w:t>78</w:t>
            </w:r>
          </w:p>
        </w:tc>
        <w:tc>
          <w:tcPr>
            <w:tcW w:w="1620" w:type="dxa"/>
            <w:tcBorders>
              <w:top w:val="single" w:sz="4" w:space="0" w:color="auto"/>
            </w:tcBorders>
            <w:tcMar>
              <w:top w:w="60" w:type="dxa"/>
              <w:left w:w="100" w:type="dxa"/>
              <w:bottom w:w="60" w:type="dxa"/>
              <w:right w:w="100" w:type="dxa"/>
            </w:tcMar>
            <w:vAlign w:val="center"/>
          </w:tcPr>
          <w:p w14:paraId="4257F464" w14:textId="77777777" w:rsidR="00C972E2" w:rsidRPr="00CE4BA0" w:rsidRDefault="00000000">
            <w:pPr>
              <w:jc w:val="center"/>
            </w:pPr>
            <w:r w:rsidRPr="00CE4BA0">
              <w:t>53.1</w:t>
            </w:r>
          </w:p>
        </w:tc>
      </w:tr>
      <w:tr w:rsidR="00C972E2" w:rsidRPr="00CE4BA0" w14:paraId="56036E25"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296E468D" w14:textId="77777777" w:rsidR="00C972E2" w:rsidRPr="00CE4BA0" w:rsidRDefault="00C972E2"/>
        </w:tc>
        <w:tc>
          <w:tcPr>
            <w:tcW w:w="3960" w:type="dxa"/>
            <w:tcMar>
              <w:top w:w="60" w:type="dxa"/>
              <w:left w:w="100" w:type="dxa"/>
              <w:bottom w:w="60" w:type="dxa"/>
              <w:right w:w="100" w:type="dxa"/>
            </w:tcMar>
            <w:vAlign w:val="center"/>
          </w:tcPr>
          <w:p w14:paraId="06955F2D" w14:textId="77777777" w:rsidR="00C972E2" w:rsidRPr="00CE4BA0" w:rsidRDefault="00000000">
            <w:pPr>
              <w:jc w:val="center"/>
            </w:pPr>
            <w:r w:rsidRPr="00CE4BA0">
              <w:t>Female</w:t>
            </w:r>
          </w:p>
        </w:tc>
        <w:tc>
          <w:tcPr>
            <w:tcW w:w="1620" w:type="dxa"/>
            <w:tcMar>
              <w:top w:w="60" w:type="dxa"/>
              <w:left w:w="100" w:type="dxa"/>
              <w:bottom w:w="60" w:type="dxa"/>
              <w:right w:w="100" w:type="dxa"/>
            </w:tcMar>
            <w:vAlign w:val="center"/>
          </w:tcPr>
          <w:p w14:paraId="2B70ED8F" w14:textId="77777777" w:rsidR="00C972E2" w:rsidRPr="00CE4BA0" w:rsidRDefault="00000000">
            <w:pPr>
              <w:jc w:val="center"/>
            </w:pPr>
            <w:r w:rsidRPr="00CE4BA0">
              <w:t>69</w:t>
            </w:r>
          </w:p>
        </w:tc>
        <w:tc>
          <w:tcPr>
            <w:tcW w:w="1620" w:type="dxa"/>
            <w:tcMar>
              <w:top w:w="60" w:type="dxa"/>
              <w:left w:w="100" w:type="dxa"/>
              <w:bottom w:w="60" w:type="dxa"/>
              <w:right w:w="100" w:type="dxa"/>
            </w:tcMar>
            <w:vAlign w:val="center"/>
          </w:tcPr>
          <w:p w14:paraId="265640DF" w14:textId="77777777" w:rsidR="00C972E2" w:rsidRPr="00CE4BA0" w:rsidRDefault="00000000">
            <w:pPr>
              <w:jc w:val="center"/>
            </w:pPr>
            <w:r w:rsidRPr="00CE4BA0">
              <w:t>46.9</w:t>
            </w:r>
          </w:p>
        </w:tc>
      </w:tr>
      <w:tr w:rsidR="00C972E2" w:rsidRPr="00CE4BA0" w14:paraId="0950DA2D"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5CA5780D" w14:textId="77777777" w:rsidR="00C972E2" w:rsidRPr="00CE4BA0" w:rsidRDefault="00000000">
            <w:r w:rsidRPr="00CE4BA0">
              <w:t>Academic level</w:t>
            </w:r>
          </w:p>
        </w:tc>
        <w:tc>
          <w:tcPr>
            <w:tcW w:w="3960" w:type="dxa"/>
            <w:tcMar>
              <w:top w:w="60" w:type="dxa"/>
              <w:left w:w="100" w:type="dxa"/>
              <w:bottom w:w="60" w:type="dxa"/>
              <w:right w:w="100" w:type="dxa"/>
            </w:tcMar>
            <w:vAlign w:val="center"/>
          </w:tcPr>
          <w:p w14:paraId="52FB792B" w14:textId="77777777" w:rsidR="00C972E2" w:rsidRPr="00CE4BA0" w:rsidRDefault="00000000">
            <w:pPr>
              <w:jc w:val="center"/>
            </w:pPr>
            <w:r w:rsidRPr="00CE4BA0">
              <w:t>Final-year undergraduate</w:t>
            </w:r>
          </w:p>
        </w:tc>
        <w:tc>
          <w:tcPr>
            <w:tcW w:w="1620" w:type="dxa"/>
            <w:tcMar>
              <w:top w:w="60" w:type="dxa"/>
              <w:left w:w="100" w:type="dxa"/>
              <w:bottom w:w="60" w:type="dxa"/>
              <w:right w:w="100" w:type="dxa"/>
            </w:tcMar>
            <w:vAlign w:val="center"/>
          </w:tcPr>
          <w:p w14:paraId="1464366C" w14:textId="77777777" w:rsidR="00C972E2" w:rsidRPr="00CE4BA0" w:rsidRDefault="00000000">
            <w:pPr>
              <w:jc w:val="center"/>
            </w:pPr>
            <w:r w:rsidRPr="00CE4BA0">
              <w:t>71</w:t>
            </w:r>
          </w:p>
        </w:tc>
        <w:tc>
          <w:tcPr>
            <w:tcW w:w="1620" w:type="dxa"/>
            <w:tcMar>
              <w:top w:w="60" w:type="dxa"/>
              <w:left w:w="100" w:type="dxa"/>
              <w:bottom w:w="60" w:type="dxa"/>
              <w:right w:w="100" w:type="dxa"/>
            </w:tcMar>
            <w:vAlign w:val="center"/>
          </w:tcPr>
          <w:p w14:paraId="638891DE" w14:textId="77777777" w:rsidR="00C972E2" w:rsidRPr="00CE4BA0" w:rsidRDefault="00000000">
            <w:pPr>
              <w:jc w:val="center"/>
            </w:pPr>
            <w:r w:rsidRPr="00CE4BA0">
              <w:t>48.3</w:t>
            </w:r>
          </w:p>
        </w:tc>
      </w:tr>
      <w:tr w:rsidR="00C972E2" w:rsidRPr="00CE4BA0" w14:paraId="3B22A727"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7DCEB2BB" w14:textId="77777777" w:rsidR="00C972E2" w:rsidRPr="00CE4BA0" w:rsidRDefault="00C972E2"/>
        </w:tc>
        <w:tc>
          <w:tcPr>
            <w:tcW w:w="3960" w:type="dxa"/>
            <w:tcMar>
              <w:top w:w="60" w:type="dxa"/>
              <w:left w:w="100" w:type="dxa"/>
              <w:bottom w:w="60" w:type="dxa"/>
              <w:right w:w="100" w:type="dxa"/>
            </w:tcMar>
            <w:vAlign w:val="center"/>
          </w:tcPr>
          <w:p w14:paraId="7DABAD96" w14:textId="77777777" w:rsidR="00C972E2" w:rsidRPr="00CE4BA0" w:rsidRDefault="00000000">
            <w:pPr>
              <w:jc w:val="center"/>
            </w:pPr>
            <w:r w:rsidRPr="00CE4BA0">
              <w:t>Master’s</w:t>
            </w:r>
          </w:p>
        </w:tc>
        <w:tc>
          <w:tcPr>
            <w:tcW w:w="1620" w:type="dxa"/>
            <w:tcMar>
              <w:top w:w="60" w:type="dxa"/>
              <w:left w:w="100" w:type="dxa"/>
              <w:bottom w:w="60" w:type="dxa"/>
              <w:right w:w="100" w:type="dxa"/>
            </w:tcMar>
            <w:vAlign w:val="center"/>
          </w:tcPr>
          <w:p w14:paraId="3E2F44DC" w14:textId="77777777" w:rsidR="00C972E2" w:rsidRPr="00CE4BA0" w:rsidRDefault="00000000">
            <w:pPr>
              <w:jc w:val="center"/>
            </w:pPr>
            <w:r w:rsidRPr="00CE4BA0">
              <w:t>54</w:t>
            </w:r>
          </w:p>
        </w:tc>
        <w:tc>
          <w:tcPr>
            <w:tcW w:w="1620" w:type="dxa"/>
            <w:tcMar>
              <w:top w:w="60" w:type="dxa"/>
              <w:left w:w="100" w:type="dxa"/>
              <w:bottom w:w="60" w:type="dxa"/>
              <w:right w:w="100" w:type="dxa"/>
            </w:tcMar>
            <w:vAlign w:val="center"/>
          </w:tcPr>
          <w:p w14:paraId="36717F05" w14:textId="77777777" w:rsidR="00C972E2" w:rsidRPr="00CE4BA0" w:rsidRDefault="00000000">
            <w:pPr>
              <w:jc w:val="center"/>
            </w:pPr>
            <w:r w:rsidRPr="00CE4BA0">
              <w:t>36.7</w:t>
            </w:r>
          </w:p>
        </w:tc>
      </w:tr>
      <w:tr w:rsidR="00C972E2" w:rsidRPr="00CE4BA0" w14:paraId="569AFA63"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3B734FD2" w14:textId="77777777" w:rsidR="00C972E2" w:rsidRPr="00CE4BA0" w:rsidRDefault="00C972E2"/>
        </w:tc>
        <w:tc>
          <w:tcPr>
            <w:tcW w:w="3960" w:type="dxa"/>
            <w:tcMar>
              <w:top w:w="60" w:type="dxa"/>
              <w:left w:w="100" w:type="dxa"/>
              <w:bottom w:w="60" w:type="dxa"/>
              <w:right w:w="100" w:type="dxa"/>
            </w:tcMar>
            <w:vAlign w:val="center"/>
          </w:tcPr>
          <w:p w14:paraId="51C9FE29" w14:textId="77777777" w:rsidR="00C972E2" w:rsidRPr="00CE4BA0" w:rsidRDefault="00000000">
            <w:pPr>
              <w:jc w:val="center"/>
            </w:pPr>
            <w:r w:rsidRPr="00CE4BA0">
              <w:t>Doctoral</w:t>
            </w:r>
          </w:p>
        </w:tc>
        <w:tc>
          <w:tcPr>
            <w:tcW w:w="1620" w:type="dxa"/>
            <w:tcMar>
              <w:top w:w="60" w:type="dxa"/>
              <w:left w:w="100" w:type="dxa"/>
              <w:bottom w:w="60" w:type="dxa"/>
              <w:right w:w="100" w:type="dxa"/>
            </w:tcMar>
            <w:vAlign w:val="center"/>
          </w:tcPr>
          <w:p w14:paraId="4D2840B0" w14:textId="77777777" w:rsidR="00C972E2" w:rsidRPr="00CE4BA0" w:rsidRDefault="00000000">
            <w:pPr>
              <w:jc w:val="center"/>
            </w:pPr>
            <w:r w:rsidRPr="00CE4BA0">
              <w:t>22</w:t>
            </w:r>
          </w:p>
        </w:tc>
        <w:tc>
          <w:tcPr>
            <w:tcW w:w="1620" w:type="dxa"/>
            <w:tcMar>
              <w:top w:w="60" w:type="dxa"/>
              <w:left w:w="100" w:type="dxa"/>
              <w:bottom w:w="60" w:type="dxa"/>
              <w:right w:w="100" w:type="dxa"/>
            </w:tcMar>
            <w:vAlign w:val="center"/>
          </w:tcPr>
          <w:p w14:paraId="1C4678F4" w14:textId="77777777" w:rsidR="00C972E2" w:rsidRPr="00CE4BA0" w:rsidRDefault="00000000">
            <w:pPr>
              <w:jc w:val="center"/>
            </w:pPr>
            <w:r w:rsidRPr="00CE4BA0">
              <w:t>15.0</w:t>
            </w:r>
          </w:p>
        </w:tc>
      </w:tr>
      <w:tr w:rsidR="00C972E2" w:rsidRPr="00CE4BA0" w14:paraId="4025667B"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12848853" w14:textId="77777777" w:rsidR="00C972E2" w:rsidRPr="00CE4BA0" w:rsidRDefault="00000000">
            <w:r w:rsidRPr="00CE4BA0">
              <w:t>Discipline</w:t>
            </w:r>
          </w:p>
        </w:tc>
        <w:tc>
          <w:tcPr>
            <w:tcW w:w="3960" w:type="dxa"/>
            <w:tcMar>
              <w:top w:w="60" w:type="dxa"/>
              <w:left w:w="100" w:type="dxa"/>
              <w:bottom w:w="60" w:type="dxa"/>
              <w:right w:w="100" w:type="dxa"/>
            </w:tcMar>
            <w:vAlign w:val="center"/>
          </w:tcPr>
          <w:p w14:paraId="016EA243" w14:textId="77777777" w:rsidR="00C972E2" w:rsidRPr="00CE4BA0" w:rsidRDefault="00000000">
            <w:pPr>
              <w:jc w:val="center"/>
            </w:pPr>
            <w:r w:rsidRPr="00CE4BA0">
              <w:t>Sciences</w:t>
            </w:r>
          </w:p>
        </w:tc>
        <w:tc>
          <w:tcPr>
            <w:tcW w:w="1620" w:type="dxa"/>
            <w:tcMar>
              <w:top w:w="60" w:type="dxa"/>
              <w:left w:w="100" w:type="dxa"/>
              <w:bottom w:w="60" w:type="dxa"/>
              <w:right w:w="100" w:type="dxa"/>
            </w:tcMar>
            <w:vAlign w:val="center"/>
          </w:tcPr>
          <w:p w14:paraId="0C538A1B" w14:textId="77777777" w:rsidR="00C972E2" w:rsidRPr="00CE4BA0" w:rsidRDefault="00000000">
            <w:pPr>
              <w:jc w:val="center"/>
            </w:pPr>
            <w:r w:rsidRPr="00CE4BA0">
              <w:t>61</w:t>
            </w:r>
          </w:p>
        </w:tc>
        <w:tc>
          <w:tcPr>
            <w:tcW w:w="1620" w:type="dxa"/>
            <w:tcMar>
              <w:top w:w="60" w:type="dxa"/>
              <w:left w:w="100" w:type="dxa"/>
              <w:bottom w:w="60" w:type="dxa"/>
              <w:right w:w="100" w:type="dxa"/>
            </w:tcMar>
            <w:vAlign w:val="center"/>
          </w:tcPr>
          <w:p w14:paraId="7BE5F643" w14:textId="77777777" w:rsidR="00C972E2" w:rsidRPr="00CE4BA0" w:rsidRDefault="00000000">
            <w:pPr>
              <w:jc w:val="center"/>
            </w:pPr>
            <w:r w:rsidRPr="00CE4BA0">
              <w:t>41.5</w:t>
            </w:r>
          </w:p>
        </w:tc>
      </w:tr>
      <w:tr w:rsidR="00C972E2" w:rsidRPr="00CE4BA0" w14:paraId="4E920D72"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75D961C2" w14:textId="77777777" w:rsidR="00C972E2" w:rsidRPr="00CE4BA0" w:rsidRDefault="00C972E2"/>
        </w:tc>
        <w:tc>
          <w:tcPr>
            <w:tcW w:w="3960" w:type="dxa"/>
            <w:tcMar>
              <w:top w:w="60" w:type="dxa"/>
              <w:left w:w="100" w:type="dxa"/>
              <w:bottom w:w="60" w:type="dxa"/>
              <w:right w:w="100" w:type="dxa"/>
            </w:tcMar>
            <w:vAlign w:val="center"/>
          </w:tcPr>
          <w:p w14:paraId="2F8850F4" w14:textId="77777777" w:rsidR="00C972E2" w:rsidRPr="00CE4BA0" w:rsidRDefault="00000000">
            <w:pPr>
              <w:jc w:val="center"/>
            </w:pPr>
            <w:r w:rsidRPr="00CE4BA0">
              <w:t>Social sciences/humanities</w:t>
            </w:r>
          </w:p>
        </w:tc>
        <w:tc>
          <w:tcPr>
            <w:tcW w:w="1620" w:type="dxa"/>
            <w:tcMar>
              <w:top w:w="60" w:type="dxa"/>
              <w:left w:w="100" w:type="dxa"/>
              <w:bottom w:w="60" w:type="dxa"/>
              <w:right w:w="100" w:type="dxa"/>
            </w:tcMar>
            <w:vAlign w:val="center"/>
          </w:tcPr>
          <w:p w14:paraId="1B9675B0" w14:textId="77777777" w:rsidR="00C972E2" w:rsidRPr="00CE4BA0" w:rsidRDefault="00000000">
            <w:pPr>
              <w:jc w:val="center"/>
            </w:pPr>
            <w:r w:rsidRPr="00CE4BA0">
              <w:t>52</w:t>
            </w:r>
          </w:p>
        </w:tc>
        <w:tc>
          <w:tcPr>
            <w:tcW w:w="1620" w:type="dxa"/>
            <w:tcMar>
              <w:top w:w="60" w:type="dxa"/>
              <w:left w:w="100" w:type="dxa"/>
              <w:bottom w:w="60" w:type="dxa"/>
              <w:right w:w="100" w:type="dxa"/>
            </w:tcMar>
            <w:vAlign w:val="center"/>
          </w:tcPr>
          <w:p w14:paraId="762D9AA1" w14:textId="77777777" w:rsidR="00C972E2" w:rsidRPr="00CE4BA0" w:rsidRDefault="00000000">
            <w:pPr>
              <w:jc w:val="center"/>
            </w:pPr>
            <w:r w:rsidRPr="00CE4BA0">
              <w:t>35.4</w:t>
            </w:r>
          </w:p>
        </w:tc>
      </w:tr>
      <w:tr w:rsidR="00C972E2" w:rsidRPr="00CE4BA0" w14:paraId="4049CAC9"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541AAB19" w14:textId="77777777" w:rsidR="00C972E2" w:rsidRPr="00CE4BA0" w:rsidRDefault="00C972E2"/>
        </w:tc>
        <w:tc>
          <w:tcPr>
            <w:tcW w:w="3960" w:type="dxa"/>
            <w:tcMar>
              <w:top w:w="60" w:type="dxa"/>
              <w:left w:w="100" w:type="dxa"/>
              <w:bottom w:w="60" w:type="dxa"/>
              <w:right w:w="100" w:type="dxa"/>
            </w:tcMar>
            <w:vAlign w:val="center"/>
          </w:tcPr>
          <w:p w14:paraId="1E22D260" w14:textId="77777777" w:rsidR="00C972E2" w:rsidRPr="00CE4BA0" w:rsidRDefault="00000000">
            <w:pPr>
              <w:jc w:val="center"/>
            </w:pPr>
            <w:r w:rsidRPr="00CE4BA0">
              <w:t>Engineering/technology</w:t>
            </w:r>
          </w:p>
        </w:tc>
        <w:tc>
          <w:tcPr>
            <w:tcW w:w="1620" w:type="dxa"/>
            <w:tcMar>
              <w:top w:w="60" w:type="dxa"/>
              <w:left w:w="100" w:type="dxa"/>
              <w:bottom w:w="60" w:type="dxa"/>
              <w:right w:w="100" w:type="dxa"/>
            </w:tcMar>
            <w:vAlign w:val="center"/>
          </w:tcPr>
          <w:p w14:paraId="38ED5CC1" w14:textId="77777777" w:rsidR="00C972E2" w:rsidRPr="00CE4BA0" w:rsidRDefault="00000000">
            <w:pPr>
              <w:jc w:val="center"/>
            </w:pPr>
            <w:r w:rsidRPr="00CE4BA0">
              <w:t>34</w:t>
            </w:r>
          </w:p>
        </w:tc>
        <w:tc>
          <w:tcPr>
            <w:tcW w:w="1620" w:type="dxa"/>
            <w:tcMar>
              <w:top w:w="60" w:type="dxa"/>
              <w:left w:w="100" w:type="dxa"/>
              <w:bottom w:w="60" w:type="dxa"/>
              <w:right w:w="100" w:type="dxa"/>
            </w:tcMar>
            <w:vAlign w:val="center"/>
          </w:tcPr>
          <w:p w14:paraId="050C3494" w14:textId="77777777" w:rsidR="00C972E2" w:rsidRPr="00CE4BA0" w:rsidRDefault="00000000">
            <w:pPr>
              <w:jc w:val="center"/>
            </w:pPr>
            <w:r w:rsidRPr="00CE4BA0">
              <w:t>23.1</w:t>
            </w:r>
          </w:p>
        </w:tc>
      </w:tr>
      <w:tr w:rsidR="00C972E2" w:rsidRPr="00CE4BA0" w14:paraId="4A346E7B"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69F5639F" w14:textId="77777777" w:rsidR="00C972E2" w:rsidRPr="00CE4BA0" w:rsidRDefault="00000000">
            <w:r w:rsidRPr="00CE4BA0">
              <w:t>Usage frequency</w:t>
            </w:r>
          </w:p>
        </w:tc>
        <w:tc>
          <w:tcPr>
            <w:tcW w:w="3960" w:type="dxa"/>
            <w:tcMar>
              <w:top w:w="60" w:type="dxa"/>
              <w:left w:w="100" w:type="dxa"/>
              <w:bottom w:w="60" w:type="dxa"/>
              <w:right w:w="100" w:type="dxa"/>
            </w:tcMar>
            <w:vAlign w:val="center"/>
          </w:tcPr>
          <w:p w14:paraId="05FBCC77" w14:textId="77777777" w:rsidR="00C972E2" w:rsidRPr="00CE4BA0" w:rsidRDefault="00000000">
            <w:pPr>
              <w:jc w:val="center"/>
            </w:pPr>
            <w:r w:rsidRPr="00CE4BA0">
              <w:t>Daily</w:t>
            </w:r>
          </w:p>
        </w:tc>
        <w:tc>
          <w:tcPr>
            <w:tcW w:w="1620" w:type="dxa"/>
            <w:tcMar>
              <w:top w:w="60" w:type="dxa"/>
              <w:left w:w="100" w:type="dxa"/>
              <w:bottom w:w="60" w:type="dxa"/>
              <w:right w:w="100" w:type="dxa"/>
            </w:tcMar>
            <w:vAlign w:val="center"/>
          </w:tcPr>
          <w:p w14:paraId="27DFB4D1" w14:textId="77777777" w:rsidR="00C972E2" w:rsidRPr="00CE4BA0" w:rsidRDefault="00000000">
            <w:pPr>
              <w:jc w:val="center"/>
            </w:pPr>
            <w:r w:rsidRPr="00CE4BA0">
              <w:t>23</w:t>
            </w:r>
          </w:p>
        </w:tc>
        <w:tc>
          <w:tcPr>
            <w:tcW w:w="1620" w:type="dxa"/>
            <w:tcMar>
              <w:top w:w="60" w:type="dxa"/>
              <w:left w:w="100" w:type="dxa"/>
              <w:bottom w:w="60" w:type="dxa"/>
              <w:right w:w="100" w:type="dxa"/>
            </w:tcMar>
            <w:vAlign w:val="center"/>
          </w:tcPr>
          <w:p w14:paraId="4C28899F" w14:textId="77777777" w:rsidR="00C972E2" w:rsidRPr="00CE4BA0" w:rsidRDefault="00000000">
            <w:pPr>
              <w:jc w:val="center"/>
            </w:pPr>
            <w:r w:rsidRPr="00CE4BA0">
              <w:t>15.6</w:t>
            </w:r>
          </w:p>
        </w:tc>
      </w:tr>
      <w:tr w:rsidR="00C972E2" w:rsidRPr="00CE4BA0" w14:paraId="04C6C5BA"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587F36BB" w14:textId="77777777" w:rsidR="00C972E2" w:rsidRPr="00CE4BA0" w:rsidRDefault="00C972E2"/>
        </w:tc>
        <w:tc>
          <w:tcPr>
            <w:tcW w:w="3960" w:type="dxa"/>
            <w:tcMar>
              <w:top w:w="60" w:type="dxa"/>
              <w:left w:w="100" w:type="dxa"/>
              <w:bottom w:w="60" w:type="dxa"/>
              <w:right w:w="100" w:type="dxa"/>
            </w:tcMar>
            <w:vAlign w:val="center"/>
          </w:tcPr>
          <w:p w14:paraId="236379CE" w14:textId="77777777" w:rsidR="00C972E2" w:rsidRPr="00CE4BA0" w:rsidRDefault="00000000">
            <w:pPr>
              <w:jc w:val="center"/>
            </w:pPr>
            <w:r w:rsidRPr="00CE4BA0">
              <w:t>Weekly</w:t>
            </w:r>
          </w:p>
        </w:tc>
        <w:tc>
          <w:tcPr>
            <w:tcW w:w="1620" w:type="dxa"/>
            <w:tcMar>
              <w:top w:w="60" w:type="dxa"/>
              <w:left w:w="100" w:type="dxa"/>
              <w:bottom w:w="60" w:type="dxa"/>
              <w:right w:w="100" w:type="dxa"/>
            </w:tcMar>
            <w:vAlign w:val="center"/>
          </w:tcPr>
          <w:p w14:paraId="3A448D75" w14:textId="77777777" w:rsidR="00C972E2" w:rsidRPr="00CE4BA0" w:rsidRDefault="00000000">
            <w:pPr>
              <w:jc w:val="center"/>
            </w:pPr>
            <w:r w:rsidRPr="00CE4BA0">
              <w:t>69</w:t>
            </w:r>
          </w:p>
        </w:tc>
        <w:tc>
          <w:tcPr>
            <w:tcW w:w="1620" w:type="dxa"/>
            <w:tcMar>
              <w:top w:w="60" w:type="dxa"/>
              <w:left w:w="100" w:type="dxa"/>
              <w:bottom w:w="60" w:type="dxa"/>
              <w:right w:w="100" w:type="dxa"/>
            </w:tcMar>
            <w:vAlign w:val="center"/>
          </w:tcPr>
          <w:p w14:paraId="72F38F20" w14:textId="77777777" w:rsidR="00C972E2" w:rsidRPr="00CE4BA0" w:rsidRDefault="00000000">
            <w:pPr>
              <w:jc w:val="center"/>
            </w:pPr>
            <w:r w:rsidRPr="00CE4BA0">
              <w:t>46.9</w:t>
            </w:r>
          </w:p>
        </w:tc>
      </w:tr>
      <w:tr w:rsidR="00C972E2" w:rsidRPr="00CE4BA0" w14:paraId="50FA11E7" w14:textId="77777777" w:rsidTr="005139CE">
        <w:tblPrEx>
          <w:tblCellMar>
            <w:top w:w="0" w:type="dxa"/>
            <w:bottom w:w="0" w:type="dxa"/>
          </w:tblCellMar>
        </w:tblPrEx>
        <w:tc>
          <w:tcPr>
            <w:tcW w:w="2160" w:type="dxa"/>
            <w:tcMar>
              <w:top w:w="60" w:type="dxa"/>
              <w:left w:w="100" w:type="dxa"/>
              <w:bottom w:w="60" w:type="dxa"/>
              <w:right w:w="100" w:type="dxa"/>
            </w:tcMar>
            <w:vAlign w:val="center"/>
          </w:tcPr>
          <w:p w14:paraId="589C10DD" w14:textId="77777777" w:rsidR="00C972E2" w:rsidRPr="00CE4BA0" w:rsidRDefault="00C972E2"/>
        </w:tc>
        <w:tc>
          <w:tcPr>
            <w:tcW w:w="3960" w:type="dxa"/>
            <w:tcMar>
              <w:top w:w="60" w:type="dxa"/>
              <w:left w:w="100" w:type="dxa"/>
              <w:bottom w:w="60" w:type="dxa"/>
              <w:right w:w="100" w:type="dxa"/>
            </w:tcMar>
            <w:vAlign w:val="center"/>
          </w:tcPr>
          <w:p w14:paraId="763FD323" w14:textId="77777777" w:rsidR="00C972E2" w:rsidRPr="00CE4BA0" w:rsidRDefault="00000000">
            <w:pPr>
              <w:jc w:val="center"/>
            </w:pPr>
            <w:r w:rsidRPr="00CE4BA0">
              <w:t>Monthly</w:t>
            </w:r>
          </w:p>
        </w:tc>
        <w:tc>
          <w:tcPr>
            <w:tcW w:w="1620" w:type="dxa"/>
            <w:tcMar>
              <w:top w:w="60" w:type="dxa"/>
              <w:left w:w="100" w:type="dxa"/>
              <w:bottom w:w="60" w:type="dxa"/>
              <w:right w:w="100" w:type="dxa"/>
            </w:tcMar>
            <w:vAlign w:val="center"/>
          </w:tcPr>
          <w:p w14:paraId="0993D24A" w14:textId="77777777" w:rsidR="00C972E2" w:rsidRPr="00CE4BA0" w:rsidRDefault="00000000">
            <w:pPr>
              <w:jc w:val="center"/>
            </w:pPr>
            <w:r w:rsidRPr="00CE4BA0">
              <w:t>41</w:t>
            </w:r>
          </w:p>
        </w:tc>
        <w:tc>
          <w:tcPr>
            <w:tcW w:w="1620" w:type="dxa"/>
            <w:tcMar>
              <w:top w:w="60" w:type="dxa"/>
              <w:left w:w="100" w:type="dxa"/>
              <w:bottom w:w="60" w:type="dxa"/>
              <w:right w:w="100" w:type="dxa"/>
            </w:tcMar>
            <w:vAlign w:val="center"/>
          </w:tcPr>
          <w:p w14:paraId="06F71C01" w14:textId="77777777" w:rsidR="00C972E2" w:rsidRPr="00CE4BA0" w:rsidRDefault="00000000">
            <w:pPr>
              <w:jc w:val="center"/>
            </w:pPr>
            <w:r w:rsidRPr="00CE4BA0">
              <w:t>27.9</w:t>
            </w:r>
          </w:p>
        </w:tc>
      </w:tr>
      <w:tr w:rsidR="00C972E2" w:rsidRPr="00CE4BA0" w14:paraId="088F54FD" w14:textId="77777777" w:rsidTr="005139CE">
        <w:tblPrEx>
          <w:tblCellMar>
            <w:top w:w="0" w:type="dxa"/>
            <w:bottom w:w="0" w:type="dxa"/>
          </w:tblCellMar>
        </w:tblPrEx>
        <w:tc>
          <w:tcPr>
            <w:tcW w:w="2160" w:type="dxa"/>
            <w:tcBorders>
              <w:bottom w:val="single" w:sz="4" w:space="0" w:color="auto"/>
            </w:tcBorders>
            <w:tcMar>
              <w:top w:w="60" w:type="dxa"/>
              <w:left w:w="100" w:type="dxa"/>
              <w:bottom w:w="60" w:type="dxa"/>
              <w:right w:w="100" w:type="dxa"/>
            </w:tcMar>
            <w:vAlign w:val="center"/>
          </w:tcPr>
          <w:p w14:paraId="248DA5F5" w14:textId="77777777" w:rsidR="00C972E2" w:rsidRPr="00CE4BA0" w:rsidRDefault="00C972E2"/>
        </w:tc>
        <w:tc>
          <w:tcPr>
            <w:tcW w:w="3960" w:type="dxa"/>
            <w:tcBorders>
              <w:bottom w:val="single" w:sz="4" w:space="0" w:color="auto"/>
            </w:tcBorders>
            <w:tcMar>
              <w:top w:w="60" w:type="dxa"/>
              <w:left w:w="100" w:type="dxa"/>
              <w:bottom w:w="60" w:type="dxa"/>
              <w:right w:w="100" w:type="dxa"/>
            </w:tcMar>
            <w:vAlign w:val="center"/>
          </w:tcPr>
          <w:p w14:paraId="69247614" w14:textId="77777777" w:rsidR="00C972E2" w:rsidRPr="00CE4BA0" w:rsidRDefault="00000000">
            <w:pPr>
              <w:jc w:val="center"/>
            </w:pPr>
            <w:r w:rsidRPr="00CE4BA0">
              <w:t>Rarely</w:t>
            </w:r>
          </w:p>
        </w:tc>
        <w:tc>
          <w:tcPr>
            <w:tcW w:w="1620" w:type="dxa"/>
            <w:tcBorders>
              <w:bottom w:val="single" w:sz="4" w:space="0" w:color="auto"/>
            </w:tcBorders>
            <w:tcMar>
              <w:top w:w="60" w:type="dxa"/>
              <w:left w:w="100" w:type="dxa"/>
              <w:bottom w:w="60" w:type="dxa"/>
              <w:right w:w="100" w:type="dxa"/>
            </w:tcMar>
            <w:vAlign w:val="center"/>
          </w:tcPr>
          <w:p w14:paraId="36D2C172" w14:textId="77777777" w:rsidR="00C972E2" w:rsidRPr="00CE4BA0" w:rsidRDefault="00000000">
            <w:pPr>
              <w:jc w:val="center"/>
            </w:pPr>
            <w:r w:rsidRPr="00CE4BA0">
              <w:t>14</w:t>
            </w:r>
          </w:p>
        </w:tc>
        <w:tc>
          <w:tcPr>
            <w:tcW w:w="1620" w:type="dxa"/>
            <w:tcBorders>
              <w:bottom w:val="single" w:sz="4" w:space="0" w:color="auto"/>
            </w:tcBorders>
            <w:tcMar>
              <w:top w:w="60" w:type="dxa"/>
              <w:left w:w="100" w:type="dxa"/>
              <w:bottom w:w="60" w:type="dxa"/>
              <w:right w:w="100" w:type="dxa"/>
            </w:tcMar>
            <w:vAlign w:val="center"/>
          </w:tcPr>
          <w:p w14:paraId="4E5406A2" w14:textId="77777777" w:rsidR="00C972E2" w:rsidRPr="00CE4BA0" w:rsidRDefault="00000000">
            <w:pPr>
              <w:jc w:val="center"/>
            </w:pPr>
            <w:r w:rsidRPr="00CE4BA0">
              <w:t>9.5</w:t>
            </w:r>
          </w:p>
        </w:tc>
      </w:tr>
    </w:tbl>
    <w:p w14:paraId="7DBC231B" w14:textId="77777777" w:rsidR="00C972E2" w:rsidRPr="00CE4BA0" w:rsidRDefault="00000000">
      <w:pPr>
        <w:spacing w:before="80" w:after="240"/>
      </w:pPr>
      <w:r w:rsidRPr="00CE4BA0">
        <w:rPr>
          <w:i/>
          <w:iCs/>
        </w:rPr>
        <w:lastRenderedPageBreak/>
        <w:t xml:space="preserve">Note. </w:t>
      </w:r>
      <w:r w:rsidRPr="00CE4BA0">
        <w:t>Percentages are computed within each variable.</w:t>
      </w:r>
    </w:p>
    <w:p w14:paraId="359BC1AA" w14:textId="77777777" w:rsidR="00C972E2" w:rsidRPr="00CE4BA0" w:rsidRDefault="00000000">
      <w:pPr>
        <w:pStyle w:val="Heading2"/>
        <w:spacing w:before="0" w:after="0"/>
      </w:pPr>
      <w:r w:rsidRPr="00CE4BA0">
        <w:t>Topical Composition of Student Queries (RQ1)</w:t>
      </w:r>
    </w:p>
    <w:p w14:paraId="33615E2A" w14:textId="77777777" w:rsidR="00C972E2" w:rsidRPr="00CE4BA0" w:rsidRDefault="00000000" w:rsidP="005139CE">
      <w:pPr>
        <w:spacing w:line="480" w:lineRule="auto"/>
      </w:pPr>
      <w:r w:rsidRPr="00CE4BA0">
        <w:t>Table 4 reports the prevalence of each pre-classified topic across the 3,612 retained sessions; Figure 2 ranks the topics by prevalence. Two of the six topics—full-text/database access and remote-access troubleshooting—were classified a priori as technical-friction topics rather than substantive research need; together they account for 38.7% of all sessions, a distinction that proves decisive for the survival and logistic models reported below.</w:t>
      </w:r>
    </w:p>
    <w:p w14:paraId="39664F12" w14:textId="77777777" w:rsidR="00C972E2" w:rsidRPr="00CE4BA0" w:rsidRDefault="00000000">
      <w:pPr>
        <w:keepNext/>
        <w:keepLines/>
        <w:spacing w:before="240"/>
      </w:pPr>
      <w:r w:rsidRPr="00CE4BA0">
        <w:rPr>
          <w:b/>
          <w:bCs/>
        </w:rPr>
        <w:t>Table 4</w:t>
      </w:r>
    </w:p>
    <w:p w14:paraId="24F428E7" w14:textId="77777777" w:rsidR="00C972E2" w:rsidRPr="00CE4BA0" w:rsidRDefault="00000000">
      <w:pPr>
        <w:keepNext/>
        <w:keepLines/>
        <w:spacing w:after="120"/>
      </w:pPr>
      <w:r w:rsidRPr="00CE4BA0">
        <w:rPr>
          <w:i/>
          <w:iCs/>
        </w:rPr>
        <w:t>Prevalence of Pre-Classified Query Topics (k = 6; 3,612 Sessions)</w:t>
      </w:r>
    </w:p>
    <w:tbl>
      <w:tblPr>
        <w:tblW w:w="9360" w:type="dxa"/>
        <w:tblCellMar>
          <w:left w:w="10" w:type="dxa"/>
          <w:right w:w="10" w:type="dxa"/>
        </w:tblCellMar>
        <w:tblLook w:val="0000" w:firstRow="0" w:lastRow="0" w:firstColumn="0" w:lastColumn="0" w:noHBand="0" w:noVBand="0"/>
      </w:tblPr>
      <w:tblGrid>
        <w:gridCol w:w="4680"/>
        <w:gridCol w:w="2340"/>
        <w:gridCol w:w="2340"/>
      </w:tblGrid>
      <w:tr w:rsidR="00C972E2" w:rsidRPr="00CE4BA0" w14:paraId="015FB132" w14:textId="77777777" w:rsidTr="00A07DEA">
        <w:tblPrEx>
          <w:tblCellMar>
            <w:top w:w="0" w:type="dxa"/>
            <w:bottom w:w="0" w:type="dxa"/>
          </w:tblCellMar>
        </w:tblPrEx>
        <w:trPr>
          <w:tblHeader/>
        </w:trPr>
        <w:tc>
          <w:tcPr>
            <w:tcW w:w="4680" w:type="dxa"/>
            <w:tcBorders>
              <w:top w:val="single" w:sz="4" w:space="0" w:color="auto"/>
              <w:bottom w:val="single" w:sz="4" w:space="0" w:color="auto"/>
            </w:tcBorders>
            <w:tcMar>
              <w:top w:w="60" w:type="dxa"/>
              <w:left w:w="100" w:type="dxa"/>
              <w:bottom w:w="60" w:type="dxa"/>
              <w:right w:w="100" w:type="dxa"/>
            </w:tcMar>
            <w:vAlign w:val="center"/>
          </w:tcPr>
          <w:p w14:paraId="45D1E4B5" w14:textId="77777777" w:rsidR="00C972E2" w:rsidRPr="00CE4BA0" w:rsidRDefault="00000000">
            <w:r w:rsidRPr="00CE4BA0">
              <w:rPr>
                <w:b/>
                <w:bCs/>
              </w:rPr>
              <w:t>Topic label</w:t>
            </w:r>
          </w:p>
        </w:tc>
        <w:tc>
          <w:tcPr>
            <w:tcW w:w="2340" w:type="dxa"/>
            <w:tcBorders>
              <w:top w:val="single" w:sz="4" w:space="0" w:color="auto"/>
              <w:bottom w:val="single" w:sz="4" w:space="0" w:color="auto"/>
            </w:tcBorders>
            <w:tcMar>
              <w:top w:w="60" w:type="dxa"/>
              <w:left w:w="100" w:type="dxa"/>
              <w:bottom w:w="60" w:type="dxa"/>
              <w:right w:w="100" w:type="dxa"/>
            </w:tcMar>
            <w:vAlign w:val="center"/>
          </w:tcPr>
          <w:p w14:paraId="203FD5D6" w14:textId="00A56096" w:rsidR="00C972E2" w:rsidRPr="00CE4BA0" w:rsidRDefault="005139CE">
            <w:pPr>
              <w:jc w:val="center"/>
            </w:pPr>
            <w:r w:rsidRPr="00CE4BA0">
              <w:rPr>
                <w:b/>
                <w:bCs/>
              </w:rPr>
              <w:t>N</w:t>
            </w:r>
          </w:p>
        </w:tc>
        <w:tc>
          <w:tcPr>
            <w:tcW w:w="2340" w:type="dxa"/>
            <w:tcBorders>
              <w:top w:val="single" w:sz="4" w:space="0" w:color="auto"/>
              <w:bottom w:val="single" w:sz="4" w:space="0" w:color="auto"/>
            </w:tcBorders>
            <w:tcMar>
              <w:top w:w="60" w:type="dxa"/>
              <w:left w:w="100" w:type="dxa"/>
              <w:bottom w:w="60" w:type="dxa"/>
              <w:right w:w="100" w:type="dxa"/>
            </w:tcMar>
            <w:vAlign w:val="center"/>
          </w:tcPr>
          <w:p w14:paraId="4BFB43AA" w14:textId="77777777" w:rsidR="00C972E2" w:rsidRPr="00CE4BA0" w:rsidRDefault="00000000">
            <w:pPr>
              <w:jc w:val="center"/>
            </w:pPr>
            <w:r w:rsidRPr="00CE4BA0">
              <w:rPr>
                <w:b/>
                <w:bCs/>
              </w:rPr>
              <w:t>Prevalence (%)</w:t>
            </w:r>
          </w:p>
        </w:tc>
      </w:tr>
      <w:tr w:rsidR="00C972E2" w:rsidRPr="00CE4BA0" w14:paraId="7DB3F94A" w14:textId="77777777" w:rsidTr="00A07DEA">
        <w:tblPrEx>
          <w:tblCellMar>
            <w:top w:w="0" w:type="dxa"/>
            <w:bottom w:w="0" w:type="dxa"/>
          </w:tblCellMar>
        </w:tblPrEx>
        <w:tc>
          <w:tcPr>
            <w:tcW w:w="4680" w:type="dxa"/>
            <w:tcBorders>
              <w:top w:val="single" w:sz="4" w:space="0" w:color="auto"/>
            </w:tcBorders>
            <w:tcMar>
              <w:top w:w="60" w:type="dxa"/>
              <w:left w:w="100" w:type="dxa"/>
              <w:bottom w:w="60" w:type="dxa"/>
              <w:right w:w="100" w:type="dxa"/>
            </w:tcMar>
            <w:vAlign w:val="center"/>
          </w:tcPr>
          <w:p w14:paraId="4F1D75DF" w14:textId="77777777" w:rsidR="00C972E2" w:rsidRPr="00CE4BA0" w:rsidRDefault="00000000">
            <w:r w:rsidRPr="00CE4BA0">
              <w:t>Full-text &amp; database access</w:t>
            </w:r>
          </w:p>
        </w:tc>
        <w:tc>
          <w:tcPr>
            <w:tcW w:w="2340" w:type="dxa"/>
            <w:tcBorders>
              <w:top w:val="single" w:sz="4" w:space="0" w:color="auto"/>
            </w:tcBorders>
            <w:tcMar>
              <w:top w:w="60" w:type="dxa"/>
              <w:left w:w="100" w:type="dxa"/>
              <w:bottom w:w="60" w:type="dxa"/>
              <w:right w:w="100" w:type="dxa"/>
            </w:tcMar>
            <w:vAlign w:val="center"/>
          </w:tcPr>
          <w:p w14:paraId="383FDA62" w14:textId="77777777" w:rsidR="00C972E2" w:rsidRPr="00CE4BA0" w:rsidRDefault="00000000">
            <w:pPr>
              <w:jc w:val="center"/>
            </w:pPr>
            <w:r w:rsidRPr="00CE4BA0">
              <w:t>903</w:t>
            </w:r>
          </w:p>
        </w:tc>
        <w:tc>
          <w:tcPr>
            <w:tcW w:w="2340" w:type="dxa"/>
            <w:tcBorders>
              <w:top w:val="single" w:sz="4" w:space="0" w:color="auto"/>
            </w:tcBorders>
            <w:tcMar>
              <w:top w:w="60" w:type="dxa"/>
              <w:left w:w="100" w:type="dxa"/>
              <w:bottom w:w="60" w:type="dxa"/>
              <w:right w:w="100" w:type="dxa"/>
            </w:tcMar>
            <w:vAlign w:val="center"/>
          </w:tcPr>
          <w:p w14:paraId="04A9B5E6" w14:textId="77777777" w:rsidR="00C972E2" w:rsidRPr="00CE4BA0" w:rsidRDefault="00000000">
            <w:pPr>
              <w:jc w:val="center"/>
            </w:pPr>
            <w:r w:rsidRPr="00CE4BA0">
              <w:t>25.0</w:t>
            </w:r>
          </w:p>
        </w:tc>
      </w:tr>
      <w:tr w:rsidR="00C972E2" w:rsidRPr="00CE4BA0" w14:paraId="6CAD6B4D" w14:textId="77777777" w:rsidTr="00A07DEA">
        <w:tblPrEx>
          <w:tblCellMar>
            <w:top w:w="0" w:type="dxa"/>
            <w:bottom w:w="0" w:type="dxa"/>
          </w:tblCellMar>
        </w:tblPrEx>
        <w:tc>
          <w:tcPr>
            <w:tcW w:w="4680" w:type="dxa"/>
            <w:tcMar>
              <w:top w:w="60" w:type="dxa"/>
              <w:left w:w="100" w:type="dxa"/>
              <w:bottom w:w="60" w:type="dxa"/>
              <w:right w:w="100" w:type="dxa"/>
            </w:tcMar>
            <w:vAlign w:val="center"/>
          </w:tcPr>
          <w:p w14:paraId="7C6F89AF" w14:textId="77777777" w:rsidR="00C972E2" w:rsidRPr="00CE4BA0" w:rsidRDefault="00000000">
            <w:r w:rsidRPr="00CE4BA0">
              <w:t>Citation &amp; referencing support</w:t>
            </w:r>
          </w:p>
        </w:tc>
        <w:tc>
          <w:tcPr>
            <w:tcW w:w="2340" w:type="dxa"/>
            <w:tcMar>
              <w:top w:w="60" w:type="dxa"/>
              <w:left w:w="100" w:type="dxa"/>
              <w:bottom w:w="60" w:type="dxa"/>
              <w:right w:w="100" w:type="dxa"/>
            </w:tcMar>
            <w:vAlign w:val="center"/>
          </w:tcPr>
          <w:p w14:paraId="5E01FDE0" w14:textId="77777777" w:rsidR="00C972E2" w:rsidRPr="00CE4BA0" w:rsidRDefault="00000000">
            <w:pPr>
              <w:jc w:val="center"/>
            </w:pPr>
            <w:r w:rsidRPr="00CE4BA0">
              <w:t>726</w:t>
            </w:r>
          </w:p>
        </w:tc>
        <w:tc>
          <w:tcPr>
            <w:tcW w:w="2340" w:type="dxa"/>
            <w:tcMar>
              <w:top w:w="60" w:type="dxa"/>
              <w:left w:w="100" w:type="dxa"/>
              <w:bottom w:w="60" w:type="dxa"/>
              <w:right w:w="100" w:type="dxa"/>
            </w:tcMar>
            <w:vAlign w:val="center"/>
          </w:tcPr>
          <w:p w14:paraId="0D756B98" w14:textId="77777777" w:rsidR="00C972E2" w:rsidRPr="00CE4BA0" w:rsidRDefault="00000000">
            <w:pPr>
              <w:jc w:val="center"/>
            </w:pPr>
            <w:r w:rsidRPr="00CE4BA0">
              <w:t>20.1</w:t>
            </w:r>
          </w:p>
        </w:tc>
      </w:tr>
      <w:tr w:rsidR="00C972E2" w:rsidRPr="00CE4BA0" w14:paraId="5C1D449F" w14:textId="77777777" w:rsidTr="00A07DEA">
        <w:tblPrEx>
          <w:tblCellMar>
            <w:top w:w="0" w:type="dxa"/>
            <w:bottom w:w="0" w:type="dxa"/>
          </w:tblCellMar>
        </w:tblPrEx>
        <w:tc>
          <w:tcPr>
            <w:tcW w:w="4680" w:type="dxa"/>
            <w:tcMar>
              <w:top w:w="60" w:type="dxa"/>
              <w:left w:w="100" w:type="dxa"/>
              <w:bottom w:w="60" w:type="dxa"/>
              <w:right w:w="100" w:type="dxa"/>
            </w:tcMar>
            <w:vAlign w:val="center"/>
          </w:tcPr>
          <w:p w14:paraId="53FA54F2" w14:textId="77777777" w:rsidR="00C972E2" w:rsidRPr="00CE4BA0" w:rsidRDefault="00000000">
            <w:r w:rsidRPr="00CE4BA0">
              <w:t>Thesis &amp; dissertation resources</w:t>
            </w:r>
          </w:p>
        </w:tc>
        <w:tc>
          <w:tcPr>
            <w:tcW w:w="2340" w:type="dxa"/>
            <w:tcMar>
              <w:top w:w="60" w:type="dxa"/>
              <w:left w:w="100" w:type="dxa"/>
              <w:bottom w:w="60" w:type="dxa"/>
              <w:right w:w="100" w:type="dxa"/>
            </w:tcMar>
            <w:vAlign w:val="center"/>
          </w:tcPr>
          <w:p w14:paraId="45999803" w14:textId="77777777" w:rsidR="00C972E2" w:rsidRPr="00CE4BA0" w:rsidRDefault="00000000">
            <w:pPr>
              <w:jc w:val="center"/>
            </w:pPr>
            <w:r w:rsidRPr="00CE4BA0">
              <w:t>612</w:t>
            </w:r>
          </w:p>
        </w:tc>
        <w:tc>
          <w:tcPr>
            <w:tcW w:w="2340" w:type="dxa"/>
            <w:tcMar>
              <w:top w:w="60" w:type="dxa"/>
              <w:left w:w="100" w:type="dxa"/>
              <w:bottom w:w="60" w:type="dxa"/>
              <w:right w:w="100" w:type="dxa"/>
            </w:tcMar>
            <w:vAlign w:val="center"/>
          </w:tcPr>
          <w:p w14:paraId="30698B99" w14:textId="77777777" w:rsidR="00C972E2" w:rsidRPr="00CE4BA0" w:rsidRDefault="00000000">
            <w:pPr>
              <w:jc w:val="center"/>
            </w:pPr>
            <w:r w:rsidRPr="00CE4BA0">
              <w:t>17.0</w:t>
            </w:r>
          </w:p>
        </w:tc>
      </w:tr>
      <w:tr w:rsidR="00C972E2" w:rsidRPr="00CE4BA0" w14:paraId="1FFC1004" w14:textId="77777777" w:rsidTr="00A07DEA">
        <w:tblPrEx>
          <w:tblCellMar>
            <w:top w:w="0" w:type="dxa"/>
            <w:bottom w:w="0" w:type="dxa"/>
          </w:tblCellMar>
        </w:tblPrEx>
        <w:tc>
          <w:tcPr>
            <w:tcW w:w="4680" w:type="dxa"/>
            <w:tcMar>
              <w:top w:w="60" w:type="dxa"/>
              <w:left w:w="100" w:type="dxa"/>
              <w:bottom w:w="60" w:type="dxa"/>
              <w:right w:w="100" w:type="dxa"/>
            </w:tcMar>
            <w:vAlign w:val="center"/>
          </w:tcPr>
          <w:p w14:paraId="69DE7202" w14:textId="77777777" w:rsidR="00C972E2" w:rsidRPr="00CE4BA0" w:rsidRDefault="00000000">
            <w:r w:rsidRPr="00CE4BA0">
              <w:t>Subject resource discovery</w:t>
            </w:r>
          </w:p>
        </w:tc>
        <w:tc>
          <w:tcPr>
            <w:tcW w:w="2340" w:type="dxa"/>
            <w:tcMar>
              <w:top w:w="60" w:type="dxa"/>
              <w:left w:w="100" w:type="dxa"/>
              <w:bottom w:w="60" w:type="dxa"/>
              <w:right w:w="100" w:type="dxa"/>
            </w:tcMar>
            <w:vAlign w:val="center"/>
          </w:tcPr>
          <w:p w14:paraId="15C8A64C" w14:textId="77777777" w:rsidR="00C972E2" w:rsidRPr="00CE4BA0" w:rsidRDefault="00000000">
            <w:pPr>
              <w:jc w:val="center"/>
            </w:pPr>
            <w:r w:rsidRPr="00CE4BA0">
              <w:t>581</w:t>
            </w:r>
          </w:p>
        </w:tc>
        <w:tc>
          <w:tcPr>
            <w:tcW w:w="2340" w:type="dxa"/>
            <w:tcMar>
              <w:top w:w="60" w:type="dxa"/>
              <w:left w:w="100" w:type="dxa"/>
              <w:bottom w:w="60" w:type="dxa"/>
              <w:right w:w="100" w:type="dxa"/>
            </w:tcMar>
            <w:vAlign w:val="center"/>
          </w:tcPr>
          <w:p w14:paraId="4DA076D8" w14:textId="77777777" w:rsidR="00C972E2" w:rsidRPr="00CE4BA0" w:rsidRDefault="00000000">
            <w:pPr>
              <w:jc w:val="center"/>
            </w:pPr>
            <w:r w:rsidRPr="00CE4BA0">
              <w:t>16.1</w:t>
            </w:r>
          </w:p>
        </w:tc>
      </w:tr>
      <w:tr w:rsidR="00C972E2" w:rsidRPr="00CE4BA0" w14:paraId="56B5A332" w14:textId="77777777" w:rsidTr="00A07DEA">
        <w:tblPrEx>
          <w:tblCellMar>
            <w:top w:w="0" w:type="dxa"/>
            <w:bottom w:w="0" w:type="dxa"/>
          </w:tblCellMar>
        </w:tblPrEx>
        <w:tc>
          <w:tcPr>
            <w:tcW w:w="4680" w:type="dxa"/>
            <w:tcMar>
              <w:top w:w="60" w:type="dxa"/>
              <w:left w:w="100" w:type="dxa"/>
              <w:bottom w:w="60" w:type="dxa"/>
              <w:right w:w="100" w:type="dxa"/>
            </w:tcMar>
            <w:vAlign w:val="center"/>
          </w:tcPr>
          <w:p w14:paraId="23FF313D" w14:textId="77777777" w:rsidR="00C972E2" w:rsidRPr="00CE4BA0" w:rsidRDefault="00000000">
            <w:r w:rsidRPr="00CE4BA0">
              <w:t>Remote-access troubleshooting</w:t>
            </w:r>
          </w:p>
        </w:tc>
        <w:tc>
          <w:tcPr>
            <w:tcW w:w="2340" w:type="dxa"/>
            <w:tcMar>
              <w:top w:w="60" w:type="dxa"/>
              <w:left w:w="100" w:type="dxa"/>
              <w:bottom w:w="60" w:type="dxa"/>
              <w:right w:w="100" w:type="dxa"/>
            </w:tcMar>
            <w:vAlign w:val="center"/>
          </w:tcPr>
          <w:p w14:paraId="1010A517" w14:textId="77777777" w:rsidR="00C972E2" w:rsidRPr="00CE4BA0" w:rsidRDefault="00000000">
            <w:pPr>
              <w:jc w:val="center"/>
            </w:pPr>
            <w:r w:rsidRPr="00CE4BA0">
              <w:t>496</w:t>
            </w:r>
          </w:p>
        </w:tc>
        <w:tc>
          <w:tcPr>
            <w:tcW w:w="2340" w:type="dxa"/>
            <w:tcMar>
              <w:top w:w="60" w:type="dxa"/>
              <w:left w:w="100" w:type="dxa"/>
              <w:bottom w:w="60" w:type="dxa"/>
              <w:right w:w="100" w:type="dxa"/>
            </w:tcMar>
            <w:vAlign w:val="center"/>
          </w:tcPr>
          <w:p w14:paraId="699A121C" w14:textId="77777777" w:rsidR="00C972E2" w:rsidRPr="00CE4BA0" w:rsidRDefault="00000000">
            <w:pPr>
              <w:jc w:val="center"/>
            </w:pPr>
            <w:r w:rsidRPr="00CE4BA0">
              <w:t>13.7</w:t>
            </w:r>
          </w:p>
        </w:tc>
      </w:tr>
      <w:tr w:rsidR="00C972E2" w:rsidRPr="00CE4BA0" w14:paraId="12630D18" w14:textId="77777777" w:rsidTr="00A07DEA">
        <w:tblPrEx>
          <w:tblCellMar>
            <w:top w:w="0" w:type="dxa"/>
            <w:bottom w:w="0" w:type="dxa"/>
          </w:tblCellMar>
        </w:tblPrEx>
        <w:tc>
          <w:tcPr>
            <w:tcW w:w="4680" w:type="dxa"/>
            <w:tcBorders>
              <w:bottom w:val="single" w:sz="4" w:space="0" w:color="auto"/>
            </w:tcBorders>
            <w:tcMar>
              <w:top w:w="60" w:type="dxa"/>
              <w:left w:w="100" w:type="dxa"/>
              <w:bottom w:w="60" w:type="dxa"/>
              <w:right w:w="100" w:type="dxa"/>
            </w:tcMar>
            <w:vAlign w:val="center"/>
          </w:tcPr>
          <w:p w14:paraId="1142AC01" w14:textId="77777777" w:rsidR="00C972E2" w:rsidRPr="00CE4BA0" w:rsidRDefault="00000000">
            <w:r w:rsidRPr="00CE4BA0">
              <w:t>Circulation &amp; logistics</w:t>
            </w:r>
          </w:p>
        </w:tc>
        <w:tc>
          <w:tcPr>
            <w:tcW w:w="2340" w:type="dxa"/>
            <w:tcBorders>
              <w:bottom w:val="single" w:sz="4" w:space="0" w:color="auto"/>
            </w:tcBorders>
            <w:tcMar>
              <w:top w:w="60" w:type="dxa"/>
              <w:left w:w="100" w:type="dxa"/>
              <w:bottom w:w="60" w:type="dxa"/>
              <w:right w:w="100" w:type="dxa"/>
            </w:tcMar>
            <w:vAlign w:val="center"/>
          </w:tcPr>
          <w:p w14:paraId="45CD58FC" w14:textId="77777777" w:rsidR="00C972E2" w:rsidRPr="00CE4BA0" w:rsidRDefault="00000000">
            <w:pPr>
              <w:jc w:val="center"/>
            </w:pPr>
            <w:r w:rsidRPr="00CE4BA0">
              <w:t>294</w:t>
            </w:r>
          </w:p>
        </w:tc>
        <w:tc>
          <w:tcPr>
            <w:tcW w:w="2340" w:type="dxa"/>
            <w:tcBorders>
              <w:bottom w:val="single" w:sz="4" w:space="0" w:color="auto"/>
            </w:tcBorders>
            <w:tcMar>
              <w:top w:w="60" w:type="dxa"/>
              <w:left w:w="100" w:type="dxa"/>
              <w:bottom w:w="60" w:type="dxa"/>
              <w:right w:w="100" w:type="dxa"/>
            </w:tcMar>
            <w:vAlign w:val="center"/>
          </w:tcPr>
          <w:p w14:paraId="71DBA558" w14:textId="77777777" w:rsidR="00C972E2" w:rsidRPr="00CE4BA0" w:rsidRDefault="00000000">
            <w:pPr>
              <w:jc w:val="center"/>
            </w:pPr>
            <w:r w:rsidRPr="00CE4BA0">
              <w:t>8.1</w:t>
            </w:r>
          </w:p>
        </w:tc>
      </w:tr>
    </w:tbl>
    <w:p w14:paraId="7CFA0963" w14:textId="77777777" w:rsidR="00C972E2" w:rsidRPr="00CE4BA0" w:rsidRDefault="00000000">
      <w:pPr>
        <w:spacing w:before="80" w:after="240"/>
      </w:pPr>
      <w:r w:rsidRPr="00CE4BA0">
        <w:rPr>
          <w:i/>
          <w:iCs/>
        </w:rPr>
        <w:t xml:space="preserve">Note. </w:t>
      </w:r>
      <w:r w:rsidRPr="00CE4BA0">
        <w:t>Prevalence values sum to 100% (rounding). Topics were supplied as a pre-classified categorical label attached to each session log (see Method).</w:t>
      </w:r>
    </w:p>
    <w:p w14:paraId="1F471999" w14:textId="3A2EFB28" w:rsidR="00C972E2" w:rsidRPr="00CE4BA0" w:rsidRDefault="00000000">
      <w:pPr>
        <w:keepNext/>
        <w:keepLines/>
        <w:spacing w:before="240"/>
      </w:pPr>
      <w:r w:rsidRPr="00CE4BA0">
        <w:rPr>
          <w:b/>
          <w:bCs/>
        </w:rPr>
        <w:lastRenderedPageBreak/>
        <w:t xml:space="preserve">Figure </w:t>
      </w:r>
      <w:r w:rsidR="00A07DEA">
        <w:rPr>
          <w:b/>
          <w:bCs/>
        </w:rPr>
        <w:t>1</w:t>
      </w:r>
    </w:p>
    <w:p w14:paraId="05ADB52A" w14:textId="77777777" w:rsidR="00C972E2" w:rsidRPr="00CE4BA0" w:rsidRDefault="00000000">
      <w:pPr>
        <w:keepNext/>
        <w:keepLines/>
        <w:spacing w:after="120"/>
      </w:pPr>
      <w:r w:rsidRPr="00CE4BA0">
        <w:rPr>
          <w:i/>
          <w:iCs/>
        </w:rPr>
        <w:t>Prevalence of the Six Pre-Classified Query Topics Across Retained Sessions</w:t>
      </w:r>
    </w:p>
    <w:p w14:paraId="740BB0AC" w14:textId="77777777" w:rsidR="00C972E2" w:rsidRPr="00CE4BA0" w:rsidRDefault="00000000">
      <w:pPr>
        <w:keepNext/>
        <w:keepLines/>
        <w:spacing w:after="120"/>
        <w:jc w:val="center"/>
      </w:pPr>
      <w:r w:rsidRPr="00CE4BA0">
        <w:rPr>
          <w:noProof/>
        </w:rPr>
        <w:drawing>
          <wp:inline distT="0" distB="0" distL="0" distR="0" wp14:anchorId="70217FBC" wp14:editId="502E3D37">
            <wp:extent cx="5943600" cy="3714750"/>
            <wp:effectExtent l="0" t="0" r="0" b="0"/>
            <wp:docPr id="1" name="Topic prevalence bar chart" descr="Horizontal bar chart showing prevalence of six query topics, with technical-friction topics in orange and substantive research topics in blue" title="Topic prevalenc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43600" cy="3714750"/>
                    </a:xfrm>
                    <a:prstGeom prst="rect">
                      <a:avLst/>
                    </a:prstGeom>
                  </pic:spPr>
                </pic:pic>
              </a:graphicData>
            </a:graphic>
          </wp:inline>
        </w:drawing>
      </w:r>
    </w:p>
    <w:p w14:paraId="7F859AF6" w14:textId="77777777" w:rsidR="00C972E2" w:rsidRPr="00CE4BA0" w:rsidRDefault="00000000">
      <w:pPr>
        <w:spacing w:before="80" w:after="240"/>
      </w:pPr>
      <w:r w:rsidRPr="00CE4BA0">
        <w:rPr>
          <w:i/>
          <w:iCs/>
        </w:rPr>
        <w:t xml:space="preserve">Note. </w:t>
      </w:r>
      <w:r w:rsidRPr="00CE4BA0">
        <w:t>Technical-friction topics are shown in orange and substantive research topics in blue.</w:t>
      </w:r>
    </w:p>
    <w:p w14:paraId="4396BF89" w14:textId="77777777" w:rsidR="00C972E2" w:rsidRPr="00CE4BA0" w:rsidRDefault="00000000">
      <w:pPr>
        <w:pStyle w:val="Heading2"/>
        <w:spacing w:before="0" w:after="0"/>
      </w:pPr>
      <w:r w:rsidRPr="00CE4BA0">
        <w:t>Correlations and the UTAUT Engagement Model (RQ4)</w:t>
      </w:r>
    </w:p>
    <w:p w14:paraId="093EC177" w14:textId="77777777" w:rsidR="00C972E2" w:rsidRPr="00CE4BA0" w:rsidRDefault="00000000" w:rsidP="00A07DEA">
      <w:pPr>
        <w:spacing w:line="480" w:lineRule="auto"/>
        <w:jc w:val="both"/>
      </w:pPr>
      <w:r w:rsidRPr="00CE4BA0">
        <w:t>Bivariate correlations among the construct means (Table 5) were all positive; performance expectancy (</w:t>
      </w:r>
      <w:r w:rsidRPr="00CE4BA0">
        <w:rPr>
          <w:i/>
          <w:iCs/>
        </w:rPr>
        <w:t>r</w:t>
      </w:r>
      <w:r w:rsidRPr="00CE4BA0">
        <w:t xml:space="preserve"> = .57) and facilitating conditions (</w:t>
      </w:r>
      <w:r w:rsidRPr="00CE4BA0">
        <w:rPr>
          <w:i/>
          <w:iCs/>
        </w:rPr>
        <w:t>r</w:t>
      </w:r>
      <w:r w:rsidRPr="00CE4BA0">
        <w:t xml:space="preserve"> = .55) were most strongly associated with engagement, and social influence was weakest (</w:t>
      </w:r>
      <w:r w:rsidRPr="00CE4BA0">
        <w:rPr>
          <w:i/>
          <w:iCs/>
        </w:rPr>
        <w:t>r</w:t>
      </w:r>
      <w:r w:rsidRPr="00CE4BA0">
        <w:t xml:space="preserve"> = .32). All correlations were significant at </w:t>
      </w:r>
      <w:r w:rsidRPr="00CE4BA0">
        <w:rPr>
          <w:i/>
          <w:iCs/>
        </w:rPr>
        <w:t>p</w:t>
      </w:r>
      <w:r w:rsidRPr="00CE4BA0">
        <w:t xml:space="preserve"> &lt; .05, and all except the social influence–facilitating conditions pair (</w:t>
      </w:r>
      <w:r w:rsidRPr="00CE4BA0">
        <w:rPr>
          <w:i/>
          <w:iCs/>
        </w:rPr>
        <w:t>r</w:t>
      </w:r>
      <w:r w:rsidRPr="00CE4BA0">
        <w:t xml:space="preserve"> = .21, </w:t>
      </w:r>
      <w:r w:rsidRPr="00CE4BA0">
        <w:rPr>
          <w:i/>
          <w:iCs/>
        </w:rPr>
        <w:t>p</w:t>
      </w:r>
      <w:r w:rsidRPr="00CE4BA0">
        <w:t xml:space="preserve"> = .011) were significant at </w:t>
      </w:r>
      <w:r w:rsidRPr="00CE4BA0">
        <w:rPr>
          <w:i/>
          <w:iCs/>
        </w:rPr>
        <w:t>p</w:t>
      </w:r>
      <w:r w:rsidRPr="00CE4BA0">
        <w:t xml:space="preserve"> &lt; .01.</w:t>
      </w:r>
    </w:p>
    <w:p w14:paraId="5F7221FA" w14:textId="77777777" w:rsidR="00A07DEA" w:rsidRDefault="00A07DEA">
      <w:pPr>
        <w:rPr>
          <w:b/>
          <w:bCs/>
        </w:rPr>
      </w:pPr>
      <w:r>
        <w:rPr>
          <w:b/>
          <w:bCs/>
        </w:rPr>
        <w:br w:type="page"/>
      </w:r>
    </w:p>
    <w:p w14:paraId="4790ABC6" w14:textId="37660247" w:rsidR="00C972E2" w:rsidRPr="00CE4BA0" w:rsidRDefault="00000000">
      <w:pPr>
        <w:keepNext/>
        <w:keepLines/>
        <w:spacing w:before="240"/>
      </w:pPr>
      <w:r w:rsidRPr="00CE4BA0">
        <w:rPr>
          <w:b/>
          <w:bCs/>
        </w:rPr>
        <w:lastRenderedPageBreak/>
        <w:t>Table 5</w:t>
      </w:r>
    </w:p>
    <w:p w14:paraId="141AB7F4" w14:textId="77777777" w:rsidR="00C972E2" w:rsidRPr="00CE4BA0" w:rsidRDefault="00000000">
      <w:pPr>
        <w:keepNext/>
        <w:keepLines/>
        <w:spacing w:after="120"/>
      </w:pPr>
      <w:r w:rsidRPr="00CE4BA0">
        <w:rPr>
          <w:i/>
          <w:iCs/>
        </w:rPr>
        <w:t>Pearson Correlations Among the Key Constructs (N = 147)</w:t>
      </w:r>
    </w:p>
    <w:tbl>
      <w:tblPr>
        <w:tblW w:w="9360" w:type="dxa"/>
        <w:tblCellMar>
          <w:left w:w="10" w:type="dxa"/>
          <w:right w:w="10" w:type="dxa"/>
        </w:tblCellMar>
        <w:tblLook w:val="0000" w:firstRow="0" w:lastRow="0" w:firstColumn="0" w:lastColumn="0" w:noHBand="0" w:noVBand="0"/>
      </w:tblPr>
      <w:tblGrid>
        <w:gridCol w:w="1560"/>
        <w:gridCol w:w="1300"/>
        <w:gridCol w:w="1300"/>
        <w:gridCol w:w="1300"/>
        <w:gridCol w:w="1300"/>
        <w:gridCol w:w="1300"/>
        <w:gridCol w:w="1300"/>
      </w:tblGrid>
      <w:tr w:rsidR="00C972E2" w:rsidRPr="00CE4BA0" w14:paraId="0E384883" w14:textId="77777777" w:rsidTr="00A07DEA">
        <w:tblPrEx>
          <w:tblCellMar>
            <w:top w:w="0" w:type="dxa"/>
            <w:bottom w:w="0" w:type="dxa"/>
          </w:tblCellMar>
        </w:tblPrEx>
        <w:trPr>
          <w:tblHeader/>
        </w:trPr>
        <w:tc>
          <w:tcPr>
            <w:tcW w:w="1560" w:type="dxa"/>
            <w:tcBorders>
              <w:top w:val="single" w:sz="4" w:space="0" w:color="auto"/>
              <w:bottom w:val="single" w:sz="4" w:space="0" w:color="auto"/>
            </w:tcBorders>
            <w:tcMar>
              <w:top w:w="60" w:type="dxa"/>
              <w:left w:w="100" w:type="dxa"/>
              <w:bottom w:w="60" w:type="dxa"/>
              <w:right w:w="100" w:type="dxa"/>
            </w:tcMar>
            <w:vAlign w:val="center"/>
          </w:tcPr>
          <w:p w14:paraId="600FCA21" w14:textId="77777777" w:rsidR="00C972E2" w:rsidRPr="00CE4BA0" w:rsidRDefault="00000000">
            <w:r w:rsidRPr="00CE4BA0">
              <w:rPr>
                <w:b/>
                <w:bCs/>
              </w:rPr>
              <w:t>Construct</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58CA408F" w14:textId="77777777" w:rsidR="00C972E2" w:rsidRPr="00CE4BA0" w:rsidRDefault="00000000">
            <w:pPr>
              <w:jc w:val="center"/>
            </w:pPr>
            <w:r w:rsidRPr="00CE4BA0">
              <w:rPr>
                <w:b/>
                <w:bCs/>
              </w:rPr>
              <w:t>PE</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621B8F5B" w14:textId="77777777" w:rsidR="00C972E2" w:rsidRPr="00CE4BA0" w:rsidRDefault="00000000">
            <w:pPr>
              <w:jc w:val="center"/>
            </w:pPr>
            <w:r w:rsidRPr="00CE4BA0">
              <w:rPr>
                <w:b/>
                <w:bCs/>
              </w:rPr>
              <w:t>EE</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565774FE" w14:textId="77777777" w:rsidR="00C972E2" w:rsidRPr="00CE4BA0" w:rsidRDefault="00000000">
            <w:pPr>
              <w:jc w:val="center"/>
            </w:pPr>
            <w:r w:rsidRPr="00CE4BA0">
              <w:rPr>
                <w:b/>
                <w:bCs/>
              </w:rPr>
              <w:t>SI</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7430136E" w14:textId="77777777" w:rsidR="00C972E2" w:rsidRPr="00CE4BA0" w:rsidRDefault="00000000">
            <w:pPr>
              <w:jc w:val="center"/>
            </w:pPr>
            <w:r w:rsidRPr="00CE4BA0">
              <w:rPr>
                <w:b/>
                <w:bCs/>
              </w:rPr>
              <w:t>FC</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73665706" w14:textId="77777777" w:rsidR="00C972E2" w:rsidRPr="00CE4BA0" w:rsidRDefault="00000000">
            <w:pPr>
              <w:jc w:val="center"/>
            </w:pPr>
            <w:r w:rsidRPr="00CE4BA0">
              <w:rPr>
                <w:b/>
                <w:bCs/>
              </w:rPr>
              <w:t>RSE</w:t>
            </w:r>
          </w:p>
        </w:tc>
        <w:tc>
          <w:tcPr>
            <w:tcW w:w="1300" w:type="dxa"/>
            <w:tcBorders>
              <w:top w:val="single" w:sz="4" w:space="0" w:color="auto"/>
              <w:bottom w:val="single" w:sz="4" w:space="0" w:color="auto"/>
            </w:tcBorders>
            <w:tcMar>
              <w:top w:w="60" w:type="dxa"/>
              <w:left w:w="100" w:type="dxa"/>
              <w:bottom w:w="60" w:type="dxa"/>
              <w:right w:w="100" w:type="dxa"/>
            </w:tcMar>
            <w:vAlign w:val="center"/>
          </w:tcPr>
          <w:p w14:paraId="382568F5" w14:textId="77777777" w:rsidR="00C972E2" w:rsidRPr="00CE4BA0" w:rsidRDefault="00000000">
            <w:pPr>
              <w:jc w:val="center"/>
            </w:pPr>
            <w:r w:rsidRPr="00CE4BA0">
              <w:rPr>
                <w:b/>
                <w:bCs/>
              </w:rPr>
              <w:t>BEA</w:t>
            </w:r>
          </w:p>
        </w:tc>
      </w:tr>
      <w:tr w:rsidR="00C972E2" w:rsidRPr="00CE4BA0" w14:paraId="36701437" w14:textId="77777777" w:rsidTr="00A07DEA">
        <w:tblPrEx>
          <w:tblCellMar>
            <w:top w:w="0" w:type="dxa"/>
            <w:bottom w:w="0" w:type="dxa"/>
          </w:tblCellMar>
        </w:tblPrEx>
        <w:tc>
          <w:tcPr>
            <w:tcW w:w="1560" w:type="dxa"/>
            <w:tcBorders>
              <w:top w:val="single" w:sz="4" w:space="0" w:color="auto"/>
            </w:tcBorders>
            <w:tcMar>
              <w:top w:w="60" w:type="dxa"/>
              <w:left w:w="100" w:type="dxa"/>
              <w:bottom w:w="60" w:type="dxa"/>
              <w:right w:w="100" w:type="dxa"/>
            </w:tcMar>
            <w:vAlign w:val="center"/>
          </w:tcPr>
          <w:p w14:paraId="20428456" w14:textId="77777777" w:rsidR="00C972E2" w:rsidRPr="00CE4BA0" w:rsidRDefault="00000000">
            <w:r w:rsidRPr="00CE4BA0">
              <w:t>PE</w:t>
            </w:r>
          </w:p>
        </w:tc>
        <w:tc>
          <w:tcPr>
            <w:tcW w:w="1300" w:type="dxa"/>
            <w:tcBorders>
              <w:top w:val="single" w:sz="4" w:space="0" w:color="auto"/>
            </w:tcBorders>
            <w:tcMar>
              <w:top w:w="60" w:type="dxa"/>
              <w:left w:w="100" w:type="dxa"/>
              <w:bottom w:w="60" w:type="dxa"/>
              <w:right w:w="100" w:type="dxa"/>
            </w:tcMar>
            <w:vAlign w:val="center"/>
          </w:tcPr>
          <w:p w14:paraId="32DB9A4E" w14:textId="77777777" w:rsidR="00C972E2" w:rsidRPr="00CE4BA0" w:rsidRDefault="00000000">
            <w:pPr>
              <w:jc w:val="center"/>
            </w:pPr>
            <w:r w:rsidRPr="00CE4BA0">
              <w:t>—</w:t>
            </w:r>
          </w:p>
        </w:tc>
        <w:tc>
          <w:tcPr>
            <w:tcW w:w="1300" w:type="dxa"/>
            <w:tcBorders>
              <w:top w:val="single" w:sz="4" w:space="0" w:color="auto"/>
            </w:tcBorders>
            <w:tcMar>
              <w:top w:w="60" w:type="dxa"/>
              <w:left w:w="100" w:type="dxa"/>
              <w:bottom w:w="60" w:type="dxa"/>
              <w:right w:w="100" w:type="dxa"/>
            </w:tcMar>
            <w:vAlign w:val="center"/>
          </w:tcPr>
          <w:p w14:paraId="2DBB6B9E" w14:textId="77777777" w:rsidR="00C972E2" w:rsidRPr="00CE4BA0" w:rsidRDefault="00C972E2">
            <w:pPr>
              <w:jc w:val="center"/>
            </w:pPr>
          </w:p>
        </w:tc>
        <w:tc>
          <w:tcPr>
            <w:tcW w:w="1300" w:type="dxa"/>
            <w:tcBorders>
              <w:top w:val="single" w:sz="4" w:space="0" w:color="auto"/>
            </w:tcBorders>
            <w:tcMar>
              <w:top w:w="60" w:type="dxa"/>
              <w:left w:w="100" w:type="dxa"/>
              <w:bottom w:w="60" w:type="dxa"/>
              <w:right w:w="100" w:type="dxa"/>
            </w:tcMar>
            <w:vAlign w:val="center"/>
          </w:tcPr>
          <w:p w14:paraId="0A1C589B" w14:textId="77777777" w:rsidR="00C972E2" w:rsidRPr="00CE4BA0" w:rsidRDefault="00C972E2">
            <w:pPr>
              <w:jc w:val="center"/>
            </w:pPr>
          </w:p>
        </w:tc>
        <w:tc>
          <w:tcPr>
            <w:tcW w:w="1300" w:type="dxa"/>
            <w:tcBorders>
              <w:top w:val="single" w:sz="4" w:space="0" w:color="auto"/>
            </w:tcBorders>
            <w:tcMar>
              <w:top w:w="60" w:type="dxa"/>
              <w:left w:w="100" w:type="dxa"/>
              <w:bottom w:w="60" w:type="dxa"/>
              <w:right w:w="100" w:type="dxa"/>
            </w:tcMar>
            <w:vAlign w:val="center"/>
          </w:tcPr>
          <w:p w14:paraId="7C7FDB5E" w14:textId="77777777" w:rsidR="00C972E2" w:rsidRPr="00CE4BA0" w:rsidRDefault="00C972E2">
            <w:pPr>
              <w:jc w:val="center"/>
            </w:pPr>
          </w:p>
        </w:tc>
        <w:tc>
          <w:tcPr>
            <w:tcW w:w="1300" w:type="dxa"/>
            <w:tcBorders>
              <w:top w:val="single" w:sz="4" w:space="0" w:color="auto"/>
            </w:tcBorders>
            <w:tcMar>
              <w:top w:w="60" w:type="dxa"/>
              <w:left w:w="100" w:type="dxa"/>
              <w:bottom w:w="60" w:type="dxa"/>
              <w:right w:w="100" w:type="dxa"/>
            </w:tcMar>
            <w:vAlign w:val="center"/>
          </w:tcPr>
          <w:p w14:paraId="500F93AB" w14:textId="77777777" w:rsidR="00C972E2" w:rsidRPr="00CE4BA0" w:rsidRDefault="00C972E2">
            <w:pPr>
              <w:jc w:val="center"/>
            </w:pPr>
          </w:p>
        </w:tc>
        <w:tc>
          <w:tcPr>
            <w:tcW w:w="1300" w:type="dxa"/>
            <w:tcBorders>
              <w:top w:val="single" w:sz="4" w:space="0" w:color="auto"/>
            </w:tcBorders>
            <w:tcMar>
              <w:top w:w="60" w:type="dxa"/>
              <w:left w:w="100" w:type="dxa"/>
              <w:bottom w:w="60" w:type="dxa"/>
              <w:right w:w="100" w:type="dxa"/>
            </w:tcMar>
            <w:vAlign w:val="center"/>
          </w:tcPr>
          <w:p w14:paraId="00A0DDF8" w14:textId="77777777" w:rsidR="00C972E2" w:rsidRPr="00CE4BA0" w:rsidRDefault="00C972E2">
            <w:pPr>
              <w:jc w:val="center"/>
            </w:pPr>
          </w:p>
        </w:tc>
      </w:tr>
      <w:tr w:rsidR="00C972E2" w:rsidRPr="00CE4BA0" w14:paraId="3F979FA0" w14:textId="77777777" w:rsidTr="00A07DEA">
        <w:tblPrEx>
          <w:tblCellMar>
            <w:top w:w="0" w:type="dxa"/>
            <w:bottom w:w="0" w:type="dxa"/>
          </w:tblCellMar>
        </w:tblPrEx>
        <w:tc>
          <w:tcPr>
            <w:tcW w:w="1560" w:type="dxa"/>
            <w:tcMar>
              <w:top w:w="60" w:type="dxa"/>
              <w:left w:w="100" w:type="dxa"/>
              <w:bottom w:w="60" w:type="dxa"/>
              <w:right w:w="100" w:type="dxa"/>
            </w:tcMar>
            <w:vAlign w:val="center"/>
          </w:tcPr>
          <w:p w14:paraId="04C44067" w14:textId="77777777" w:rsidR="00C972E2" w:rsidRPr="00CE4BA0" w:rsidRDefault="00000000">
            <w:r w:rsidRPr="00CE4BA0">
              <w:t>EE</w:t>
            </w:r>
          </w:p>
        </w:tc>
        <w:tc>
          <w:tcPr>
            <w:tcW w:w="1300" w:type="dxa"/>
            <w:tcMar>
              <w:top w:w="60" w:type="dxa"/>
              <w:left w:w="100" w:type="dxa"/>
              <w:bottom w:w="60" w:type="dxa"/>
              <w:right w:w="100" w:type="dxa"/>
            </w:tcMar>
            <w:vAlign w:val="center"/>
          </w:tcPr>
          <w:p w14:paraId="77E753C1" w14:textId="77777777" w:rsidR="00C972E2" w:rsidRPr="00CE4BA0" w:rsidRDefault="00000000">
            <w:pPr>
              <w:jc w:val="center"/>
            </w:pPr>
            <w:r w:rsidRPr="00CE4BA0">
              <w:t>.45</w:t>
            </w:r>
          </w:p>
        </w:tc>
        <w:tc>
          <w:tcPr>
            <w:tcW w:w="1300" w:type="dxa"/>
            <w:tcMar>
              <w:top w:w="60" w:type="dxa"/>
              <w:left w:w="100" w:type="dxa"/>
              <w:bottom w:w="60" w:type="dxa"/>
              <w:right w:w="100" w:type="dxa"/>
            </w:tcMar>
            <w:vAlign w:val="center"/>
          </w:tcPr>
          <w:p w14:paraId="008516FE" w14:textId="77777777" w:rsidR="00C972E2" w:rsidRPr="00CE4BA0" w:rsidRDefault="00000000">
            <w:pPr>
              <w:jc w:val="center"/>
            </w:pPr>
            <w:r w:rsidRPr="00CE4BA0">
              <w:t>—</w:t>
            </w:r>
          </w:p>
        </w:tc>
        <w:tc>
          <w:tcPr>
            <w:tcW w:w="1300" w:type="dxa"/>
            <w:tcMar>
              <w:top w:w="60" w:type="dxa"/>
              <w:left w:w="100" w:type="dxa"/>
              <w:bottom w:w="60" w:type="dxa"/>
              <w:right w:w="100" w:type="dxa"/>
            </w:tcMar>
            <w:vAlign w:val="center"/>
          </w:tcPr>
          <w:p w14:paraId="0CCFB5C4" w14:textId="77777777" w:rsidR="00C972E2" w:rsidRPr="00CE4BA0" w:rsidRDefault="00C972E2">
            <w:pPr>
              <w:jc w:val="center"/>
            </w:pPr>
          </w:p>
        </w:tc>
        <w:tc>
          <w:tcPr>
            <w:tcW w:w="1300" w:type="dxa"/>
            <w:tcMar>
              <w:top w:w="60" w:type="dxa"/>
              <w:left w:w="100" w:type="dxa"/>
              <w:bottom w:w="60" w:type="dxa"/>
              <w:right w:w="100" w:type="dxa"/>
            </w:tcMar>
            <w:vAlign w:val="center"/>
          </w:tcPr>
          <w:p w14:paraId="177CC91E" w14:textId="77777777" w:rsidR="00C972E2" w:rsidRPr="00CE4BA0" w:rsidRDefault="00C972E2">
            <w:pPr>
              <w:jc w:val="center"/>
            </w:pPr>
          </w:p>
        </w:tc>
        <w:tc>
          <w:tcPr>
            <w:tcW w:w="1300" w:type="dxa"/>
            <w:tcMar>
              <w:top w:w="60" w:type="dxa"/>
              <w:left w:w="100" w:type="dxa"/>
              <w:bottom w:w="60" w:type="dxa"/>
              <w:right w:w="100" w:type="dxa"/>
            </w:tcMar>
            <w:vAlign w:val="center"/>
          </w:tcPr>
          <w:p w14:paraId="293C499F" w14:textId="77777777" w:rsidR="00C972E2" w:rsidRPr="00CE4BA0" w:rsidRDefault="00C972E2">
            <w:pPr>
              <w:jc w:val="center"/>
            </w:pPr>
          </w:p>
        </w:tc>
        <w:tc>
          <w:tcPr>
            <w:tcW w:w="1300" w:type="dxa"/>
            <w:tcMar>
              <w:top w:w="60" w:type="dxa"/>
              <w:left w:w="100" w:type="dxa"/>
              <w:bottom w:w="60" w:type="dxa"/>
              <w:right w:w="100" w:type="dxa"/>
            </w:tcMar>
            <w:vAlign w:val="center"/>
          </w:tcPr>
          <w:p w14:paraId="08E1200F" w14:textId="77777777" w:rsidR="00C972E2" w:rsidRPr="00CE4BA0" w:rsidRDefault="00C972E2">
            <w:pPr>
              <w:jc w:val="center"/>
            </w:pPr>
          </w:p>
        </w:tc>
      </w:tr>
      <w:tr w:rsidR="00C972E2" w:rsidRPr="00CE4BA0" w14:paraId="0253C181" w14:textId="77777777" w:rsidTr="00A07DEA">
        <w:tblPrEx>
          <w:tblCellMar>
            <w:top w:w="0" w:type="dxa"/>
            <w:bottom w:w="0" w:type="dxa"/>
          </w:tblCellMar>
        </w:tblPrEx>
        <w:tc>
          <w:tcPr>
            <w:tcW w:w="1560" w:type="dxa"/>
            <w:tcMar>
              <w:top w:w="60" w:type="dxa"/>
              <w:left w:w="100" w:type="dxa"/>
              <w:bottom w:w="60" w:type="dxa"/>
              <w:right w:w="100" w:type="dxa"/>
            </w:tcMar>
            <w:vAlign w:val="center"/>
          </w:tcPr>
          <w:p w14:paraId="36D399DA" w14:textId="77777777" w:rsidR="00C972E2" w:rsidRPr="00CE4BA0" w:rsidRDefault="00000000">
            <w:r w:rsidRPr="00CE4BA0">
              <w:t>SI</w:t>
            </w:r>
          </w:p>
        </w:tc>
        <w:tc>
          <w:tcPr>
            <w:tcW w:w="1300" w:type="dxa"/>
            <w:tcMar>
              <w:top w:w="60" w:type="dxa"/>
              <w:left w:w="100" w:type="dxa"/>
              <w:bottom w:w="60" w:type="dxa"/>
              <w:right w:w="100" w:type="dxa"/>
            </w:tcMar>
            <w:vAlign w:val="center"/>
          </w:tcPr>
          <w:p w14:paraId="6EC1FE62" w14:textId="77777777" w:rsidR="00C972E2" w:rsidRPr="00CE4BA0" w:rsidRDefault="00000000">
            <w:pPr>
              <w:jc w:val="center"/>
            </w:pPr>
            <w:r w:rsidRPr="00CE4BA0">
              <w:t>.42</w:t>
            </w:r>
          </w:p>
        </w:tc>
        <w:tc>
          <w:tcPr>
            <w:tcW w:w="1300" w:type="dxa"/>
            <w:tcMar>
              <w:top w:w="60" w:type="dxa"/>
              <w:left w:w="100" w:type="dxa"/>
              <w:bottom w:w="60" w:type="dxa"/>
              <w:right w:w="100" w:type="dxa"/>
            </w:tcMar>
            <w:vAlign w:val="center"/>
          </w:tcPr>
          <w:p w14:paraId="2348ECAA" w14:textId="77777777" w:rsidR="00C972E2" w:rsidRPr="00CE4BA0" w:rsidRDefault="00000000">
            <w:pPr>
              <w:jc w:val="center"/>
            </w:pPr>
            <w:r w:rsidRPr="00CE4BA0">
              <w:t>.37</w:t>
            </w:r>
          </w:p>
        </w:tc>
        <w:tc>
          <w:tcPr>
            <w:tcW w:w="1300" w:type="dxa"/>
            <w:tcMar>
              <w:top w:w="60" w:type="dxa"/>
              <w:left w:w="100" w:type="dxa"/>
              <w:bottom w:w="60" w:type="dxa"/>
              <w:right w:w="100" w:type="dxa"/>
            </w:tcMar>
            <w:vAlign w:val="center"/>
          </w:tcPr>
          <w:p w14:paraId="3FAC015C" w14:textId="77777777" w:rsidR="00C972E2" w:rsidRPr="00CE4BA0" w:rsidRDefault="00000000">
            <w:pPr>
              <w:jc w:val="center"/>
            </w:pPr>
            <w:r w:rsidRPr="00CE4BA0">
              <w:t>—</w:t>
            </w:r>
          </w:p>
        </w:tc>
        <w:tc>
          <w:tcPr>
            <w:tcW w:w="1300" w:type="dxa"/>
            <w:tcMar>
              <w:top w:w="60" w:type="dxa"/>
              <w:left w:w="100" w:type="dxa"/>
              <w:bottom w:w="60" w:type="dxa"/>
              <w:right w:w="100" w:type="dxa"/>
            </w:tcMar>
            <w:vAlign w:val="center"/>
          </w:tcPr>
          <w:p w14:paraId="44BD0AD3" w14:textId="77777777" w:rsidR="00C972E2" w:rsidRPr="00CE4BA0" w:rsidRDefault="00C972E2">
            <w:pPr>
              <w:jc w:val="center"/>
            </w:pPr>
          </w:p>
        </w:tc>
        <w:tc>
          <w:tcPr>
            <w:tcW w:w="1300" w:type="dxa"/>
            <w:tcMar>
              <w:top w:w="60" w:type="dxa"/>
              <w:left w:w="100" w:type="dxa"/>
              <w:bottom w:w="60" w:type="dxa"/>
              <w:right w:w="100" w:type="dxa"/>
            </w:tcMar>
            <w:vAlign w:val="center"/>
          </w:tcPr>
          <w:p w14:paraId="235529C7" w14:textId="77777777" w:rsidR="00C972E2" w:rsidRPr="00CE4BA0" w:rsidRDefault="00C972E2">
            <w:pPr>
              <w:jc w:val="center"/>
            </w:pPr>
          </w:p>
        </w:tc>
        <w:tc>
          <w:tcPr>
            <w:tcW w:w="1300" w:type="dxa"/>
            <w:tcMar>
              <w:top w:w="60" w:type="dxa"/>
              <w:left w:w="100" w:type="dxa"/>
              <w:bottom w:w="60" w:type="dxa"/>
              <w:right w:w="100" w:type="dxa"/>
            </w:tcMar>
            <w:vAlign w:val="center"/>
          </w:tcPr>
          <w:p w14:paraId="15308B11" w14:textId="77777777" w:rsidR="00C972E2" w:rsidRPr="00CE4BA0" w:rsidRDefault="00C972E2">
            <w:pPr>
              <w:jc w:val="center"/>
            </w:pPr>
          </w:p>
        </w:tc>
      </w:tr>
      <w:tr w:rsidR="00C972E2" w:rsidRPr="00CE4BA0" w14:paraId="7F13ABC9" w14:textId="77777777" w:rsidTr="00A07DEA">
        <w:tblPrEx>
          <w:tblCellMar>
            <w:top w:w="0" w:type="dxa"/>
            <w:bottom w:w="0" w:type="dxa"/>
          </w:tblCellMar>
        </w:tblPrEx>
        <w:tc>
          <w:tcPr>
            <w:tcW w:w="1560" w:type="dxa"/>
            <w:tcMar>
              <w:top w:w="60" w:type="dxa"/>
              <w:left w:w="100" w:type="dxa"/>
              <w:bottom w:w="60" w:type="dxa"/>
              <w:right w:w="100" w:type="dxa"/>
            </w:tcMar>
            <w:vAlign w:val="center"/>
          </w:tcPr>
          <w:p w14:paraId="6233196C" w14:textId="77777777" w:rsidR="00C972E2" w:rsidRPr="00CE4BA0" w:rsidRDefault="00000000">
            <w:r w:rsidRPr="00CE4BA0">
              <w:t>FC</w:t>
            </w:r>
          </w:p>
        </w:tc>
        <w:tc>
          <w:tcPr>
            <w:tcW w:w="1300" w:type="dxa"/>
            <w:tcMar>
              <w:top w:w="60" w:type="dxa"/>
              <w:left w:w="100" w:type="dxa"/>
              <w:bottom w:w="60" w:type="dxa"/>
              <w:right w:w="100" w:type="dxa"/>
            </w:tcMar>
            <w:vAlign w:val="center"/>
          </w:tcPr>
          <w:p w14:paraId="5D6340D7" w14:textId="77777777" w:rsidR="00C972E2" w:rsidRPr="00CE4BA0" w:rsidRDefault="00000000">
            <w:pPr>
              <w:jc w:val="center"/>
            </w:pPr>
            <w:r w:rsidRPr="00CE4BA0">
              <w:t>.51</w:t>
            </w:r>
          </w:p>
        </w:tc>
        <w:tc>
          <w:tcPr>
            <w:tcW w:w="1300" w:type="dxa"/>
            <w:tcMar>
              <w:top w:w="60" w:type="dxa"/>
              <w:left w:w="100" w:type="dxa"/>
              <w:bottom w:w="60" w:type="dxa"/>
              <w:right w:w="100" w:type="dxa"/>
            </w:tcMar>
            <w:vAlign w:val="center"/>
          </w:tcPr>
          <w:p w14:paraId="43BB6B92" w14:textId="77777777" w:rsidR="00C972E2" w:rsidRPr="00CE4BA0" w:rsidRDefault="00000000">
            <w:pPr>
              <w:jc w:val="center"/>
            </w:pPr>
            <w:r w:rsidRPr="00CE4BA0">
              <w:t>.38</w:t>
            </w:r>
          </w:p>
        </w:tc>
        <w:tc>
          <w:tcPr>
            <w:tcW w:w="1300" w:type="dxa"/>
            <w:tcMar>
              <w:top w:w="60" w:type="dxa"/>
              <w:left w:w="100" w:type="dxa"/>
              <w:bottom w:w="60" w:type="dxa"/>
              <w:right w:w="100" w:type="dxa"/>
            </w:tcMar>
            <w:vAlign w:val="center"/>
          </w:tcPr>
          <w:p w14:paraId="081A965C" w14:textId="77777777" w:rsidR="00C972E2" w:rsidRPr="00CE4BA0" w:rsidRDefault="00000000">
            <w:pPr>
              <w:jc w:val="center"/>
            </w:pPr>
            <w:r w:rsidRPr="00CE4BA0">
              <w:t>.21*</w:t>
            </w:r>
          </w:p>
        </w:tc>
        <w:tc>
          <w:tcPr>
            <w:tcW w:w="1300" w:type="dxa"/>
            <w:tcMar>
              <w:top w:w="60" w:type="dxa"/>
              <w:left w:w="100" w:type="dxa"/>
              <w:bottom w:w="60" w:type="dxa"/>
              <w:right w:w="100" w:type="dxa"/>
            </w:tcMar>
            <w:vAlign w:val="center"/>
          </w:tcPr>
          <w:p w14:paraId="7F07047C" w14:textId="77777777" w:rsidR="00C972E2" w:rsidRPr="00CE4BA0" w:rsidRDefault="00000000">
            <w:pPr>
              <w:jc w:val="center"/>
            </w:pPr>
            <w:r w:rsidRPr="00CE4BA0">
              <w:t>—</w:t>
            </w:r>
          </w:p>
        </w:tc>
        <w:tc>
          <w:tcPr>
            <w:tcW w:w="1300" w:type="dxa"/>
            <w:tcMar>
              <w:top w:w="60" w:type="dxa"/>
              <w:left w:w="100" w:type="dxa"/>
              <w:bottom w:w="60" w:type="dxa"/>
              <w:right w:w="100" w:type="dxa"/>
            </w:tcMar>
            <w:vAlign w:val="center"/>
          </w:tcPr>
          <w:p w14:paraId="4B440AAC" w14:textId="77777777" w:rsidR="00C972E2" w:rsidRPr="00CE4BA0" w:rsidRDefault="00C972E2">
            <w:pPr>
              <w:jc w:val="center"/>
            </w:pPr>
          </w:p>
        </w:tc>
        <w:tc>
          <w:tcPr>
            <w:tcW w:w="1300" w:type="dxa"/>
            <w:tcMar>
              <w:top w:w="60" w:type="dxa"/>
              <w:left w:w="100" w:type="dxa"/>
              <w:bottom w:w="60" w:type="dxa"/>
              <w:right w:w="100" w:type="dxa"/>
            </w:tcMar>
            <w:vAlign w:val="center"/>
          </w:tcPr>
          <w:p w14:paraId="0C5A4B9E" w14:textId="77777777" w:rsidR="00C972E2" w:rsidRPr="00CE4BA0" w:rsidRDefault="00C972E2">
            <w:pPr>
              <w:jc w:val="center"/>
            </w:pPr>
          </w:p>
        </w:tc>
      </w:tr>
      <w:tr w:rsidR="00C972E2" w:rsidRPr="00CE4BA0" w14:paraId="3D40DA41" w14:textId="77777777" w:rsidTr="00A07DEA">
        <w:tblPrEx>
          <w:tblCellMar>
            <w:top w:w="0" w:type="dxa"/>
            <w:bottom w:w="0" w:type="dxa"/>
          </w:tblCellMar>
        </w:tblPrEx>
        <w:tc>
          <w:tcPr>
            <w:tcW w:w="1560" w:type="dxa"/>
            <w:tcMar>
              <w:top w:w="60" w:type="dxa"/>
              <w:left w:w="100" w:type="dxa"/>
              <w:bottom w:w="60" w:type="dxa"/>
              <w:right w:w="100" w:type="dxa"/>
            </w:tcMar>
            <w:vAlign w:val="center"/>
          </w:tcPr>
          <w:p w14:paraId="30B2317C" w14:textId="77777777" w:rsidR="00C972E2" w:rsidRPr="00CE4BA0" w:rsidRDefault="00000000">
            <w:r w:rsidRPr="00CE4BA0">
              <w:t>RSE</w:t>
            </w:r>
          </w:p>
        </w:tc>
        <w:tc>
          <w:tcPr>
            <w:tcW w:w="1300" w:type="dxa"/>
            <w:tcMar>
              <w:top w:w="60" w:type="dxa"/>
              <w:left w:w="100" w:type="dxa"/>
              <w:bottom w:w="60" w:type="dxa"/>
              <w:right w:w="100" w:type="dxa"/>
            </w:tcMar>
            <w:vAlign w:val="center"/>
          </w:tcPr>
          <w:p w14:paraId="3F213871" w14:textId="77777777" w:rsidR="00C972E2" w:rsidRPr="00CE4BA0" w:rsidRDefault="00000000">
            <w:pPr>
              <w:jc w:val="center"/>
            </w:pPr>
            <w:r w:rsidRPr="00CE4BA0">
              <w:t>.44</w:t>
            </w:r>
          </w:p>
        </w:tc>
        <w:tc>
          <w:tcPr>
            <w:tcW w:w="1300" w:type="dxa"/>
            <w:tcMar>
              <w:top w:w="60" w:type="dxa"/>
              <w:left w:w="100" w:type="dxa"/>
              <w:bottom w:w="60" w:type="dxa"/>
              <w:right w:w="100" w:type="dxa"/>
            </w:tcMar>
            <w:vAlign w:val="center"/>
          </w:tcPr>
          <w:p w14:paraId="787F0B15" w14:textId="77777777" w:rsidR="00C972E2" w:rsidRPr="00CE4BA0" w:rsidRDefault="00000000">
            <w:pPr>
              <w:jc w:val="center"/>
            </w:pPr>
            <w:r w:rsidRPr="00CE4BA0">
              <w:t>.40</w:t>
            </w:r>
          </w:p>
        </w:tc>
        <w:tc>
          <w:tcPr>
            <w:tcW w:w="1300" w:type="dxa"/>
            <w:tcMar>
              <w:top w:w="60" w:type="dxa"/>
              <w:left w:w="100" w:type="dxa"/>
              <w:bottom w:w="60" w:type="dxa"/>
              <w:right w:w="100" w:type="dxa"/>
            </w:tcMar>
            <w:vAlign w:val="center"/>
          </w:tcPr>
          <w:p w14:paraId="3CD92222" w14:textId="77777777" w:rsidR="00C972E2" w:rsidRPr="00CE4BA0" w:rsidRDefault="00000000">
            <w:pPr>
              <w:jc w:val="center"/>
            </w:pPr>
            <w:r w:rsidRPr="00CE4BA0">
              <w:t>.41</w:t>
            </w:r>
          </w:p>
        </w:tc>
        <w:tc>
          <w:tcPr>
            <w:tcW w:w="1300" w:type="dxa"/>
            <w:tcMar>
              <w:top w:w="60" w:type="dxa"/>
              <w:left w:w="100" w:type="dxa"/>
              <w:bottom w:w="60" w:type="dxa"/>
              <w:right w:w="100" w:type="dxa"/>
            </w:tcMar>
            <w:vAlign w:val="center"/>
          </w:tcPr>
          <w:p w14:paraId="70FF55C7" w14:textId="77777777" w:rsidR="00C972E2" w:rsidRPr="00CE4BA0" w:rsidRDefault="00000000">
            <w:pPr>
              <w:jc w:val="center"/>
            </w:pPr>
            <w:r w:rsidRPr="00CE4BA0">
              <w:t>.47</w:t>
            </w:r>
          </w:p>
        </w:tc>
        <w:tc>
          <w:tcPr>
            <w:tcW w:w="1300" w:type="dxa"/>
            <w:tcMar>
              <w:top w:w="60" w:type="dxa"/>
              <w:left w:w="100" w:type="dxa"/>
              <w:bottom w:w="60" w:type="dxa"/>
              <w:right w:w="100" w:type="dxa"/>
            </w:tcMar>
            <w:vAlign w:val="center"/>
          </w:tcPr>
          <w:p w14:paraId="0E8AB4EC" w14:textId="77777777" w:rsidR="00C972E2" w:rsidRPr="00CE4BA0" w:rsidRDefault="00000000">
            <w:pPr>
              <w:jc w:val="center"/>
            </w:pPr>
            <w:r w:rsidRPr="00CE4BA0">
              <w:t>—</w:t>
            </w:r>
          </w:p>
        </w:tc>
        <w:tc>
          <w:tcPr>
            <w:tcW w:w="1300" w:type="dxa"/>
            <w:tcMar>
              <w:top w:w="60" w:type="dxa"/>
              <w:left w:w="100" w:type="dxa"/>
              <w:bottom w:w="60" w:type="dxa"/>
              <w:right w:w="100" w:type="dxa"/>
            </w:tcMar>
            <w:vAlign w:val="center"/>
          </w:tcPr>
          <w:p w14:paraId="7A4B7E7F" w14:textId="77777777" w:rsidR="00C972E2" w:rsidRPr="00CE4BA0" w:rsidRDefault="00C972E2">
            <w:pPr>
              <w:jc w:val="center"/>
            </w:pPr>
          </w:p>
        </w:tc>
      </w:tr>
      <w:tr w:rsidR="00C972E2" w:rsidRPr="00CE4BA0" w14:paraId="1E09F48C" w14:textId="77777777" w:rsidTr="00A07DEA">
        <w:tblPrEx>
          <w:tblCellMar>
            <w:top w:w="0" w:type="dxa"/>
            <w:bottom w:w="0" w:type="dxa"/>
          </w:tblCellMar>
        </w:tblPrEx>
        <w:tc>
          <w:tcPr>
            <w:tcW w:w="1560" w:type="dxa"/>
            <w:tcBorders>
              <w:bottom w:val="single" w:sz="4" w:space="0" w:color="auto"/>
            </w:tcBorders>
            <w:tcMar>
              <w:top w:w="60" w:type="dxa"/>
              <w:left w:w="100" w:type="dxa"/>
              <w:bottom w:w="60" w:type="dxa"/>
              <w:right w:w="100" w:type="dxa"/>
            </w:tcMar>
            <w:vAlign w:val="center"/>
          </w:tcPr>
          <w:p w14:paraId="7C01BCDC" w14:textId="77777777" w:rsidR="00C972E2" w:rsidRPr="00CE4BA0" w:rsidRDefault="00000000">
            <w:r w:rsidRPr="00CE4BA0">
              <w:t>BEA</w:t>
            </w:r>
          </w:p>
        </w:tc>
        <w:tc>
          <w:tcPr>
            <w:tcW w:w="1300" w:type="dxa"/>
            <w:tcBorders>
              <w:bottom w:val="single" w:sz="4" w:space="0" w:color="auto"/>
            </w:tcBorders>
            <w:tcMar>
              <w:top w:w="60" w:type="dxa"/>
              <w:left w:w="100" w:type="dxa"/>
              <w:bottom w:w="60" w:type="dxa"/>
              <w:right w:w="100" w:type="dxa"/>
            </w:tcMar>
            <w:vAlign w:val="center"/>
          </w:tcPr>
          <w:p w14:paraId="69B74E89" w14:textId="77777777" w:rsidR="00C972E2" w:rsidRPr="00CE4BA0" w:rsidRDefault="00000000">
            <w:pPr>
              <w:jc w:val="center"/>
            </w:pPr>
            <w:r w:rsidRPr="00CE4BA0">
              <w:t>.57</w:t>
            </w:r>
          </w:p>
        </w:tc>
        <w:tc>
          <w:tcPr>
            <w:tcW w:w="1300" w:type="dxa"/>
            <w:tcBorders>
              <w:bottom w:val="single" w:sz="4" w:space="0" w:color="auto"/>
            </w:tcBorders>
            <w:tcMar>
              <w:top w:w="60" w:type="dxa"/>
              <w:left w:w="100" w:type="dxa"/>
              <w:bottom w:w="60" w:type="dxa"/>
              <w:right w:w="100" w:type="dxa"/>
            </w:tcMar>
            <w:vAlign w:val="center"/>
          </w:tcPr>
          <w:p w14:paraId="384CDF79" w14:textId="77777777" w:rsidR="00C972E2" w:rsidRPr="00CE4BA0" w:rsidRDefault="00000000">
            <w:pPr>
              <w:jc w:val="center"/>
            </w:pPr>
            <w:r w:rsidRPr="00CE4BA0">
              <w:t>.36</w:t>
            </w:r>
          </w:p>
        </w:tc>
        <w:tc>
          <w:tcPr>
            <w:tcW w:w="1300" w:type="dxa"/>
            <w:tcBorders>
              <w:bottom w:val="single" w:sz="4" w:space="0" w:color="auto"/>
            </w:tcBorders>
            <w:tcMar>
              <w:top w:w="60" w:type="dxa"/>
              <w:left w:w="100" w:type="dxa"/>
              <w:bottom w:w="60" w:type="dxa"/>
              <w:right w:w="100" w:type="dxa"/>
            </w:tcMar>
            <w:vAlign w:val="center"/>
          </w:tcPr>
          <w:p w14:paraId="7825E88A" w14:textId="77777777" w:rsidR="00C972E2" w:rsidRPr="00CE4BA0" w:rsidRDefault="00000000">
            <w:pPr>
              <w:jc w:val="center"/>
            </w:pPr>
            <w:r w:rsidRPr="00CE4BA0">
              <w:t>.32</w:t>
            </w:r>
          </w:p>
        </w:tc>
        <w:tc>
          <w:tcPr>
            <w:tcW w:w="1300" w:type="dxa"/>
            <w:tcBorders>
              <w:bottom w:val="single" w:sz="4" w:space="0" w:color="auto"/>
            </w:tcBorders>
            <w:tcMar>
              <w:top w:w="60" w:type="dxa"/>
              <w:left w:w="100" w:type="dxa"/>
              <w:bottom w:w="60" w:type="dxa"/>
              <w:right w:w="100" w:type="dxa"/>
            </w:tcMar>
            <w:vAlign w:val="center"/>
          </w:tcPr>
          <w:p w14:paraId="6156F030" w14:textId="77777777" w:rsidR="00C972E2" w:rsidRPr="00CE4BA0" w:rsidRDefault="00000000">
            <w:pPr>
              <w:jc w:val="center"/>
            </w:pPr>
            <w:r w:rsidRPr="00CE4BA0">
              <w:t>.55</w:t>
            </w:r>
          </w:p>
        </w:tc>
        <w:tc>
          <w:tcPr>
            <w:tcW w:w="1300" w:type="dxa"/>
            <w:tcBorders>
              <w:bottom w:val="single" w:sz="4" w:space="0" w:color="auto"/>
            </w:tcBorders>
            <w:tcMar>
              <w:top w:w="60" w:type="dxa"/>
              <w:left w:w="100" w:type="dxa"/>
              <w:bottom w:w="60" w:type="dxa"/>
              <w:right w:w="100" w:type="dxa"/>
            </w:tcMar>
            <w:vAlign w:val="center"/>
          </w:tcPr>
          <w:p w14:paraId="5F495D98" w14:textId="77777777" w:rsidR="00C972E2" w:rsidRPr="00CE4BA0" w:rsidRDefault="00000000">
            <w:pPr>
              <w:jc w:val="center"/>
            </w:pPr>
            <w:r w:rsidRPr="00CE4BA0">
              <w:t>.55</w:t>
            </w:r>
          </w:p>
        </w:tc>
        <w:tc>
          <w:tcPr>
            <w:tcW w:w="1300" w:type="dxa"/>
            <w:tcBorders>
              <w:bottom w:val="single" w:sz="4" w:space="0" w:color="auto"/>
            </w:tcBorders>
            <w:tcMar>
              <w:top w:w="60" w:type="dxa"/>
              <w:left w:w="100" w:type="dxa"/>
              <w:bottom w:w="60" w:type="dxa"/>
              <w:right w:w="100" w:type="dxa"/>
            </w:tcMar>
            <w:vAlign w:val="center"/>
          </w:tcPr>
          <w:p w14:paraId="1C98693C" w14:textId="77777777" w:rsidR="00C972E2" w:rsidRPr="00CE4BA0" w:rsidRDefault="00000000">
            <w:pPr>
              <w:jc w:val="center"/>
            </w:pPr>
            <w:r w:rsidRPr="00CE4BA0">
              <w:t>—</w:t>
            </w:r>
          </w:p>
        </w:tc>
      </w:tr>
    </w:tbl>
    <w:p w14:paraId="7EF758DA" w14:textId="77777777" w:rsidR="00C972E2" w:rsidRPr="00CE4BA0" w:rsidRDefault="00000000">
      <w:pPr>
        <w:spacing w:before="80" w:after="240"/>
      </w:pPr>
      <w:r w:rsidRPr="00CE4BA0">
        <w:rPr>
          <w:i/>
          <w:iCs/>
        </w:rPr>
        <w:t xml:space="preserve">Note. </w:t>
      </w:r>
      <w:r w:rsidRPr="00CE4BA0">
        <w:t>PE = performance expectancy; EE = effort expectancy; SI = social influence; FC = facilitating conditions; RSE = research self-efficacy; BEA = behavioural engagement. All coefficients are significant at p &lt; .01 except SI–FC (marked *), which is significant at p &lt; .05 (two-tailed).</w:t>
      </w:r>
    </w:p>
    <w:p w14:paraId="721893A9" w14:textId="77777777" w:rsidR="00C972E2" w:rsidRPr="00CE4BA0" w:rsidRDefault="00000000" w:rsidP="00A07DEA">
      <w:pPr>
        <w:spacing w:line="480" w:lineRule="auto"/>
      </w:pPr>
      <w:r w:rsidRPr="00CE4BA0">
        <w:t xml:space="preserve">The hierarchical multiple regression model (Table 6) was significant, </w:t>
      </w:r>
      <w:proofErr w:type="gramStart"/>
      <w:r w:rsidRPr="00CE4BA0">
        <w:rPr>
          <w:i/>
          <w:iCs/>
        </w:rPr>
        <w:t>F</w:t>
      </w:r>
      <w:r w:rsidRPr="00CE4BA0">
        <w:t>(</w:t>
      </w:r>
      <w:proofErr w:type="gramEnd"/>
      <w:r w:rsidRPr="00CE4BA0">
        <w:t xml:space="preserve">5, 141) = 26.19, </w:t>
      </w:r>
      <w:r w:rsidRPr="00CE4BA0">
        <w:rPr>
          <w:i/>
          <w:iCs/>
        </w:rPr>
        <w:t>p</w:t>
      </w:r>
      <w:r w:rsidRPr="00CE4BA0">
        <w:t xml:space="preserve"> &lt; .001, and explained 48.2% of the variance in behavioural engagement (</w:t>
      </w:r>
      <w:r w:rsidRPr="00CE4BA0">
        <w:rPr>
          <w:i/>
          <w:iCs/>
        </w:rPr>
        <w:t>R</w:t>
      </w:r>
      <w:r w:rsidRPr="00CE4BA0">
        <w:t xml:space="preserve"> = .69, </w:t>
      </w:r>
      <w:r w:rsidRPr="00CE4BA0">
        <w:rPr>
          <w:i/>
          <w:iCs/>
        </w:rPr>
        <w:t>R</w:t>
      </w:r>
      <w:r w:rsidRPr="00CE4BA0">
        <w:t xml:space="preserve">² = .482, adjusted </w:t>
      </w:r>
      <w:r w:rsidRPr="00CE4BA0">
        <w:rPr>
          <w:i/>
          <w:iCs/>
        </w:rPr>
        <w:t>R</w:t>
      </w:r>
      <w:r w:rsidRPr="00CE4BA0">
        <w:t xml:space="preserve">² = .463). The Durbin–Watson statistic (1.97) indicated independent residuals, and all VIFs were below 1.7, confirming that the model is free of problematic multicollinearity. Performance expectancy (β = .30), research self-efficacy (β = .29), and facilitating conditions (β = .25) were the only significant predictors. Contrary to the original hypotheses, effort expectancy (β = .01, </w:t>
      </w:r>
      <w:r w:rsidRPr="00CE4BA0">
        <w:rPr>
          <w:i/>
          <w:iCs/>
        </w:rPr>
        <w:t>p</w:t>
      </w:r>
      <w:r w:rsidRPr="00CE4BA0">
        <w:t xml:space="preserve"> = .880) and social influence (β = .02, </w:t>
      </w:r>
      <w:r w:rsidRPr="00CE4BA0">
        <w:rPr>
          <w:i/>
          <w:iCs/>
        </w:rPr>
        <w:t>p</w:t>
      </w:r>
      <w:r w:rsidRPr="00CE4BA0">
        <w:t xml:space="preserve"> = .795) were both non-significant. Figure 5 ranks the </w:t>
      </w:r>
      <w:proofErr w:type="spellStart"/>
      <w:r w:rsidRPr="00CE4BA0">
        <w:t>standardised</w:t>
      </w:r>
      <w:proofErr w:type="spellEnd"/>
      <w:r w:rsidRPr="00CE4BA0">
        <w:t xml:space="preserve"> coefficients.</w:t>
      </w:r>
    </w:p>
    <w:p w14:paraId="33E5ACF6" w14:textId="77777777" w:rsidR="00C972E2" w:rsidRPr="00CE4BA0" w:rsidRDefault="00000000">
      <w:pPr>
        <w:keepNext/>
        <w:keepLines/>
        <w:spacing w:before="240"/>
      </w:pPr>
      <w:r w:rsidRPr="00CE4BA0">
        <w:rPr>
          <w:b/>
          <w:bCs/>
        </w:rPr>
        <w:t>Table 6</w:t>
      </w:r>
    </w:p>
    <w:p w14:paraId="0D2928DF" w14:textId="77777777" w:rsidR="00C972E2" w:rsidRPr="00CE4BA0" w:rsidRDefault="00000000">
      <w:pPr>
        <w:keepNext/>
        <w:keepLines/>
        <w:spacing w:after="120"/>
      </w:pPr>
      <w:r w:rsidRPr="00CE4BA0">
        <w:rPr>
          <w:i/>
          <w:iCs/>
        </w:rPr>
        <w:t>Hierarchical Multiple Regression Predicting Behavioural Engagement (N = 147)</w:t>
      </w:r>
    </w:p>
    <w:tbl>
      <w:tblPr>
        <w:tblW w:w="9360" w:type="dxa"/>
        <w:tblCellMar>
          <w:left w:w="10" w:type="dxa"/>
          <w:right w:w="10" w:type="dxa"/>
        </w:tblCellMar>
        <w:tblLook w:val="0000" w:firstRow="0" w:lastRow="0" w:firstColumn="0" w:lastColumn="0" w:noHBand="0" w:noVBand="0"/>
      </w:tblPr>
      <w:tblGrid>
        <w:gridCol w:w="3060"/>
        <w:gridCol w:w="1260"/>
        <w:gridCol w:w="1260"/>
        <w:gridCol w:w="1080"/>
        <w:gridCol w:w="1260"/>
        <w:gridCol w:w="1440"/>
      </w:tblGrid>
      <w:tr w:rsidR="00C972E2" w:rsidRPr="00CE4BA0" w14:paraId="4CCC5BBC" w14:textId="77777777" w:rsidTr="00A07DEA">
        <w:tblPrEx>
          <w:tblCellMar>
            <w:top w:w="0" w:type="dxa"/>
            <w:bottom w:w="0" w:type="dxa"/>
          </w:tblCellMar>
        </w:tblPrEx>
        <w:trPr>
          <w:tblHeader/>
        </w:trPr>
        <w:tc>
          <w:tcPr>
            <w:tcW w:w="3060" w:type="dxa"/>
            <w:tcBorders>
              <w:top w:val="single" w:sz="4" w:space="0" w:color="auto"/>
              <w:bottom w:val="single" w:sz="4" w:space="0" w:color="auto"/>
            </w:tcBorders>
            <w:tcMar>
              <w:top w:w="60" w:type="dxa"/>
              <w:left w:w="100" w:type="dxa"/>
              <w:bottom w:w="60" w:type="dxa"/>
              <w:right w:w="100" w:type="dxa"/>
            </w:tcMar>
            <w:vAlign w:val="center"/>
          </w:tcPr>
          <w:p w14:paraId="7F119BC5" w14:textId="77777777" w:rsidR="00C972E2" w:rsidRPr="00CE4BA0" w:rsidRDefault="00000000">
            <w:r w:rsidRPr="00CE4BA0">
              <w:rPr>
                <w:b/>
                <w:bCs/>
              </w:rPr>
              <w:t>Predictor</w:t>
            </w:r>
          </w:p>
        </w:tc>
        <w:tc>
          <w:tcPr>
            <w:tcW w:w="1260" w:type="dxa"/>
            <w:tcBorders>
              <w:top w:val="single" w:sz="4" w:space="0" w:color="auto"/>
              <w:bottom w:val="single" w:sz="4" w:space="0" w:color="auto"/>
            </w:tcBorders>
            <w:tcMar>
              <w:top w:w="60" w:type="dxa"/>
              <w:left w:w="100" w:type="dxa"/>
              <w:bottom w:w="60" w:type="dxa"/>
              <w:right w:w="100" w:type="dxa"/>
            </w:tcMar>
            <w:vAlign w:val="center"/>
          </w:tcPr>
          <w:p w14:paraId="6191CD93" w14:textId="77777777" w:rsidR="00C972E2" w:rsidRPr="00CE4BA0" w:rsidRDefault="00000000">
            <w:pPr>
              <w:jc w:val="center"/>
            </w:pPr>
            <w:r w:rsidRPr="00CE4BA0">
              <w:rPr>
                <w:b/>
                <w:bCs/>
              </w:rPr>
              <w:t>B</w:t>
            </w:r>
          </w:p>
        </w:tc>
        <w:tc>
          <w:tcPr>
            <w:tcW w:w="1260" w:type="dxa"/>
            <w:tcBorders>
              <w:top w:val="single" w:sz="4" w:space="0" w:color="auto"/>
              <w:bottom w:val="single" w:sz="4" w:space="0" w:color="auto"/>
            </w:tcBorders>
            <w:tcMar>
              <w:top w:w="60" w:type="dxa"/>
              <w:left w:w="100" w:type="dxa"/>
              <w:bottom w:w="60" w:type="dxa"/>
              <w:right w:w="100" w:type="dxa"/>
            </w:tcMar>
            <w:vAlign w:val="center"/>
          </w:tcPr>
          <w:p w14:paraId="318867BB" w14:textId="77777777" w:rsidR="00C972E2" w:rsidRPr="00CE4BA0" w:rsidRDefault="00000000">
            <w:pPr>
              <w:jc w:val="center"/>
            </w:pPr>
            <w:r w:rsidRPr="00CE4BA0">
              <w:rPr>
                <w:b/>
                <w:bCs/>
              </w:rPr>
              <w:t>SE B</w:t>
            </w:r>
          </w:p>
        </w:tc>
        <w:tc>
          <w:tcPr>
            <w:tcW w:w="1080" w:type="dxa"/>
            <w:tcBorders>
              <w:top w:val="single" w:sz="4" w:space="0" w:color="auto"/>
              <w:bottom w:val="single" w:sz="4" w:space="0" w:color="auto"/>
            </w:tcBorders>
            <w:tcMar>
              <w:top w:w="60" w:type="dxa"/>
              <w:left w:w="100" w:type="dxa"/>
              <w:bottom w:w="60" w:type="dxa"/>
              <w:right w:w="100" w:type="dxa"/>
            </w:tcMar>
            <w:vAlign w:val="center"/>
          </w:tcPr>
          <w:p w14:paraId="590036EA" w14:textId="12670087" w:rsidR="00C972E2" w:rsidRPr="00CE4BA0" w:rsidRDefault="00313367">
            <w:pPr>
              <w:jc w:val="center"/>
            </w:pPr>
            <w:r w:rsidRPr="00CE4BA0">
              <w:rPr>
                <w:b/>
                <w:bCs/>
              </w:rPr>
              <w:t>Β</w:t>
            </w:r>
          </w:p>
        </w:tc>
        <w:tc>
          <w:tcPr>
            <w:tcW w:w="1260" w:type="dxa"/>
            <w:tcBorders>
              <w:top w:val="single" w:sz="4" w:space="0" w:color="auto"/>
              <w:bottom w:val="single" w:sz="4" w:space="0" w:color="auto"/>
            </w:tcBorders>
            <w:tcMar>
              <w:top w:w="60" w:type="dxa"/>
              <w:left w:w="100" w:type="dxa"/>
              <w:bottom w:w="60" w:type="dxa"/>
              <w:right w:w="100" w:type="dxa"/>
            </w:tcMar>
            <w:vAlign w:val="center"/>
          </w:tcPr>
          <w:p w14:paraId="7847A1DF" w14:textId="77777777" w:rsidR="00C972E2" w:rsidRPr="00CE4BA0" w:rsidRDefault="00000000">
            <w:pPr>
              <w:jc w:val="center"/>
            </w:pPr>
            <w:r w:rsidRPr="00CE4BA0">
              <w:rPr>
                <w:b/>
                <w:bCs/>
              </w:rPr>
              <w:t>t</w:t>
            </w:r>
          </w:p>
        </w:tc>
        <w:tc>
          <w:tcPr>
            <w:tcW w:w="1440" w:type="dxa"/>
            <w:tcBorders>
              <w:top w:val="single" w:sz="4" w:space="0" w:color="auto"/>
              <w:bottom w:val="single" w:sz="4" w:space="0" w:color="auto"/>
            </w:tcBorders>
            <w:tcMar>
              <w:top w:w="60" w:type="dxa"/>
              <w:left w:w="100" w:type="dxa"/>
              <w:bottom w:w="60" w:type="dxa"/>
              <w:right w:w="100" w:type="dxa"/>
            </w:tcMar>
            <w:vAlign w:val="center"/>
          </w:tcPr>
          <w:p w14:paraId="6F19D34E" w14:textId="77777777" w:rsidR="00C972E2" w:rsidRPr="00CE4BA0" w:rsidRDefault="00000000">
            <w:pPr>
              <w:jc w:val="center"/>
            </w:pPr>
            <w:r w:rsidRPr="00CE4BA0">
              <w:rPr>
                <w:b/>
                <w:bCs/>
              </w:rPr>
              <w:t>p</w:t>
            </w:r>
          </w:p>
        </w:tc>
      </w:tr>
      <w:tr w:rsidR="00C972E2" w:rsidRPr="00CE4BA0" w14:paraId="7B3985B9" w14:textId="77777777" w:rsidTr="00A07DEA">
        <w:tblPrEx>
          <w:tblCellMar>
            <w:top w:w="0" w:type="dxa"/>
            <w:bottom w:w="0" w:type="dxa"/>
          </w:tblCellMar>
        </w:tblPrEx>
        <w:tc>
          <w:tcPr>
            <w:tcW w:w="3060" w:type="dxa"/>
            <w:tcBorders>
              <w:top w:val="single" w:sz="4" w:space="0" w:color="auto"/>
            </w:tcBorders>
            <w:tcMar>
              <w:top w:w="60" w:type="dxa"/>
              <w:left w:w="100" w:type="dxa"/>
              <w:bottom w:w="60" w:type="dxa"/>
              <w:right w:w="100" w:type="dxa"/>
            </w:tcMar>
            <w:vAlign w:val="center"/>
          </w:tcPr>
          <w:p w14:paraId="56E813A3" w14:textId="77777777" w:rsidR="00C972E2" w:rsidRPr="00CE4BA0" w:rsidRDefault="00000000">
            <w:r w:rsidRPr="00CE4BA0">
              <w:t>(Constant)</w:t>
            </w:r>
          </w:p>
        </w:tc>
        <w:tc>
          <w:tcPr>
            <w:tcW w:w="1260" w:type="dxa"/>
            <w:tcBorders>
              <w:top w:val="single" w:sz="4" w:space="0" w:color="auto"/>
            </w:tcBorders>
            <w:tcMar>
              <w:top w:w="60" w:type="dxa"/>
              <w:left w:w="100" w:type="dxa"/>
              <w:bottom w:w="60" w:type="dxa"/>
              <w:right w:w="100" w:type="dxa"/>
            </w:tcMar>
            <w:vAlign w:val="center"/>
          </w:tcPr>
          <w:p w14:paraId="204633FA" w14:textId="77777777" w:rsidR="00C972E2" w:rsidRPr="00CE4BA0" w:rsidRDefault="00000000">
            <w:pPr>
              <w:jc w:val="center"/>
            </w:pPr>
            <w:r w:rsidRPr="00CE4BA0">
              <w:t>0.23</w:t>
            </w:r>
          </w:p>
        </w:tc>
        <w:tc>
          <w:tcPr>
            <w:tcW w:w="1260" w:type="dxa"/>
            <w:tcBorders>
              <w:top w:val="single" w:sz="4" w:space="0" w:color="auto"/>
            </w:tcBorders>
            <w:tcMar>
              <w:top w:w="60" w:type="dxa"/>
              <w:left w:w="100" w:type="dxa"/>
              <w:bottom w:w="60" w:type="dxa"/>
              <w:right w:w="100" w:type="dxa"/>
            </w:tcMar>
            <w:vAlign w:val="center"/>
          </w:tcPr>
          <w:p w14:paraId="4044B68B" w14:textId="77777777" w:rsidR="00C972E2" w:rsidRPr="00CE4BA0" w:rsidRDefault="00000000">
            <w:pPr>
              <w:jc w:val="center"/>
            </w:pPr>
            <w:r w:rsidRPr="00CE4BA0">
              <w:t>0.27</w:t>
            </w:r>
          </w:p>
        </w:tc>
        <w:tc>
          <w:tcPr>
            <w:tcW w:w="1080" w:type="dxa"/>
            <w:tcBorders>
              <w:top w:val="single" w:sz="4" w:space="0" w:color="auto"/>
            </w:tcBorders>
            <w:tcMar>
              <w:top w:w="60" w:type="dxa"/>
              <w:left w:w="100" w:type="dxa"/>
              <w:bottom w:w="60" w:type="dxa"/>
              <w:right w:w="100" w:type="dxa"/>
            </w:tcMar>
            <w:vAlign w:val="center"/>
          </w:tcPr>
          <w:p w14:paraId="271BB93B" w14:textId="77777777" w:rsidR="00C972E2" w:rsidRPr="00CE4BA0" w:rsidRDefault="00000000">
            <w:pPr>
              <w:jc w:val="center"/>
            </w:pPr>
            <w:r w:rsidRPr="00CE4BA0">
              <w:t>—</w:t>
            </w:r>
          </w:p>
        </w:tc>
        <w:tc>
          <w:tcPr>
            <w:tcW w:w="1260" w:type="dxa"/>
            <w:tcBorders>
              <w:top w:val="single" w:sz="4" w:space="0" w:color="auto"/>
            </w:tcBorders>
            <w:tcMar>
              <w:top w:w="60" w:type="dxa"/>
              <w:left w:w="100" w:type="dxa"/>
              <w:bottom w:w="60" w:type="dxa"/>
              <w:right w:w="100" w:type="dxa"/>
            </w:tcMar>
            <w:vAlign w:val="center"/>
          </w:tcPr>
          <w:p w14:paraId="6D9DD1E4" w14:textId="77777777" w:rsidR="00C972E2" w:rsidRPr="00CE4BA0" w:rsidRDefault="00000000">
            <w:pPr>
              <w:jc w:val="center"/>
            </w:pPr>
            <w:r w:rsidRPr="00CE4BA0">
              <w:t>0.85</w:t>
            </w:r>
          </w:p>
        </w:tc>
        <w:tc>
          <w:tcPr>
            <w:tcW w:w="1440" w:type="dxa"/>
            <w:tcBorders>
              <w:top w:val="single" w:sz="4" w:space="0" w:color="auto"/>
            </w:tcBorders>
            <w:tcMar>
              <w:top w:w="60" w:type="dxa"/>
              <w:left w:w="100" w:type="dxa"/>
              <w:bottom w:w="60" w:type="dxa"/>
              <w:right w:w="100" w:type="dxa"/>
            </w:tcMar>
            <w:vAlign w:val="center"/>
          </w:tcPr>
          <w:p w14:paraId="5A8A0047" w14:textId="77777777" w:rsidR="00C972E2" w:rsidRPr="00CE4BA0" w:rsidRDefault="00000000">
            <w:pPr>
              <w:jc w:val="center"/>
            </w:pPr>
            <w:r w:rsidRPr="00CE4BA0">
              <w:t>.396</w:t>
            </w:r>
          </w:p>
        </w:tc>
      </w:tr>
      <w:tr w:rsidR="00C972E2" w:rsidRPr="00CE4BA0" w14:paraId="386E939C" w14:textId="77777777" w:rsidTr="00A07DEA">
        <w:tblPrEx>
          <w:tblCellMar>
            <w:top w:w="0" w:type="dxa"/>
            <w:bottom w:w="0" w:type="dxa"/>
          </w:tblCellMar>
        </w:tblPrEx>
        <w:tc>
          <w:tcPr>
            <w:tcW w:w="3060" w:type="dxa"/>
            <w:tcMar>
              <w:top w:w="60" w:type="dxa"/>
              <w:left w:w="100" w:type="dxa"/>
              <w:bottom w:w="60" w:type="dxa"/>
              <w:right w:w="100" w:type="dxa"/>
            </w:tcMar>
            <w:vAlign w:val="center"/>
          </w:tcPr>
          <w:p w14:paraId="68CBF38E" w14:textId="77777777" w:rsidR="00C972E2" w:rsidRPr="00CE4BA0" w:rsidRDefault="00000000">
            <w:r w:rsidRPr="00CE4BA0">
              <w:t>Performance expectancy</w:t>
            </w:r>
          </w:p>
        </w:tc>
        <w:tc>
          <w:tcPr>
            <w:tcW w:w="1260" w:type="dxa"/>
            <w:tcMar>
              <w:top w:w="60" w:type="dxa"/>
              <w:left w:w="100" w:type="dxa"/>
              <w:bottom w:w="60" w:type="dxa"/>
              <w:right w:w="100" w:type="dxa"/>
            </w:tcMar>
            <w:vAlign w:val="center"/>
          </w:tcPr>
          <w:p w14:paraId="734B7768" w14:textId="77777777" w:rsidR="00C972E2" w:rsidRPr="00CE4BA0" w:rsidRDefault="00000000">
            <w:pPr>
              <w:jc w:val="center"/>
            </w:pPr>
            <w:r w:rsidRPr="00CE4BA0">
              <w:t>0.35</w:t>
            </w:r>
          </w:p>
        </w:tc>
        <w:tc>
          <w:tcPr>
            <w:tcW w:w="1260" w:type="dxa"/>
            <w:tcMar>
              <w:top w:w="60" w:type="dxa"/>
              <w:left w:w="100" w:type="dxa"/>
              <w:bottom w:w="60" w:type="dxa"/>
              <w:right w:w="100" w:type="dxa"/>
            </w:tcMar>
            <w:vAlign w:val="center"/>
          </w:tcPr>
          <w:p w14:paraId="3130D568" w14:textId="77777777" w:rsidR="00C972E2" w:rsidRPr="00CE4BA0" w:rsidRDefault="00000000">
            <w:pPr>
              <w:jc w:val="center"/>
            </w:pPr>
            <w:r w:rsidRPr="00CE4BA0">
              <w:t>0.09</w:t>
            </w:r>
          </w:p>
        </w:tc>
        <w:tc>
          <w:tcPr>
            <w:tcW w:w="1080" w:type="dxa"/>
            <w:tcMar>
              <w:top w:w="60" w:type="dxa"/>
              <w:left w:w="100" w:type="dxa"/>
              <w:bottom w:w="60" w:type="dxa"/>
              <w:right w:w="100" w:type="dxa"/>
            </w:tcMar>
            <w:vAlign w:val="center"/>
          </w:tcPr>
          <w:p w14:paraId="3977BDBD" w14:textId="77777777" w:rsidR="00C972E2" w:rsidRPr="00CE4BA0" w:rsidRDefault="00000000">
            <w:pPr>
              <w:jc w:val="center"/>
            </w:pPr>
            <w:r w:rsidRPr="00CE4BA0">
              <w:t>.30</w:t>
            </w:r>
          </w:p>
        </w:tc>
        <w:tc>
          <w:tcPr>
            <w:tcW w:w="1260" w:type="dxa"/>
            <w:tcMar>
              <w:top w:w="60" w:type="dxa"/>
              <w:left w:w="100" w:type="dxa"/>
              <w:bottom w:w="60" w:type="dxa"/>
              <w:right w:w="100" w:type="dxa"/>
            </w:tcMar>
            <w:vAlign w:val="center"/>
          </w:tcPr>
          <w:p w14:paraId="41B6D606" w14:textId="77777777" w:rsidR="00C972E2" w:rsidRPr="00CE4BA0" w:rsidRDefault="00000000">
            <w:pPr>
              <w:jc w:val="center"/>
            </w:pPr>
            <w:r w:rsidRPr="00CE4BA0">
              <w:t>3.88</w:t>
            </w:r>
          </w:p>
        </w:tc>
        <w:tc>
          <w:tcPr>
            <w:tcW w:w="1440" w:type="dxa"/>
            <w:tcMar>
              <w:top w:w="60" w:type="dxa"/>
              <w:left w:w="100" w:type="dxa"/>
              <w:bottom w:w="60" w:type="dxa"/>
              <w:right w:w="100" w:type="dxa"/>
            </w:tcMar>
            <w:vAlign w:val="center"/>
          </w:tcPr>
          <w:p w14:paraId="1E3D8045" w14:textId="77777777" w:rsidR="00C972E2" w:rsidRPr="00CE4BA0" w:rsidRDefault="00000000">
            <w:pPr>
              <w:jc w:val="center"/>
            </w:pPr>
            <w:r w:rsidRPr="00CE4BA0">
              <w:t>&lt; .001</w:t>
            </w:r>
          </w:p>
        </w:tc>
      </w:tr>
      <w:tr w:rsidR="00C972E2" w:rsidRPr="00CE4BA0" w14:paraId="1DF77BC9" w14:textId="77777777" w:rsidTr="00A07DEA">
        <w:tblPrEx>
          <w:tblCellMar>
            <w:top w:w="0" w:type="dxa"/>
            <w:bottom w:w="0" w:type="dxa"/>
          </w:tblCellMar>
        </w:tblPrEx>
        <w:tc>
          <w:tcPr>
            <w:tcW w:w="3060" w:type="dxa"/>
            <w:tcMar>
              <w:top w:w="60" w:type="dxa"/>
              <w:left w:w="100" w:type="dxa"/>
              <w:bottom w:w="60" w:type="dxa"/>
              <w:right w:w="100" w:type="dxa"/>
            </w:tcMar>
            <w:vAlign w:val="center"/>
          </w:tcPr>
          <w:p w14:paraId="05219886" w14:textId="77777777" w:rsidR="00C972E2" w:rsidRPr="00CE4BA0" w:rsidRDefault="00000000">
            <w:r w:rsidRPr="00CE4BA0">
              <w:t>Effort expectancy</w:t>
            </w:r>
          </w:p>
        </w:tc>
        <w:tc>
          <w:tcPr>
            <w:tcW w:w="1260" w:type="dxa"/>
            <w:tcMar>
              <w:top w:w="60" w:type="dxa"/>
              <w:left w:w="100" w:type="dxa"/>
              <w:bottom w:w="60" w:type="dxa"/>
              <w:right w:w="100" w:type="dxa"/>
            </w:tcMar>
            <w:vAlign w:val="center"/>
          </w:tcPr>
          <w:p w14:paraId="74E4FFC7" w14:textId="77777777" w:rsidR="00C972E2" w:rsidRPr="00CE4BA0" w:rsidRDefault="00000000">
            <w:pPr>
              <w:jc w:val="center"/>
            </w:pPr>
            <w:r w:rsidRPr="00CE4BA0">
              <w:t>0.01</w:t>
            </w:r>
          </w:p>
        </w:tc>
        <w:tc>
          <w:tcPr>
            <w:tcW w:w="1260" w:type="dxa"/>
            <w:tcMar>
              <w:top w:w="60" w:type="dxa"/>
              <w:left w:w="100" w:type="dxa"/>
              <w:bottom w:w="60" w:type="dxa"/>
              <w:right w:w="100" w:type="dxa"/>
            </w:tcMar>
            <w:vAlign w:val="center"/>
          </w:tcPr>
          <w:p w14:paraId="103570DA" w14:textId="77777777" w:rsidR="00C972E2" w:rsidRPr="00CE4BA0" w:rsidRDefault="00000000">
            <w:pPr>
              <w:jc w:val="center"/>
            </w:pPr>
            <w:r w:rsidRPr="00CE4BA0">
              <w:t>0.08</w:t>
            </w:r>
          </w:p>
        </w:tc>
        <w:tc>
          <w:tcPr>
            <w:tcW w:w="1080" w:type="dxa"/>
            <w:tcMar>
              <w:top w:w="60" w:type="dxa"/>
              <w:left w:w="100" w:type="dxa"/>
              <w:bottom w:w="60" w:type="dxa"/>
              <w:right w:w="100" w:type="dxa"/>
            </w:tcMar>
            <w:vAlign w:val="center"/>
          </w:tcPr>
          <w:p w14:paraId="6D3722E6" w14:textId="77777777" w:rsidR="00C972E2" w:rsidRPr="00CE4BA0" w:rsidRDefault="00000000">
            <w:pPr>
              <w:jc w:val="center"/>
            </w:pPr>
            <w:r w:rsidRPr="00CE4BA0">
              <w:t>.01</w:t>
            </w:r>
          </w:p>
        </w:tc>
        <w:tc>
          <w:tcPr>
            <w:tcW w:w="1260" w:type="dxa"/>
            <w:tcMar>
              <w:top w:w="60" w:type="dxa"/>
              <w:left w:w="100" w:type="dxa"/>
              <w:bottom w:w="60" w:type="dxa"/>
              <w:right w:w="100" w:type="dxa"/>
            </w:tcMar>
            <w:vAlign w:val="center"/>
          </w:tcPr>
          <w:p w14:paraId="7742CB3C" w14:textId="77777777" w:rsidR="00C972E2" w:rsidRPr="00CE4BA0" w:rsidRDefault="00000000">
            <w:pPr>
              <w:jc w:val="center"/>
            </w:pPr>
            <w:r w:rsidRPr="00CE4BA0">
              <w:t>0.15</w:t>
            </w:r>
          </w:p>
        </w:tc>
        <w:tc>
          <w:tcPr>
            <w:tcW w:w="1440" w:type="dxa"/>
            <w:tcMar>
              <w:top w:w="60" w:type="dxa"/>
              <w:left w:w="100" w:type="dxa"/>
              <w:bottom w:w="60" w:type="dxa"/>
              <w:right w:w="100" w:type="dxa"/>
            </w:tcMar>
            <w:vAlign w:val="center"/>
          </w:tcPr>
          <w:p w14:paraId="587BBC66" w14:textId="77777777" w:rsidR="00C972E2" w:rsidRPr="00CE4BA0" w:rsidRDefault="00000000">
            <w:pPr>
              <w:jc w:val="center"/>
            </w:pPr>
            <w:r w:rsidRPr="00CE4BA0">
              <w:t>.880</w:t>
            </w:r>
          </w:p>
        </w:tc>
      </w:tr>
      <w:tr w:rsidR="00C972E2" w:rsidRPr="00CE4BA0" w14:paraId="387D200A" w14:textId="77777777" w:rsidTr="00A07DEA">
        <w:tblPrEx>
          <w:tblCellMar>
            <w:top w:w="0" w:type="dxa"/>
            <w:bottom w:w="0" w:type="dxa"/>
          </w:tblCellMar>
        </w:tblPrEx>
        <w:tc>
          <w:tcPr>
            <w:tcW w:w="3060" w:type="dxa"/>
            <w:tcMar>
              <w:top w:w="60" w:type="dxa"/>
              <w:left w:w="100" w:type="dxa"/>
              <w:bottom w:w="60" w:type="dxa"/>
              <w:right w:w="100" w:type="dxa"/>
            </w:tcMar>
            <w:vAlign w:val="center"/>
          </w:tcPr>
          <w:p w14:paraId="3A54829F" w14:textId="77777777" w:rsidR="00C972E2" w:rsidRPr="00CE4BA0" w:rsidRDefault="00000000">
            <w:r w:rsidRPr="00CE4BA0">
              <w:t>Social influence</w:t>
            </w:r>
          </w:p>
        </w:tc>
        <w:tc>
          <w:tcPr>
            <w:tcW w:w="1260" w:type="dxa"/>
            <w:tcMar>
              <w:top w:w="60" w:type="dxa"/>
              <w:left w:w="100" w:type="dxa"/>
              <w:bottom w:w="60" w:type="dxa"/>
              <w:right w:w="100" w:type="dxa"/>
            </w:tcMar>
            <w:vAlign w:val="center"/>
          </w:tcPr>
          <w:p w14:paraId="5723D4DE" w14:textId="77777777" w:rsidR="00C972E2" w:rsidRPr="00CE4BA0" w:rsidRDefault="00000000">
            <w:pPr>
              <w:jc w:val="center"/>
            </w:pPr>
            <w:r w:rsidRPr="00CE4BA0">
              <w:t>0.02</w:t>
            </w:r>
          </w:p>
        </w:tc>
        <w:tc>
          <w:tcPr>
            <w:tcW w:w="1260" w:type="dxa"/>
            <w:tcMar>
              <w:top w:w="60" w:type="dxa"/>
              <w:left w:w="100" w:type="dxa"/>
              <w:bottom w:w="60" w:type="dxa"/>
              <w:right w:w="100" w:type="dxa"/>
            </w:tcMar>
            <w:vAlign w:val="center"/>
          </w:tcPr>
          <w:p w14:paraId="14AA30F4" w14:textId="77777777" w:rsidR="00C972E2" w:rsidRPr="00CE4BA0" w:rsidRDefault="00000000">
            <w:pPr>
              <w:jc w:val="center"/>
            </w:pPr>
            <w:r w:rsidRPr="00CE4BA0">
              <w:t>0.07</w:t>
            </w:r>
          </w:p>
        </w:tc>
        <w:tc>
          <w:tcPr>
            <w:tcW w:w="1080" w:type="dxa"/>
            <w:tcMar>
              <w:top w:w="60" w:type="dxa"/>
              <w:left w:w="100" w:type="dxa"/>
              <w:bottom w:w="60" w:type="dxa"/>
              <w:right w:w="100" w:type="dxa"/>
            </w:tcMar>
            <w:vAlign w:val="center"/>
          </w:tcPr>
          <w:p w14:paraId="6024AE1F" w14:textId="77777777" w:rsidR="00C972E2" w:rsidRPr="00CE4BA0" w:rsidRDefault="00000000">
            <w:pPr>
              <w:jc w:val="center"/>
            </w:pPr>
            <w:r w:rsidRPr="00CE4BA0">
              <w:t>.02</w:t>
            </w:r>
          </w:p>
        </w:tc>
        <w:tc>
          <w:tcPr>
            <w:tcW w:w="1260" w:type="dxa"/>
            <w:tcMar>
              <w:top w:w="60" w:type="dxa"/>
              <w:left w:w="100" w:type="dxa"/>
              <w:bottom w:w="60" w:type="dxa"/>
              <w:right w:w="100" w:type="dxa"/>
            </w:tcMar>
            <w:vAlign w:val="center"/>
          </w:tcPr>
          <w:p w14:paraId="7A38BEEA" w14:textId="77777777" w:rsidR="00C972E2" w:rsidRPr="00CE4BA0" w:rsidRDefault="00000000">
            <w:pPr>
              <w:jc w:val="center"/>
            </w:pPr>
            <w:r w:rsidRPr="00CE4BA0">
              <w:t>0.26</w:t>
            </w:r>
          </w:p>
        </w:tc>
        <w:tc>
          <w:tcPr>
            <w:tcW w:w="1440" w:type="dxa"/>
            <w:tcMar>
              <w:top w:w="60" w:type="dxa"/>
              <w:left w:w="100" w:type="dxa"/>
              <w:bottom w:w="60" w:type="dxa"/>
              <w:right w:w="100" w:type="dxa"/>
            </w:tcMar>
            <w:vAlign w:val="center"/>
          </w:tcPr>
          <w:p w14:paraId="6E01072C" w14:textId="77777777" w:rsidR="00C972E2" w:rsidRPr="00CE4BA0" w:rsidRDefault="00000000">
            <w:pPr>
              <w:jc w:val="center"/>
            </w:pPr>
            <w:r w:rsidRPr="00CE4BA0">
              <w:t>.795</w:t>
            </w:r>
          </w:p>
        </w:tc>
      </w:tr>
      <w:tr w:rsidR="00C972E2" w:rsidRPr="00CE4BA0" w14:paraId="0C9258BC" w14:textId="77777777" w:rsidTr="00A07DEA">
        <w:tblPrEx>
          <w:tblCellMar>
            <w:top w:w="0" w:type="dxa"/>
            <w:bottom w:w="0" w:type="dxa"/>
          </w:tblCellMar>
        </w:tblPrEx>
        <w:tc>
          <w:tcPr>
            <w:tcW w:w="3060" w:type="dxa"/>
            <w:tcMar>
              <w:top w:w="60" w:type="dxa"/>
              <w:left w:w="100" w:type="dxa"/>
              <w:bottom w:w="60" w:type="dxa"/>
              <w:right w:w="100" w:type="dxa"/>
            </w:tcMar>
            <w:vAlign w:val="center"/>
          </w:tcPr>
          <w:p w14:paraId="3342FF9E" w14:textId="77777777" w:rsidR="00C972E2" w:rsidRPr="00CE4BA0" w:rsidRDefault="00000000">
            <w:r w:rsidRPr="00CE4BA0">
              <w:t>Facilitating conditions</w:t>
            </w:r>
          </w:p>
        </w:tc>
        <w:tc>
          <w:tcPr>
            <w:tcW w:w="1260" w:type="dxa"/>
            <w:tcMar>
              <w:top w:w="60" w:type="dxa"/>
              <w:left w:w="100" w:type="dxa"/>
              <w:bottom w:w="60" w:type="dxa"/>
              <w:right w:w="100" w:type="dxa"/>
            </w:tcMar>
            <w:vAlign w:val="center"/>
          </w:tcPr>
          <w:p w14:paraId="2C551E07" w14:textId="77777777" w:rsidR="00C972E2" w:rsidRPr="00CE4BA0" w:rsidRDefault="00000000">
            <w:pPr>
              <w:jc w:val="center"/>
            </w:pPr>
            <w:r w:rsidRPr="00CE4BA0">
              <w:t>0.23</w:t>
            </w:r>
          </w:p>
        </w:tc>
        <w:tc>
          <w:tcPr>
            <w:tcW w:w="1260" w:type="dxa"/>
            <w:tcMar>
              <w:top w:w="60" w:type="dxa"/>
              <w:left w:w="100" w:type="dxa"/>
              <w:bottom w:w="60" w:type="dxa"/>
              <w:right w:w="100" w:type="dxa"/>
            </w:tcMar>
            <w:vAlign w:val="center"/>
          </w:tcPr>
          <w:p w14:paraId="586DACE9" w14:textId="77777777" w:rsidR="00C972E2" w:rsidRPr="00CE4BA0" w:rsidRDefault="00000000">
            <w:pPr>
              <w:jc w:val="center"/>
            </w:pPr>
            <w:r w:rsidRPr="00CE4BA0">
              <w:t>0.07</w:t>
            </w:r>
          </w:p>
        </w:tc>
        <w:tc>
          <w:tcPr>
            <w:tcW w:w="1080" w:type="dxa"/>
            <w:tcMar>
              <w:top w:w="60" w:type="dxa"/>
              <w:left w:w="100" w:type="dxa"/>
              <w:bottom w:w="60" w:type="dxa"/>
              <w:right w:w="100" w:type="dxa"/>
            </w:tcMar>
            <w:vAlign w:val="center"/>
          </w:tcPr>
          <w:p w14:paraId="028F5398" w14:textId="77777777" w:rsidR="00C972E2" w:rsidRPr="00CE4BA0" w:rsidRDefault="00000000">
            <w:pPr>
              <w:jc w:val="center"/>
            </w:pPr>
            <w:r w:rsidRPr="00CE4BA0">
              <w:t>.25</w:t>
            </w:r>
          </w:p>
        </w:tc>
        <w:tc>
          <w:tcPr>
            <w:tcW w:w="1260" w:type="dxa"/>
            <w:tcMar>
              <w:top w:w="60" w:type="dxa"/>
              <w:left w:w="100" w:type="dxa"/>
              <w:bottom w:w="60" w:type="dxa"/>
              <w:right w:w="100" w:type="dxa"/>
            </w:tcMar>
            <w:vAlign w:val="center"/>
          </w:tcPr>
          <w:p w14:paraId="4F86A5BD" w14:textId="77777777" w:rsidR="00C972E2" w:rsidRPr="00CE4BA0" w:rsidRDefault="00000000">
            <w:pPr>
              <w:jc w:val="center"/>
            </w:pPr>
            <w:r w:rsidRPr="00CE4BA0">
              <w:t>3.33</w:t>
            </w:r>
          </w:p>
        </w:tc>
        <w:tc>
          <w:tcPr>
            <w:tcW w:w="1440" w:type="dxa"/>
            <w:tcMar>
              <w:top w:w="60" w:type="dxa"/>
              <w:left w:w="100" w:type="dxa"/>
              <w:bottom w:w="60" w:type="dxa"/>
              <w:right w:w="100" w:type="dxa"/>
            </w:tcMar>
            <w:vAlign w:val="center"/>
          </w:tcPr>
          <w:p w14:paraId="7B91345A" w14:textId="77777777" w:rsidR="00C972E2" w:rsidRPr="00CE4BA0" w:rsidRDefault="00000000">
            <w:pPr>
              <w:jc w:val="center"/>
            </w:pPr>
            <w:r w:rsidRPr="00CE4BA0">
              <w:t>.001</w:t>
            </w:r>
          </w:p>
        </w:tc>
      </w:tr>
      <w:tr w:rsidR="00C972E2" w:rsidRPr="00CE4BA0" w14:paraId="5755FA1D" w14:textId="77777777" w:rsidTr="00A07DEA">
        <w:tblPrEx>
          <w:tblCellMar>
            <w:top w:w="0" w:type="dxa"/>
            <w:bottom w:w="0" w:type="dxa"/>
          </w:tblCellMar>
        </w:tblPrEx>
        <w:tc>
          <w:tcPr>
            <w:tcW w:w="3060" w:type="dxa"/>
            <w:tcBorders>
              <w:bottom w:val="single" w:sz="4" w:space="0" w:color="auto"/>
            </w:tcBorders>
            <w:tcMar>
              <w:top w:w="60" w:type="dxa"/>
              <w:left w:w="100" w:type="dxa"/>
              <w:bottom w:w="60" w:type="dxa"/>
              <w:right w:w="100" w:type="dxa"/>
            </w:tcMar>
            <w:vAlign w:val="center"/>
          </w:tcPr>
          <w:p w14:paraId="6562D779" w14:textId="77777777" w:rsidR="00C972E2" w:rsidRPr="00CE4BA0" w:rsidRDefault="00000000">
            <w:r w:rsidRPr="00CE4BA0">
              <w:lastRenderedPageBreak/>
              <w:t>Research self-efficacy</w:t>
            </w:r>
          </w:p>
        </w:tc>
        <w:tc>
          <w:tcPr>
            <w:tcW w:w="1260" w:type="dxa"/>
            <w:tcBorders>
              <w:bottom w:val="single" w:sz="4" w:space="0" w:color="auto"/>
            </w:tcBorders>
            <w:tcMar>
              <w:top w:w="60" w:type="dxa"/>
              <w:left w:w="100" w:type="dxa"/>
              <w:bottom w:w="60" w:type="dxa"/>
              <w:right w:w="100" w:type="dxa"/>
            </w:tcMar>
            <w:vAlign w:val="center"/>
          </w:tcPr>
          <w:p w14:paraId="1BF1191F" w14:textId="77777777" w:rsidR="00C972E2" w:rsidRPr="00CE4BA0" w:rsidRDefault="00000000">
            <w:pPr>
              <w:jc w:val="center"/>
            </w:pPr>
            <w:r w:rsidRPr="00CE4BA0">
              <w:t>0.31</w:t>
            </w:r>
          </w:p>
        </w:tc>
        <w:tc>
          <w:tcPr>
            <w:tcW w:w="1260" w:type="dxa"/>
            <w:tcBorders>
              <w:bottom w:val="single" w:sz="4" w:space="0" w:color="auto"/>
            </w:tcBorders>
            <w:tcMar>
              <w:top w:w="60" w:type="dxa"/>
              <w:left w:w="100" w:type="dxa"/>
              <w:bottom w:w="60" w:type="dxa"/>
              <w:right w:w="100" w:type="dxa"/>
            </w:tcMar>
            <w:vAlign w:val="center"/>
          </w:tcPr>
          <w:p w14:paraId="0B5D7DC7" w14:textId="77777777" w:rsidR="00C972E2" w:rsidRPr="00CE4BA0" w:rsidRDefault="00000000">
            <w:pPr>
              <w:jc w:val="center"/>
            </w:pPr>
            <w:r w:rsidRPr="00CE4BA0">
              <w:t>0.08</w:t>
            </w:r>
          </w:p>
        </w:tc>
        <w:tc>
          <w:tcPr>
            <w:tcW w:w="1080" w:type="dxa"/>
            <w:tcBorders>
              <w:bottom w:val="single" w:sz="4" w:space="0" w:color="auto"/>
            </w:tcBorders>
            <w:tcMar>
              <w:top w:w="60" w:type="dxa"/>
              <w:left w:w="100" w:type="dxa"/>
              <w:bottom w:w="60" w:type="dxa"/>
              <w:right w:w="100" w:type="dxa"/>
            </w:tcMar>
            <w:vAlign w:val="center"/>
          </w:tcPr>
          <w:p w14:paraId="1CAEE1A9" w14:textId="77777777" w:rsidR="00C972E2" w:rsidRPr="00CE4BA0" w:rsidRDefault="00000000">
            <w:pPr>
              <w:jc w:val="center"/>
            </w:pPr>
            <w:r w:rsidRPr="00CE4BA0">
              <w:t>.29</w:t>
            </w:r>
          </w:p>
        </w:tc>
        <w:tc>
          <w:tcPr>
            <w:tcW w:w="1260" w:type="dxa"/>
            <w:tcBorders>
              <w:bottom w:val="single" w:sz="4" w:space="0" w:color="auto"/>
            </w:tcBorders>
            <w:tcMar>
              <w:top w:w="60" w:type="dxa"/>
              <w:left w:w="100" w:type="dxa"/>
              <w:bottom w:w="60" w:type="dxa"/>
              <w:right w:w="100" w:type="dxa"/>
            </w:tcMar>
            <w:vAlign w:val="center"/>
          </w:tcPr>
          <w:p w14:paraId="7C13C3DE" w14:textId="77777777" w:rsidR="00C972E2" w:rsidRPr="00CE4BA0" w:rsidRDefault="00000000">
            <w:pPr>
              <w:jc w:val="center"/>
            </w:pPr>
            <w:r w:rsidRPr="00CE4BA0">
              <w:t>3.82</w:t>
            </w:r>
          </w:p>
        </w:tc>
        <w:tc>
          <w:tcPr>
            <w:tcW w:w="1440" w:type="dxa"/>
            <w:tcBorders>
              <w:bottom w:val="single" w:sz="4" w:space="0" w:color="auto"/>
            </w:tcBorders>
            <w:tcMar>
              <w:top w:w="60" w:type="dxa"/>
              <w:left w:w="100" w:type="dxa"/>
              <w:bottom w:w="60" w:type="dxa"/>
              <w:right w:w="100" w:type="dxa"/>
            </w:tcMar>
            <w:vAlign w:val="center"/>
          </w:tcPr>
          <w:p w14:paraId="1D4E13B0" w14:textId="77777777" w:rsidR="00C972E2" w:rsidRPr="00CE4BA0" w:rsidRDefault="00000000">
            <w:pPr>
              <w:jc w:val="center"/>
            </w:pPr>
            <w:r w:rsidRPr="00CE4BA0">
              <w:t>&lt; .001</w:t>
            </w:r>
          </w:p>
        </w:tc>
      </w:tr>
    </w:tbl>
    <w:p w14:paraId="186906B3" w14:textId="77777777" w:rsidR="00C972E2" w:rsidRPr="00CE4BA0" w:rsidRDefault="00000000">
      <w:pPr>
        <w:spacing w:before="80" w:after="240"/>
      </w:pPr>
      <w:r w:rsidRPr="00CE4BA0">
        <w:rPr>
          <w:i/>
          <w:iCs/>
        </w:rPr>
        <w:t xml:space="preserve">Note. </w:t>
      </w:r>
      <w:r w:rsidRPr="00CE4BA0">
        <w:t xml:space="preserve">R = .69; R² = .482; adjusted R² = .463; </w:t>
      </w:r>
      <w:proofErr w:type="gramStart"/>
      <w:r w:rsidRPr="00CE4BA0">
        <w:t>F(</w:t>
      </w:r>
      <w:proofErr w:type="gramEnd"/>
      <w:r w:rsidRPr="00CE4BA0">
        <w:t>5, 141) = 26.19, p &lt; .001; Durbin–Watson = 1.97; all VIF &lt; 1.7.</w:t>
      </w:r>
    </w:p>
    <w:p w14:paraId="1032C48A" w14:textId="2539F3F2" w:rsidR="00C972E2" w:rsidRPr="00CE4BA0" w:rsidRDefault="00000000">
      <w:pPr>
        <w:keepNext/>
        <w:keepLines/>
        <w:spacing w:before="240"/>
      </w:pPr>
      <w:r w:rsidRPr="00CE4BA0">
        <w:rPr>
          <w:b/>
          <w:bCs/>
        </w:rPr>
        <w:t xml:space="preserve">Figure </w:t>
      </w:r>
      <w:r w:rsidR="00A07DEA">
        <w:rPr>
          <w:b/>
          <w:bCs/>
        </w:rPr>
        <w:t>2</w:t>
      </w:r>
    </w:p>
    <w:p w14:paraId="06AAAEDD" w14:textId="77777777" w:rsidR="00C972E2" w:rsidRPr="00CE4BA0" w:rsidRDefault="00000000">
      <w:pPr>
        <w:keepNext/>
        <w:keepLines/>
        <w:spacing w:after="120"/>
      </w:pPr>
      <w:r w:rsidRPr="00CE4BA0">
        <w:rPr>
          <w:i/>
          <w:iCs/>
        </w:rPr>
        <w:t>Standardized Regression Coefficients of UTAUT Constructs on Behavioural Engagement</w:t>
      </w:r>
    </w:p>
    <w:p w14:paraId="5D0307C2" w14:textId="77777777" w:rsidR="00C972E2" w:rsidRPr="00CE4BA0" w:rsidRDefault="00000000">
      <w:pPr>
        <w:keepNext/>
        <w:keepLines/>
        <w:spacing w:after="120"/>
        <w:jc w:val="center"/>
      </w:pPr>
      <w:r w:rsidRPr="00CE4BA0">
        <w:rPr>
          <w:noProof/>
        </w:rPr>
        <w:drawing>
          <wp:inline distT="0" distB="0" distL="0" distR="0" wp14:anchorId="18EF52CE" wp14:editId="30486AED">
            <wp:extent cx="4762500" cy="3171825"/>
            <wp:effectExtent l="0" t="0" r="0" b="0"/>
            <wp:docPr id="1871957619" name="Standardized regression coefficients bar chart" descr="Bar chart of standardized beta coefficients for five UTAUT-related predictors of behavioural engagement" title="Standardized regression coefficient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762500" cy="3171825"/>
                    </a:xfrm>
                    <a:prstGeom prst="rect">
                      <a:avLst/>
                    </a:prstGeom>
                  </pic:spPr>
                </pic:pic>
              </a:graphicData>
            </a:graphic>
          </wp:inline>
        </w:drawing>
      </w:r>
    </w:p>
    <w:p w14:paraId="584D9583" w14:textId="77777777" w:rsidR="00C972E2" w:rsidRPr="00CE4BA0" w:rsidRDefault="00000000">
      <w:pPr>
        <w:spacing w:before="80" w:after="240"/>
      </w:pPr>
      <w:r w:rsidRPr="00CE4BA0">
        <w:rPr>
          <w:i/>
          <w:iCs/>
        </w:rPr>
        <w:t xml:space="preserve">Note. </w:t>
      </w:r>
      <w:r w:rsidRPr="00CE4BA0">
        <w:t>*** p &lt; .001; ** p &lt; .01; * p &lt; .05; ns = non-significant.</w:t>
      </w:r>
    </w:p>
    <w:p w14:paraId="336D9BFB" w14:textId="77777777" w:rsidR="00C972E2" w:rsidRPr="00CE4BA0" w:rsidRDefault="00000000">
      <w:pPr>
        <w:pStyle w:val="Heading2"/>
        <w:spacing w:before="0" w:after="0"/>
      </w:pPr>
      <w:r w:rsidRPr="00CE4BA0">
        <w:t>Predicting Successful Retrieval (RQ3)</w:t>
      </w:r>
    </w:p>
    <w:p w14:paraId="0F05BA69" w14:textId="77777777" w:rsidR="00C972E2" w:rsidRPr="00CE4BA0" w:rsidRDefault="00000000" w:rsidP="00A07DEA">
      <w:pPr>
        <w:spacing w:line="480" w:lineRule="auto"/>
      </w:pPr>
      <w:r w:rsidRPr="00CE4BA0">
        <w:t>The logistic regression model (Table 7), fitted on all 3,612 sessions with research self-efficacy linked from each session’s user-hash to their survey response, fitted the data adequately, Hosmer–</w:t>
      </w:r>
      <w:proofErr w:type="spellStart"/>
      <w:r w:rsidRPr="00CE4BA0">
        <w:t>Lemeshow</w:t>
      </w:r>
      <w:proofErr w:type="spellEnd"/>
      <w:r w:rsidRPr="00CE4BA0">
        <w:t xml:space="preserve"> </w:t>
      </w:r>
      <w:r w:rsidRPr="00CE4BA0">
        <w:rPr>
          <w:i/>
          <w:iCs/>
        </w:rPr>
        <w:t>χ</w:t>
      </w:r>
      <w:proofErr w:type="gramStart"/>
      <w:r w:rsidRPr="00CE4BA0">
        <w:rPr>
          <w:i/>
          <w:iCs/>
        </w:rPr>
        <w:t>²</w:t>
      </w:r>
      <w:r w:rsidRPr="00CE4BA0">
        <w:t>(</w:t>
      </w:r>
      <w:proofErr w:type="gramEnd"/>
      <w:r w:rsidRPr="00CE4BA0">
        <w:t xml:space="preserve">8) = 4.40, </w:t>
      </w:r>
      <w:r w:rsidRPr="00CE4BA0">
        <w:rPr>
          <w:i/>
          <w:iCs/>
        </w:rPr>
        <w:t>p</w:t>
      </w:r>
      <w:r w:rsidRPr="00CE4BA0">
        <w:t xml:space="preserve"> = .82; Nagelkerke </w:t>
      </w:r>
      <w:r w:rsidRPr="00CE4BA0">
        <w:rPr>
          <w:i/>
          <w:iCs/>
        </w:rPr>
        <w:t>R</w:t>
      </w:r>
      <w:r w:rsidRPr="00CE4BA0">
        <w:t>² = .21, and classified 72.4% of sessions correctly (</w:t>
      </w:r>
      <w:r w:rsidRPr="00CE4BA0">
        <w:rPr>
          <w:i/>
          <w:iCs/>
        </w:rPr>
        <w:t>AUC</w:t>
      </w:r>
      <w:r w:rsidRPr="00CE4BA0">
        <w:t xml:space="preserve"> = .74). The probability of success rose with query specificity (</w:t>
      </w:r>
      <w:r w:rsidRPr="00CE4BA0">
        <w:rPr>
          <w:i/>
          <w:iCs/>
        </w:rPr>
        <w:t>OR</w:t>
      </w:r>
      <w:r w:rsidRPr="00CE4BA0">
        <w:t xml:space="preserve"> = 1.89) and research self-efficacy (</w:t>
      </w:r>
      <w:r w:rsidRPr="00CE4BA0">
        <w:rPr>
          <w:i/>
          <w:iCs/>
        </w:rPr>
        <w:t>OR</w:t>
      </w:r>
      <w:r w:rsidRPr="00CE4BA0">
        <w:t xml:space="preserve"> = 1.62) and fell with each additional reformulation (</w:t>
      </w:r>
      <w:r w:rsidRPr="00CE4BA0">
        <w:rPr>
          <w:i/>
          <w:iCs/>
        </w:rPr>
        <w:t>OR</w:t>
      </w:r>
      <w:r w:rsidRPr="00CE4BA0">
        <w:t xml:space="preserve"> = 0.68), with off-peak timing (</w:t>
      </w:r>
      <w:r w:rsidRPr="00CE4BA0">
        <w:rPr>
          <w:i/>
          <w:iCs/>
        </w:rPr>
        <w:t>OR</w:t>
      </w:r>
      <w:r w:rsidRPr="00CE4BA0">
        <w:t xml:space="preserve"> = 0.71), and most sharply for sessions dominated by the remote-access topic (</w:t>
      </w:r>
      <w:r w:rsidRPr="00CE4BA0">
        <w:rPr>
          <w:i/>
          <w:iCs/>
        </w:rPr>
        <w:t>OR</w:t>
      </w:r>
      <w:r w:rsidRPr="00CE4BA0">
        <w:t xml:space="preserve"> = 0.54). All five predictors were significant at </w:t>
      </w:r>
      <w:r w:rsidRPr="00CE4BA0">
        <w:rPr>
          <w:i/>
          <w:iCs/>
        </w:rPr>
        <w:t>p</w:t>
      </w:r>
      <w:r w:rsidRPr="00CE4BA0">
        <w:t xml:space="preserve"> &lt; .001.</w:t>
      </w:r>
    </w:p>
    <w:p w14:paraId="69CD19E5" w14:textId="77777777" w:rsidR="00C972E2" w:rsidRPr="00CE4BA0" w:rsidRDefault="00000000">
      <w:pPr>
        <w:keepNext/>
        <w:keepLines/>
        <w:spacing w:before="240"/>
      </w:pPr>
      <w:r w:rsidRPr="00CE4BA0">
        <w:rPr>
          <w:b/>
          <w:bCs/>
        </w:rPr>
        <w:lastRenderedPageBreak/>
        <w:t>Table 7</w:t>
      </w:r>
    </w:p>
    <w:p w14:paraId="7C675887" w14:textId="77777777" w:rsidR="00C972E2" w:rsidRPr="00CE4BA0" w:rsidRDefault="00000000">
      <w:pPr>
        <w:keepNext/>
        <w:keepLines/>
        <w:spacing w:after="120"/>
      </w:pPr>
      <w:r w:rsidRPr="00CE4BA0">
        <w:rPr>
          <w:i/>
          <w:iCs/>
        </w:rPr>
        <w:t>Binary Logistic Regression Predicting Successful Retrieval (N = 3,612 Sessions)</w:t>
      </w:r>
    </w:p>
    <w:tbl>
      <w:tblPr>
        <w:tblW w:w="8760" w:type="dxa"/>
        <w:tblCellMar>
          <w:left w:w="10" w:type="dxa"/>
          <w:right w:w="10" w:type="dxa"/>
        </w:tblCellMar>
        <w:tblLook w:val="0000" w:firstRow="0" w:lastRow="0" w:firstColumn="0" w:lastColumn="0" w:noHBand="0" w:noVBand="0"/>
      </w:tblPr>
      <w:tblGrid>
        <w:gridCol w:w="2700"/>
        <w:gridCol w:w="1020"/>
        <w:gridCol w:w="1020"/>
        <w:gridCol w:w="1080"/>
        <w:gridCol w:w="600"/>
        <w:gridCol w:w="1140"/>
        <w:gridCol w:w="1200"/>
      </w:tblGrid>
      <w:tr w:rsidR="00C972E2" w:rsidRPr="00CE4BA0" w14:paraId="1D871181" w14:textId="77777777" w:rsidTr="00A07DEA">
        <w:tblPrEx>
          <w:tblCellMar>
            <w:top w:w="0" w:type="dxa"/>
            <w:bottom w:w="0" w:type="dxa"/>
          </w:tblCellMar>
        </w:tblPrEx>
        <w:trPr>
          <w:tblHeader/>
        </w:trPr>
        <w:tc>
          <w:tcPr>
            <w:tcW w:w="2700" w:type="dxa"/>
            <w:tcBorders>
              <w:top w:val="single" w:sz="4" w:space="0" w:color="auto"/>
              <w:bottom w:val="single" w:sz="4" w:space="0" w:color="auto"/>
            </w:tcBorders>
            <w:tcMar>
              <w:top w:w="60" w:type="dxa"/>
              <w:left w:w="100" w:type="dxa"/>
              <w:bottom w:w="60" w:type="dxa"/>
              <w:right w:w="100" w:type="dxa"/>
            </w:tcMar>
            <w:vAlign w:val="center"/>
          </w:tcPr>
          <w:p w14:paraId="23BC3A4A" w14:textId="77777777" w:rsidR="00C972E2" w:rsidRPr="00CE4BA0" w:rsidRDefault="00000000">
            <w:r w:rsidRPr="00CE4BA0">
              <w:rPr>
                <w:b/>
                <w:bCs/>
              </w:rPr>
              <w:t>Predictor</w:t>
            </w:r>
          </w:p>
        </w:tc>
        <w:tc>
          <w:tcPr>
            <w:tcW w:w="1020" w:type="dxa"/>
            <w:tcBorders>
              <w:top w:val="single" w:sz="4" w:space="0" w:color="auto"/>
              <w:bottom w:val="single" w:sz="4" w:space="0" w:color="auto"/>
            </w:tcBorders>
            <w:tcMar>
              <w:top w:w="60" w:type="dxa"/>
              <w:left w:w="100" w:type="dxa"/>
              <w:bottom w:w="60" w:type="dxa"/>
              <w:right w:w="100" w:type="dxa"/>
            </w:tcMar>
            <w:vAlign w:val="center"/>
          </w:tcPr>
          <w:p w14:paraId="0714FD7B" w14:textId="77777777" w:rsidR="00C972E2" w:rsidRPr="00CE4BA0" w:rsidRDefault="00000000">
            <w:pPr>
              <w:jc w:val="center"/>
            </w:pPr>
            <w:r w:rsidRPr="00CE4BA0">
              <w:rPr>
                <w:b/>
                <w:bCs/>
              </w:rPr>
              <w:t>B</w:t>
            </w:r>
          </w:p>
        </w:tc>
        <w:tc>
          <w:tcPr>
            <w:tcW w:w="1020" w:type="dxa"/>
            <w:tcBorders>
              <w:top w:val="single" w:sz="4" w:space="0" w:color="auto"/>
              <w:bottom w:val="single" w:sz="4" w:space="0" w:color="auto"/>
            </w:tcBorders>
            <w:tcMar>
              <w:top w:w="60" w:type="dxa"/>
              <w:left w:w="100" w:type="dxa"/>
              <w:bottom w:w="60" w:type="dxa"/>
              <w:right w:w="100" w:type="dxa"/>
            </w:tcMar>
            <w:vAlign w:val="center"/>
          </w:tcPr>
          <w:p w14:paraId="4B4D0DEE" w14:textId="77777777" w:rsidR="00C972E2" w:rsidRPr="00CE4BA0" w:rsidRDefault="00000000">
            <w:pPr>
              <w:jc w:val="center"/>
            </w:pPr>
            <w:r w:rsidRPr="00CE4BA0">
              <w:rPr>
                <w:b/>
                <w:bCs/>
              </w:rPr>
              <w:t>SE</w:t>
            </w:r>
          </w:p>
        </w:tc>
        <w:tc>
          <w:tcPr>
            <w:tcW w:w="1080" w:type="dxa"/>
            <w:tcBorders>
              <w:top w:val="single" w:sz="4" w:space="0" w:color="auto"/>
              <w:bottom w:val="single" w:sz="4" w:space="0" w:color="auto"/>
            </w:tcBorders>
            <w:tcMar>
              <w:top w:w="60" w:type="dxa"/>
              <w:left w:w="100" w:type="dxa"/>
              <w:bottom w:w="60" w:type="dxa"/>
              <w:right w:w="100" w:type="dxa"/>
            </w:tcMar>
            <w:vAlign w:val="center"/>
          </w:tcPr>
          <w:p w14:paraId="661C50C8" w14:textId="77777777" w:rsidR="00C972E2" w:rsidRPr="00CE4BA0" w:rsidRDefault="00000000">
            <w:pPr>
              <w:jc w:val="center"/>
            </w:pPr>
            <w:r w:rsidRPr="00CE4BA0">
              <w:rPr>
                <w:b/>
                <w:bCs/>
              </w:rPr>
              <w:t>Wald</w:t>
            </w:r>
          </w:p>
        </w:tc>
        <w:tc>
          <w:tcPr>
            <w:tcW w:w="600" w:type="dxa"/>
            <w:tcBorders>
              <w:top w:val="single" w:sz="4" w:space="0" w:color="auto"/>
              <w:bottom w:val="single" w:sz="4" w:space="0" w:color="auto"/>
            </w:tcBorders>
            <w:tcMar>
              <w:top w:w="60" w:type="dxa"/>
              <w:left w:w="100" w:type="dxa"/>
              <w:bottom w:w="60" w:type="dxa"/>
              <w:right w:w="100" w:type="dxa"/>
            </w:tcMar>
            <w:vAlign w:val="center"/>
          </w:tcPr>
          <w:p w14:paraId="6753E305" w14:textId="77777777" w:rsidR="00C972E2" w:rsidRPr="00CE4BA0" w:rsidRDefault="00000000">
            <w:pPr>
              <w:jc w:val="center"/>
            </w:pPr>
            <w:proofErr w:type="spellStart"/>
            <w:r w:rsidRPr="00CE4BA0">
              <w:rPr>
                <w:b/>
                <w:bCs/>
              </w:rPr>
              <w:t>df</w:t>
            </w:r>
            <w:proofErr w:type="spellEnd"/>
          </w:p>
        </w:tc>
        <w:tc>
          <w:tcPr>
            <w:tcW w:w="1140" w:type="dxa"/>
            <w:tcBorders>
              <w:top w:val="single" w:sz="4" w:space="0" w:color="auto"/>
              <w:bottom w:val="single" w:sz="4" w:space="0" w:color="auto"/>
            </w:tcBorders>
            <w:tcMar>
              <w:top w:w="60" w:type="dxa"/>
              <w:left w:w="100" w:type="dxa"/>
              <w:bottom w:w="60" w:type="dxa"/>
              <w:right w:w="100" w:type="dxa"/>
            </w:tcMar>
            <w:vAlign w:val="center"/>
          </w:tcPr>
          <w:p w14:paraId="183912E8" w14:textId="77777777" w:rsidR="00C972E2" w:rsidRPr="00CE4BA0" w:rsidRDefault="00000000">
            <w:pPr>
              <w:jc w:val="center"/>
            </w:pPr>
            <w:r w:rsidRPr="00CE4BA0">
              <w:rPr>
                <w:b/>
                <w:bCs/>
              </w:rPr>
              <w:t>p</w:t>
            </w:r>
          </w:p>
        </w:tc>
        <w:tc>
          <w:tcPr>
            <w:tcW w:w="1200" w:type="dxa"/>
            <w:tcBorders>
              <w:top w:val="single" w:sz="4" w:space="0" w:color="auto"/>
              <w:bottom w:val="single" w:sz="4" w:space="0" w:color="auto"/>
            </w:tcBorders>
            <w:tcMar>
              <w:top w:w="60" w:type="dxa"/>
              <w:left w:w="100" w:type="dxa"/>
              <w:bottom w:w="60" w:type="dxa"/>
              <w:right w:w="100" w:type="dxa"/>
            </w:tcMar>
            <w:vAlign w:val="center"/>
          </w:tcPr>
          <w:p w14:paraId="60970AD2" w14:textId="77777777" w:rsidR="00C972E2" w:rsidRPr="00CE4BA0" w:rsidRDefault="00000000">
            <w:pPr>
              <w:jc w:val="center"/>
            </w:pPr>
            <w:r w:rsidRPr="00CE4BA0">
              <w:rPr>
                <w:b/>
                <w:bCs/>
              </w:rPr>
              <w:t>Exp(B)</w:t>
            </w:r>
          </w:p>
        </w:tc>
      </w:tr>
      <w:tr w:rsidR="00C972E2" w:rsidRPr="00CE4BA0" w14:paraId="0AA1E5CD" w14:textId="77777777" w:rsidTr="00A07DEA">
        <w:tblPrEx>
          <w:tblCellMar>
            <w:top w:w="0" w:type="dxa"/>
            <w:bottom w:w="0" w:type="dxa"/>
          </w:tblCellMar>
        </w:tblPrEx>
        <w:tc>
          <w:tcPr>
            <w:tcW w:w="2700" w:type="dxa"/>
            <w:tcBorders>
              <w:top w:val="single" w:sz="4" w:space="0" w:color="auto"/>
            </w:tcBorders>
            <w:tcMar>
              <w:top w:w="60" w:type="dxa"/>
              <w:left w:w="100" w:type="dxa"/>
              <w:bottom w:w="60" w:type="dxa"/>
              <w:right w:w="100" w:type="dxa"/>
            </w:tcMar>
            <w:vAlign w:val="center"/>
          </w:tcPr>
          <w:p w14:paraId="61B734F6" w14:textId="77777777" w:rsidR="00C972E2" w:rsidRPr="00CE4BA0" w:rsidRDefault="00000000">
            <w:r w:rsidRPr="00CE4BA0">
              <w:t>Query specificity index (z)</w:t>
            </w:r>
          </w:p>
        </w:tc>
        <w:tc>
          <w:tcPr>
            <w:tcW w:w="1020" w:type="dxa"/>
            <w:tcBorders>
              <w:top w:val="single" w:sz="4" w:space="0" w:color="auto"/>
            </w:tcBorders>
            <w:tcMar>
              <w:top w:w="60" w:type="dxa"/>
              <w:left w:w="100" w:type="dxa"/>
              <w:bottom w:w="60" w:type="dxa"/>
              <w:right w:w="100" w:type="dxa"/>
            </w:tcMar>
            <w:vAlign w:val="center"/>
          </w:tcPr>
          <w:p w14:paraId="4C77BCEC" w14:textId="77777777" w:rsidR="00C972E2" w:rsidRPr="00CE4BA0" w:rsidRDefault="00000000">
            <w:pPr>
              <w:jc w:val="center"/>
            </w:pPr>
            <w:r w:rsidRPr="00CE4BA0">
              <w:t>0.64</w:t>
            </w:r>
          </w:p>
        </w:tc>
        <w:tc>
          <w:tcPr>
            <w:tcW w:w="1020" w:type="dxa"/>
            <w:tcBorders>
              <w:top w:val="single" w:sz="4" w:space="0" w:color="auto"/>
            </w:tcBorders>
            <w:tcMar>
              <w:top w:w="60" w:type="dxa"/>
              <w:left w:w="100" w:type="dxa"/>
              <w:bottom w:w="60" w:type="dxa"/>
              <w:right w:w="100" w:type="dxa"/>
            </w:tcMar>
            <w:vAlign w:val="center"/>
          </w:tcPr>
          <w:p w14:paraId="289797BB" w14:textId="77777777" w:rsidR="00C972E2" w:rsidRPr="00CE4BA0" w:rsidRDefault="00000000">
            <w:pPr>
              <w:jc w:val="center"/>
            </w:pPr>
            <w:r w:rsidRPr="00CE4BA0">
              <w:t>0.04</w:t>
            </w:r>
          </w:p>
        </w:tc>
        <w:tc>
          <w:tcPr>
            <w:tcW w:w="1080" w:type="dxa"/>
            <w:tcBorders>
              <w:top w:val="single" w:sz="4" w:space="0" w:color="auto"/>
            </w:tcBorders>
            <w:tcMar>
              <w:top w:w="60" w:type="dxa"/>
              <w:left w:w="100" w:type="dxa"/>
              <w:bottom w:w="60" w:type="dxa"/>
              <w:right w:w="100" w:type="dxa"/>
            </w:tcMar>
            <w:vAlign w:val="center"/>
          </w:tcPr>
          <w:p w14:paraId="5AA4AD49" w14:textId="77777777" w:rsidR="00C972E2" w:rsidRPr="00CE4BA0" w:rsidRDefault="00000000">
            <w:pPr>
              <w:jc w:val="center"/>
            </w:pPr>
            <w:r w:rsidRPr="00CE4BA0">
              <w:t>229.2</w:t>
            </w:r>
          </w:p>
        </w:tc>
        <w:tc>
          <w:tcPr>
            <w:tcW w:w="600" w:type="dxa"/>
            <w:tcBorders>
              <w:top w:val="single" w:sz="4" w:space="0" w:color="auto"/>
            </w:tcBorders>
            <w:tcMar>
              <w:top w:w="60" w:type="dxa"/>
              <w:left w:w="100" w:type="dxa"/>
              <w:bottom w:w="60" w:type="dxa"/>
              <w:right w:w="100" w:type="dxa"/>
            </w:tcMar>
            <w:vAlign w:val="center"/>
          </w:tcPr>
          <w:p w14:paraId="7A98A6E0" w14:textId="77777777" w:rsidR="00C972E2" w:rsidRPr="00CE4BA0" w:rsidRDefault="00000000">
            <w:pPr>
              <w:jc w:val="center"/>
            </w:pPr>
            <w:r w:rsidRPr="00CE4BA0">
              <w:t>1</w:t>
            </w:r>
          </w:p>
        </w:tc>
        <w:tc>
          <w:tcPr>
            <w:tcW w:w="1140" w:type="dxa"/>
            <w:tcBorders>
              <w:top w:val="single" w:sz="4" w:space="0" w:color="auto"/>
            </w:tcBorders>
            <w:tcMar>
              <w:top w:w="60" w:type="dxa"/>
              <w:left w:w="100" w:type="dxa"/>
              <w:bottom w:w="60" w:type="dxa"/>
              <w:right w:w="100" w:type="dxa"/>
            </w:tcMar>
            <w:vAlign w:val="center"/>
          </w:tcPr>
          <w:p w14:paraId="4D46EC04" w14:textId="77777777" w:rsidR="00C972E2" w:rsidRPr="00CE4BA0" w:rsidRDefault="00000000">
            <w:pPr>
              <w:jc w:val="center"/>
            </w:pPr>
            <w:r w:rsidRPr="00CE4BA0">
              <w:t>&lt; .001</w:t>
            </w:r>
          </w:p>
        </w:tc>
        <w:tc>
          <w:tcPr>
            <w:tcW w:w="1200" w:type="dxa"/>
            <w:tcBorders>
              <w:top w:val="single" w:sz="4" w:space="0" w:color="auto"/>
            </w:tcBorders>
            <w:tcMar>
              <w:top w:w="60" w:type="dxa"/>
              <w:left w:w="100" w:type="dxa"/>
              <w:bottom w:w="60" w:type="dxa"/>
              <w:right w:w="100" w:type="dxa"/>
            </w:tcMar>
            <w:vAlign w:val="center"/>
          </w:tcPr>
          <w:p w14:paraId="34D92D0C" w14:textId="77777777" w:rsidR="00C972E2" w:rsidRPr="00CE4BA0" w:rsidRDefault="00000000">
            <w:pPr>
              <w:jc w:val="center"/>
            </w:pPr>
            <w:r w:rsidRPr="00CE4BA0">
              <w:t>1.89</w:t>
            </w:r>
          </w:p>
        </w:tc>
      </w:tr>
      <w:tr w:rsidR="00C972E2" w:rsidRPr="00CE4BA0" w14:paraId="75A18E24" w14:textId="77777777" w:rsidTr="00A07DEA">
        <w:tblPrEx>
          <w:tblCellMar>
            <w:top w:w="0" w:type="dxa"/>
            <w:bottom w:w="0" w:type="dxa"/>
          </w:tblCellMar>
        </w:tblPrEx>
        <w:tc>
          <w:tcPr>
            <w:tcW w:w="2700" w:type="dxa"/>
            <w:tcMar>
              <w:top w:w="60" w:type="dxa"/>
              <w:left w:w="100" w:type="dxa"/>
              <w:bottom w:w="60" w:type="dxa"/>
              <w:right w:w="100" w:type="dxa"/>
            </w:tcMar>
            <w:vAlign w:val="center"/>
          </w:tcPr>
          <w:p w14:paraId="7FF9A509" w14:textId="77777777" w:rsidR="00C972E2" w:rsidRPr="00CE4BA0" w:rsidRDefault="00000000">
            <w:r w:rsidRPr="00CE4BA0">
              <w:t>No. of reformulations</w:t>
            </w:r>
          </w:p>
        </w:tc>
        <w:tc>
          <w:tcPr>
            <w:tcW w:w="1020" w:type="dxa"/>
            <w:tcMar>
              <w:top w:w="60" w:type="dxa"/>
              <w:left w:w="100" w:type="dxa"/>
              <w:bottom w:w="60" w:type="dxa"/>
              <w:right w:w="100" w:type="dxa"/>
            </w:tcMar>
            <w:vAlign w:val="center"/>
          </w:tcPr>
          <w:p w14:paraId="273D59FC" w14:textId="77777777" w:rsidR="00C972E2" w:rsidRPr="00CE4BA0" w:rsidRDefault="00000000">
            <w:pPr>
              <w:jc w:val="center"/>
            </w:pPr>
            <w:r w:rsidRPr="00CE4BA0">
              <w:t>−0.39</w:t>
            </w:r>
          </w:p>
        </w:tc>
        <w:tc>
          <w:tcPr>
            <w:tcW w:w="1020" w:type="dxa"/>
            <w:tcMar>
              <w:top w:w="60" w:type="dxa"/>
              <w:left w:w="100" w:type="dxa"/>
              <w:bottom w:w="60" w:type="dxa"/>
              <w:right w:w="100" w:type="dxa"/>
            </w:tcMar>
            <w:vAlign w:val="center"/>
          </w:tcPr>
          <w:p w14:paraId="77B1DB01" w14:textId="77777777" w:rsidR="00C972E2" w:rsidRPr="00CE4BA0" w:rsidRDefault="00000000">
            <w:pPr>
              <w:jc w:val="center"/>
            </w:pPr>
            <w:r w:rsidRPr="00CE4BA0">
              <w:t>0.03</w:t>
            </w:r>
          </w:p>
        </w:tc>
        <w:tc>
          <w:tcPr>
            <w:tcW w:w="1080" w:type="dxa"/>
            <w:tcMar>
              <w:top w:w="60" w:type="dxa"/>
              <w:left w:w="100" w:type="dxa"/>
              <w:bottom w:w="60" w:type="dxa"/>
              <w:right w:w="100" w:type="dxa"/>
            </w:tcMar>
            <w:vAlign w:val="center"/>
          </w:tcPr>
          <w:p w14:paraId="7D2BB9FC" w14:textId="77777777" w:rsidR="00C972E2" w:rsidRPr="00CE4BA0" w:rsidRDefault="00000000">
            <w:pPr>
              <w:jc w:val="center"/>
            </w:pPr>
            <w:r w:rsidRPr="00CE4BA0">
              <w:t>124.0</w:t>
            </w:r>
          </w:p>
        </w:tc>
        <w:tc>
          <w:tcPr>
            <w:tcW w:w="600" w:type="dxa"/>
            <w:tcMar>
              <w:top w:w="60" w:type="dxa"/>
              <w:left w:w="100" w:type="dxa"/>
              <w:bottom w:w="60" w:type="dxa"/>
              <w:right w:w="100" w:type="dxa"/>
            </w:tcMar>
            <w:vAlign w:val="center"/>
          </w:tcPr>
          <w:p w14:paraId="118AE5DF" w14:textId="77777777" w:rsidR="00C972E2" w:rsidRPr="00CE4BA0" w:rsidRDefault="00000000">
            <w:pPr>
              <w:jc w:val="center"/>
            </w:pPr>
            <w:r w:rsidRPr="00CE4BA0">
              <w:t>1</w:t>
            </w:r>
          </w:p>
        </w:tc>
        <w:tc>
          <w:tcPr>
            <w:tcW w:w="1140" w:type="dxa"/>
            <w:tcMar>
              <w:top w:w="60" w:type="dxa"/>
              <w:left w:w="100" w:type="dxa"/>
              <w:bottom w:w="60" w:type="dxa"/>
              <w:right w:w="100" w:type="dxa"/>
            </w:tcMar>
            <w:vAlign w:val="center"/>
          </w:tcPr>
          <w:p w14:paraId="18A15017" w14:textId="77777777" w:rsidR="00C972E2" w:rsidRPr="00CE4BA0" w:rsidRDefault="00000000">
            <w:pPr>
              <w:jc w:val="center"/>
            </w:pPr>
            <w:r w:rsidRPr="00CE4BA0">
              <w:t>&lt; .001</w:t>
            </w:r>
          </w:p>
        </w:tc>
        <w:tc>
          <w:tcPr>
            <w:tcW w:w="1200" w:type="dxa"/>
            <w:tcMar>
              <w:top w:w="60" w:type="dxa"/>
              <w:left w:w="100" w:type="dxa"/>
              <w:bottom w:w="60" w:type="dxa"/>
              <w:right w:w="100" w:type="dxa"/>
            </w:tcMar>
            <w:vAlign w:val="center"/>
          </w:tcPr>
          <w:p w14:paraId="7F8A3F0B" w14:textId="77777777" w:rsidR="00C972E2" w:rsidRPr="00CE4BA0" w:rsidRDefault="00000000">
            <w:pPr>
              <w:jc w:val="center"/>
            </w:pPr>
            <w:r w:rsidRPr="00CE4BA0">
              <w:t>0.68</w:t>
            </w:r>
          </w:p>
        </w:tc>
      </w:tr>
      <w:tr w:rsidR="00C972E2" w:rsidRPr="00CE4BA0" w14:paraId="2237C13C" w14:textId="77777777" w:rsidTr="00A07DEA">
        <w:tblPrEx>
          <w:tblCellMar>
            <w:top w:w="0" w:type="dxa"/>
            <w:bottom w:w="0" w:type="dxa"/>
          </w:tblCellMar>
        </w:tblPrEx>
        <w:tc>
          <w:tcPr>
            <w:tcW w:w="2700" w:type="dxa"/>
            <w:tcMar>
              <w:top w:w="60" w:type="dxa"/>
              <w:left w:w="100" w:type="dxa"/>
              <w:bottom w:w="60" w:type="dxa"/>
              <w:right w:w="100" w:type="dxa"/>
            </w:tcMar>
            <w:vAlign w:val="center"/>
          </w:tcPr>
          <w:p w14:paraId="51D6F2BD" w14:textId="77777777" w:rsidR="00C972E2" w:rsidRPr="00CE4BA0" w:rsidRDefault="00000000">
            <w:r w:rsidRPr="00CE4BA0">
              <w:t>Remote-access topic</w:t>
            </w:r>
          </w:p>
        </w:tc>
        <w:tc>
          <w:tcPr>
            <w:tcW w:w="1020" w:type="dxa"/>
            <w:tcMar>
              <w:top w:w="60" w:type="dxa"/>
              <w:left w:w="100" w:type="dxa"/>
              <w:bottom w:w="60" w:type="dxa"/>
              <w:right w:w="100" w:type="dxa"/>
            </w:tcMar>
            <w:vAlign w:val="center"/>
          </w:tcPr>
          <w:p w14:paraId="3E2B19A6" w14:textId="77777777" w:rsidR="00C972E2" w:rsidRPr="00CE4BA0" w:rsidRDefault="00000000">
            <w:pPr>
              <w:jc w:val="center"/>
            </w:pPr>
            <w:r w:rsidRPr="00CE4BA0">
              <w:t>−0.62</w:t>
            </w:r>
          </w:p>
        </w:tc>
        <w:tc>
          <w:tcPr>
            <w:tcW w:w="1020" w:type="dxa"/>
            <w:tcMar>
              <w:top w:w="60" w:type="dxa"/>
              <w:left w:w="100" w:type="dxa"/>
              <w:bottom w:w="60" w:type="dxa"/>
              <w:right w:w="100" w:type="dxa"/>
            </w:tcMar>
            <w:vAlign w:val="center"/>
          </w:tcPr>
          <w:p w14:paraId="1683B8BE" w14:textId="77777777" w:rsidR="00C972E2" w:rsidRPr="00CE4BA0" w:rsidRDefault="00000000">
            <w:pPr>
              <w:jc w:val="center"/>
            </w:pPr>
            <w:r w:rsidRPr="00CE4BA0">
              <w:t>0.13</w:t>
            </w:r>
          </w:p>
        </w:tc>
        <w:tc>
          <w:tcPr>
            <w:tcW w:w="1080" w:type="dxa"/>
            <w:tcMar>
              <w:top w:w="60" w:type="dxa"/>
              <w:left w:w="100" w:type="dxa"/>
              <w:bottom w:w="60" w:type="dxa"/>
              <w:right w:w="100" w:type="dxa"/>
            </w:tcMar>
            <w:vAlign w:val="center"/>
          </w:tcPr>
          <w:p w14:paraId="565316C8" w14:textId="77777777" w:rsidR="00C972E2" w:rsidRPr="00CE4BA0" w:rsidRDefault="00000000">
            <w:pPr>
              <w:jc w:val="center"/>
            </w:pPr>
            <w:r w:rsidRPr="00CE4BA0">
              <w:t>21.4</w:t>
            </w:r>
          </w:p>
        </w:tc>
        <w:tc>
          <w:tcPr>
            <w:tcW w:w="600" w:type="dxa"/>
            <w:tcMar>
              <w:top w:w="60" w:type="dxa"/>
              <w:left w:w="100" w:type="dxa"/>
              <w:bottom w:w="60" w:type="dxa"/>
              <w:right w:w="100" w:type="dxa"/>
            </w:tcMar>
            <w:vAlign w:val="center"/>
          </w:tcPr>
          <w:p w14:paraId="4C9DD49E" w14:textId="77777777" w:rsidR="00C972E2" w:rsidRPr="00CE4BA0" w:rsidRDefault="00000000">
            <w:pPr>
              <w:jc w:val="center"/>
            </w:pPr>
            <w:r w:rsidRPr="00CE4BA0">
              <w:t>1</w:t>
            </w:r>
          </w:p>
        </w:tc>
        <w:tc>
          <w:tcPr>
            <w:tcW w:w="1140" w:type="dxa"/>
            <w:tcMar>
              <w:top w:w="60" w:type="dxa"/>
              <w:left w:w="100" w:type="dxa"/>
              <w:bottom w:w="60" w:type="dxa"/>
              <w:right w:w="100" w:type="dxa"/>
            </w:tcMar>
            <w:vAlign w:val="center"/>
          </w:tcPr>
          <w:p w14:paraId="5DF282B2" w14:textId="77777777" w:rsidR="00C972E2" w:rsidRPr="00CE4BA0" w:rsidRDefault="00000000">
            <w:pPr>
              <w:jc w:val="center"/>
            </w:pPr>
            <w:r w:rsidRPr="00CE4BA0">
              <w:t>&lt; .001</w:t>
            </w:r>
          </w:p>
        </w:tc>
        <w:tc>
          <w:tcPr>
            <w:tcW w:w="1200" w:type="dxa"/>
            <w:tcMar>
              <w:top w:w="60" w:type="dxa"/>
              <w:left w:w="100" w:type="dxa"/>
              <w:bottom w:w="60" w:type="dxa"/>
              <w:right w:w="100" w:type="dxa"/>
            </w:tcMar>
            <w:vAlign w:val="center"/>
          </w:tcPr>
          <w:p w14:paraId="3B8CC393" w14:textId="77777777" w:rsidR="00C972E2" w:rsidRPr="00CE4BA0" w:rsidRDefault="00000000">
            <w:pPr>
              <w:jc w:val="center"/>
            </w:pPr>
            <w:r w:rsidRPr="00CE4BA0">
              <w:t>0.54</w:t>
            </w:r>
          </w:p>
        </w:tc>
      </w:tr>
      <w:tr w:rsidR="00C972E2" w:rsidRPr="00CE4BA0" w14:paraId="71A3AB27" w14:textId="77777777" w:rsidTr="00A07DEA">
        <w:tblPrEx>
          <w:tblCellMar>
            <w:top w:w="0" w:type="dxa"/>
            <w:bottom w:w="0" w:type="dxa"/>
          </w:tblCellMar>
        </w:tblPrEx>
        <w:tc>
          <w:tcPr>
            <w:tcW w:w="2700" w:type="dxa"/>
            <w:tcMar>
              <w:top w:w="60" w:type="dxa"/>
              <w:left w:w="100" w:type="dxa"/>
              <w:bottom w:w="60" w:type="dxa"/>
              <w:right w:w="100" w:type="dxa"/>
            </w:tcMar>
            <w:vAlign w:val="center"/>
          </w:tcPr>
          <w:p w14:paraId="4FFCE4AD" w14:textId="77777777" w:rsidR="00C972E2" w:rsidRPr="00CE4BA0" w:rsidRDefault="00000000">
            <w:r w:rsidRPr="00CE4BA0">
              <w:t>Off-peak hour</w:t>
            </w:r>
          </w:p>
        </w:tc>
        <w:tc>
          <w:tcPr>
            <w:tcW w:w="1020" w:type="dxa"/>
            <w:tcMar>
              <w:top w:w="60" w:type="dxa"/>
              <w:left w:w="100" w:type="dxa"/>
              <w:bottom w:w="60" w:type="dxa"/>
              <w:right w:w="100" w:type="dxa"/>
            </w:tcMar>
            <w:vAlign w:val="center"/>
          </w:tcPr>
          <w:p w14:paraId="33DD9E6F" w14:textId="77777777" w:rsidR="00C972E2" w:rsidRPr="00CE4BA0" w:rsidRDefault="00000000">
            <w:pPr>
              <w:jc w:val="center"/>
            </w:pPr>
            <w:r w:rsidRPr="00CE4BA0">
              <w:t>−0.34</w:t>
            </w:r>
          </w:p>
        </w:tc>
        <w:tc>
          <w:tcPr>
            <w:tcW w:w="1020" w:type="dxa"/>
            <w:tcMar>
              <w:top w:w="60" w:type="dxa"/>
              <w:left w:w="100" w:type="dxa"/>
              <w:bottom w:w="60" w:type="dxa"/>
              <w:right w:w="100" w:type="dxa"/>
            </w:tcMar>
            <w:vAlign w:val="center"/>
          </w:tcPr>
          <w:p w14:paraId="5813DD24" w14:textId="77777777" w:rsidR="00C972E2" w:rsidRPr="00CE4BA0" w:rsidRDefault="00000000">
            <w:pPr>
              <w:jc w:val="center"/>
            </w:pPr>
            <w:r w:rsidRPr="00CE4BA0">
              <w:t>0.08</w:t>
            </w:r>
          </w:p>
        </w:tc>
        <w:tc>
          <w:tcPr>
            <w:tcW w:w="1080" w:type="dxa"/>
            <w:tcMar>
              <w:top w:w="60" w:type="dxa"/>
              <w:left w:w="100" w:type="dxa"/>
              <w:bottom w:w="60" w:type="dxa"/>
              <w:right w:w="100" w:type="dxa"/>
            </w:tcMar>
            <w:vAlign w:val="center"/>
          </w:tcPr>
          <w:p w14:paraId="0D179F99" w14:textId="77777777" w:rsidR="00C972E2" w:rsidRPr="00CE4BA0" w:rsidRDefault="00000000">
            <w:pPr>
              <w:jc w:val="center"/>
            </w:pPr>
            <w:r w:rsidRPr="00CE4BA0">
              <w:t>17.6</w:t>
            </w:r>
          </w:p>
        </w:tc>
        <w:tc>
          <w:tcPr>
            <w:tcW w:w="600" w:type="dxa"/>
            <w:tcMar>
              <w:top w:w="60" w:type="dxa"/>
              <w:left w:w="100" w:type="dxa"/>
              <w:bottom w:w="60" w:type="dxa"/>
              <w:right w:w="100" w:type="dxa"/>
            </w:tcMar>
            <w:vAlign w:val="center"/>
          </w:tcPr>
          <w:p w14:paraId="5E526B2D" w14:textId="77777777" w:rsidR="00C972E2" w:rsidRPr="00CE4BA0" w:rsidRDefault="00000000">
            <w:pPr>
              <w:jc w:val="center"/>
            </w:pPr>
            <w:r w:rsidRPr="00CE4BA0">
              <w:t>1</w:t>
            </w:r>
          </w:p>
        </w:tc>
        <w:tc>
          <w:tcPr>
            <w:tcW w:w="1140" w:type="dxa"/>
            <w:tcMar>
              <w:top w:w="60" w:type="dxa"/>
              <w:left w:w="100" w:type="dxa"/>
              <w:bottom w:w="60" w:type="dxa"/>
              <w:right w:w="100" w:type="dxa"/>
            </w:tcMar>
            <w:vAlign w:val="center"/>
          </w:tcPr>
          <w:p w14:paraId="1AE678D6" w14:textId="77777777" w:rsidR="00C972E2" w:rsidRPr="00CE4BA0" w:rsidRDefault="00000000">
            <w:pPr>
              <w:jc w:val="center"/>
            </w:pPr>
            <w:r w:rsidRPr="00CE4BA0">
              <w:t>&lt; .001</w:t>
            </w:r>
          </w:p>
        </w:tc>
        <w:tc>
          <w:tcPr>
            <w:tcW w:w="1200" w:type="dxa"/>
            <w:tcMar>
              <w:top w:w="60" w:type="dxa"/>
              <w:left w:w="100" w:type="dxa"/>
              <w:bottom w:w="60" w:type="dxa"/>
              <w:right w:w="100" w:type="dxa"/>
            </w:tcMar>
            <w:vAlign w:val="center"/>
          </w:tcPr>
          <w:p w14:paraId="16B67B44" w14:textId="77777777" w:rsidR="00C972E2" w:rsidRPr="00CE4BA0" w:rsidRDefault="00000000">
            <w:pPr>
              <w:jc w:val="center"/>
            </w:pPr>
            <w:r w:rsidRPr="00CE4BA0">
              <w:t>0.71</w:t>
            </w:r>
          </w:p>
        </w:tc>
      </w:tr>
      <w:tr w:rsidR="00C972E2" w:rsidRPr="00CE4BA0" w14:paraId="14AC342C" w14:textId="77777777" w:rsidTr="00A07DEA">
        <w:tblPrEx>
          <w:tblCellMar>
            <w:top w:w="0" w:type="dxa"/>
            <w:bottom w:w="0" w:type="dxa"/>
          </w:tblCellMar>
        </w:tblPrEx>
        <w:tc>
          <w:tcPr>
            <w:tcW w:w="2700" w:type="dxa"/>
            <w:tcMar>
              <w:top w:w="60" w:type="dxa"/>
              <w:left w:w="100" w:type="dxa"/>
              <w:bottom w:w="60" w:type="dxa"/>
              <w:right w:w="100" w:type="dxa"/>
            </w:tcMar>
            <w:vAlign w:val="center"/>
          </w:tcPr>
          <w:p w14:paraId="2EE9F400" w14:textId="77777777" w:rsidR="00C972E2" w:rsidRPr="00CE4BA0" w:rsidRDefault="00000000">
            <w:r w:rsidRPr="00CE4BA0">
              <w:t>Research self-efficacy (z)</w:t>
            </w:r>
          </w:p>
        </w:tc>
        <w:tc>
          <w:tcPr>
            <w:tcW w:w="1020" w:type="dxa"/>
            <w:tcMar>
              <w:top w:w="60" w:type="dxa"/>
              <w:left w:w="100" w:type="dxa"/>
              <w:bottom w:w="60" w:type="dxa"/>
              <w:right w:w="100" w:type="dxa"/>
            </w:tcMar>
            <w:vAlign w:val="center"/>
          </w:tcPr>
          <w:p w14:paraId="60426F27" w14:textId="77777777" w:rsidR="00C972E2" w:rsidRPr="00CE4BA0" w:rsidRDefault="00000000">
            <w:pPr>
              <w:jc w:val="center"/>
            </w:pPr>
            <w:r w:rsidRPr="00CE4BA0">
              <w:t>0.48</w:t>
            </w:r>
          </w:p>
        </w:tc>
        <w:tc>
          <w:tcPr>
            <w:tcW w:w="1020" w:type="dxa"/>
            <w:tcMar>
              <w:top w:w="60" w:type="dxa"/>
              <w:left w:w="100" w:type="dxa"/>
              <w:bottom w:w="60" w:type="dxa"/>
              <w:right w:w="100" w:type="dxa"/>
            </w:tcMar>
            <w:vAlign w:val="center"/>
          </w:tcPr>
          <w:p w14:paraId="6FAF0C1F" w14:textId="77777777" w:rsidR="00C972E2" w:rsidRPr="00CE4BA0" w:rsidRDefault="00000000">
            <w:pPr>
              <w:jc w:val="center"/>
            </w:pPr>
            <w:r w:rsidRPr="00CE4BA0">
              <w:t>0.04</w:t>
            </w:r>
          </w:p>
        </w:tc>
        <w:tc>
          <w:tcPr>
            <w:tcW w:w="1080" w:type="dxa"/>
            <w:tcMar>
              <w:top w:w="60" w:type="dxa"/>
              <w:left w:w="100" w:type="dxa"/>
              <w:bottom w:w="60" w:type="dxa"/>
              <w:right w:w="100" w:type="dxa"/>
            </w:tcMar>
            <w:vAlign w:val="center"/>
          </w:tcPr>
          <w:p w14:paraId="2971031D" w14:textId="77777777" w:rsidR="00C972E2" w:rsidRPr="00CE4BA0" w:rsidRDefault="00000000">
            <w:pPr>
              <w:jc w:val="center"/>
            </w:pPr>
            <w:r w:rsidRPr="00CE4BA0">
              <w:t>143.3</w:t>
            </w:r>
          </w:p>
        </w:tc>
        <w:tc>
          <w:tcPr>
            <w:tcW w:w="600" w:type="dxa"/>
            <w:tcMar>
              <w:top w:w="60" w:type="dxa"/>
              <w:left w:w="100" w:type="dxa"/>
              <w:bottom w:w="60" w:type="dxa"/>
              <w:right w:w="100" w:type="dxa"/>
            </w:tcMar>
            <w:vAlign w:val="center"/>
          </w:tcPr>
          <w:p w14:paraId="6F914121" w14:textId="77777777" w:rsidR="00C972E2" w:rsidRPr="00CE4BA0" w:rsidRDefault="00000000">
            <w:pPr>
              <w:jc w:val="center"/>
            </w:pPr>
            <w:r w:rsidRPr="00CE4BA0">
              <w:t>1</w:t>
            </w:r>
          </w:p>
        </w:tc>
        <w:tc>
          <w:tcPr>
            <w:tcW w:w="1140" w:type="dxa"/>
            <w:tcMar>
              <w:top w:w="60" w:type="dxa"/>
              <w:left w:w="100" w:type="dxa"/>
              <w:bottom w:w="60" w:type="dxa"/>
              <w:right w:w="100" w:type="dxa"/>
            </w:tcMar>
            <w:vAlign w:val="center"/>
          </w:tcPr>
          <w:p w14:paraId="327C87C6" w14:textId="77777777" w:rsidR="00C972E2" w:rsidRPr="00CE4BA0" w:rsidRDefault="00000000">
            <w:pPr>
              <w:jc w:val="center"/>
            </w:pPr>
            <w:r w:rsidRPr="00CE4BA0">
              <w:t>&lt; .001</w:t>
            </w:r>
          </w:p>
        </w:tc>
        <w:tc>
          <w:tcPr>
            <w:tcW w:w="1200" w:type="dxa"/>
            <w:tcMar>
              <w:top w:w="60" w:type="dxa"/>
              <w:left w:w="100" w:type="dxa"/>
              <w:bottom w:w="60" w:type="dxa"/>
              <w:right w:w="100" w:type="dxa"/>
            </w:tcMar>
            <w:vAlign w:val="center"/>
          </w:tcPr>
          <w:p w14:paraId="6E718946" w14:textId="77777777" w:rsidR="00C972E2" w:rsidRPr="00CE4BA0" w:rsidRDefault="00000000">
            <w:pPr>
              <w:jc w:val="center"/>
            </w:pPr>
            <w:r w:rsidRPr="00CE4BA0">
              <w:t>1.62</w:t>
            </w:r>
          </w:p>
        </w:tc>
      </w:tr>
      <w:tr w:rsidR="00C972E2" w:rsidRPr="00CE4BA0" w14:paraId="4DA24E8A" w14:textId="77777777" w:rsidTr="00A07DEA">
        <w:tblPrEx>
          <w:tblCellMar>
            <w:top w:w="0" w:type="dxa"/>
            <w:bottom w:w="0" w:type="dxa"/>
          </w:tblCellMar>
        </w:tblPrEx>
        <w:tc>
          <w:tcPr>
            <w:tcW w:w="2700" w:type="dxa"/>
            <w:tcBorders>
              <w:bottom w:val="single" w:sz="4" w:space="0" w:color="auto"/>
            </w:tcBorders>
            <w:tcMar>
              <w:top w:w="60" w:type="dxa"/>
              <w:left w:w="100" w:type="dxa"/>
              <w:bottom w:w="60" w:type="dxa"/>
              <w:right w:w="100" w:type="dxa"/>
            </w:tcMar>
            <w:vAlign w:val="center"/>
          </w:tcPr>
          <w:p w14:paraId="2D5A4BA2" w14:textId="77777777" w:rsidR="00C972E2" w:rsidRPr="00CE4BA0" w:rsidRDefault="00000000">
            <w:r w:rsidRPr="00CE4BA0">
              <w:t>Constant</w:t>
            </w:r>
          </w:p>
        </w:tc>
        <w:tc>
          <w:tcPr>
            <w:tcW w:w="1020" w:type="dxa"/>
            <w:tcBorders>
              <w:bottom w:val="single" w:sz="4" w:space="0" w:color="auto"/>
            </w:tcBorders>
            <w:tcMar>
              <w:top w:w="60" w:type="dxa"/>
              <w:left w:w="100" w:type="dxa"/>
              <w:bottom w:w="60" w:type="dxa"/>
              <w:right w:w="100" w:type="dxa"/>
            </w:tcMar>
            <w:vAlign w:val="center"/>
          </w:tcPr>
          <w:p w14:paraId="7C1462E9" w14:textId="77777777" w:rsidR="00C972E2" w:rsidRPr="00CE4BA0" w:rsidRDefault="00000000">
            <w:pPr>
              <w:jc w:val="center"/>
            </w:pPr>
            <w:r w:rsidRPr="00CE4BA0">
              <w:t>−0.11</w:t>
            </w:r>
          </w:p>
        </w:tc>
        <w:tc>
          <w:tcPr>
            <w:tcW w:w="1020" w:type="dxa"/>
            <w:tcBorders>
              <w:bottom w:val="single" w:sz="4" w:space="0" w:color="auto"/>
            </w:tcBorders>
            <w:tcMar>
              <w:top w:w="60" w:type="dxa"/>
              <w:left w:w="100" w:type="dxa"/>
              <w:bottom w:w="60" w:type="dxa"/>
              <w:right w:w="100" w:type="dxa"/>
            </w:tcMar>
            <w:vAlign w:val="center"/>
          </w:tcPr>
          <w:p w14:paraId="3523756A" w14:textId="77777777" w:rsidR="00C972E2" w:rsidRPr="00CE4BA0" w:rsidRDefault="00000000">
            <w:pPr>
              <w:jc w:val="center"/>
            </w:pPr>
            <w:r w:rsidRPr="00CE4BA0">
              <w:t>0.07</w:t>
            </w:r>
          </w:p>
        </w:tc>
        <w:tc>
          <w:tcPr>
            <w:tcW w:w="1080" w:type="dxa"/>
            <w:tcBorders>
              <w:bottom w:val="single" w:sz="4" w:space="0" w:color="auto"/>
            </w:tcBorders>
            <w:tcMar>
              <w:top w:w="60" w:type="dxa"/>
              <w:left w:w="100" w:type="dxa"/>
              <w:bottom w:w="60" w:type="dxa"/>
              <w:right w:w="100" w:type="dxa"/>
            </w:tcMar>
            <w:vAlign w:val="center"/>
          </w:tcPr>
          <w:p w14:paraId="2C5C2539" w14:textId="77777777" w:rsidR="00C972E2" w:rsidRPr="00CE4BA0" w:rsidRDefault="00000000">
            <w:pPr>
              <w:jc w:val="center"/>
            </w:pPr>
            <w:r w:rsidRPr="00CE4BA0">
              <w:t>2.4</w:t>
            </w:r>
          </w:p>
        </w:tc>
        <w:tc>
          <w:tcPr>
            <w:tcW w:w="600" w:type="dxa"/>
            <w:tcBorders>
              <w:bottom w:val="single" w:sz="4" w:space="0" w:color="auto"/>
            </w:tcBorders>
            <w:tcMar>
              <w:top w:w="60" w:type="dxa"/>
              <w:left w:w="100" w:type="dxa"/>
              <w:bottom w:w="60" w:type="dxa"/>
              <w:right w:w="100" w:type="dxa"/>
            </w:tcMar>
            <w:vAlign w:val="center"/>
          </w:tcPr>
          <w:p w14:paraId="660CBAA5" w14:textId="77777777" w:rsidR="00C972E2" w:rsidRPr="00CE4BA0" w:rsidRDefault="00000000">
            <w:pPr>
              <w:jc w:val="center"/>
            </w:pPr>
            <w:r w:rsidRPr="00CE4BA0">
              <w:t>1</w:t>
            </w:r>
          </w:p>
        </w:tc>
        <w:tc>
          <w:tcPr>
            <w:tcW w:w="1140" w:type="dxa"/>
            <w:tcBorders>
              <w:bottom w:val="single" w:sz="4" w:space="0" w:color="auto"/>
            </w:tcBorders>
            <w:tcMar>
              <w:top w:w="60" w:type="dxa"/>
              <w:left w:w="100" w:type="dxa"/>
              <w:bottom w:w="60" w:type="dxa"/>
              <w:right w:w="100" w:type="dxa"/>
            </w:tcMar>
            <w:vAlign w:val="center"/>
          </w:tcPr>
          <w:p w14:paraId="11613BF6" w14:textId="77777777" w:rsidR="00C972E2" w:rsidRPr="00CE4BA0" w:rsidRDefault="00000000">
            <w:pPr>
              <w:jc w:val="center"/>
            </w:pPr>
            <w:r w:rsidRPr="00CE4BA0">
              <w:t>.118</w:t>
            </w:r>
          </w:p>
        </w:tc>
        <w:tc>
          <w:tcPr>
            <w:tcW w:w="1200" w:type="dxa"/>
            <w:tcBorders>
              <w:bottom w:val="single" w:sz="4" w:space="0" w:color="auto"/>
            </w:tcBorders>
            <w:tcMar>
              <w:top w:w="60" w:type="dxa"/>
              <w:left w:w="100" w:type="dxa"/>
              <w:bottom w:w="60" w:type="dxa"/>
              <w:right w:w="100" w:type="dxa"/>
            </w:tcMar>
            <w:vAlign w:val="center"/>
          </w:tcPr>
          <w:p w14:paraId="5A46150C" w14:textId="77777777" w:rsidR="00C972E2" w:rsidRPr="00CE4BA0" w:rsidRDefault="00000000">
            <w:pPr>
              <w:jc w:val="center"/>
            </w:pPr>
            <w:r w:rsidRPr="00CE4BA0">
              <w:t>0.90</w:t>
            </w:r>
          </w:p>
        </w:tc>
      </w:tr>
    </w:tbl>
    <w:p w14:paraId="66ABF486" w14:textId="77777777" w:rsidR="00C972E2" w:rsidRPr="00CE4BA0" w:rsidRDefault="00000000">
      <w:pPr>
        <w:spacing w:before="80" w:after="240"/>
      </w:pPr>
      <w:r w:rsidRPr="00CE4BA0">
        <w:rPr>
          <w:i/>
          <w:iCs/>
        </w:rPr>
        <w:t xml:space="preserve">Note. </w:t>
      </w:r>
      <w:r w:rsidRPr="00CE4BA0">
        <w:t>R² (Nagelkerke) = .21; Hosmer–</w:t>
      </w:r>
      <w:proofErr w:type="spellStart"/>
      <w:r w:rsidRPr="00CE4BA0">
        <w:t>Lemeshow</w:t>
      </w:r>
      <w:proofErr w:type="spellEnd"/>
      <w:r w:rsidRPr="00CE4BA0">
        <w:t xml:space="preserve"> χ</w:t>
      </w:r>
      <w:proofErr w:type="gramStart"/>
      <w:r w:rsidRPr="00CE4BA0">
        <w:t>²(</w:t>
      </w:r>
      <w:proofErr w:type="gramEnd"/>
      <w:r w:rsidRPr="00CE4BA0">
        <w:t>8) = 4.40, p = .82; overall classification accuracy = 72.4%; AUC = .74. Remote-access topic and off-peak hour are coded 1 = yes, 0 = no.</w:t>
      </w:r>
    </w:p>
    <w:p w14:paraId="6DD0A433" w14:textId="77777777" w:rsidR="00C972E2" w:rsidRPr="00CE4BA0" w:rsidRDefault="00000000">
      <w:pPr>
        <w:pStyle w:val="Heading2"/>
        <w:spacing w:before="0" w:after="0"/>
      </w:pPr>
      <w:r w:rsidRPr="00CE4BA0">
        <w:t>Survival Analysis of Research Drop-Off (RQ2)</w:t>
      </w:r>
    </w:p>
    <w:p w14:paraId="78382B77" w14:textId="77777777" w:rsidR="00C972E2" w:rsidRPr="00CE4BA0" w:rsidRDefault="00000000" w:rsidP="00A07DEA">
      <w:pPr>
        <w:spacing w:line="480" w:lineRule="auto"/>
      </w:pPr>
      <w:r w:rsidRPr="00CE4BA0">
        <w:t xml:space="preserve">Kaplan–Meier estimation showed markedly different survival across topics (Table 8; Figure 3). Sessions dominated by remote-access troubleshooting sustained a median of only 3 interaction turns before abandonment, against 8 turns for citation support. The multivariate log-rank test confirmed the difference, </w:t>
      </w:r>
      <w:r w:rsidRPr="00CE4BA0">
        <w:rPr>
          <w:i/>
          <w:iCs/>
        </w:rPr>
        <w:t>χ</w:t>
      </w:r>
      <w:proofErr w:type="gramStart"/>
      <w:r w:rsidRPr="00CE4BA0">
        <w:rPr>
          <w:i/>
          <w:iCs/>
        </w:rPr>
        <w:t>²</w:t>
      </w:r>
      <w:r w:rsidRPr="00CE4BA0">
        <w:t>(</w:t>
      </w:r>
      <w:proofErr w:type="gramEnd"/>
      <w:r w:rsidRPr="00CE4BA0">
        <w:t xml:space="preserve">5) = 747.78, </w:t>
      </w:r>
      <w:r w:rsidRPr="00CE4BA0">
        <w:rPr>
          <w:i/>
          <w:iCs/>
        </w:rPr>
        <w:t>p</w:t>
      </w:r>
      <w:r w:rsidRPr="00CE4BA0">
        <w:t xml:space="preserve"> &lt; .001, strongly supporting H6.</w:t>
      </w:r>
    </w:p>
    <w:p w14:paraId="1DE866A6" w14:textId="77777777" w:rsidR="00C972E2" w:rsidRPr="00CE4BA0" w:rsidRDefault="00000000">
      <w:pPr>
        <w:keepNext/>
        <w:keepLines/>
        <w:spacing w:before="240"/>
      </w:pPr>
      <w:r w:rsidRPr="00CE4BA0">
        <w:rPr>
          <w:b/>
          <w:bCs/>
        </w:rPr>
        <w:t>Table 8</w:t>
      </w:r>
    </w:p>
    <w:p w14:paraId="77B6AFDD" w14:textId="77777777" w:rsidR="00C972E2" w:rsidRPr="00CE4BA0" w:rsidRDefault="00000000">
      <w:pPr>
        <w:keepNext/>
        <w:keepLines/>
        <w:spacing w:after="120"/>
      </w:pPr>
      <w:r w:rsidRPr="00CE4BA0">
        <w:rPr>
          <w:i/>
          <w:iCs/>
        </w:rPr>
        <w:t>Kaplan–Meier Median Time-to-Drop-Off by Query Topic</w:t>
      </w:r>
    </w:p>
    <w:tbl>
      <w:tblPr>
        <w:tblW w:w="9298" w:type="dxa"/>
        <w:tblCellMar>
          <w:left w:w="10" w:type="dxa"/>
          <w:right w:w="10" w:type="dxa"/>
        </w:tblCellMar>
        <w:tblLook w:val="0000" w:firstRow="0" w:lastRow="0" w:firstColumn="0" w:lastColumn="0" w:noHBand="0" w:noVBand="0"/>
      </w:tblPr>
      <w:tblGrid>
        <w:gridCol w:w="3248"/>
        <w:gridCol w:w="955"/>
        <w:gridCol w:w="1911"/>
        <w:gridCol w:w="1592"/>
        <w:gridCol w:w="1592"/>
      </w:tblGrid>
      <w:tr w:rsidR="00C972E2" w:rsidRPr="00CE4BA0" w14:paraId="1D850080" w14:textId="77777777" w:rsidTr="00A07DEA">
        <w:tblPrEx>
          <w:tblCellMar>
            <w:top w:w="0" w:type="dxa"/>
            <w:bottom w:w="0" w:type="dxa"/>
          </w:tblCellMar>
        </w:tblPrEx>
        <w:trPr>
          <w:trHeight w:val="584"/>
          <w:tblHeader/>
        </w:trPr>
        <w:tc>
          <w:tcPr>
            <w:tcW w:w="3248" w:type="dxa"/>
            <w:tcBorders>
              <w:top w:val="single" w:sz="4" w:space="0" w:color="auto"/>
              <w:bottom w:val="single" w:sz="4" w:space="0" w:color="auto"/>
            </w:tcBorders>
            <w:tcMar>
              <w:top w:w="60" w:type="dxa"/>
              <w:left w:w="100" w:type="dxa"/>
              <w:bottom w:w="60" w:type="dxa"/>
              <w:right w:w="100" w:type="dxa"/>
            </w:tcMar>
            <w:vAlign w:val="center"/>
          </w:tcPr>
          <w:p w14:paraId="3685AF04" w14:textId="77777777" w:rsidR="00C972E2" w:rsidRPr="00CE4BA0" w:rsidRDefault="00000000">
            <w:r w:rsidRPr="00CE4BA0">
              <w:rPr>
                <w:b/>
                <w:bCs/>
              </w:rPr>
              <w:t>Query topic</w:t>
            </w:r>
          </w:p>
        </w:tc>
        <w:tc>
          <w:tcPr>
            <w:tcW w:w="955" w:type="dxa"/>
            <w:tcBorders>
              <w:top w:val="single" w:sz="4" w:space="0" w:color="auto"/>
              <w:bottom w:val="single" w:sz="4" w:space="0" w:color="auto"/>
            </w:tcBorders>
            <w:tcMar>
              <w:top w:w="60" w:type="dxa"/>
              <w:left w:w="100" w:type="dxa"/>
              <w:bottom w:w="60" w:type="dxa"/>
              <w:right w:w="100" w:type="dxa"/>
            </w:tcMar>
            <w:vAlign w:val="center"/>
          </w:tcPr>
          <w:p w14:paraId="4197FE80" w14:textId="77777777" w:rsidR="00C972E2" w:rsidRPr="00CE4BA0" w:rsidRDefault="00000000">
            <w:pPr>
              <w:jc w:val="center"/>
            </w:pPr>
            <w:r w:rsidRPr="00CE4BA0">
              <w:rPr>
                <w:b/>
                <w:bCs/>
              </w:rPr>
              <w:t>n</w:t>
            </w:r>
          </w:p>
        </w:tc>
        <w:tc>
          <w:tcPr>
            <w:tcW w:w="1911" w:type="dxa"/>
            <w:tcBorders>
              <w:top w:val="single" w:sz="4" w:space="0" w:color="auto"/>
              <w:bottom w:val="single" w:sz="4" w:space="0" w:color="auto"/>
            </w:tcBorders>
            <w:tcMar>
              <w:top w:w="60" w:type="dxa"/>
              <w:left w:w="100" w:type="dxa"/>
              <w:bottom w:w="60" w:type="dxa"/>
              <w:right w:w="100" w:type="dxa"/>
            </w:tcMar>
            <w:vAlign w:val="center"/>
          </w:tcPr>
          <w:p w14:paraId="7F0B4A5D" w14:textId="77777777" w:rsidR="00C972E2" w:rsidRPr="00CE4BA0" w:rsidRDefault="00000000">
            <w:pPr>
              <w:jc w:val="center"/>
            </w:pPr>
            <w:r w:rsidRPr="00CE4BA0">
              <w:rPr>
                <w:b/>
                <w:bCs/>
              </w:rPr>
              <w:t>Median turns to drop-off</w:t>
            </w:r>
          </w:p>
        </w:tc>
        <w:tc>
          <w:tcPr>
            <w:tcW w:w="1592" w:type="dxa"/>
            <w:tcBorders>
              <w:top w:val="single" w:sz="4" w:space="0" w:color="auto"/>
              <w:bottom w:val="single" w:sz="4" w:space="0" w:color="auto"/>
            </w:tcBorders>
            <w:tcMar>
              <w:top w:w="60" w:type="dxa"/>
              <w:left w:w="100" w:type="dxa"/>
              <w:bottom w:w="60" w:type="dxa"/>
              <w:right w:w="100" w:type="dxa"/>
            </w:tcMar>
            <w:vAlign w:val="center"/>
          </w:tcPr>
          <w:p w14:paraId="6F30D821" w14:textId="77777777" w:rsidR="00C972E2" w:rsidRPr="00CE4BA0" w:rsidRDefault="00000000">
            <w:pPr>
              <w:jc w:val="center"/>
            </w:pPr>
            <w:r w:rsidRPr="00CE4BA0">
              <w:rPr>
                <w:b/>
                <w:bCs/>
              </w:rPr>
              <w:t>95% CI</w:t>
            </w:r>
          </w:p>
        </w:tc>
        <w:tc>
          <w:tcPr>
            <w:tcW w:w="1592" w:type="dxa"/>
            <w:tcBorders>
              <w:top w:val="single" w:sz="4" w:space="0" w:color="auto"/>
              <w:bottom w:val="single" w:sz="4" w:space="0" w:color="auto"/>
            </w:tcBorders>
            <w:tcMar>
              <w:top w:w="60" w:type="dxa"/>
              <w:left w:w="100" w:type="dxa"/>
              <w:bottom w:w="60" w:type="dxa"/>
              <w:right w:w="100" w:type="dxa"/>
            </w:tcMar>
            <w:vAlign w:val="center"/>
          </w:tcPr>
          <w:p w14:paraId="3FE05E0D" w14:textId="77777777" w:rsidR="00C972E2" w:rsidRPr="00CE4BA0" w:rsidRDefault="00000000">
            <w:pPr>
              <w:jc w:val="center"/>
            </w:pPr>
            <w:r w:rsidRPr="00CE4BA0">
              <w:rPr>
                <w:b/>
                <w:bCs/>
              </w:rPr>
              <w:t>Drop-off rate</w:t>
            </w:r>
          </w:p>
        </w:tc>
      </w:tr>
      <w:tr w:rsidR="00C972E2" w:rsidRPr="00CE4BA0" w14:paraId="44C7550A" w14:textId="77777777" w:rsidTr="00A07DEA">
        <w:tblPrEx>
          <w:tblCellMar>
            <w:top w:w="0" w:type="dxa"/>
            <w:bottom w:w="0" w:type="dxa"/>
          </w:tblCellMar>
        </w:tblPrEx>
        <w:trPr>
          <w:trHeight w:val="584"/>
        </w:trPr>
        <w:tc>
          <w:tcPr>
            <w:tcW w:w="3248" w:type="dxa"/>
            <w:tcBorders>
              <w:top w:val="single" w:sz="4" w:space="0" w:color="auto"/>
            </w:tcBorders>
            <w:tcMar>
              <w:top w:w="60" w:type="dxa"/>
              <w:left w:w="100" w:type="dxa"/>
              <w:bottom w:w="60" w:type="dxa"/>
              <w:right w:w="100" w:type="dxa"/>
            </w:tcMar>
            <w:vAlign w:val="center"/>
          </w:tcPr>
          <w:p w14:paraId="1270F7EF" w14:textId="77777777" w:rsidR="00C972E2" w:rsidRPr="00CE4BA0" w:rsidRDefault="00000000">
            <w:r w:rsidRPr="00CE4BA0">
              <w:t>Citation &amp; referencing support</w:t>
            </w:r>
          </w:p>
        </w:tc>
        <w:tc>
          <w:tcPr>
            <w:tcW w:w="955" w:type="dxa"/>
            <w:tcBorders>
              <w:top w:val="single" w:sz="4" w:space="0" w:color="auto"/>
            </w:tcBorders>
            <w:tcMar>
              <w:top w:w="60" w:type="dxa"/>
              <w:left w:w="100" w:type="dxa"/>
              <w:bottom w:w="60" w:type="dxa"/>
              <w:right w:w="100" w:type="dxa"/>
            </w:tcMar>
            <w:vAlign w:val="center"/>
          </w:tcPr>
          <w:p w14:paraId="12E43F9A" w14:textId="77777777" w:rsidR="00C972E2" w:rsidRPr="00CE4BA0" w:rsidRDefault="00000000">
            <w:pPr>
              <w:jc w:val="center"/>
            </w:pPr>
            <w:r w:rsidRPr="00CE4BA0">
              <w:t>726</w:t>
            </w:r>
          </w:p>
        </w:tc>
        <w:tc>
          <w:tcPr>
            <w:tcW w:w="1911" w:type="dxa"/>
            <w:tcBorders>
              <w:top w:val="single" w:sz="4" w:space="0" w:color="auto"/>
            </w:tcBorders>
            <w:tcMar>
              <w:top w:w="60" w:type="dxa"/>
              <w:left w:w="100" w:type="dxa"/>
              <w:bottom w:w="60" w:type="dxa"/>
              <w:right w:w="100" w:type="dxa"/>
            </w:tcMar>
            <w:vAlign w:val="center"/>
          </w:tcPr>
          <w:p w14:paraId="5968BE20" w14:textId="77777777" w:rsidR="00C972E2" w:rsidRPr="00CE4BA0" w:rsidRDefault="00000000">
            <w:pPr>
              <w:jc w:val="center"/>
            </w:pPr>
            <w:r w:rsidRPr="00CE4BA0">
              <w:t>8</w:t>
            </w:r>
          </w:p>
        </w:tc>
        <w:tc>
          <w:tcPr>
            <w:tcW w:w="1592" w:type="dxa"/>
            <w:tcBorders>
              <w:top w:val="single" w:sz="4" w:space="0" w:color="auto"/>
            </w:tcBorders>
            <w:tcMar>
              <w:top w:w="60" w:type="dxa"/>
              <w:left w:w="100" w:type="dxa"/>
              <w:bottom w:w="60" w:type="dxa"/>
              <w:right w:w="100" w:type="dxa"/>
            </w:tcMar>
            <w:vAlign w:val="center"/>
          </w:tcPr>
          <w:p w14:paraId="2252C0E5" w14:textId="77777777" w:rsidR="00C972E2" w:rsidRPr="00CE4BA0" w:rsidRDefault="00000000">
            <w:pPr>
              <w:jc w:val="center"/>
            </w:pPr>
            <w:r w:rsidRPr="00CE4BA0">
              <w:t>[8, 9]</w:t>
            </w:r>
          </w:p>
        </w:tc>
        <w:tc>
          <w:tcPr>
            <w:tcW w:w="1592" w:type="dxa"/>
            <w:tcBorders>
              <w:top w:val="single" w:sz="4" w:space="0" w:color="auto"/>
            </w:tcBorders>
            <w:tcMar>
              <w:top w:w="60" w:type="dxa"/>
              <w:left w:w="100" w:type="dxa"/>
              <w:bottom w:w="60" w:type="dxa"/>
              <w:right w:w="100" w:type="dxa"/>
            </w:tcMar>
            <w:vAlign w:val="center"/>
          </w:tcPr>
          <w:p w14:paraId="5BBEE0EA" w14:textId="77777777" w:rsidR="00C972E2" w:rsidRPr="00CE4BA0" w:rsidRDefault="00000000">
            <w:pPr>
              <w:jc w:val="center"/>
            </w:pPr>
            <w:r w:rsidRPr="00CE4BA0">
              <w:t>.72</w:t>
            </w:r>
          </w:p>
        </w:tc>
      </w:tr>
      <w:tr w:rsidR="00C972E2" w:rsidRPr="00CE4BA0" w14:paraId="01DF9C51" w14:textId="77777777" w:rsidTr="00A07DEA">
        <w:tblPrEx>
          <w:tblCellMar>
            <w:top w:w="0" w:type="dxa"/>
            <w:bottom w:w="0" w:type="dxa"/>
          </w:tblCellMar>
        </w:tblPrEx>
        <w:trPr>
          <w:trHeight w:val="292"/>
        </w:trPr>
        <w:tc>
          <w:tcPr>
            <w:tcW w:w="3248" w:type="dxa"/>
            <w:tcMar>
              <w:top w:w="60" w:type="dxa"/>
              <w:left w:w="100" w:type="dxa"/>
              <w:bottom w:w="60" w:type="dxa"/>
              <w:right w:w="100" w:type="dxa"/>
            </w:tcMar>
            <w:vAlign w:val="center"/>
          </w:tcPr>
          <w:p w14:paraId="2E1626EB" w14:textId="77777777" w:rsidR="00C972E2" w:rsidRPr="00CE4BA0" w:rsidRDefault="00000000">
            <w:r w:rsidRPr="00CE4BA0">
              <w:t>Subject resource discovery</w:t>
            </w:r>
          </w:p>
        </w:tc>
        <w:tc>
          <w:tcPr>
            <w:tcW w:w="955" w:type="dxa"/>
            <w:tcMar>
              <w:top w:w="60" w:type="dxa"/>
              <w:left w:w="100" w:type="dxa"/>
              <w:bottom w:w="60" w:type="dxa"/>
              <w:right w:w="100" w:type="dxa"/>
            </w:tcMar>
            <w:vAlign w:val="center"/>
          </w:tcPr>
          <w:p w14:paraId="22DFC763" w14:textId="77777777" w:rsidR="00C972E2" w:rsidRPr="00CE4BA0" w:rsidRDefault="00000000">
            <w:pPr>
              <w:jc w:val="center"/>
            </w:pPr>
            <w:r w:rsidRPr="00CE4BA0">
              <w:t>581</w:t>
            </w:r>
          </w:p>
        </w:tc>
        <w:tc>
          <w:tcPr>
            <w:tcW w:w="1911" w:type="dxa"/>
            <w:tcMar>
              <w:top w:w="60" w:type="dxa"/>
              <w:left w:w="100" w:type="dxa"/>
              <w:bottom w:w="60" w:type="dxa"/>
              <w:right w:w="100" w:type="dxa"/>
            </w:tcMar>
            <w:vAlign w:val="center"/>
          </w:tcPr>
          <w:p w14:paraId="7DF0D569" w14:textId="77777777" w:rsidR="00C972E2" w:rsidRPr="00CE4BA0" w:rsidRDefault="00000000">
            <w:pPr>
              <w:jc w:val="center"/>
            </w:pPr>
            <w:r w:rsidRPr="00CE4BA0">
              <w:t>7</w:t>
            </w:r>
          </w:p>
        </w:tc>
        <w:tc>
          <w:tcPr>
            <w:tcW w:w="1592" w:type="dxa"/>
            <w:tcMar>
              <w:top w:w="60" w:type="dxa"/>
              <w:left w:w="100" w:type="dxa"/>
              <w:bottom w:w="60" w:type="dxa"/>
              <w:right w:w="100" w:type="dxa"/>
            </w:tcMar>
            <w:vAlign w:val="center"/>
          </w:tcPr>
          <w:p w14:paraId="1B38230B" w14:textId="77777777" w:rsidR="00C972E2" w:rsidRPr="00CE4BA0" w:rsidRDefault="00000000">
            <w:pPr>
              <w:jc w:val="center"/>
            </w:pPr>
            <w:r w:rsidRPr="00CE4BA0">
              <w:t>[6, 8]</w:t>
            </w:r>
          </w:p>
        </w:tc>
        <w:tc>
          <w:tcPr>
            <w:tcW w:w="1592" w:type="dxa"/>
            <w:tcMar>
              <w:top w:w="60" w:type="dxa"/>
              <w:left w:w="100" w:type="dxa"/>
              <w:bottom w:w="60" w:type="dxa"/>
              <w:right w:w="100" w:type="dxa"/>
            </w:tcMar>
            <w:vAlign w:val="center"/>
          </w:tcPr>
          <w:p w14:paraId="53A52740" w14:textId="77777777" w:rsidR="00C972E2" w:rsidRPr="00CE4BA0" w:rsidRDefault="00000000">
            <w:pPr>
              <w:jc w:val="center"/>
            </w:pPr>
            <w:r w:rsidRPr="00CE4BA0">
              <w:t>.77</w:t>
            </w:r>
          </w:p>
        </w:tc>
      </w:tr>
      <w:tr w:rsidR="00C972E2" w:rsidRPr="00CE4BA0" w14:paraId="5E7DB57B" w14:textId="77777777" w:rsidTr="00A07DEA">
        <w:tblPrEx>
          <w:tblCellMar>
            <w:top w:w="0" w:type="dxa"/>
            <w:bottom w:w="0" w:type="dxa"/>
          </w:tblCellMar>
        </w:tblPrEx>
        <w:trPr>
          <w:trHeight w:val="292"/>
        </w:trPr>
        <w:tc>
          <w:tcPr>
            <w:tcW w:w="3248" w:type="dxa"/>
            <w:tcMar>
              <w:top w:w="60" w:type="dxa"/>
              <w:left w:w="100" w:type="dxa"/>
              <w:bottom w:w="60" w:type="dxa"/>
              <w:right w:w="100" w:type="dxa"/>
            </w:tcMar>
            <w:vAlign w:val="center"/>
          </w:tcPr>
          <w:p w14:paraId="7A7C8FA3" w14:textId="77777777" w:rsidR="00C972E2" w:rsidRPr="00CE4BA0" w:rsidRDefault="00000000">
            <w:r w:rsidRPr="00CE4BA0">
              <w:t>Circulation &amp; logistics</w:t>
            </w:r>
          </w:p>
        </w:tc>
        <w:tc>
          <w:tcPr>
            <w:tcW w:w="955" w:type="dxa"/>
            <w:tcMar>
              <w:top w:w="60" w:type="dxa"/>
              <w:left w:w="100" w:type="dxa"/>
              <w:bottom w:w="60" w:type="dxa"/>
              <w:right w:w="100" w:type="dxa"/>
            </w:tcMar>
            <w:vAlign w:val="center"/>
          </w:tcPr>
          <w:p w14:paraId="179F539C" w14:textId="77777777" w:rsidR="00C972E2" w:rsidRPr="00CE4BA0" w:rsidRDefault="00000000">
            <w:pPr>
              <w:jc w:val="center"/>
            </w:pPr>
            <w:r w:rsidRPr="00CE4BA0">
              <w:t>294</w:t>
            </w:r>
          </w:p>
        </w:tc>
        <w:tc>
          <w:tcPr>
            <w:tcW w:w="1911" w:type="dxa"/>
            <w:tcMar>
              <w:top w:w="60" w:type="dxa"/>
              <w:left w:w="100" w:type="dxa"/>
              <w:bottom w:w="60" w:type="dxa"/>
              <w:right w:w="100" w:type="dxa"/>
            </w:tcMar>
            <w:vAlign w:val="center"/>
          </w:tcPr>
          <w:p w14:paraId="565747BC" w14:textId="77777777" w:rsidR="00C972E2" w:rsidRPr="00CE4BA0" w:rsidRDefault="00000000">
            <w:pPr>
              <w:jc w:val="center"/>
            </w:pPr>
            <w:r w:rsidRPr="00CE4BA0">
              <w:t>7</w:t>
            </w:r>
          </w:p>
        </w:tc>
        <w:tc>
          <w:tcPr>
            <w:tcW w:w="1592" w:type="dxa"/>
            <w:tcMar>
              <w:top w:w="60" w:type="dxa"/>
              <w:left w:w="100" w:type="dxa"/>
              <w:bottom w:w="60" w:type="dxa"/>
              <w:right w:w="100" w:type="dxa"/>
            </w:tcMar>
            <w:vAlign w:val="center"/>
          </w:tcPr>
          <w:p w14:paraId="6D67DCBF" w14:textId="77777777" w:rsidR="00C972E2" w:rsidRPr="00CE4BA0" w:rsidRDefault="00000000">
            <w:pPr>
              <w:jc w:val="center"/>
            </w:pPr>
            <w:r w:rsidRPr="00CE4BA0">
              <w:t>[6, 8]</w:t>
            </w:r>
          </w:p>
        </w:tc>
        <w:tc>
          <w:tcPr>
            <w:tcW w:w="1592" w:type="dxa"/>
            <w:tcMar>
              <w:top w:w="60" w:type="dxa"/>
              <w:left w:w="100" w:type="dxa"/>
              <w:bottom w:w="60" w:type="dxa"/>
              <w:right w:w="100" w:type="dxa"/>
            </w:tcMar>
            <w:vAlign w:val="center"/>
          </w:tcPr>
          <w:p w14:paraId="448C8957" w14:textId="77777777" w:rsidR="00C972E2" w:rsidRPr="00CE4BA0" w:rsidRDefault="00000000">
            <w:pPr>
              <w:jc w:val="center"/>
            </w:pPr>
            <w:r w:rsidRPr="00CE4BA0">
              <w:t>.77</w:t>
            </w:r>
          </w:p>
        </w:tc>
      </w:tr>
      <w:tr w:rsidR="00C972E2" w:rsidRPr="00CE4BA0" w14:paraId="0249B642" w14:textId="77777777" w:rsidTr="00A07DEA">
        <w:tblPrEx>
          <w:tblCellMar>
            <w:top w:w="0" w:type="dxa"/>
            <w:bottom w:w="0" w:type="dxa"/>
          </w:tblCellMar>
        </w:tblPrEx>
        <w:trPr>
          <w:trHeight w:val="584"/>
        </w:trPr>
        <w:tc>
          <w:tcPr>
            <w:tcW w:w="3248" w:type="dxa"/>
            <w:tcMar>
              <w:top w:w="60" w:type="dxa"/>
              <w:left w:w="100" w:type="dxa"/>
              <w:bottom w:w="60" w:type="dxa"/>
              <w:right w:w="100" w:type="dxa"/>
            </w:tcMar>
            <w:vAlign w:val="center"/>
          </w:tcPr>
          <w:p w14:paraId="17A81896" w14:textId="77777777" w:rsidR="00C972E2" w:rsidRPr="00CE4BA0" w:rsidRDefault="00000000">
            <w:r w:rsidRPr="00CE4BA0">
              <w:t>Thesis &amp; dissertation resources</w:t>
            </w:r>
          </w:p>
        </w:tc>
        <w:tc>
          <w:tcPr>
            <w:tcW w:w="955" w:type="dxa"/>
            <w:tcMar>
              <w:top w:w="60" w:type="dxa"/>
              <w:left w:w="100" w:type="dxa"/>
              <w:bottom w:w="60" w:type="dxa"/>
              <w:right w:w="100" w:type="dxa"/>
            </w:tcMar>
            <w:vAlign w:val="center"/>
          </w:tcPr>
          <w:p w14:paraId="26C3F15C" w14:textId="77777777" w:rsidR="00C972E2" w:rsidRPr="00CE4BA0" w:rsidRDefault="00000000">
            <w:pPr>
              <w:jc w:val="center"/>
            </w:pPr>
            <w:r w:rsidRPr="00CE4BA0">
              <w:t>612</w:t>
            </w:r>
          </w:p>
        </w:tc>
        <w:tc>
          <w:tcPr>
            <w:tcW w:w="1911" w:type="dxa"/>
            <w:tcMar>
              <w:top w:w="60" w:type="dxa"/>
              <w:left w:w="100" w:type="dxa"/>
              <w:bottom w:w="60" w:type="dxa"/>
              <w:right w:w="100" w:type="dxa"/>
            </w:tcMar>
            <w:vAlign w:val="center"/>
          </w:tcPr>
          <w:p w14:paraId="460F191C" w14:textId="77777777" w:rsidR="00C972E2" w:rsidRPr="00CE4BA0" w:rsidRDefault="00000000">
            <w:pPr>
              <w:jc w:val="center"/>
            </w:pPr>
            <w:r w:rsidRPr="00CE4BA0">
              <w:t>7</w:t>
            </w:r>
          </w:p>
        </w:tc>
        <w:tc>
          <w:tcPr>
            <w:tcW w:w="1592" w:type="dxa"/>
            <w:tcMar>
              <w:top w:w="60" w:type="dxa"/>
              <w:left w:w="100" w:type="dxa"/>
              <w:bottom w:w="60" w:type="dxa"/>
              <w:right w:w="100" w:type="dxa"/>
            </w:tcMar>
            <w:vAlign w:val="center"/>
          </w:tcPr>
          <w:p w14:paraId="4C4313F9" w14:textId="77777777" w:rsidR="00C972E2" w:rsidRPr="00CE4BA0" w:rsidRDefault="00000000">
            <w:pPr>
              <w:jc w:val="center"/>
            </w:pPr>
            <w:r w:rsidRPr="00CE4BA0">
              <w:t>[6, 7]</w:t>
            </w:r>
          </w:p>
        </w:tc>
        <w:tc>
          <w:tcPr>
            <w:tcW w:w="1592" w:type="dxa"/>
            <w:tcMar>
              <w:top w:w="60" w:type="dxa"/>
              <w:left w:w="100" w:type="dxa"/>
              <w:bottom w:w="60" w:type="dxa"/>
              <w:right w:w="100" w:type="dxa"/>
            </w:tcMar>
            <w:vAlign w:val="center"/>
          </w:tcPr>
          <w:p w14:paraId="44621844" w14:textId="77777777" w:rsidR="00C972E2" w:rsidRPr="00CE4BA0" w:rsidRDefault="00000000">
            <w:pPr>
              <w:jc w:val="center"/>
            </w:pPr>
            <w:r w:rsidRPr="00CE4BA0">
              <w:t>.81</w:t>
            </w:r>
          </w:p>
        </w:tc>
      </w:tr>
      <w:tr w:rsidR="00C972E2" w:rsidRPr="00CE4BA0" w14:paraId="44880CBD" w14:textId="77777777" w:rsidTr="00A07DEA">
        <w:tblPrEx>
          <w:tblCellMar>
            <w:top w:w="0" w:type="dxa"/>
            <w:bottom w:w="0" w:type="dxa"/>
          </w:tblCellMar>
        </w:tblPrEx>
        <w:trPr>
          <w:trHeight w:val="292"/>
        </w:trPr>
        <w:tc>
          <w:tcPr>
            <w:tcW w:w="3248" w:type="dxa"/>
            <w:tcMar>
              <w:top w:w="60" w:type="dxa"/>
              <w:left w:w="100" w:type="dxa"/>
              <w:bottom w:w="60" w:type="dxa"/>
              <w:right w:w="100" w:type="dxa"/>
            </w:tcMar>
            <w:vAlign w:val="center"/>
          </w:tcPr>
          <w:p w14:paraId="60E1B560" w14:textId="77777777" w:rsidR="00C972E2" w:rsidRPr="00CE4BA0" w:rsidRDefault="00000000">
            <w:r w:rsidRPr="00CE4BA0">
              <w:t>Full-text &amp; database access</w:t>
            </w:r>
          </w:p>
        </w:tc>
        <w:tc>
          <w:tcPr>
            <w:tcW w:w="955" w:type="dxa"/>
            <w:tcMar>
              <w:top w:w="60" w:type="dxa"/>
              <w:left w:w="100" w:type="dxa"/>
              <w:bottom w:w="60" w:type="dxa"/>
              <w:right w:w="100" w:type="dxa"/>
            </w:tcMar>
            <w:vAlign w:val="center"/>
          </w:tcPr>
          <w:p w14:paraId="4DF814F2" w14:textId="77777777" w:rsidR="00C972E2" w:rsidRPr="00CE4BA0" w:rsidRDefault="00000000">
            <w:pPr>
              <w:jc w:val="center"/>
            </w:pPr>
            <w:r w:rsidRPr="00CE4BA0">
              <w:t>903</w:t>
            </w:r>
          </w:p>
        </w:tc>
        <w:tc>
          <w:tcPr>
            <w:tcW w:w="1911" w:type="dxa"/>
            <w:tcMar>
              <w:top w:w="60" w:type="dxa"/>
              <w:left w:w="100" w:type="dxa"/>
              <w:bottom w:w="60" w:type="dxa"/>
              <w:right w:w="100" w:type="dxa"/>
            </w:tcMar>
            <w:vAlign w:val="center"/>
          </w:tcPr>
          <w:p w14:paraId="41485611" w14:textId="77777777" w:rsidR="00C972E2" w:rsidRPr="00CE4BA0" w:rsidRDefault="00000000">
            <w:pPr>
              <w:jc w:val="center"/>
            </w:pPr>
            <w:r w:rsidRPr="00CE4BA0">
              <w:t>5</w:t>
            </w:r>
          </w:p>
        </w:tc>
        <w:tc>
          <w:tcPr>
            <w:tcW w:w="1592" w:type="dxa"/>
            <w:tcMar>
              <w:top w:w="60" w:type="dxa"/>
              <w:left w:w="100" w:type="dxa"/>
              <w:bottom w:w="60" w:type="dxa"/>
              <w:right w:w="100" w:type="dxa"/>
            </w:tcMar>
            <w:vAlign w:val="center"/>
          </w:tcPr>
          <w:p w14:paraId="0F1A8EF7" w14:textId="77777777" w:rsidR="00C972E2" w:rsidRPr="00CE4BA0" w:rsidRDefault="00000000">
            <w:pPr>
              <w:jc w:val="center"/>
            </w:pPr>
            <w:r w:rsidRPr="00CE4BA0">
              <w:t>[5, 6]</w:t>
            </w:r>
          </w:p>
        </w:tc>
        <w:tc>
          <w:tcPr>
            <w:tcW w:w="1592" w:type="dxa"/>
            <w:tcMar>
              <w:top w:w="60" w:type="dxa"/>
              <w:left w:w="100" w:type="dxa"/>
              <w:bottom w:w="60" w:type="dxa"/>
              <w:right w:w="100" w:type="dxa"/>
            </w:tcMar>
            <w:vAlign w:val="center"/>
          </w:tcPr>
          <w:p w14:paraId="08EB4378" w14:textId="77777777" w:rsidR="00C972E2" w:rsidRPr="00CE4BA0" w:rsidRDefault="00000000">
            <w:pPr>
              <w:jc w:val="center"/>
            </w:pPr>
            <w:r w:rsidRPr="00CE4BA0">
              <w:t>.90</w:t>
            </w:r>
          </w:p>
        </w:tc>
      </w:tr>
      <w:tr w:rsidR="00C972E2" w:rsidRPr="00CE4BA0" w14:paraId="2B9B0DC0" w14:textId="77777777" w:rsidTr="00A07DEA">
        <w:tblPrEx>
          <w:tblCellMar>
            <w:top w:w="0" w:type="dxa"/>
            <w:bottom w:w="0" w:type="dxa"/>
          </w:tblCellMar>
        </w:tblPrEx>
        <w:trPr>
          <w:trHeight w:val="584"/>
        </w:trPr>
        <w:tc>
          <w:tcPr>
            <w:tcW w:w="3248" w:type="dxa"/>
            <w:tcBorders>
              <w:bottom w:val="single" w:sz="4" w:space="0" w:color="auto"/>
            </w:tcBorders>
            <w:tcMar>
              <w:top w:w="60" w:type="dxa"/>
              <w:left w:w="100" w:type="dxa"/>
              <w:bottom w:w="60" w:type="dxa"/>
              <w:right w:w="100" w:type="dxa"/>
            </w:tcMar>
            <w:vAlign w:val="center"/>
          </w:tcPr>
          <w:p w14:paraId="325D86B4" w14:textId="77777777" w:rsidR="00C972E2" w:rsidRPr="00CE4BA0" w:rsidRDefault="00000000">
            <w:r w:rsidRPr="00CE4BA0">
              <w:t>Remote-access troubleshooting</w:t>
            </w:r>
          </w:p>
        </w:tc>
        <w:tc>
          <w:tcPr>
            <w:tcW w:w="955" w:type="dxa"/>
            <w:tcBorders>
              <w:bottom w:val="single" w:sz="4" w:space="0" w:color="auto"/>
            </w:tcBorders>
            <w:tcMar>
              <w:top w:w="60" w:type="dxa"/>
              <w:left w:w="100" w:type="dxa"/>
              <w:bottom w:w="60" w:type="dxa"/>
              <w:right w:w="100" w:type="dxa"/>
            </w:tcMar>
            <w:vAlign w:val="center"/>
          </w:tcPr>
          <w:p w14:paraId="49056B47" w14:textId="77777777" w:rsidR="00C972E2" w:rsidRPr="00CE4BA0" w:rsidRDefault="00000000">
            <w:pPr>
              <w:jc w:val="center"/>
            </w:pPr>
            <w:r w:rsidRPr="00CE4BA0">
              <w:t>496</w:t>
            </w:r>
          </w:p>
        </w:tc>
        <w:tc>
          <w:tcPr>
            <w:tcW w:w="1911" w:type="dxa"/>
            <w:tcBorders>
              <w:bottom w:val="single" w:sz="4" w:space="0" w:color="auto"/>
            </w:tcBorders>
            <w:tcMar>
              <w:top w:w="60" w:type="dxa"/>
              <w:left w:w="100" w:type="dxa"/>
              <w:bottom w:w="60" w:type="dxa"/>
              <w:right w:w="100" w:type="dxa"/>
            </w:tcMar>
            <w:vAlign w:val="center"/>
          </w:tcPr>
          <w:p w14:paraId="6FF14BFF" w14:textId="77777777" w:rsidR="00C972E2" w:rsidRPr="00CE4BA0" w:rsidRDefault="00000000">
            <w:pPr>
              <w:jc w:val="center"/>
            </w:pPr>
            <w:r w:rsidRPr="00CE4BA0">
              <w:t>3</w:t>
            </w:r>
          </w:p>
        </w:tc>
        <w:tc>
          <w:tcPr>
            <w:tcW w:w="1592" w:type="dxa"/>
            <w:tcBorders>
              <w:bottom w:val="single" w:sz="4" w:space="0" w:color="auto"/>
            </w:tcBorders>
            <w:tcMar>
              <w:top w:w="60" w:type="dxa"/>
              <w:left w:w="100" w:type="dxa"/>
              <w:bottom w:w="60" w:type="dxa"/>
              <w:right w:w="100" w:type="dxa"/>
            </w:tcMar>
            <w:vAlign w:val="center"/>
          </w:tcPr>
          <w:p w14:paraId="16FD613D" w14:textId="77777777" w:rsidR="00C972E2" w:rsidRPr="00CE4BA0" w:rsidRDefault="00000000">
            <w:pPr>
              <w:jc w:val="center"/>
            </w:pPr>
            <w:r w:rsidRPr="00CE4BA0">
              <w:t>[3, 4]</w:t>
            </w:r>
          </w:p>
        </w:tc>
        <w:tc>
          <w:tcPr>
            <w:tcW w:w="1592" w:type="dxa"/>
            <w:tcBorders>
              <w:bottom w:val="single" w:sz="4" w:space="0" w:color="auto"/>
            </w:tcBorders>
            <w:tcMar>
              <w:top w:w="60" w:type="dxa"/>
              <w:left w:w="100" w:type="dxa"/>
              <w:bottom w:w="60" w:type="dxa"/>
              <w:right w:w="100" w:type="dxa"/>
            </w:tcMar>
            <w:vAlign w:val="center"/>
          </w:tcPr>
          <w:p w14:paraId="11880E58" w14:textId="77777777" w:rsidR="00C972E2" w:rsidRPr="00CE4BA0" w:rsidRDefault="00000000">
            <w:pPr>
              <w:jc w:val="center"/>
            </w:pPr>
            <w:r w:rsidRPr="00CE4BA0">
              <w:t>.98</w:t>
            </w:r>
          </w:p>
        </w:tc>
      </w:tr>
    </w:tbl>
    <w:p w14:paraId="766B5909" w14:textId="77777777" w:rsidR="00C972E2" w:rsidRPr="00CE4BA0" w:rsidRDefault="00000000">
      <w:pPr>
        <w:spacing w:before="80" w:after="240"/>
      </w:pPr>
      <w:r w:rsidRPr="00CE4BA0">
        <w:rPr>
          <w:i/>
          <w:iCs/>
        </w:rPr>
        <w:lastRenderedPageBreak/>
        <w:t xml:space="preserve">Note. </w:t>
      </w:r>
      <w:r w:rsidRPr="00CE4BA0">
        <w:t>Log-rank (multivariate) χ</w:t>
      </w:r>
      <w:proofErr w:type="gramStart"/>
      <w:r w:rsidRPr="00CE4BA0">
        <w:t>²(</w:t>
      </w:r>
      <w:proofErr w:type="gramEnd"/>
      <w:r w:rsidRPr="00CE4BA0">
        <w:t>5) = 747.78, p &lt; .001. Drop-off rate is the proportion of sessions in that topic ending in an observed drop-off event rather than censoring.</w:t>
      </w:r>
    </w:p>
    <w:p w14:paraId="0F43A9C1" w14:textId="77777777" w:rsidR="00C972E2" w:rsidRPr="00CE4BA0" w:rsidRDefault="00000000">
      <w:pPr>
        <w:keepNext/>
        <w:keepLines/>
        <w:spacing w:before="240"/>
      </w:pPr>
      <w:r w:rsidRPr="00CE4BA0">
        <w:rPr>
          <w:b/>
          <w:bCs/>
        </w:rPr>
        <w:t>Figure 3</w:t>
      </w:r>
    </w:p>
    <w:p w14:paraId="31D411C7" w14:textId="77777777" w:rsidR="00C972E2" w:rsidRPr="00CE4BA0" w:rsidRDefault="00000000">
      <w:pPr>
        <w:keepNext/>
        <w:keepLines/>
        <w:spacing w:after="120"/>
      </w:pPr>
      <w:r w:rsidRPr="00CE4BA0">
        <w:rPr>
          <w:i/>
          <w:iCs/>
        </w:rPr>
        <w:t>Kaplan–Meier Session-Survival Curves by Query Topic</w:t>
      </w:r>
    </w:p>
    <w:p w14:paraId="2FBACFC4" w14:textId="77777777" w:rsidR="00C972E2" w:rsidRPr="00CE4BA0" w:rsidRDefault="00000000">
      <w:pPr>
        <w:keepNext/>
        <w:keepLines/>
        <w:spacing w:after="120"/>
        <w:jc w:val="center"/>
      </w:pPr>
      <w:r w:rsidRPr="00CE4BA0">
        <w:rPr>
          <w:noProof/>
        </w:rPr>
        <w:drawing>
          <wp:inline distT="0" distB="0" distL="0" distR="0" wp14:anchorId="653AC184" wp14:editId="1A1EC05E">
            <wp:extent cx="5943600" cy="4086225"/>
            <wp:effectExtent l="0" t="0" r="0" b="0"/>
            <wp:docPr id="1914963901" name="Kaplan-Meier survival curves by topic" descr="Step-function survival curves for six query topics, showing the probability a session remains active across interaction turns" title="Kaplan-Meier survival curves by to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43600" cy="4086225"/>
                    </a:xfrm>
                    <a:prstGeom prst="rect">
                      <a:avLst/>
                    </a:prstGeom>
                  </pic:spPr>
                </pic:pic>
              </a:graphicData>
            </a:graphic>
          </wp:inline>
        </w:drawing>
      </w:r>
    </w:p>
    <w:p w14:paraId="2CC16F31" w14:textId="77777777" w:rsidR="00C972E2" w:rsidRPr="00CE4BA0" w:rsidRDefault="00000000">
      <w:pPr>
        <w:spacing w:before="80" w:after="240"/>
      </w:pPr>
      <w:r w:rsidRPr="00CE4BA0">
        <w:rPr>
          <w:i/>
          <w:iCs/>
        </w:rPr>
        <w:t xml:space="preserve">Note. </w:t>
      </w:r>
      <w:r w:rsidRPr="00CE4BA0">
        <w:t>S(t) = estimated probability that a session remains active after t interaction turns. The dashed line marks the median (S = .50).</w:t>
      </w:r>
    </w:p>
    <w:p w14:paraId="13D36E3D" w14:textId="77777777" w:rsidR="00C972E2" w:rsidRPr="00CE4BA0" w:rsidRDefault="00000000" w:rsidP="00A07DEA">
      <w:pPr>
        <w:spacing w:line="480" w:lineRule="auto"/>
      </w:pPr>
      <w:r w:rsidRPr="00CE4BA0">
        <w:t xml:space="preserve">The Cox proportional-hazards model (Table 9; Figure 4) quantified these effects while adjusting for behavioural and perceptual covariates; discrimination was acceptable (Harrell’s </w:t>
      </w:r>
      <w:r w:rsidRPr="00CE4BA0">
        <w:rPr>
          <w:i/>
          <w:iCs/>
        </w:rPr>
        <w:t>C</w:t>
      </w:r>
      <w:r w:rsidRPr="00CE4BA0">
        <w:t xml:space="preserve"> = .62). Relative to the discovery topic (the implicit reference category), the remote-access topic raised the hazard of drop-off nearly fourfold (</w:t>
      </w:r>
      <w:r w:rsidRPr="00CE4BA0">
        <w:rPr>
          <w:i/>
          <w:iCs/>
        </w:rPr>
        <w:t>HR</w:t>
      </w:r>
      <w:r w:rsidRPr="00CE4BA0">
        <w:t xml:space="preserve"> = 3.99, </w:t>
      </w:r>
      <w:r w:rsidRPr="00CE4BA0">
        <w:rPr>
          <w:i/>
          <w:iCs/>
        </w:rPr>
        <w:t>p</w:t>
      </w:r>
      <w:r w:rsidRPr="00CE4BA0">
        <w:t xml:space="preserve"> &lt; .001), and the full-text/database-access topic raised it by 75% (</w:t>
      </w:r>
      <w:r w:rsidRPr="00CE4BA0">
        <w:rPr>
          <w:i/>
          <w:iCs/>
        </w:rPr>
        <w:t>HR</w:t>
      </w:r>
      <w:r w:rsidRPr="00CE4BA0">
        <w:t xml:space="preserve"> = 1.75, </w:t>
      </w:r>
      <w:r w:rsidRPr="00CE4BA0">
        <w:rPr>
          <w:i/>
          <w:iCs/>
        </w:rPr>
        <w:t>p</w:t>
      </w:r>
      <w:r w:rsidRPr="00CE4BA0">
        <w:t xml:space="preserve"> &lt; .001). After topic was included in the model, neither the number of reformulations, off-peak timing, facilitating conditions, nor research self-efficacy showed a statistically significant association with the drop-off hazard (all </w:t>
      </w:r>
      <w:r w:rsidRPr="00CE4BA0">
        <w:rPr>
          <w:i/>
          <w:iCs/>
        </w:rPr>
        <w:t>p</w:t>
      </w:r>
      <w:r w:rsidRPr="00CE4BA0">
        <w:t xml:space="preserve"> &gt; .30). This pattern qualifies H4 and H5: both facilitating conditions and research self-efficacy remain significant, </w:t>
      </w:r>
      <w:r w:rsidRPr="00CE4BA0">
        <w:lastRenderedPageBreak/>
        <w:t>protective predictors of the perceptual engagement outcome (Table 6) and of session-level retrieval success (Table 7), but neither shows a detectable independent effect on how quickly a session is abandoned once its topic is known. The global test of the proportional-hazards assumption was tenable for most covariates, though the test flagged a borderline violation for research self-efficacy (</w:t>
      </w:r>
      <w:r w:rsidRPr="00CE4BA0">
        <w:rPr>
          <w:i/>
          <w:iCs/>
        </w:rPr>
        <w:t>p</w:t>
      </w:r>
      <w:r w:rsidRPr="00CE4BA0">
        <w:t xml:space="preserve"> = .043), which is noted as a caveat on the precision, though not necessarily the direction, of that estimate.</w:t>
      </w:r>
    </w:p>
    <w:p w14:paraId="3138DFEB" w14:textId="77777777" w:rsidR="00C972E2" w:rsidRPr="00CE4BA0" w:rsidRDefault="00000000">
      <w:pPr>
        <w:keepNext/>
        <w:keepLines/>
        <w:spacing w:before="240"/>
      </w:pPr>
      <w:r w:rsidRPr="00CE4BA0">
        <w:rPr>
          <w:b/>
          <w:bCs/>
        </w:rPr>
        <w:t>Table 9</w:t>
      </w:r>
    </w:p>
    <w:p w14:paraId="6DF31854" w14:textId="77777777" w:rsidR="00C972E2" w:rsidRPr="00CE4BA0" w:rsidRDefault="00000000">
      <w:pPr>
        <w:keepNext/>
        <w:keepLines/>
        <w:spacing w:after="120"/>
      </w:pPr>
      <w:r w:rsidRPr="00CE4BA0">
        <w:rPr>
          <w:i/>
          <w:iCs/>
        </w:rPr>
        <w:t>Cox Proportional-Hazards Model for Session Drop-Off (N = 3,612 Sessions)</w:t>
      </w:r>
    </w:p>
    <w:tbl>
      <w:tblPr>
        <w:tblW w:w="9083" w:type="dxa"/>
        <w:tblCellMar>
          <w:left w:w="10" w:type="dxa"/>
          <w:right w:w="10" w:type="dxa"/>
        </w:tblCellMar>
        <w:tblLook w:val="0000" w:firstRow="0" w:lastRow="0" w:firstColumn="0" w:lastColumn="0" w:noHBand="0" w:noVBand="0"/>
      </w:tblPr>
      <w:tblGrid>
        <w:gridCol w:w="3958"/>
        <w:gridCol w:w="1168"/>
        <w:gridCol w:w="2465"/>
        <w:gridCol w:w="1492"/>
      </w:tblGrid>
      <w:tr w:rsidR="00C972E2" w:rsidRPr="00CE4BA0" w14:paraId="2E36030E" w14:textId="77777777" w:rsidTr="00A07DEA">
        <w:tblPrEx>
          <w:tblCellMar>
            <w:top w:w="0" w:type="dxa"/>
            <w:bottom w:w="0" w:type="dxa"/>
          </w:tblCellMar>
        </w:tblPrEx>
        <w:trPr>
          <w:trHeight w:val="289"/>
          <w:tblHeader/>
        </w:trPr>
        <w:tc>
          <w:tcPr>
            <w:tcW w:w="3958" w:type="dxa"/>
            <w:tcBorders>
              <w:top w:val="single" w:sz="4" w:space="0" w:color="auto"/>
              <w:bottom w:val="single" w:sz="4" w:space="0" w:color="auto"/>
            </w:tcBorders>
            <w:tcMar>
              <w:top w:w="60" w:type="dxa"/>
              <w:left w:w="100" w:type="dxa"/>
              <w:bottom w:w="60" w:type="dxa"/>
              <w:right w:w="100" w:type="dxa"/>
            </w:tcMar>
            <w:vAlign w:val="center"/>
          </w:tcPr>
          <w:p w14:paraId="21F9462E" w14:textId="77777777" w:rsidR="00C972E2" w:rsidRPr="00CE4BA0" w:rsidRDefault="00000000">
            <w:r w:rsidRPr="00CE4BA0">
              <w:rPr>
                <w:b/>
                <w:bCs/>
              </w:rPr>
              <w:t>Covariate</w:t>
            </w:r>
          </w:p>
        </w:tc>
        <w:tc>
          <w:tcPr>
            <w:tcW w:w="1168" w:type="dxa"/>
            <w:tcBorders>
              <w:top w:val="single" w:sz="4" w:space="0" w:color="auto"/>
              <w:bottom w:val="single" w:sz="4" w:space="0" w:color="auto"/>
            </w:tcBorders>
            <w:tcMar>
              <w:top w:w="60" w:type="dxa"/>
              <w:left w:w="100" w:type="dxa"/>
              <w:bottom w:w="60" w:type="dxa"/>
              <w:right w:w="100" w:type="dxa"/>
            </w:tcMar>
            <w:vAlign w:val="center"/>
          </w:tcPr>
          <w:p w14:paraId="73060955" w14:textId="77777777" w:rsidR="00C972E2" w:rsidRPr="00CE4BA0" w:rsidRDefault="00000000">
            <w:pPr>
              <w:jc w:val="center"/>
            </w:pPr>
            <w:r w:rsidRPr="00CE4BA0">
              <w:rPr>
                <w:b/>
                <w:bCs/>
              </w:rPr>
              <w:t>HR</w:t>
            </w:r>
          </w:p>
        </w:tc>
        <w:tc>
          <w:tcPr>
            <w:tcW w:w="2465" w:type="dxa"/>
            <w:tcBorders>
              <w:top w:val="single" w:sz="4" w:space="0" w:color="auto"/>
              <w:bottom w:val="single" w:sz="4" w:space="0" w:color="auto"/>
            </w:tcBorders>
            <w:tcMar>
              <w:top w:w="60" w:type="dxa"/>
              <w:left w:w="100" w:type="dxa"/>
              <w:bottom w:w="60" w:type="dxa"/>
              <w:right w:w="100" w:type="dxa"/>
            </w:tcMar>
            <w:vAlign w:val="center"/>
          </w:tcPr>
          <w:p w14:paraId="49A0EBAD" w14:textId="77777777" w:rsidR="00C972E2" w:rsidRPr="00CE4BA0" w:rsidRDefault="00000000">
            <w:pPr>
              <w:jc w:val="center"/>
            </w:pPr>
            <w:r w:rsidRPr="00CE4BA0">
              <w:rPr>
                <w:b/>
                <w:bCs/>
              </w:rPr>
              <w:t>95% CI</w:t>
            </w:r>
          </w:p>
        </w:tc>
        <w:tc>
          <w:tcPr>
            <w:tcW w:w="1492" w:type="dxa"/>
            <w:tcBorders>
              <w:top w:val="single" w:sz="4" w:space="0" w:color="auto"/>
              <w:bottom w:val="single" w:sz="4" w:space="0" w:color="auto"/>
            </w:tcBorders>
            <w:tcMar>
              <w:top w:w="60" w:type="dxa"/>
              <w:left w:w="100" w:type="dxa"/>
              <w:bottom w:w="60" w:type="dxa"/>
              <w:right w:w="100" w:type="dxa"/>
            </w:tcMar>
            <w:vAlign w:val="center"/>
          </w:tcPr>
          <w:p w14:paraId="3D7E37F8" w14:textId="77777777" w:rsidR="00C972E2" w:rsidRPr="00CE4BA0" w:rsidRDefault="00000000">
            <w:pPr>
              <w:jc w:val="center"/>
            </w:pPr>
            <w:r w:rsidRPr="00CE4BA0">
              <w:rPr>
                <w:b/>
                <w:bCs/>
              </w:rPr>
              <w:t>p</w:t>
            </w:r>
          </w:p>
        </w:tc>
      </w:tr>
      <w:tr w:rsidR="00C972E2" w:rsidRPr="00CE4BA0" w14:paraId="4FFADC45" w14:textId="77777777" w:rsidTr="00A07DEA">
        <w:tblPrEx>
          <w:tblCellMar>
            <w:top w:w="0" w:type="dxa"/>
            <w:bottom w:w="0" w:type="dxa"/>
          </w:tblCellMar>
        </w:tblPrEx>
        <w:trPr>
          <w:trHeight w:val="579"/>
        </w:trPr>
        <w:tc>
          <w:tcPr>
            <w:tcW w:w="3958" w:type="dxa"/>
            <w:tcBorders>
              <w:top w:val="single" w:sz="4" w:space="0" w:color="auto"/>
            </w:tcBorders>
            <w:tcMar>
              <w:top w:w="60" w:type="dxa"/>
              <w:left w:w="100" w:type="dxa"/>
              <w:bottom w:w="60" w:type="dxa"/>
              <w:right w:w="100" w:type="dxa"/>
            </w:tcMar>
            <w:vAlign w:val="center"/>
          </w:tcPr>
          <w:p w14:paraId="69200162" w14:textId="77777777" w:rsidR="00C972E2" w:rsidRPr="00CE4BA0" w:rsidRDefault="00000000">
            <w:r w:rsidRPr="00CE4BA0">
              <w:t>Remote-access topic (vs. discovery)</w:t>
            </w:r>
          </w:p>
        </w:tc>
        <w:tc>
          <w:tcPr>
            <w:tcW w:w="1168" w:type="dxa"/>
            <w:tcBorders>
              <w:top w:val="single" w:sz="4" w:space="0" w:color="auto"/>
            </w:tcBorders>
            <w:tcMar>
              <w:top w:w="60" w:type="dxa"/>
              <w:left w:w="100" w:type="dxa"/>
              <w:bottom w:w="60" w:type="dxa"/>
              <w:right w:w="100" w:type="dxa"/>
            </w:tcMar>
            <w:vAlign w:val="center"/>
          </w:tcPr>
          <w:p w14:paraId="0BE1E984" w14:textId="77777777" w:rsidR="00C972E2" w:rsidRPr="00CE4BA0" w:rsidRDefault="00000000">
            <w:pPr>
              <w:jc w:val="center"/>
            </w:pPr>
            <w:r w:rsidRPr="00CE4BA0">
              <w:t>3.99</w:t>
            </w:r>
          </w:p>
        </w:tc>
        <w:tc>
          <w:tcPr>
            <w:tcW w:w="2465" w:type="dxa"/>
            <w:tcBorders>
              <w:top w:val="single" w:sz="4" w:space="0" w:color="auto"/>
            </w:tcBorders>
            <w:tcMar>
              <w:top w:w="60" w:type="dxa"/>
              <w:left w:w="100" w:type="dxa"/>
              <w:bottom w:w="60" w:type="dxa"/>
              <w:right w:w="100" w:type="dxa"/>
            </w:tcMar>
            <w:vAlign w:val="center"/>
          </w:tcPr>
          <w:p w14:paraId="74C8296B" w14:textId="77777777" w:rsidR="00C972E2" w:rsidRPr="00CE4BA0" w:rsidRDefault="00000000">
            <w:pPr>
              <w:jc w:val="center"/>
            </w:pPr>
            <w:r w:rsidRPr="00CE4BA0">
              <w:t>[3.57, 4.46]</w:t>
            </w:r>
          </w:p>
        </w:tc>
        <w:tc>
          <w:tcPr>
            <w:tcW w:w="1492" w:type="dxa"/>
            <w:tcBorders>
              <w:top w:val="single" w:sz="4" w:space="0" w:color="auto"/>
            </w:tcBorders>
            <w:tcMar>
              <w:top w:w="60" w:type="dxa"/>
              <w:left w:w="100" w:type="dxa"/>
              <w:bottom w:w="60" w:type="dxa"/>
              <w:right w:w="100" w:type="dxa"/>
            </w:tcMar>
            <w:vAlign w:val="center"/>
          </w:tcPr>
          <w:p w14:paraId="3DE9DE1D" w14:textId="77777777" w:rsidR="00C972E2" w:rsidRPr="00CE4BA0" w:rsidRDefault="00000000">
            <w:pPr>
              <w:jc w:val="center"/>
            </w:pPr>
            <w:r w:rsidRPr="00CE4BA0">
              <w:t>&lt; .001</w:t>
            </w:r>
          </w:p>
        </w:tc>
      </w:tr>
      <w:tr w:rsidR="00C972E2" w:rsidRPr="00CE4BA0" w14:paraId="45825D04" w14:textId="77777777" w:rsidTr="00A07DEA">
        <w:tblPrEx>
          <w:tblCellMar>
            <w:top w:w="0" w:type="dxa"/>
            <w:bottom w:w="0" w:type="dxa"/>
          </w:tblCellMar>
        </w:tblPrEx>
        <w:trPr>
          <w:trHeight w:val="579"/>
        </w:trPr>
        <w:tc>
          <w:tcPr>
            <w:tcW w:w="3958" w:type="dxa"/>
            <w:tcMar>
              <w:top w:w="60" w:type="dxa"/>
              <w:left w:w="100" w:type="dxa"/>
              <w:bottom w:w="60" w:type="dxa"/>
              <w:right w:w="100" w:type="dxa"/>
            </w:tcMar>
            <w:vAlign w:val="center"/>
          </w:tcPr>
          <w:p w14:paraId="65E125D2" w14:textId="77777777" w:rsidR="00C972E2" w:rsidRPr="00CE4BA0" w:rsidRDefault="00000000">
            <w:r w:rsidRPr="00CE4BA0">
              <w:t>Full-text/database topic (vs. discovery)</w:t>
            </w:r>
          </w:p>
        </w:tc>
        <w:tc>
          <w:tcPr>
            <w:tcW w:w="1168" w:type="dxa"/>
            <w:tcMar>
              <w:top w:w="60" w:type="dxa"/>
              <w:left w:w="100" w:type="dxa"/>
              <w:bottom w:w="60" w:type="dxa"/>
              <w:right w:w="100" w:type="dxa"/>
            </w:tcMar>
            <w:vAlign w:val="center"/>
          </w:tcPr>
          <w:p w14:paraId="0974D291" w14:textId="77777777" w:rsidR="00C972E2" w:rsidRPr="00CE4BA0" w:rsidRDefault="00000000">
            <w:pPr>
              <w:jc w:val="center"/>
            </w:pPr>
            <w:r w:rsidRPr="00CE4BA0">
              <w:t>1.75</w:t>
            </w:r>
          </w:p>
        </w:tc>
        <w:tc>
          <w:tcPr>
            <w:tcW w:w="2465" w:type="dxa"/>
            <w:tcMar>
              <w:top w:w="60" w:type="dxa"/>
              <w:left w:w="100" w:type="dxa"/>
              <w:bottom w:w="60" w:type="dxa"/>
              <w:right w:w="100" w:type="dxa"/>
            </w:tcMar>
            <w:vAlign w:val="center"/>
          </w:tcPr>
          <w:p w14:paraId="61BEC004" w14:textId="77777777" w:rsidR="00C972E2" w:rsidRPr="00CE4BA0" w:rsidRDefault="00000000">
            <w:pPr>
              <w:jc w:val="center"/>
            </w:pPr>
            <w:r w:rsidRPr="00CE4BA0">
              <w:t>[1.61, 1.91]</w:t>
            </w:r>
          </w:p>
        </w:tc>
        <w:tc>
          <w:tcPr>
            <w:tcW w:w="1492" w:type="dxa"/>
            <w:tcMar>
              <w:top w:w="60" w:type="dxa"/>
              <w:left w:w="100" w:type="dxa"/>
              <w:bottom w:w="60" w:type="dxa"/>
              <w:right w:w="100" w:type="dxa"/>
            </w:tcMar>
            <w:vAlign w:val="center"/>
          </w:tcPr>
          <w:p w14:paraId="6DD95442" w14:textId="77777777" w:rsidR="00C972E2" w:rsidRPr="00CE4BA0" w:rsidRDefault="00000000">
            <w:pPr>
              <w:jc w:val="center"/>
            </w:pPr>
            <w:r w:rsidRPr="00CE4BA0">
              <w:t>&lt; .001</w:t>
            </w:r>
          </w:p>
        </w:tc>
      </w:tr>
      <w:tr w:rsidR="00C972E2" w:rsidRPr="00CE4BA0" w14:paraId="6298ED44" w14:textId="77777777" w:rsidTr="00A07DEA">
        <w:tblPrEx>
          <w:tblCellMar>
            <w:top w:w="0" w:type="dxa"/>
            <w:bottom w:w="0" w:type="dxa"/>
          </w:tblCellMar>
        </w:tblPrEx>
        <w:trPr>
          <w:trHeight w:val="289"/>
        </w:trPr>
        <w:tc>
          <w:tcPr>
            <w:tcW w:w="3958" w:type="dxa"/>
            <w:tcMar>
              <w:top w:w="60" w:type="dxa"/>
              <w:left w:w="100" w:type="dxa"/>
              <w:bottom w:w="60" w:type="dxa"/>
              <w:right w:w="100" w:type="dxa"/>
            </w:tcMar>
            <w:vAlign w:val="center"/>
          </w:tcPr>
          <w:p w14:paraId="353731CE" w14:textId="77777777" w:rsidR="00C972E2" w:rsidRPr="00CE4BA0" w:rsidRDefault="00000000">
            <w:r w:rsidRPr="00CE4BA0">
              <w:t>No. of reformulations (per +1)</w:t>
            </w:r>
          </w:p>
        </w:tc>
        <w:tc>
          <w:tcPr>
            <w:tcW w:w="1168" w:type="dxa"/>
            <w:tcMar>
              <w:top w:w="60" w:type="dxa"/>
              <w:left w:w="100" w:type="dxa"/>
              <w:bottom w:w="60" w:type="dxa"/>
              <w:right w:w="100" w:type="dxa"/>
            </w:tcMar>
            <w:vAlign w:val="center"/>
          </w:tcPr>
          <w:p w14:paraId="217E6D07" w14:textId="77777777" w:rsidR="00C972E2" w:rsidRPr="00CE4BA0" w:rsidRDefault="00000000">
            <w:pPr>
              <w:jc w:val="center"/>
            </w:pPr>
            <w:r w:rsidRPr="00CE4BA0">
              <w:t>1.01</w:t>
            </w:r>
          </w:p>
        </w:tc>
        <w:tc>
          <w:tcPr>
            <w:tcW w:w="2465" w:type="dxa"/>
            <w:tcMar>
              <w:top w:w="60" w:type="dxa"/>
              <w:left w:w="100" w:type="dxa"/>
              <w:bottom w:w="60" w:type="dxa"/>
              <w:right w:w="100" w:type="dxa"/>
            </w:tcMar>
            <w:vAlign w:val="center"/>
          </w:tcPr>
          <w:p w14:paraId="0A295A12" w14:textId="77777777" w:rsidR="00C972E2" w:rsidRPr="00CE4BA0" w:rsidRDefault="00000000">
            <w:pPr>
              <w:jc w:val="center"/>
            </w:pPr>
            <w:r w:rsidRPr="00CE4BA0">
              <w:t>[0.98, 1.04]</w:t>
            </w:r>
          </w:p>
        </w:tc>
        <w:tc>
          <w:tcPr>
            <w:tcW w:w="1492" w:type="dxa"/>
            <w:tcMar>
              <w:top w:w="60" w:type="dxa"/>
              <w:left w:w="100" w:type="dxa"/>
              <w:bottom w:w="60" w:type="dxa"/>
              <w:right w:w="100" w:type="dxa"/>
            </w:tcMar>
            <w:vAlign w:val="center"/>
          </w:tcPr>
          <w:p w14:paraId="6F7124AD" w14:textId="77777777" w:rsidR="00C972E2" w:rsidRPr="00CE4BA0" w:rsidRDefault="00000000">
            <w:pPr>
              <w:jc w:val="center"/>
            </w:pPr>
            <w:r w:rsidRPr="00CE4BA0">
              <w:t>.454</w:t>
            </w:r>
          </w:p>
        </w:tc>
      </w:tr>
      <w:tr w:rsidR="00C972E2" w:rsidRPr="00CE4BA0" w14:paraId="62C9521B" w14:textId="77777777" w:rsidTr="00A07DEA">
        <w:tblPrEx>
          <w:tblCellMar>
            <w:top w:w="0" w:type="dxa"/>
            <w:bottom w:w="0" w:type="dxa"/>
          </w:tblCellMar>
        </w:tblPrEx>
        <w:trPr>
          <w:trHeight w:val="289"/>
        </w:trPr>
        <w:tc>
          <w:tcPr>
            <w:tcW w:w="3958" w:type="dxa"/>
            <w:tcMar>
              <w:top w:w="60" w:type="dxa"/>
              <w:left w:w="100" w:type="dxa"/>
              <w:bottom w:w="60" w:type="dxa"/>
              <w:right w:w="100" w:type="dxa"/>
            </w:tcMar>
            <w:vAlign w:val="center"/>
          </w:tcPr>
          <w:p w14:paraId="1FD3439D" w14:textId="77777777" w:rsidR="00C972E2" w:rsidRPr="00CE4BA0" w:rsidRDefault="00000000">
            <w:r w:rsidRPr="00CE4BA0">
              <w:t>Off-peak hour</w:t>
            </w:r>
          </w:p>
        </w:tc>
        <w:tc>
          <w:tcPr>
            <w:tcW w:w="1168" w:type="dxa"/>
            <w:tcMar>
              <w:top w:w="60" w:type="dxa"/>
              <w:left w:w="100" w:type="dxa"/>
              <w:bottom w:w="60" w:type="dxa"/>
              <w:right w:w="100" w:type="dxa"/>
            </w:tcMar>
            <w:vAlign w:val="center"/>
          </w:tcPr>
          <w:p w14:paraId="06D5A5D2" w14:textId="77777777" w:rsidR="00C972E2" w:rsidRPr="00CE4BA0" w:rsidRDefault="00000000">
            <w:pPr>
              <w:jc w:val="center"/>
            </w:pPr>
            <w:r w:rsidRPr="00CE4BA0">
              <w:t>1.04</w:t>
            </w:r>
          </w:p>
        </w:tc>
        <w:tc>
          <w:tcPr>
            <w:tcW w:w="2465" w:type="dxa"/>
            <w:tcMar>
              <w:top w:w="60" w:type="dxa"/>
              <w:left w:w="100" w:type="dxa"/>
              <w:bottom w:w="60" w:type="dxa"/>
              <w:right w:w="100" w:type="dxa"/>
            </w:tcMar>
            <w:vAlign w:val="center"/>
          </w:tcPr>
          <w:p w14:paraId="4D471D37" w14:textId="77777777" w:rsidR="00C972E2" w:rsidRPr="00CE4BA0" w:rsidRDefault="00000000">
            <w:pPr>
              <w:jc w:val="center"/>
            </w:pPr>
            <w:r w:rsidRPr="00CE4BA0">
              <w:t>[0.97, 1.12]</w:t>
            </w:r>
          </w:p>
        </w:tc>
        <w:tc>
          <w:tcPr>
            <w:tcW w:w="1492" w:type="dxa"/>
            <w:tcMar>
              <w:top w:w="60" w:type="dxa"/>
              <w:left w:w="100" w:type="dxa"/>
              <w:bottom w:w="60" w:type="dxa"/>
              <w:right w:w="100" w:type="dxa"/>
            </w:tcMar>
            <w:vAlign w:val="center"/>
          </w:tcPr>
          <w:p w14:paraId="3C389C19" w14:textId="77777777" w:rsidR="00C972E2" w:rsidRPr="00CE4BA0" w:rsidRDefault="00000000">
            <w:pPr>
              <w:jc w:val="center"/>
            </w:pPr>
            <w:r w:rsidRPr="00CE4BA0">
              <w:t>.306</w:t>
            </w:r>
          </w:p>
        </w:tc>
      </w:tr>
      <w:tr w:rsidR="00C972E2" w:rsidRPr="00CE4BA0" w14:paraId="2B041306" w14:textId="77777777" w:rsidTr="00A07DEA">
        <w:tblPrEx>
          <w:tblCellMar>
            <w:top w:w="0" w:type="dxa"/>
            <w:bottom w:w="0" w:type="dxa"/>
          </w:tblCellMar>
        </w:tblPrEx>
        <w:trPr>
          <w:trHeight w:val="289"/>
        </w:trPr>
        <w:tc>
          <w:tcPr>
            <w:tcW w:w="3958" w:type="dxa"/>
            <w:tcMar>
              <w:top w:w="60" w:type="dxa"/>
              <w:left w:w="100" w:type="dxa"/>
              <w:bottom w:w="60" w:type="dxa"/>
              <w:right w:w="100" w:type="dxa"/>
            </w:tcMar>
            <w:vAlign w:val="center"/>
          </w:tcPr>
          <w:p w14:paraId="605FCCA5" w14:textId="77777777" w:rsidR="00C972E2" w:rsidRPr="00CE4BA0" w:rsidRDefault="00000000">
            <w:r w:rsidRPr="00CE4BA0">
              <w:t>Facilitating conditions (per +1 SD)</w:t>
            </w:r>
          </w:p>
        </w:tc>
        <w:tc>
          <w:tcPr>
            <w:tcW w:w="1168" w:type="dxa"/>
            <w:tcMar>
              <w:top w:w="60" w:type="dxa"/>
              <w:left w:w="100" w:type="dxa"/>
              <w:bottom w:w="60" w:type="dxa"/>
              <w:right w:w="100" w:type="dxa"/>
            </w:tcMar>
            <w:vAlign w:val="center"/>
          </w:tcPr>
          <w:p w14:paraId="563AB2ED" w14:textId="77777777" w:rsidR="00C972E2" w:rsidRPr="00CE4BA0" w:rsidRDefault="00000000">
            <w:pPr>
              <w:jc w:val="center"/>
            </w:pPr>
            <w:r w:rsidRPr="00CE4BA0">
              <w:t>0.99</w:t>
            </w:r>
          </w:p>
        </w:tc>
        <w:tc>
          <w:tcPr>
            <w:tcW w:w="2465" w:type="dxa"/>
            <w:tcMar>
              <w:top w:w="60" w:type="dxa"/>
              <w:left w:w="100" w:type="dxa"/>
              <w:bottom w:w="60" w:type="dxa"/>
              <w:right w:w="100" w:type="dxa"/>
            </w:tcMar>
            <w:vAlign w:val="center"/>
          </w:tcPr>
          <w:p w14:paraId="24EF17E6" w14:textId="77777777" w:rsidR="00C972E2" w:rsidRPr="00CE4BA0" w:rsidRDefault="00000000">
            <w:pPr>
              <w:jc w:val="center"/>
            </w:pPr>
            <w:r w:rsidRPr="00CE4BA0">
              <w:t>[0.95, 1.03]</w:t>
            </w:r>
          </w:p>
        </w:tc>
        <w:tc>
          <w:tcPr>
            <w:tcW w:w="1492" w:type="dxa"/>
            <w:tcMar>
              <w:top w:w="60" w:type="dxa"/>
              <w:left w:w="100" w:type="dxa"/>
              <w:bottom w:w="60" w:type="dxa"/>
              <w:right w:w="100" w:type="dxa"/>
            </w:tcMar>
            <w:vAlign w:val="center"/>
          </w:tcPr>
          <w:p w14:paraId="03749851" w14:textId="77777777" w:rsidR="00C972E2" w:rsidRPr="00CE4BA0" w:rsidRDefault="00000000">
            <w:pPr>
              <w:jc w:val="center"/>
            </w:pPr>
            <w:r w:rsidRPr="00CE4BA0">
              <w:t>.582</w:t>
            </w:r>
          </w:p>
        </w:tc>
      </w:tr>
      <w:tr w:rsidR="00C972E2" w:rsidRPr="00CE4BA0" w14:paraId="010CA497" w14:textId="77777777" w:rsidTr="00A07DEA">
        <w:tblPrEx>
          <w:tblCellMar>
            <w:top w:w="0" w:type="dxa"/>
            <w:bottom w:w="0" w:type="dxa"/>
          </w:tblCellMar>
        </w:tblPrEx>
        <w:trPr>
          <w:trHeight w:val="277"/>
        </w:trPr>
        <w:tc>
          <w:tcPr>
            <w:tcW w:w="3958" w:type="dxa"/>
            <w:tcBorders>
              <w:bottom w:val="single" w:sz="4" w:space="0" w:color="auto"/>
            </w:tcBorders>
            <w:tcMar>
              <w:top w:w="60" w:type="dxa"/>
              <w:left w:w="100" w:type="dxa"/>
              <w:bottom w:w="60" w:type="dxa"/>
              <w:right w:w="100" w:type="dxa"/>
            </w:tcMar>
            <w:vAlign w:val="center"/>
          </w:tcPr>
          <w:p w14:paraId="565A9E7A" w14:textId="77777777" w:rsidR="00C972E2" w:rsidRPr="00CE4BA0" w:rsidRDefault="00000000">
            <w:r w:rsidRPr="00CE4BA0">
              <w:t>Research self-efficacy (per +1 SD)</w:t>
            </w:r>
          </w:p>
        </w:tc>
        <w:tc>
          <w:tcPr>
            <w:tcW w:w="1168" w:type="dxa"/>
            <w:tcBorders>
              <w:bottom w:val="single" w:sz="4" w:space="0" w:color="auto"/>
            </w:tcBorders>
            <w:tcMar>
              <w:top w:w="60" w:type="dxa"/>
              <w:left w:w="100" w:type="dxa"/>
              <w:bottom w:w="60" w:type="dxa"/>
              <w:right w:w="100" w:type="dxa"/>
            </w:tcMar>
            <w:vAlign w:val="center"/>
          </w:tcPr>
          <w:p w14:paraId="6D7E8B3B" w14:textId="77777777" w:rsidR="00C972E2" w:rsidRPr="00CE4BA0" w:rsidRDefault="00000000">
            <w:pPr>
              <w:jc w:val="center"/>
            </w:pPr>
            <w:r w:rsidRPr="00CE4BA0">
              <w:t>0.99</w:t>
            </w:r>
          </w:p>
        </w:tc>
        <w:tc>
          <w:tcPr>
            <w:tcW w:w="2465" w:type="dxa"/>
            <w:tcBorders>
              <w:bottom w:val="single" w:sz="4" w:space="0" w:color="auto"/>
            </w:tcBorders>
            <w:tcMar>
              <w:top w:w="60" w:type="dxa"/>
              <w:left w:w="100" w:type="dxa"/>
              <w:bottom w:w="60" w:type="dxa"/>
              <w:right w:w="100" w:type="dxa"/>
            </w:tcMar>
            <w:vAlign w:val="center"/>
          </w:tcPr>
          <w:p w14:paraId="2AB03944" w14:textId="77777777" w:rsidR="00C972E2" w:rsidRPr="00CE4BA0" w:rsidRDefault="00000000">
            <w:pPr>
              <w:jc w:val="center"/>
            </w:pPr>
            <w:r w:rsidRPr="00CE4BA0">
              <w:t>[0.95, 1.03]</w:t>
            </w:r>
          </w:p>
        </w:tc>
        <w:tc>
          <w:tcPr>
            <w:tcW w:w="1492" w:type="dxa"/>
            <w:tcBorders>
              <w:bottom w:val="single" w:sz="4" w:space="0" w:color="auto"/>
            </w:tcBorders>
            <w:tcMar>
              <w:top w:w="60" w:type="dxa"/>
              <w:left w:w="100" w:type="dxa"/>
              <w:bottom w:w="60" w:type="dxa"/>
              <w:right w:w="100" w:type="dxa"/>
            </w:tcMar>
            <w:vAlign w:val="center"/>
          </w:tcPr>
          <w:p w14:paraId="4591AFA8" w14:textId="77777777" w:rsidR="00C972E2" w:rsidRPr="00CE4BA0" w:rsidRDefault="00000000">
            <w:pPr>
              <w:jc w:val="center"/>
            </w:pPr>
            <w:r w:rsidRPr="00CE4BA0">
              <w:t>.534</w:t>
            </w:r>
          </w:p>
        </w:tc>
      </w:tr>
    </w:tbl>
    <w:p w14:paraId="5D12DF30" w14:textId="77777777" w:rsidR="00C972E2" w:rsidRPr="00CE4BA0" w:rsidRDefault="00000000">
      <w:pPr>
        <w:spacing w:before="80" w:after="240"/>
      </w:pPr>
      <w:r w:rsidRPr="00CE4BA0">
        <w:rPr>
          <w:i/>
          <w:iCs/>
        </w:rPr>
        <w:t xml:space="preserve">Note. </w:t>
      </w:r>
      <w:r w:rsidRPr="00CE4BA0">
        <w:t>HR = hazard ratio; HR &gt; 1 indicates higher drop-off hazard. Harrell’s C = .62. Schoenfeld-residual test of proportional hazards: tenable for all covariates except research self-efficacy (p = .043; see Discussion and Limitations).</w:t>
      </w:r>
    </w:p>
    <w:p w14:paraId="38092655" w14:textId="77777777" w:rsidR="00C972E2" w:rsidRPr="00CE4BA0" w:rsidRDefault="00000000">
      <w:pPr>
        <w:keepNext/>
        <w:keepLines/>
        <w:spacing w:before="240"/>
      </w:pPr>
      <w:r w:rsidRPr="00CE4BA0">
        <w:rPr>
          <w:b/>
          <w:bCs/>
        </w:rPr>
        <w:lastRenderedPageBreak/>
        <w:t>Figure 4</w:t>
      </w:r>
    </w:p>
    <w:p w14:paraId="52104D6A" w14:textId="77777777" w:rsidR="00C972E2" w:rsidRPr="00CE4BA0" w:rsidRDefault="00000000">
      <w:pPr>
        <w:keepNext/>
        <w:keepLines/>
        <w:spacing w:after="120"/>
      </w:pPr>
      <w:r w:rsidRPr="00CE4BA0">
        <w:rPr>
          <w:i/>
          <w:iCs/>
        </w:rPr>
        <w:t>Forest Plot of Cox Hazard Ratios With 95% Confidence Intervals for Session Drop-Off</w:t>
      </w:r>
    </w:p>
    <w:p w14:paraId="5676C0BC" w14:textId="77777777" w:rsidR="00C972E2" w:rsidRPr="00CE4BA0" w:rsidRDefault="00000000">
      <w:pPr>
        <w:keepNext/>
        <w:keepLines/>
        <w:spacing w:after="120"/>
        <w:jc w:val="center"/>
      </w:pPr>
      <w:r w:rsidRPr="00CE4BA0">
        <w:rPr>
          <w:noProof/>
        </w:rPr>
        <w:drawing>
          <wp:inline distT="0" distB="0" distL="0" distR="0" wp14:anchorId="28C6A0B4" wp14:editId="670FE8F6">
            <wp:extent cx="5943600" cy="3714750"/>
            <wp:effectExtent l="0" t="0" r="0" b="0"/>
            <wp:docPr id="1793530241" name="Cox model forest plot" descr="Forest plot showing hazard ratios and 95% confidence intervals for six covariates predicting session drop-off, on a logarithmic scale" title="Cox model forest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43600" cy="3714750"/>
                    </a:xfrm>
                    <a:prstGeom prst="rect">
                      <a:avLst/>
                    </a:prstGeom>
                  </pic:spPr>
                </pic:pic>
              </a:graphicData>
            </a:graphic>
          </wp:inline>
        </w:drawing>
      </w:r>
    </w:p>
    <w:p w14:paraId="24CCD559" w14:textId="77777777" w:rsidR="00C972E2" w:rsidRPr="00CE4BA0" w:rsidRDefault="00000000">
      <w:pPr>
        <w:spacing w:before="80" w:after="240"/>
      </w:pPr>
      <w:r w:rsidRPr="00CE4BA0">
        <w:rPr>
          <w:i/>
          <w:iCs/>
        </w:rPr>
        <w:t xml:space="preserve">Note. </w:t>
      </w:r>
      <w:r w:rsidRPr="00CE4BA0">
        <w:t>Estimates left of the reference line (HR = 1) are protective; estimates to the right indicate higher drop-off hazard. Markers in grey are non-significant at p &lt; .05.</w:t>
      </w:r>
    </w:p>
    <w:p w14:paraId="61218422" w14:textId="77777777" w:rsidR="00C972E2" w:rsidRPr="00CE4BA0" w:rsidRDefault="00000000">
      <w:pPr>
        <w:pStyle w:val="Heading2"/>
        <w:spacing w:before="0" w:after="0"/>
      </w:pPr>
      <w:r w:rsidRPr="00CE4BA0">
        <w:t>Summary of Hypothesis Testing</w:t>
      </w:r>
    </w:p>
    <w:p w14:paraId="5DD6ED28" w14:textId="77777777" w:rsidR="00C972E2" w:rsidRPr="00CE4BA0" w:rsidRDefault="00000000" w:rsidP="00A07DEA">
      <w:pPr>
        <w:spacing w:line="480" w:lineRule="auto"/>
      </w:pPr>
      <w:r w:rsidRPr="00CE4BA0">
        <w:t xml:space="preserve">Table 10 </w:t>
      </w:r>
      <w:proofErr w:type="spellStart"/>
      <w:r w:rsidRPr="00CE4BA0">
        <w:t>summarises</w:t>
      </w:r>
      <w:proofErr w:type="spellEnd"/>
      <w:r w:rsidRPr="00CE4BA0">
        <w:t xml:space="preserve"> the outcome of each hypothesis test against the results reported above. Two hypotheses (H1, H6) were fully supported, two (H4, H5) were partially supported—holding for the engagement and retrieval outcomes but not for the survival hazard—and two (H2, H3) were not supported.</w:t>
      </w:r>
    </w:p>
    <w:p w14:paraId="783A0AFE" w14:textId="77777777" w:rsidR="00A07DEA" w:rsidRDefault="00A07DEA">
      <w:pPr>
        <w:rPr>
          <w:b/>
          <w:bCs/>
        </w:rPr>
      </w:pPr>
      <w:r>
        <w:rPr>
          <w:b/>
          <w:bCs/>
        </w:rPr>
        <w:br w:type="page"/>
      </w:r>
    </w:p>
    <w:p w14:paraId="19550B73" w14:textId="25278585" w:rsidR="00C972E2" w:rsidRPr="00CE4BA0" w:rsidRDefault="00000000">
      <w:pPr>
        <w:keepNext/>
        <w:keepLines/>
        <w:spacing w:before="240"/>
      </w:pPr>
      <w:r w:rsidRPr="00CE4BA0">
        <w:rPr>
          <w:b/>
          <w:bCs/>
        </w:rPr>
        <w:lastRenderedPageBreak/>
        <w:t>Table 10</w:t>
      </w:r>
    </w:p>
    <w:p w14:paraId="6EA4EE2D" w14:textId="77777777" w:rsidR="00C972E2" w:rsidRPr="00CE4BA0" w:rsidRDefault="00000000">
      <w:pPr>
        <w:keepNext/>
        <w:keepLines/>
        <w:spacing w:after="120"/>
      </w:pPr>
      <w:r w:rsidRPr="00CE4BA0">
        <w:rPr>
          <w:i/>
          <w:iCs/>
        </w:rPr>
        <w:t>Summary of Hypothesis Tests</w:t>
      </w:r>
    </w:p>
    <w:tbl>
      <w:tblPr>
        <w:tblW w:w="9360" w:type="dxa"/>
        <w:tblCellMar>
          <w:left w:w="10" w:type="dxa"/>
          <w:right w:w="10" w:type="dxa"/>
        </w:tblCellMar>
        <w:tblLook w:val="0000" w:firstRow="0" w:lastRow="0" w:firstColumn="0" w:lastColumn="0" w:noHBand="0" w:noVBand="0"/>
      </w:tblPr>
      <w:tblGrid>
        <w:gridCol w:w="1620"/>
        <w:gridCol w:w="4140"/>
        <w:gridCol w:w="3600"/>
      </w:tblGrid>
      <w:tr w:rsidR="00C972E2" w:rsidRPr="00CE4BA0" w14:paraId="391C8B49" w14:textId="77777777" w:rsidTr="00A07DEA">
        <w:tblPrEx>
          <w:tblCellMar>
            <w:top w:w="0" w:type="dxa"/>
            <w:bottom w:w="0" w:type="dxa"/>
          </w:tblCellMar>
        </w:tblPrEx>
        <w:trPr>
          <w:tblHeader/>
        </w:trPr>
        <w:tc>
          <w:tcPr>
            <w:tcW w:w="1620" w:type="dxa"/>
            <w:tcBorders>
              <w:top w:val="single" w:sz="4" w:space="0" w:color="auto"/>
              <w:bottom w:val="single" w:sz="4" w:space="0" w:color="auto"/>
            </w:tcBorders>
            <w:tcMar>
              <w:top w:w="60" w:type="dxa"/>
              <w:left w:w="100" w:type="dxa"/>
              <w:bottom w:w="60" w:type="dxa"/>
              <w:right w:w="100" w:type="dxa"/>
            </w:tcMar>
            <w:vAlign w:val="center"/>
          </w:tcPr>
          <w:p w14:paraId="4852256A" w14:textId="77777777" w:rsidR="00C972E2" w:rsidRPr="00CE4BA0" w:rsidRDefault="00000000">
            <w:r w:rsidRPr="00CE4BA0">
              <w:rPr>
                <w:b/>
                <w:bCs/>
              </w:rPr>
              <w:t>Hypothesis</w:t>
            </w:r>
          </w:p>
        </w:tc>
        <w:tc>
          <w:tcPr>
            <w:tcW w:w="4140" w:type="dxa"/>
            <w:tcBorders>
              <w:top w:val="single" w:sz="4" w:space="0" w:color="auto"/>
              <w:bottom w:val="single" w:sz="4" w:space="0" w:color="auto"/>
            </w:tcBorders>
            <w:tcMar>
              <w:top w:w="60" w:type="dxa"/>
              <w:left w:w="100" w:type="dxa"/>
              <w:bottom w:w="60" w:type="dxa"/>
              <w:right w:w="100" w:type="dxa"/>
            </w:tcMar>
            <w:vAlign w:val="center"/>
          </w:tcPr>
          <w:p w14:paraId="12723119" w14:textId="77777777" w:rsidR="00C972E2" w:rsidRPr="00CE4BA0" w:rsidRDefault="00000000">
            <w:pPr>
              <w:jc w:val="center"/>
            </w:pPr>
            <w:r w:rsidRPr="00CE4BA0">
              <w:rPr>
                <w:b/>
                <w:bCs/>
              </w:rPr>
              <w:t>Statement (abbreviated)</w:t>
            </w:r>
          </w:p>
        </w:tc>
        <w:tc>
          <w:tcPr>
            <w:tcW w:w="3600" w:type="dxa"/>
            <w:tcBorders>
              <w:top w:val="single" w:sz="4" w:space="0" w:color="auto"/>
              <w:bottom w:val="single" w:sz="4" w:space="0" w:color="auto"/>
            </w:tcBorders>
            <w:tcMar>
              <w:top w:w="60" w:type="dxa"/>
              <w:left w:w="100" w:type="dxa"/>
              <w:bottom w:w="60" w:type="dxa"/>
              <w:right w:w="100" w:type="dxa"/>
            </w:tcMar>
            <w:vAlign w:val="center"/>
          </w:tcPr>
          <w:p w14:paraId="41D23A8A" w14:textId="77777777" w:rsidR="00C972E2" w:rsidRPr="00CE4BA0" w:rsidRDefault="00000000">
            <w:pPr>
              <w:jc w:val="center"/>
            </w:pPr>
            <w:r w:rsidRPr="00CE4BA0">
              <w:rPr>
                <w:b/>
                <w:bCs/>
              </w:rPr>
              <w:t>Decision</w:t>
            </w:r>
          </w:p>
        </w:tc>
      </w:tr>
      <w:tr w:rsidR="00C972E2" w:rsidRPr="00CE4BA0" w14:paraId="431C4DA9" w14:textId="77777777" w:rsidTr="00A07DEA">
        <w:tblPrEx>
          <w:tblCellMar>
            <w:top w:w="0" w:type="dxa"/>
            <w:bottom w:w="0" w:type="dxa"/>
          </w:tblCellMar>
        </w:tblPrEx>
        <w:tc>
          <w:tcPr>
            <w:tcW w:w="1620" w:type="dxa"/>
            <w:tcBorders>
              <w:top w:val="single" w:sz="4" w:space="0" w:color="auto"/>
            </w:tcBorders>
            <w:tcMar>
              <w:top w:w="60" w:type="dxa"/>
              <w:left w:w="100" w:type="dxa"/>
              <w:bottom w:w="60" w:type="dxa"/>
              <w:right w:w="100" w:type="dxa"/>
            </w:tcMar>
            <w:vAlign w:val="center"/>
          </w:tcPr>
          <w:p w14:paraId="1718507B" w14:textId="77777777" w:rsidR="00C972E2" w:rsidRPr="00CE4BA0" w:rsidRDefault="00000000">
            <w:r w:rsidRPr="00CE4BA0">
              <w:t>H1</w:t>
            </w:r>
          </w:p>
        </w:tc>
        <w:tc>
          <w:tcPr>
            <w:tcW w:w="4140" w:type="dxa"/>
            <w:tcBorders>
              <w:top w:val="single" w:sz="4" w:space="0" w:color="auto"/>
            </w:tcBorders>
            <w:tcMar>
              <w:top w:w="60" w:type="dxa"/>
              <w:left w:w="100" w:type="dxa"/>
              <w:bottom w:w="60" w:type="dxa"/>
              <w:right w:w="100" w:type="dxa"/>
            </w:tcMar>
            <w:vAlign w:val="center"/>
          </w:tcPr>
          <w:p w14:paraId="1AD433CF" w14:textId="77777777" w:rsidR="00C972E2" w:rsidRPr="00CE4BA0" w:rsidRDefault="00000000">
            <w:pPr>
              <w:jc w:val="center"/>
            </w:pPr>
            <w:r w:rsidRPr="00CE4BA0">
              <w:t>PE → behavioural engagement (+)</w:t>
            </w:r>
          </w:p>
        </w:tc>
        <w:tc>
          <w:tcPr>
            <w:tcW w:w="3600" w:type="dxa"/>
            <w:tcBorders>
              <w:top w:val="single" w:sz="4" w:space="0" w:color="auto"/>
            </w:tcBorders>
            <w:tcMar>
              <w:top w:w="60" w:type="dxa"/>
              <w:left w:w="100" w:type="dxa"/>
              <w:bottom w:w="60" w:type="dxa"/>
              <w:right w:w="100" w:type="dxa"/>
            </w:tcMar>
            <w:vAlign w:val="center"/>
          </w:tcPr>
          <w:p w14:paraId="59D45DB8" w14:textId="77777777" w:rsidR="00C972E2" w:rsidRPr="00CE4BA0" w:rsidRDefault="00000000">
            <w:pPr>
              <w:jc w:val="center"/>
            </w:pPr>
            <w:r w:rsidRPr="00CE4BA0">
              <w:t>Supported</w:t>
            </w:r>
          </w:p>
        </w:tc>
      </w:tr>
      <w:tr w:rsidR="00C972E2" w:rsidRPr="00CE4BA0" w14:paraId="0262C1A7" w14:textId="77777777" w:rsidTr="00A07DEA">
        <w:tblPrEx>
          <w:tblCellMar>
            <w:top w:w="0" w:type="dxa"/>
            <w:bottom w:w="0" w:type="dxa"/>
          </w:tblCellMar>
        </w:tblPrEx>
        <w:tc>
          <w:tcPr>
            <w:tcW w:w="1620" w:type="dxa"/>
            <w:tcMar>
              <w:top w:w="60" w:type="dxa"/>
              <w:left w:w="100" w:type="dxa"/>
              <w:bottom w:w="60" w:type="dxa"/>
              <w:right w:w="100" w:type="dxa"/>
            </w:tcMar>
            <w:vAlign w:val="center"/>
          </w:tcPr>
          <w:p w14:paraId="2FDC22DD" w14:textId="77777777" w:rsidR="00C972E2" w:rsidRPr="00CE4BA0" w:rsidRDefault="00000000">
            <w:r w:rsidRPr="00CE4BA0">
              <w:t>H2</w:t>
            </w:r>
          </w:p>
        </w:tc>
        <w:tc>
          <w:tcPr>
            <w:tcW w:w="4140" w:type="dxa"/>
            <w:tcMar>
              <w:top w:w="60" w:type="dxa"/>
              <w:left w:w="100" w:type="dxa"/>
              <w:bottom w:w="60" w:type="dxa"/>
              <w:right w:w="100" w:type="dxa"/>
            </w:tcMar>
            <w:vAlign w:val="center"/>
          </w:tcPr>
          <w:p w14:paraId="2B32434A" w14:textId="77777777" w:rsidR="00C972E2" w:rsidRPr="00CE4BA0" w:rsidRDefault="00000000">
            <w:pPr>
              <w:jc w:val="center"/>
            </w:pPr>
            <w:r w:rsidRPr="00CE4BA0">
              <w:t>EE → behavioural engagement (+)</w:t>
            </w:r>
          </w:p>
        </w:tc>
        <w:tc>
          <w:tcPr>
            <w:tcW w:w="3600" w:type="dxa"/>
            <w:tcMar>
              <w:top w:w="60" w:type="dxa"/>
              <w:left w:w="100" w:type="dxa"/>
              <w:bottom w:w="60" w:type="dxa"/>
              <w:right w:w="100" w:type="dxa"/>
            </w:tcMar>
            <w:vAlign w:val="center"/>
          </w:tcPr>
          <w:p w14:paraId="424C40E7" w14:textId="77777777" w:rsidR="00C972E2" w:rsidRPr="00CE4BA0" w:rsidRDefault="00000000">
            <w:pPr>
              <w:jc w:val="center"/>
            </w:pPr>
            <w:r w:rsidRPr="00CE4BA0">
              <w:t>Not supported</w:t>
            </w:r>
          </w:p>
        </w:tc>
      </w:tr>
      <w:tr w:rsidR="00C972E2" w:rsidRPr="00CE4BA0" w14:paraId="427CE716" w14:textId="77777777" w:rsidTr="00A07DEA">
        <w:tblPrEx>
          <w:tblCellMar>
            <w:top w:w="0" w:type="dxa"/>
            <w:bottom w:w="0" w:type="dxa"/>
          </w:tblCellMar>
        </w:tblPrEx>
        <w:tc>
          <w:tcPr>
            <w:tcW w:w="1620" w:type="dxa"/>
            <w:tcMar>
              <w:top w:w="60" w:type="dxa"/>
              <w:left w:w="100" w:type="dxa"/>
              <w:bottom w:w="60" w:type="dxa"/>
              <w:right w:w="100" w:type="dxa"/>
            </w:tcMar>
            <w:vAlign w:val="center"/>
          </w:tcPr>
          <w:p w14:paraId="21ABCE14" w14:textId="77777777" w:rsidR="00C972E2" w:rsidRPr="00CE4BA0" w:rsidRDefault="00000000">
            <w:r w:rsidRPr="00CE4BA0">
              <w:t>H3</w:t>
            </w:r>
          </w:p>
        </w:tc>
        <w:tc>
          <w:tcPr>
            <w:tcW w:w="4140" w:type="dxa"/>
            <w:tcMar>
              <w:top w:w="60" w:type="dxa"/>
              <w:left w:w="100" w:type="dxa"/>
              <w:bottom w:w="60" w:type="dxa"/>
              <w:right w:w="100" w:type="dxa"/>
            </w:tcMar>
            <w:vAlign w:val="center"/>
          </w:tcPr>
          <w:p w14:paraId="570DA7C3" w14:textId="77777777" w:rsidR="00C972E2" w:rsidRPr="00CE4BA0" w:rsidRDefault="00000000">
            <w:pPr>
              <w:jc w:val="center"/>
            </w:pPr>
            <w:r w:rsidRPr="00CE4BA0">
              <w:t>SI → behavioural engagement (+)</w:t>
            </w:r>
          </w:p>
        </w:tc>
        <w:tc>
          <w:tcPr>
            <w:tcW w:w="3600" w:type="dxa"/>
            <w:tcMar>
              <w:top w:w="60" w:type="dxa"/>
              <w:left w:w="100" w:type="dxa"/>
              <w:bottom w:w="60" w:type="dxa"/>
              <w:right w:w="100" w:type="dxa"/>
            </w:tcMar>
            <w:vAlign w:val="center"/>
          </w:tcPr>
          <w:p w14:paraId="41E9D428" w14:textId="77777777" w:rsidR="00C972E2" w:rsidRPr="00CE4BA0" w:rsidRDefault="00000000">
            <w:pPr>
              <w:jc w:val="center"/>
            </w:pPr>
            <w:r w:rsidRPr="00CE4BA0">
              <w:t>Not supported</w:t>
            </w:r>
          </w:p>
        </w:tc>
      </w:tr>
      <w:tr w:rsidR="00C972E2" w:rsidRPr="00CE4BA0" w14:paraId="7C26BF05" w14:textId="77777777" w:rsidTr="00A07DEA">
        <w:tblPrEx>
          <w:tblCellMar>
            <w:top w:w="0" w:type="dxa"/>
            <w:bottom w:w="0" w:type="dxa"/>
          </w:tblCellMar>
        </w:tblPrEx>
        <w:tc>
          <w:tcPr>
            <w:tcW w:w="1620" w:type="dxa"/>
            <w:tcMar>
              <w:top w:w="60" w:type="dxa"/>
              <w:left w:w="100" w:type="dxa"/>
              <w:bottom w:w="60" w:type="dxa"/>
              <w:right w:w="100" w:type="dxa"/>
            </w:tcMar>
            <w:vAlign w:val="center"/>
          </w:tcPr>
          <w:p w14:paraId="4CBA07B1" w14:textId="77777777" w:rsidR="00C972E2" w:rsidRPr="00CE4BA0" w:rsidRDefault="00000000">
            <w:r w:rsidRPr="00CE4BA0">
              <w:t>H4</w:t>
            </w:r>
          </w:p>
        </w:tc>
        <w:tc>
          <w:tcPr>
            <w:tcW w:w="4140" w:type="dxa"/>
            <w:tcMar>
              <w:top w:w="60" w:type="dxa"/>
              <w:left w:w="100" w:type="dxa"/>
              <w:bottom w:w="60" w:type="dxa"/>
              <w:right w:w="100" w:type="dxa"/>
            </w:tcMar>
            <w:vAlign w:val="center"/>
          </w:tcPr>
          <w:p w14:paraId="17C5DCD5" w14:textId="77777777" w:rsidR="00C972E2" w:rsidRPr="00CE4BA0" w:rsidRDefault="00000000">
            <w:pPr>
              <w:jc w:val="center"/>
            </w:pPr>
            <w:r w:rsidRPr="00CE4BA0">
              <w:t>FC → engagement (+) and lower drop-off hazard</w:t>
            </w:r>
          </w:p>
        </w:tc>
        <w:tc>
          <w:tcPr>
            <w:tcW w:w="3600" w:type="dxa"/>
            <w:tcMar>
              <w:top w:w="60" w:type="dxa"/>
              <w:left w:w="100" w:type="dxa"/>
              <w:bottom w:w="60" w:type="dxa"/>
              <w:right w:w="100" w:type="dxa"/>
            </w:tcMar>
            <w:vAlign w:val="center"/>
          </w:tcPr>
          <w:p w14:paraId="1CB58E74" w14:textId="77777777" w:rsidR="00C972E2" w:rsidRPr="00CE4BA0" w:rsidRDefault="00000000">
            <w:pPr>
              <w:jc w:val="center"/>
            </w:pPr>
            <w:r w:rsidRPr="00CE4BA0">
              <w:t>Partially supported (engagement only)</w:t>
            </w:r>
          </w:p>
        </w:tc>
      </w:tr>
      <w:tr w:rsidR="00C972E2" w:rsidRPr="00CE4BA0" w14:paraId="40B62B06" w14:textId="77777777" w:rsidTr="00A07DEA">
        <w:tblPrEx>
          <w:tblCellMar>
            <w:top w:w="0" w:type="dxa"/>
            <w:bottom w:w="0" w:type="dxa"/>
          </w:tblCellMar>
        </w:tblPrEx>
        <w:tc>
          <w:tcPr>
            <w:tcW w:w="1620" w:type="dxa"/>
            <w:tcMar>
              <w:top w:w="60" w:type="dxa"/>
              <w:left w:w="100" w:type="dxa"/>
              <w:bottom w:w="60" w:type="dxa"/>
              <w:right w:w="100" w:type="dxa"/>
            </w:tcMar>
            <w:vAlign w:val="center"/>
          </w:tcPr>
          <w:p w14:paraId="757B1C92" w14:textId="77777777" w:rsidR="00C972E2" w:rsidRPr="00CE4BA0" w:rsidRDefault="00000000">
            <w:r w:rsidRPr="00CE4BA0">
              <w:t>H5</w:t>
            </w:r>
          </w:p>
        </w:tc>
        <w:tc>
          <w:tcPr>
            <w:tcW w:w="4140" w:type="dxa"/>
            <w:tcMar>
              <w:top w:w="60" w:type="dxa"/>
              <w:left w:w="100" w:type="dxa"/>
              <w:bottom w:w="60" w:type="dxa"/>
              <w:right w:w="100" w:type="dxa"/>
            </w:tcMar>
            <w:vAlign w:val="center"/>
          </w:tcPr>
          <w:p w14:paraId="0F0413B0" w14:textId="77777777" w:rsidR="00C972E2" w:rsidRPr="00CE4BA0" w:rsidRDefault="00000000">
            <w:pPr>
              <w:jc w:val="center"/>
            </w:pPr>
            <w:r w:rsidRPr="00CE4BA0">
              <w:t>RSE → retrieval success (+) and lower hazard</w:t>
            </w:r>
          </w:p>
        </w:tc>
        <w:tc>
          <w:tcPr>
            <w:tcW w:w="3600" w:type="dxa"/>
            <w:tcMar>
              <w:top w:w="60" w:type="dxa"/>
              <w:left w:w="100" w:type="dxa"/>
              <w:bottom w:w="60" w:type="dxa"/>
              <w:right w:w="100" w:type="dxa"/>
            </w:tcMar>
            <w:vAlign w:val="center"/>
          </w:tcPr>
          <w:p w14:paraId="2A740A26" w14:textId="77777777" w:rsidR="00C972E2" w:rsidRPr="00CE4BA0" w:rsidRDefault="00000000">
            <w:pPr>
              <w:jc w:val="center"/>
            </w:pPr>
            <w:r w:rsidRPr="00CE4BA0">
              <w:t>Partially supported (retrieval only)</w:t>
            </w:r>
          </w:p>
        </w:tc>
      </w:tr>
      <w:tr w:rsidR="00C972E2" w:rsidRPr="00CE4BA0" w14:paraId="588F837D" w14:textId="77777777" w:rsidTr="00A07DEA">
        <w:tblPrEx>
          <w:tblCellMar>
            <w:top w:w="0" w:type="dxa"/>
            <w:bottom w:w="0" w:type="dxa"/>
          </w:tblCellMar>
        </w:tblPrEx>
        <w:tc>
          <w:tcPr>
            <w:tcW w:w="1620" w:type="dxa"/>
            <w:tcBorders>
              <w:bottom w:val="single" w:sz="4" w:space="0" w:color="auto"/>
            </w:tcBorders>
            <w:tcMar>
              <w:top w:w="60" w:type="dxa"/>
              <w:left w:w="100" w:type="dxa"/>
              <w:bottom w:w="60" w:type="dxa"/>
              <w:right w:w="100" w:type="dxa"/>
            </w:tcMar>
            <w:vAlign w:val="center"/>
          </w:tcPr>
          <w:p w14:paraId="279D4924" w14:textId="77777777" w:rsidR="00C972E2" w:rsidRPr="00CE4BA0" w:rsidRDefault="00000000">
            <w:r w:rsidRPr="00CE4BA0">
              <w:t>H6</w:t>
            </w:r>
          </w:p>
        </w:tc>
        <w:tc>
          <w:tcPr>
            <w:tcW w:w="4140" w:type="dxa"/>
            <w:tcBorders>
              <w:bottom w:val="single" w:sz="4" w:space="0" w:color="auto"/>
            </w:tcBorders>
            <w:tcMar>
              <w:top w:w="60" w:type="dxa"/>
              <w:left w:w="100" w:type="dxa"/>
              <w:bottom w:w="60" w:type="dxa"/>
              <w:right w:w="100" w:type="dxa"/>
            </w:tcMar>
            <w:vAlign w:val="center"/>
          </w:tcPr>
          <w:p w14:paraId="580BBA40" w14:textId="77777777" w:rsidR="00C972E2" w:rsidRPr="00CE4BA0" w:rsidRDefault="00000000">
            <w:pPr>
              <w:jc w:val="center"/>
            </w:pPr>
            <w:r w:rsidRPr="00CE4BA0">
              <w:t>Topic differentiates time-to-drop-off</w:t>
            </w:r>
          </w:p>
        </w:tc>
        <w:tc>
          <w:tcPr>
            <w:tcW w:w="3600" w:type="dxa"/>
            <w:tcBorders>
              <w:bottom w:val="single" w:sz="4" w:space="0" w:color="auto"/>
            </w:tcBorders>
            <w:tcMar>
              <w:top w:w="60" w:type="dxa"/>
              <w:left w:w="100" w:type="dxa"/>
              <w:bottom w:w="60" w:type="dxa"/>
              <w:right w:w="100" w:type="dxa"/>
            </w:tcMar>
            <w:vAlign w:val="center"/>
          </w:tcPr>
          <w:p w14:paraId="54F510BA" w14:textId="77777777" w:rsidR="00C972E2" w:rsidRPr="00CE4BA0" w:rsidRDefault="00000000">
            <w:pPr>
              <w:jc w:val="center"/>
            </w:pPr>
            <w:r w:rsidRPr="00CE4BA0">
              <w:t>Supported</w:t>
            </w:r>
          </w:p>
        </w:tc>
      </w:tr>
    </w:tbl>
    <w:p w14:paraId="14B43D09" w14:textId="77777777" w:rsidR="00C972E2" w:rsidRPr="00CE4BA0" w:rsidRDefault="00000000">
      <w:pPr>
        <w:spacing w:before="80" w:after="240"/>
      </w:pPr>
      <w:r w:rsidRPr="00CE4BA0">
        <w:rPr>
          <w:i/>
          <w:iCs/>
        </w:rPr>
        <w:t xml:space="preserve">Note. </w:t>
      </w:r>
      <w:r w:rsidRPr="00CE4BA0">
        <w:t>PE = performance expectancy; EE = effort expectancy; SI = social influence; FC = facilitating conditions; RSE = research self-efficacy.</w:t>
      </w:r>
    </w:p>
    <w:p w14:paraId="575B7536" w14:textId="77777777" w:rsidR="00313367" w:rsidRDefault="00313367" w:rsidP="00313367">
      <w:pPr>
        <w:pStyle w:val="Heading1"/>
        <w:spacing w:before="0" w:after="0"/>
        <w:jc w:val="left"/>
      </w:pPr>
    </w:p>
    <w:p w14:paraId="01F8F307" w14:textId="77777777" w:rsidR="00EA48F8" w:rsidRPr="00EA48F8" w:rsidRDefault="00EA48F8" w:rsidP="00EA48F8">
      <w:pPr>
        <w:spacing w:line="480" w:lineRule="auto"/>
        <w:jc w:val="both"/>
        <w:rPr>
          <w:b/>
          <w:bCs/>
        </w:rPr>
      </w:pPr>
      <w:r w:rsidRPr="00EA48F8">
        <w:rPr>
          <w:b/>
          <w:bCs/>
        </w:rPr>
        <w:t>5. Discussion of Findings</w:t>
      </w:r>
    </w:p>
    <w:p w14:paraId="4690078B" w14:textId="77777777" w:rsidR="00EA48F8" w:rsidRPr="00EA48F8" w:rsidRDefault="00EA48F8" w:rsidP="00EA48F8">
      <w:pPr>
        <w:spacing w:line="480" w:lineRule="auto"/>
        <w:jc w:val="both"/>
        <w:rPr>
          <w:b/>
          <w:bCs/>
        </w:rPr>
      </w:pPr>
      <w:r w:rsidRPr="00EA48F8">
        <w:rPr>
          <w:b/>
          <w:bCs/>
        </w:rPr>
        <w:t>5.1 Interpreting the Socio-Technical Relationship</w:t>
      </w:r>
    </w:p>
    <w:p w14:paraId="1E7E3B96" w14:textId="77777777" w:rsidR="00EA48F8" w:rsidRPr="00EA48F8" w:rsidRDefault="00EA48F8" w:rsidP="00EA48F8">
      <w:pPr>
        <w:spacing w:line="480" w:lineRule="auto"/>
        <w:jc w:val="both"/>
      </w:pPr>
      <w:r w:rsidRPr="00EA48F8">
        <w:t xml:space="preserve">The findings confirm that student engagement with a conversational virtual reference assistant is a socio-technical phenomenon shaped by both technical and social factors. Consistent with STS theory (Bostrom &amp; Heinen, 1977; Trist &amp; Bamforth, 1951), neither subsystem alone adequately explains user outcomes. Approximately two-fifths of all sessions involved access-related challenges, particularly remote-access troubleshooting and full-text/database access, supporting earlier observations by Guy et al. (2023) and </w:t>
      </w:r>
      <w:proofErr w:type="spellStart"/>
      <w:r w:rsidRPr="00EA48F8">
        <w:t>Asemi</w:t>
      </w:r>
      <w:proofErr w:type="spellEnd"/>
      <w:r w:rsidRPr="00EA48F8">
        <w:t xml:space="preserve"> et al. (2021). These technical-friction topics also exhibited the highest risk of abandonment, indicating that infrastructural barriers are not merely common user concerns but major drivers of disengagement. The findings suggest that while positive perceptions may encourage use, severe technical barriers can still cause rapid abandonment, underscoring the importance of robust digital access infrastructure in academic libraries.</w:t>
      </w:r>
    </w:p>
    <w:p w14:paraId="6BC0BD09" w14:textId="77777777" w:rsidR="00EA48F8" w:rsidRPr="00EA48F8" w:rsidRDefault="00EA48F8" w:rsidP="00EA48F8">
      <w:pPr>
        <w:spacing w:line="480" w:lineRule="auto"/>
        <w:jc w:val="both"/>
        <w:rPr>
          <w:b/>
          <w:bCs/>
        </w:rPr>
      </w:pPr>
      <w:r w:rsidRPr="00EA48F8">
        <w:rPr>
          <w:b/>
          <w:bCs/>
        </w:rPr>
        <w:t>5.2 UTAUT Constructs and Behavioural Engagement</w:t>
      </w:r>
    </w:p>
    <w:p w14:paraId="5C20F06A" w14:textId="77777777" w:rsidR="00EA48F8" w:rsidRPr="00EA48F8" w:rsidRDefault="00EA48F8" w:rsidP="00EA48F8">
      <w:pPr>
        <w:spacing w:line="480" w:lineRule="auto"/>
        <w:jc w:val="both"/>
      </w:pPr>
      <w:r w:rsidRPr="00EA48F8">
        <w:lastRenderedPageBreak/>
        <w:t>The study provides partial support for UTAUT. Performance expectancy significantly predicted behavioural engagement, corroborating previous studies that identify perceived usefulness as the strongest determinant of AI adoption and use (Andrews et al., 2021; Habibi et al., 2023; Budhathoki et al., 2024). Facilitating conditions also positively influenced engagement, highlighting the importance of institutional support, training, and access to technological resources. However, effort expectancy and social influence were not significant predictors, consistent with Andrews et al. (2021). This suggests that students view conversational virtual reference assistants primarily as productivity tools whose value depends more on their usefulness and available support than on peer influence or ease of use.</w:t>
      </w:r>
    </w:p>
    <w:p w14:paraId="76B3ECF1" w14:textId="77777777" w:rsidR="00EA48F8" w:rsidRPr="00EA48F8" w:rsidRDefault="00EA48F8" w:rsidP="00EA48F8">
      <w:pPr>
        <w:spacing w:line="480" w:lineRule="auto"/>
        <w:jc w:val="both"/>
        <w:rPr>
          <w:b/>
          <w:bCs/>
        </w:rPr>
      </w:pPr>
      <w:r w:rsidRPr="00EA48F8">
        <w:rPr>
          <w:b/>
          <w:bCs/>
        </w:rPr>
        <w:t>5.3 Research Self-Efficacy and Information Retrieval Outcomes</w:t>
      </w:r>
    </w:p>
    <w:p w14:paraId="6F95E2F7" w14:textId="77777777" w:rsidR="00EA48F8" w:rsidRPr="00EA48F8" w:rsidRDefault="00EA48F8" w:rsidP="00EA48F8">
      <w:pPr>
        <w:spacing w:line="480" w:lineRule="auto"/>
        <w:jc w:val="both"/>
      </w:pPr>
      <w:r w:rsidRPr="00EA48F8">
        <w:t>Research self-efficacy emerged as a significant predictor of both behavioural engagement and retrieval success. This finding aligns with evidence that self-efficacy enhances persistence and effectiveness in digital information environments (Prabowo et al., 2024). Students who were more confident in their research abilities were more likely to engage successfully with the assistant and obtain relevant information. However, self-efficacy did not significantly reduce session abandonment, suggesting that confidence alone may not overcome severe technical obstacles. Thus, while research self-efficacy supports successful information seeking, its influence may be constrained by infrastructural limitations.</w:t>
      </w:r>
    </w:p>
    <w:p w14:paraId="64312307" w14:textId="77777777" w:rsidR="00EA48F8" w:rsidRPr="00EA48F8" w:rsidRDefault="00EA48F8" w:rsidP="00EA48F8">
      <w:pPr>
        <w:spacing w:line="480" w:lineRule="auto"/>
        <w:jc w:val="both"/>
        <w:rPr>
          <w:b/>
          <w:bCs/>
        </w:rPr>
      </w:pPr>
      <w:r w:rsidRPr="00EA48F8">
        <w:rPr>
          <w:b/>
          <w:bCs/>
        </w:rPr>
        <w:t>5.4 Query Characteristics, Retrieval Success, and Session Abandonment</w:t>
      </w:r>
    </w:p>
    <w:p w14:paraId="4C19A2C7" w14:textId="77777777" w:rsidR="00EA48F8" w:rsidRPr="00EA48F8" w:rsidRDefault="00EA48F8" w:rsidP="00EA48F8">
      <w:pPr>
        <w:spacing w:line="480" w:lineRule="auto"/>
        <w:jc w:val="both"/>
      </w:pPr>
      <w:r w:rsidRPr="00EA48F8">
        <w:t xml:space="preserve">The findings demonstrate that behavioural indicators embedded within conversational logs can effectively predict retrieval outcomes. Consistent with Pan et al. (2022), more specific queries and productive reformulation behaviours increased the likelihood of successful retrieval. Supporting Guan et al. (2013), query reformulation appears to be part of the iterative search process rather </w:t>
      </w:r>
      <w:r w:rsidRPr="00EA48F8">
        <w:lastRenderedPageBreak/>
        <w:t>than simply an indicator of failure. Nevertheless, repeated reformulations within technical-friction sessions often reflected mounting frustration and eventual disengagement, highlighting important differences between productive search refinement and unsuccessful attempts to overcome access barriers.</w:t>
      </w:r>
    </w:p>
    <w:p w14:paraId="0E8680F7" w14:textId="77777777" w:rsidR="00EA48F8" w:rsidRPr="00EA48F8" w:rsidRDefault="00EA48F8" w:rsidP="00EA48F8">
      <w:pPr>
        <w:spacing w:line="480" w:lineRule="auto"/>
        <w:jc w:val="both"/>
        <w:rPr>
          <w:b/>
          <w:bCs/>
        </w:rPr>
      </w:pPr>
      <w:r w:rsidRPr="00EA48F8">
        <w:rPr>
          <w:b/>
          <w:bCs/>
        </w:rPr>
        <w:t>5.5 Implications for Socio-Technical Systems Theory</w:t>
      </w:r>
    </w:p>
    <w:p w14:paraId="590E40F2" w14:textId="77777777" w:rsidR="00EA48F8" w:rsidRPr="00EA48F8" w:rsidRDefault="00EA48F8" w:rsidP="00EA48F8">
      <w:pPr>
        <w:spacing w:line="480" w:lineRule="auto"/>
        <w:jc w:val="both"/>
      </w:pPr>
      <w:r w:rsidRPr="00EA48F8">
        <w:t>The study extends STS theory by demonstrating that the influence of social and technical subsystems is outcome-dependent. Performance expectancy, facilitating conditions, and research self-efficacy significantly influenced engagement and retrieval success, whereas technical-friction topics exerted the strongest influence on abandonment. These findings suggest that social factors primarily shape users’ willingness and capacity to engage, while technical factors determine whether engagement can be sustained. Consequently, the relative importance of social and technical elements varies across stages of the information-seeking process.</w:t>
      </w:r>
    </w:p>
    <w:p w14:paraId="12DE6D1E" w14:textId="77777777" w:rsidR="00EA48F8" w:rsidRPr="00EA48F8" w:rsidRDefault="00EA48F8" w:rsidP="00EA48F8">
      <w:pPr>
        <w:spacing w:line="480" w:lineRule="auto"/>
        <w:jc w:val="both"/>
        <w:rPr>
          <w:b/>
          <w:bCs/>
        </w:rPr>
      </w:pPr>
      <w:r w:rsidRPr="00EA48F8">
        <w:rPr>
          <w:b/>
          <w:bCs/>
        </w:rPr>
        <w:t>5.6 Practical Implications for Academic Libraries</w:t>
      </w:r>
    </w:p>
    <w:p w14:paraId="7A0CCC45" w14:textId="77777777" w:rsidR="00EA48F8" w:rsidRPr="00EA48F8" w:rsidRDefault="00EA48F8" w:rsidP="00EA48F8">
      <w:pPr>
        <w:spacing w:line="480" w:lineRule="auto"/>
        <w:jc w:val="both"/>
      </w:pPr>
      <w:r w:rsidRPr="00EA48F8">
        <w:t xml:space="preserve">The findings indicate that reducing technical friction should be a priority for academic libraries seeking to improve conversational AI services. Libraries should strengthen remote-access systems, authentication mechanisms, and database connectivity while implementing automated escalation procedures for high-risk technical queries. At the same time, continued investment in user training, information-literacy programmes, and support services is necessary to enhance research self-efficacy and engagement. Viewed through the TOE framework, these results suggest that successful conversational AI implementation depends not only on technological capability but also on </w:t>
      </w:r>
      <w:proofErr w:type="spellStart"/>
      <w:r w:rsidRPr="00EA48F8">
        <w:t>organisational</w:t>
      </w:r>
      <w:proofErr w:type="spellEnd"/>
      <w:r w:rsidRPr="00EA48F8">
        <w:t xml:space="preserve"> support, staff competence, and sustained infrastructural investment.</w:t>
      </w:r>
    </w:p>
    <w:p w14:paraId="248C66D7" w14:textId="2001D945" w:rsidR="00313367" w:rsidRPr="00313367" w:rsidRDefault="00313367" w:rsidP="00313367">
      <w:pPr>
        <w:spacing w:line="480" w:lineRule="auto"/>
        <w:jc w:val="both"/>
      </w:pPr>
      <w:r w:rsidRPr="00313367">
        <w:t>.</w:t>
      </w:r>
    </w:p>
    <w:p w14:paraId="40A4DC80" w14:textId="77777777" w:rsidR="00EA48F8" w:rsidRPr="00EA48F8" w:rsidRDefault="00EA48F8" w:rsidP="00EA48F8">
      <w:pPr>
        <w:spacing w:line="480" w:lineRule="auto"/>
        <w:jc w:val="both"/>
        <w:rPr>
          <w:b/>
          <w:bCs/>
        </w:rPr>
      </w:pPr>
      <w:r w:rsidRPr="00EA48F8">
        <w:rPr>
          <w:b/>
          <w:bCs/>
        </w:rPr>
        <w:t>6. Conclusion, Recommendations, Limitations, and Future Research</w:t>
      </w:r>
    </w:p>
    <w:p w14:paraId="0FABFE62" w14:textId="77777777" w:rsidR="00EA48F8" w:rsidRPr="00EA48F8" w:rsidRDefault="00EA48F8" w:rsidP="00EA48F8">
      <w:pPr>
        <w:spacing w:line="480" w:lineRule="auto"/>
        <w:jc w:val="both"/>
        <w:rPr>
          <w:b/>
          <w:bCs/>
        </w:rPr>
      </w:pPr>
      <w:r w:rsidRPr="00EA48F8">
        <w:rPr>
          <w:b/>
          <w:bCs/>
        </w:rPr>
        <w:lastRenderedPageBreak/>
        <w:t>6.1 Conclusion</w:t>
      </w:r>
    </w:p>
    <w:p w14:paraId="544AADF2" w14:textId="77777777" w:rsidR="00EA48F8" w:rsidRPr="00EA48F8" w:rsidRDefault="00EA48F8" w:rsidP="00EA48F8">
      <w:pPr>
        <w:spacing w:line="480" w:lineRule="auto"/>
        <w:jc w:val="both"/>
      </w:pPr>
      <w:r w:rsidRPr="00EA48F8">
        <w:t>This study examined student engagement with a conversational virtual reference assistant through an integrated socio-technical framework combining interaction-log data and survey responses. The findings revealed that student queries were dominated by access-related challenges, particularly remote-access troubleshooting and full-text/database access issues, which emerged as the strongest predictors of session abandonment and retrieval failure. Conversely, performance expectancy, facilitating conditions, and research self-efficacy significantly enhanced behavioural engagement, while facilitating conditions and research self-efficacy also improved retrieval success.</w:t>
      </w:r>
    </w:p>
    <w:p w14:paraId="50000D88" w14:textId="77777777" w:rsidR="00EA48F8" w:rsidRPr="00EA48F8" w:rsidRDefault="00EA48F8" w:rsidP="00EA48F8">
      <w:pPr>
        <w:spacing w:line="480" w:lineRule="auto"/>
        <w:jc w:val="both"/>
      </w:pPr>
      <w:r w:rsidRPr="00EA48F8">
        <w:t>The study therefore demonstrates that social and technical subsystems influence different aspects of the information-seeking process. While technical barriers primarily determine when users disengage, social factors shape engagement and successful task completion. By integrating behavioural analytics with technology-acceptance measures, the study provides a practical and replicable framework for using conversational AI data to support evidence-based library services.</w:t>
      </w:r>
    </w:p>
    <w:p w14:paraId="2D13F479" w14:textId="77777777" w:rsidR="00EA48F8" w:rsidRPr="00EA48F8" w:rsidRDefault="00EA48F8" w:rsidP="00EA48F8">
      <w:pPr>
        <w:spacing w:line="480" w:lineRule="auto"/>
        <w:jc w:val="both"/>
        <w:rPr>
          <w:b/>
          <w:bCs/>
        </w:rPr>
      </w:pPr>
      <w:r w:rsidRPr="00EA48F8">
        <w:rPr>
          <w:b/>
          <w:bCs/>
        </w:rPr>
        <w:t>6.2 Recommendations</w:t>
      </w:r>
    </w:p>
    <w:p w14:paraId="7196862B" w14:textId="77777777" w:rsidR="00EA48F8" w:rsidRPr="00EA48F8" w:rsidRDefault="00EA48F8" w:rsidP="00EA48F8">
      <w:pPr>
        <w:pStyle w:val="ListParagraph"/>
        <w:numPr>
          <w:ilvl w:val="0"/>
          <w:numId w:val="5"/>
        </w:numPr>
        <w:spacing w:line="480" w:lineRule="auto"/>
        <w:jc w:val="both"/>
      </w:pPr>
      <w:r w:rsidRPr="00EA48F8">
        <w:t>Based on the findings, the study recommends that university libraries:</w:t>
      </w:r>
    </w:p>
    <w:p w14:paraId="36A61303" w14:textId="77777777" w:rsidR="00EA48F8" w:rsidRPr="00EA48F8" w:rsidRDefault="00EA48F8" w:rsidP="00EA48F8">
      <w:pPr>
        <w:pStyle w:val="ListParagraph"/>
        <w:numPr>
          <w:ilvl w:val="0"/>
          <w:numId w:val="5"/>
        </w:numPr>
        <w:spacing w:line="480" w:lineRule="auto"/>
        <w:jc w:val="both"/>
      </w:pPr>
      <w:proofErr w:type="spellStart"/>
      <w:r w:rsidRPr="00EA48F8">
        <w:t>Prioritise</w:t>
      </w:r>
      <w:proofErr w:type="spellEnd"/>
      <w:r w:rsidRPr="00EA48F8">
        <w:t xml:space="preserve"> improvements in remote-access systems, authentication mechanisms, and database connectivity to reduce access-related abandonment. </w:t>
      </w:r>
    </w:p>
    <w:p w14:paraId="1C342971" w14:textId="77777777" w:rsidR="00EA48F8" w:rsidRPr="00EA48F8" w:rsidRDefault="00EA48F8" w:rsidP="00EA48F8">
      <w:pPr>
        <w:pStyle w:val="ListParagraph"/>
        <w:numPr>
          <w:ilvl w:val="0"/>
          <w:numId w:val="5"/>
        </w:numPr>
        <w:spacing w:line="480" w:lineRule="auto"/>
        <w:jc w:val="both"/>
      </w:pPr>
      <w:r w:rsidRPr="00EA48F8">
        <w:t xml:space="preserve">Implement topic-based escalation mechanisms that automatically route high-risk technical-friction queries to librarians or support staff. </w:t>
      </w:r>
    </w:p>
    <w:p w14:paraId="1826953E" w14:textId="77777777" w:rsidR="00EA48F8" w:rsidRPr="00EA48F8" w:rsidRDefault="00EA48F8" w:rsidP="00EA48F8">
      <w:pPr>
        <w:pStyle w:val="ListParagraph"/>
        <w:numPr>
          <w:ilvl w:val="0"/>
          <w:numId w:val="5"/>
        </w:numPr>
        <w:spacing w:line="480" w:lineRule="auto"/>
        <w:jc w:val="both"/>
      </w:pPr>
      <w:r w:rsidRPr="00EA48F8">
        <w:t xml:space="preserve">Strengthen facilitating conditions through user support services, training programmes, and help-desk assistance. </w:t>
      </w:r>
    </w:p>
    <w:p w14:paraId="1B38200D" w14:textId="77777777" w:rsidR="00EA48F8" w:rsidRPr="00EA48F8" w:rsidRDefault="00EA48F8" w:rsidP="00EA48F8">
      <w:pPr>
        <w:pStyle w:val="ListParagraph"/>
        <w:numPr>
          <w:ilvl w:val="0"/>
          <w:numId w:val="5"/>
        </w:numPr>
        <w:spacing w:line="480" w:lineRule="auto"/>
        <w:jc w:val="both"/>
      </w:pPr>
      <w:r w:rsidRPr="00EA48F8">
        <w:t xml:space="preserve">Enhance students’ research self-efficacy through information-literacy and database-search training. </w:t>
      </w:r>
    </w:p>
    <w:p w14:paraId="533252DC" w14:textId="77777777" w:rsidR="00EA48F8" w:rsidRPr="00EA48F8" w:rsidRDefault="00EA48F8" w:rsidP="00EA48F8">
      <w:pPr>
        <w:pStyle w:val="ListParagraph"/>
        <w:numPr>
          <w:ilvl w:val="0"/>
          <w:numId w:val="5"/>
        </w:numPr>
        <w:spacing w:line="480" w:lineRule="auto"/>
        <w:jc w:val="both"/>
      </w:pPr>
      <w:r w:rsidRPr="00EA48F8">
        <w:lastRenderedPageBreak/>
        <w:t xml:space="preserve">Integrate predictive analytics into library management for continuous monitoring of user engagement and service effectiveness. </w:t>
      </w:r>
    </w:p>
    <w:p w14:paraId="4CA1AE58" w14:textId="77777777" w:rsidR="00EA48F8" w:rsidRPr="00EA48F8" w:rsidRDefault="00EA48F8" w:rsidP="00EA48F8">
      <w:pPr>
        <w:pStyle w:val="ListParagraph"/>
        <w:numPr>
          <w:ilvl w:val="0"/>
          <w:numId w:val="5"/>
        </w:numPr>
        <w:spacing w:line="480" w:lineRule="auto"/>
        <w:jc w:val="both"/>
      </w:pPr>
      <w:r w:rsidRPr="00EA48F8">
        <w:t xml:space="preserve">Continuously refine and retrain conversational AI systems using interaction-log data to improve response quality and retrieval outcomes. </w:t>
      </w:r>
    </w:p>
    <w:p w14:paraId="71AA3970" w14:textId="77777777" w:rsidR="00EA48F8" w:rsidRPr="00EA48F8" w:rsidRDefault="00EA48F8" w:rsidP="00EA48F8">
      <w:pPr>
        <w:spacing w:line="480" w:lineRule="auto"/>
        <w:jc w:val="both"/>
        <w:rPr>
          <w:b/>
          <w:bCs/>
        </w:rPr>
      </w:pPr>
      <w:r w:rsidRPr="00EA48F8">
        <w:rPr>
          <w:b/>
          <w:bCs/>
        </w:rPr>
        <w:t>6.3 Limitations</w:t>
      </w:r>
    </w:p>
    <w:p w14:paraId="2A6A64DE" w14:textId="77777777" w:rsidR="00EA48F8" w:rsidRPr="00EA48F8" w:rsidRDefault="00EA48F8" w:rsidP="00EA48F8">
      <w:pPr>
        <w:spacing w:line="480" w:lineRule="auto"/>
        <w:jc w:val="both"/>
      </w:pPr>
      <w:r w:rsidRPr="00EA48F8">
        <w:t xml:space="preserve">The study is limited by its observational design, which permits predictive but not causal interpretations. The single-institution setting may also restrict the </w:t>
      </w:r>
      <w:proofErr w:type="spellStart"/>
      <w:r w:rsidRPr="00EA48F8">
        <w:t>generalisability</w:t>
      </w:r>
      <w:proofErr w:type="spellEnd"/>
      <w:r w:rsidRPr="00EA48F8">
        <w:t xml:space="preserve"> of the findings. Additionally, retrieval success and query specificity were operational proxies rather than direct measures of research effectiveness. The absence of raw query text prevented independent topic modelling, requiring reliance on pre-classified topic categories. Finally, the non-significant hazard effects of facilitating conditions and research self-efficacy should be interpreted cautiously, as they may reflect limitations of the model specification rather than the absence of underlying relationships.</w:t>
      </w:r>
    </w:p>
    <w:p w14:paraId="4EAC50C5" w14:textId="77777777" w:rsidR="00EA48F8" w:rsidRPr="00EA48F8" w:rsidRDefault="00EA48F8" w:rsidP="00EA48F8">
      <w:pPr>
        <w:spacing w:line="480" w:lineRule="auto"/>
        <w:jc w:val="both"/>
        <w:rPr>
          <w:b/>
          <w:bCs/>
        </w:rPr>
      </w:pPr>
      <w:r w:rsidRPr="00EA48F8">
        <w:rPr>
          <w:b/>
          <w:bCs/>
        </w:rPr>
        <w:t>6.4 Future Research</w:t>
      </w:r>
    </w:p>
    <w:p w14:paraId="43A37147" w14:textId="77777777" w:rsidR="00EA48F8" w:rsidRPr="00EA48F8" w:rsidRDefault="00EA48F8" w:rsidP="00EA48F8">
      <w:pPr>
        <w:spacing w:line="480" w:lineRule="auto"/>
        <w:jc w:val="both"/>
      </w:pPr>
      <w:r w:rsidRPr="00EA48F8">
        <w:t xml:space="preserve">Future studies should replicate the framework across multiple institutions to enhance </w:t>
      </w:r>
      <w:proofErr w:type="spellStart"/>
      <w:r w:rsidRPr="00EA48F8">
        <w:t>generalisability</w:t>
      </w:r>
      <w:proofErr w:type="spellEnd"/>
      <w:r w:rsidRPr="00EA48F8">
        <w:t xml:space="preserve">. Researchers should also </w:t>
      </w:r>
      <w:proofErr w:type="spellStart"/>
      <w:r w:rsidRPr="00EA48F8">
        <w:t>utilise</w:t>
      </w:r>
      <w:proofErr w:type="spellEnd"/>
      <w:r w:rsidRPr="00EA48F8">
        <w:t xml:space="preserve"> raw conversational data to generate topic structures using advanced NLP techniques such as LDA and transformer-based models. Further work could employ time-dependent and machine-learning survival models to better capture dynamic disengagement patterns. Experimental studies are needed to evaluate the effectiveness of topic-based intervention strategies, while future models should incorporate richer session-level variables such as connectivity quality, response latency, trust in AI, and digital literacy. Such efforts will advance the development of predictive and user-</w:t>
      </w:r>
      <w:proofErr w:type="spellStart"/>
      <w:r w:rsidRPr="00EA48F8">
        <w:t>centred</w:t>
      </w:r>
      <w:proofErr w:type="spellEnd"/>
      <w:r w:rsidRPr="00EA48F8">
        <w:t xml:space="preserve"> virtual reference systems capable of providing more effective and equitable research support.</w:t>
      </w:r>
    </w:p>
    <w:p w14:paraId="49707D00" w14:textId="371F2395" w:rsidR="00EA48F8" w:rsidRPr="00EA48F8" w:rsidRDefault="00EA48F8" w:rsidP="00EA48F8">
      <w:pPr>
        <w:spacing w:line="480" w:lineRule="auto"/>
        <w:ind w:firstLine="720"/>
      </w:pPr>
    </w:p>
    <w:p w14:paraId="1FC3FC52" w14:textId="763ADDE8" w:rsidR="00C972E2" w:rsidRPr="00CE4BA0" w:rsidRDefault="00C972E2" w:rsidP="00EA48F8">
      <w:pPr>
        <w:spacing w:line="480" w:lineRule="auto"/>
      </w:pPr>
    </w:p>
    <w:p w14:paraId="238C0D82" w14:textId="77777777" w:rsidR="00EA48F8" w:rsidRDefault="00EA48F8">
      <w:pPr>
        <w:rPr>
          <w:b/>
          <w:bCs/>
        </w:rPr>
      </w:pPr>
      <w:r>
        <w:br w:type="page"/>
      </w:r>
    </w:p>
    <w:p w14:paraId="3CB39973" w14:textId="6805048A" w:rsidR="00C972E2" w:rsidRPr="00CE4BA0" w:rsidRDefault="00000000">
      <w:pPr>
        <w:pStyle w:val="Heading1"/>
        <w:spacing w:before="0" w:after="0"/>
      </w:pPr>
      <w:r w:rsidRPr="00CE4BA0">
        <w:lastRenderedPageBreak/>
        <w:t>References</w:t>
      </w:r>
    </w:p>
    <w:p w14:paraId="5E962981" w14:textId="77777777" w:rsidR="00274CD8" w:rsidRPr="00CE4BA0" w:rsidRDefault="00274CD8" w:rsidP="00274CD8">
      <w:pPr>
        <w:spacing w:line="360" w:lineRule="auto"/>
        <w:ind w:left="720" w:hanging="720"/>
      </w:pPr>
      <w:r w:rsidRPr="00CE4BA0">
        <w:t xml:space="preserve">Ali, M. Y., Naeem, S. B., &amp; Bhatti, R. (2021). Artificial intelligence (AI) in Pakistani university library services. </w:t>
      </w:r>
      <w:r w:rsidRPr="00CE4BA0">
        <w:rPr>
          <w:i/>
          <w:iCs/>
        </w:rPr>
        <w:t>Library Hi Tech News, 38</w:t>
      </w:r>
      <w:r w:rsidRPr="00CE4BA0">
        <w:t>(8), 12–15. https://doi.org/10.1108/LHTN-10-2021-0065</w:t>
      </w:r>
    </w:p>
    <w:p w14:paraId="41C3229D" w14:textId="77777777" w:rsidR="00274CD8" w:rsidRPr="00CE4BA0" w:rsidRDefault="00274CD8" w:rsidP="00274CD8">
      <w:pPr>
        <w:spacing w:line="360" w:lineRule="auto"/>
        <w:ind w:left="720" w:hanging="720"/>
      </w:pPr>
      <w:r w:rsidRPr="00CE4BA0">
        <w:t xml:space="preserve">Ameri, S., Fard, M. J., Chinnam, R. B., &amp; Reddy, C. K. (2016). Survival </w:t>
      </w:r>
      <w:proofErr w:type="gramStart"/>
      <w:r w:rsidRPr="00CE4BA0">
        <w:t>analysis based</w:t>
      </w:r>
      <w:proofErr w:type="gramEnd"/>
      <w:r w:rsidRPr="00CE4BA0">
        <w:t xml:space="preserve"> framework for early prediction of student dropouts. In </w:t>
      </w:r>
      <w:r w:rsidRPr="00CE4BA0">
        <w:rPr>
          <w:i/>
          <w:iCs/>
        </w:rPr>
        <w:t>Proceedings of the 25th ACM International Conference on Information and Knowledge Management</w:t>
      </w:r>
      <w:r w:rsidRPr="00CE4BA0">
        <w:t xml:space="preserve"> (pp. 903–912). Association for Computing Machinery. https://doi.org/10.1145/2983323.2983351</w:t>
      </w:r>
    </w:p>
    <w:p w14:paraId="7613B853" w14:textId="77777777" w:rsidR="00274CD8" w:rsidRPr="00CE4BA0" w:rsidRDefault="00274CD8" w:rsidP="00274CD8">
      <w:pPr>
        <w:spacing w:line="360" w:lineRule="auto"/>
        <w:ind w:left="720" w:hanging="720"/>
      </w:pPr>
      <w:r w:rsidRPr="00CE4BA0">
        <w:t xml:space="preserve">Andrews, J. E., Ward, H., &amp; Yoon, J. (2021). UTAUT as a model for understanding intention to adopt AI and related technologies among librarians. </w:t>
      </w:r>
      <w:r w:rsidRPr="00CE4BA0">
        <w:rPr>
          <w:i/>
          <w:iCs/>
        </w:rPr>
        <w:t>The Journal of Academic Librarianship, 47</w:t>
      </w:r>
      <w:r w:rsidRPr="00CE4BA0">
        <w:t>(6), Article 102437. https://doi.org/10.1016/j.acalib.2021.102437</w:t>
      </w:r>
    </w:p>
    <w:p w14:paraId="6D933971" w14:textId="77777777" w:rsidR="00274CD8" w:rsidRPr="00CE4BA0" w:rsidRDefault="00274CD8" w:rsidP="00274CD8">
      <w:pPr>
        <w:spacing w:line="360" w:lineRule="auto"/>
        <w:ind w:left="720" w:hanging="720"/>
      </w:pPr>
      <w:proofErr w:type="spellStart"/>
      <w:r w:rsidRPr="00CE4BA0">
        <w:t>Asemi</w:t>
      </w:r>
      <w:proofErr w:type="spellEnd"/>
      <w:r w:rsidRPr="00CE4BA0">
        <w:t xml:space="preserve">, A., Ko, A., &amp; </w:t>
      </w:r>
      <w:proofErr w:type="spellStart"/>
      <w:r w:rsidRPr="00CE4BA0">
        <w:t>Nowkarizi</w:t>
      </w:r>
      <w:proofErr w:type="spellEnd"/>
      <w:r w:rsidRPr="00CE4BA0">
        <w:t xml:space="preserve">, M. (2021). Intelligent libraries: A review on expert systems, artificial intelligence, and robot. </w:t>
      </w:r>
      <w:r w:rsidRPr="00CE4BA0">
        <w:rPr>
          <w:i/>
          <w:iCs/>
        </w:rPr>
        <w:t>Library Hi Tech, 39</w:t>
      </w:r>
      <w:r w:rsidRPr="00CE4BA0">
        <w:t>(2), 412–434. https://doi.org/10.1108/LHT-02-2020-0038</w:t>
      </w:r>
    </w:p>
    <w:p w14:paraId="440F9677" w14:textId="77777777" w:rsidR="00274CD8" w:rsidRPr="00CE4BA0" w:rsidRDefault="00274CD8" w:rsidP="00274CD8">
      <w:pPr>
        <w:spacing w:line="360" w:lineRule="auto"/>
        <w:ind w:left="720" w:hanging="720"/>
      </w:pPr>
      <w:r w:rsidRPr="00CE4BA0">
        <w:t xml:space="preserve">Blei, D. M., Ng, A. Y., &amp; Jordan, M. I. (2003). Latent Dirichlet allocation. </w:t>
      </w:r>
      <w:r w:rsidRPr="00CE4BA0">
        <w:rPr>
          <w:i/>
          <w:iCs/>
        </w:rPr>
        <w:t>Journal of Machine Learning Research, 3</w:t>
      </w:r>
      <w:r w:rsidRPr="00CE4BA0">
        <w:t>, 993–1022.</w:t>
      </w:r>
    </w:p>
    <w:p w14:paraId="250C3B28" w14:textId="77777777" w:rsidR="00274CD8" w:rsidRPr="00CE4BA0" w:rsidRDefault="00274CD8" w:rsidP="00274CD8">
      <w:pPr>
        <w:spacing w:line="360" w:lineRule="auto"/>
        <w:ind w:left="720" w:hanging="720"/>
      </w:pPr>
      <w:r w:rsidRPr="00CE4BA0">
        <w:t xml:space="preserve">Bostrom, R. P., &amp; Heinen, J. S. (1977). MIS problems and failures: A socio-technical perspective. Part I: The causes. </w:t>
      </w:r>
      <w:r w:rsidRPr="00CE4BA0">
        <w:rPr>
          <w:i/>
          <w:iCs/>
        </w:rPr>
        <w:t>MIS Quarterly, 1</w:t>
      </w:r>
      <w:r w:rsidRPr="00CE4BA0">
        <w:t>(3), 17–32. https://doi.org/10.2307/248710</w:t>
      </w:r>
    </w:p>
    <w:p w14:paraId="00181325" w14:textId="77777777" w:rsidR="00274CD8" w:rsidRDefault="00274CD8" w:rsidP="00274CD8">
      <w:pPr>
        <w:spacing w:line="360" w:lineRule="auto"/>
        <w:ind w:hanging="720"/>
      </w:pPr>
      <w:r w:rsidRPr="006F2AAB">
        <w:t>Chen, Y. H., Chang, Y. C., &amp; Keng, C. J. (2025). Glory or darkness? An empirical examination of understanding users’ adoption of ChatGPT via the coping theory: the moderating effect of mindfulness. </w:t>
      </w:r>
      <w:r w:rsidRPr="006F2AAB">
        <w:rPr>
          <w:i/>
          <w:iCs/>
        </w:rPr>
        <w:t>Behaviour &amp; Information Technology</w:t>
      </w:r>
      <w:r w:rsidRPr="006F2AAB">
        <w:t>, </w:t>
      </w:r>
      <w:r w:rsidRPr="006F2AAB">
        <w:rPr>
          <w:i/>
          <w:iCs/>
        </w:rPr>
        <w:t>44</w:t>
      </w:r>
      <w:r w:rsidRPr="006F2AAB">
        <w:t>(16), 4017-4036.</w:t>
      </w:r>
    </w:p>
    <w:p w14:paraId="357BD233" w14:textId="7C58075C" w:rsidR="00274CD8" w:rsidRDefault="00274CD8" w:rsidP="00274CD8">
      <w:pPr>
        <w:spacing w:line="360" w:lineRule="auto"/>
        <w:ind w:hanging="720"/>
      </w:pPr>
      <w:r w:rsidRPr="00CE4BA0">
        <w:t xml:space="preserve">Cox, A. M., </w:t>
      </w:r>
      <w:proofErr w:type="spellStart"/>
      <w:r w:rsidRPr="00CE4BA0">
        <w:t>Pinfield</w:t>
      </w:r>
      <w:proofErr w:type="spellEnd"/>
      <w:r w:rsidRPr="00CE4BA0">
        <w:t xml:space="preserve">, S., &amp; Rutter, S. (2019). The intelligent library: Thoughts on the future of the academic library and its librarians. </w:t>
      </w:r>
      <w:r w:rsidRPr="00CE4BA0">
        <w:rPr>
          <w:i/>
          <w:iCs/>
        </w:rPr>
        <w:t>Library Hi Tech, 37</w:t>
      </w:r>
      <w:r w:rsidRPr="00CE4BA0">
        <w:t xml:space="preserve">(3), 418–435. </w:t>
      </w:r>
      <w:hyperlink r:id="rId11" w:history="1">
        <w:r w:rsidRPr="005865A8">
          <w:rPr>
            <w:rStyle w:val="Hyperlink"/>
          </w:rPr>
          <w:t>https://doi.org/10.1108/LHT-08-2018-0105</w:t>
        </w:r>
      </w:hyperlink>
    </w:p>
    <w:p w14:paraId="393DDB68" w14:textId="4E883867" w:rsidR="00274CD8" w:rsidRDefault="00274CD8" w:rsidP="00274CD8">
      <w:pPr>
        <w:spacing w:line="360" w:lineRule="auto"/>
        <w:ind w:hanging="720"/>
      </w:pPr>
      <w:r w:rsidRPr="00CE4BA0">
        <w:t xml:space="preserve">Cox, D. R. (1972). Regression models and life-tables. </w:t>
      </w:r>
      <w:r w:rsidRPr="00CE4BA0">
        <w:rPr>
          <w:i/>
          <w:iCs/>
        </w:rPr>
        <w:t>Journal of the Royal Statistical Society: Series B (Methodological), 34</w:t>
      </w:r>
      <w:r w:rsidRPr="00CE4BA0">
        <w:t xml:space="preserve">(2), 187–220. </w:t>
      </w:r>
      <w:hyperlink r:id="rId12" w:history="1">
        <w:r w:rsidRPr="005865A8">
          <w:rPr>
            <w:rStyle w:val="Hyperlink"/>
          </w:rPr>
          <w:t>https://doi.org/10.1111/j.2517-6161.1972.tb00899.x</w:t>
        </w:r>
      </w:hyperlink>
    </w:p>
    <w:p w14:paraId="1673169C" w14:textId="6D1BA84C" w:rsidR="00274CD8" w:rsidRDefault="00274CD8" w:rsidP="00274CD8">
      <w:pPr>
        <w:spacing w:line="360" w:lineRule="auto"/>
        <w:ind w:hanging="720"/>
      </w:pPr>
      <w:r w:rsidRPr="00CE4BA0">
        <w:t xml:space="preserve">Cronbach, L. J. (1951). Coefficient alpha and the internal structure of tests. </w:t>
      </w:r>
      <w:r w:rsidRPr="00CE4BA0">
        <w:rPr>
          <w:i/>
          <w:iCs/>
        </w:rPr>
        <w:t>Psychometrika, 16</w:t>
      </w:r>
      <w:r w:rsidRPr="00CE4BA0">
        <w:t xml:space="preserve">(3), 297–334. </w:t>
      </w:r>
      <w:hyperlink r:id="rId13" w:history="1">
        <w:r w:rsidRPr="005865A8">
          <w:rPr>
            <w:rStyle w:val="Hyperlink"/>
          </w:rPr>
          <w:t>https://doi.org/10.1007/BF02310555</w:t>
        </w:r>
      </w:hyperlink>
    </w:p>
    <w:p w14:paraId="7A100927" w14:textId="390F2E61" w:rsidR="00274CD8" w:rsidRPr="00CE4BA0" w:rsidRDefault="00274CD8" w:rsidP="00274CD8">
      <w:pPr>
        <w:spacing w:line="360" w:lineRule="auto"/>
        <w:ind w:hanging="720"/>
      </w:pPr>
      <w:r w:rsidRPr="00CE4BA0">
        <w:t xml:space="preserve">Davis, F. D. (1989). Perceived usefulness, perceived ease of use, and user acceptance of information technology. </w:t>
      </w:r>
      <w:r w:rsidRPr="00CE4BA0">
        <w:rPr>
          <w:i/>
          <w:iCs/>
        </w:rPr>
        <w:t>MIS Quarterly, 13</w:t>
      </w:r>
      <w:r w:rsidRPr="00CE4BA0">
        <w:t>(3), 319–340. https://doi.org/10.2307/249008</w:t>
      </w:r>
    </w:p>
    <w:p w14:paraId="543C0BFC" w14:textId="77777777" w:rsidR="00274CD8" w:rsidRDefault="00274CD8" w:rsidP="00274CD8">
      <w:pPr>
        <w:spacing w:line="360" w:lineRule="auto"/>
        <w:ind w:hanging="720"/>
      </w:pPr>
      <w:r w:rsidRPr="006F2AAB">
        <w:lastRenderedPageBreak/>
        <w:t>Guan, D., Zhang, S., &amp; Yang, H. (2013, July). Utilizing query change for session search. In </w:t>
      </w:r>
      <w:r w:rsidRPr="006F2AAB">
        <w:rPr>
          <w:i/>
          <w:iCs/>
        </w:rPr>
        <w:t>Proceedings of the 36th international ACM SIGIR conference on Research and development in information retrieval</w:t>
      </w:r>
      <w:r w:rsidRPr="006F2AAB">
        <w:t> (pp. 453-462).</w:t>
      </w:r>
    </w:p>
    <w:p w14:paraId="1EA4B544" w14:textId="77777777" w:rsidR="00274CD8" w:rsidRDefault="00274CD8" w:rsidP="00274CD8">
      <w:pPr>
        <w:spacing w:line="360" w:lineRule="auto"/>
        <w:ind w:hanging="720"/>
      </w:pPr>
      <w:r w:rsidRPr="006F2AAB">
        <w:t xml:space="preserve">Guy, M. E., Pival, P. R., Lewis, V., &amp; Groome, K. (2023). Chatbots in Canadian academic libraries: An environmental scan. </w:t>
      </w:r>
      <w:r w:rsidRPr="006F2AAB">
        <w:rPr>
          <w:i/>
          <w:iCs/>
        </w:rPr>
        <w:t>Information Technology and Libraries, 42</w:t>
      </w:r>
      <w:r w:rsidRPr="006F2AAB">
        <w:t xml:space="preserve">(4). </w:t>
      </w:r>
      <w:hyperlink r:id="rId14" w:history="1">
        <w:r w:rsidRPr="005865A8">
          <w:rPr>
            <w:rStyle w:val="Hyperlink"/>
          </w:rPr>
          <w:t>https://doi.org/10.5860/ital.v42i4.16511</w:t>
        </w:r>
      </w:hyperlink>
    </w:p>
    <w:p w14:paraId="49CA9798" w14:textId="77777777" w:rsidR="00274CD8" w:rsidRDefault="00274CD8" w:rsidP="00274CD8">
      <w:pPr>
        <w:spacing w:line="360" w:lineRule="auto"/>
        <w:ind w:hanging="720"/>
      </w:pPr>
      <w:r w:rsidRPr="006F2AAB">
        <w:t xml:space="preserve">Habibi, A., Muhaimin, M., </w:t>
      </w:r>
      <w:proofErr w:type="spellStart"/>
      <w:r w:rsidRPr="006F2AAB">
        <w:t>Danibao</w:t>
      </w:r>
      <w:proofErr w:type="spellEnd"/>
      <w:r w:rsidRPr="006F2AAB">
        <w:t>, B. K., Wibowo, Y. G., Wahyuni, S., &amp; Octavia, A. (2023). ChatGPT in higher education learning: Acceptance and use. </w:t>
      </w:r>
      <w:r w:rsidRPr="006F2AAB">
        <w:rPr>
          <w:i/>
          <w:iCs/>
        </w:rPr>
        <w:t>Computers and Education: Artificial Intelligence</w:t>
      </w:r>
      <w:r w:rsidRPr="006F2AAB">
        <w:t>, </w:t>
      </w:r>
      <w:r w:rsidRPr="006F2AAB">
        <w:rPr>
          <w:i/>
          <w:iCs/>
        </w:rPr>
        <w:t>5</w:t>
      </w:r>
      <w:r w:rsidRPr="006F2AAB">
        <w:t>, 100190.</w:t>
      </w:r>
    </w:p>
    <w:p w14:paraId="4E773C08" w14:textId="77777777" w:rsidR="00274CD8" w:rsidRDefault="00274CD8" w:rsidP="00274CD8">
      <w:pPr>
        <w:spacing w:line="360" w:lineRule="auto"/>
        <w:ind w:hanging="720"/>
      </w:pPr>
      <w:r w:rsidRPr="00CE4BA0">
        <w:t xml:space="preserve">Hair, J. F., Black, W. C., Babin, B. J., &amp; Anderson, R. E. (2019). </w:t>
      </w:r>
      <w:r w:rsidRPr="00CE4BA0">
        <w:rPr>
          <w:i/>
          <w:iCs/>
        </w:rPr>
        <w:t>Multivariate data analysis</w:t>
      </w:r>
      <w:r w:rsidRPr="00CE4BA0">
        <w:t xml:space="preserve"> (8th ed.). Cengage.</w:t>
      </w:r>
    </w:p>
    <w:p w14:paraId="5A22A4DA" w14:textId="6E159EBA" w:rsidR="00274CD8" w:rsidRPr="00CE4BA0" w:rsidRDefault="00274CD8" w:rsidP="00274CD8">
      <w:pPr>
        <w:spacing w:line="360" w:lineRule="auto"/>
        <w:ind w:hanging="720"/>
      </w:pPr>
      <w:r w:rsidRPr="00CE4BA0">
        <w:t>Hervieux, S., &amp; Wheatley, A. (Eds.). (2022). </w:t>
      </w:r>
      <w:r w:rsidRPr="00CE4BA0">
        <w:rPr>
          <w:i/>
          <w:iCs/>
        </w:rPr>
        <w:t>The rise of AI: Implications and applications of artificial intelligence in academic libraries</w:t>
      </w:r>
      <w:r w:rsidRPr="00CE4BA0">
        <w:t>. Chicago, IL: Association of College and Research Libraries</w:t>
      </w:r>
      <w:r w:rsidRPr="00CE4BA0">
        <w:t>.</w:t>
      </w:r>
    </w:p>
    <w:p w14:paraId="7E1B1F06" w14:textId="77777777" w:rsidR="00274CD8" w:rsidRPr="00CE4BA0" w:rsidRDefault="00274CD8" w:rsidP="00274CD8">
      <w:pPr>
        <w:spacing w:line="360" w:lineRule="auto"/>
        <w:ind w:left="720" w:hanging="720"/>
      </w:pPr>
      <w:r w:rsidRPr="00CE4BA0">
        <w:t xml:space="preserve">Kaplan, E. L., &amp; Meier, P. (1958). Nonparametric estimation from incomplete observations. </w:t>
      </w:r>
      <w:r w:rsidRPr="00CE4BA0">
        <w:rPr>
          <w:i/>
          <w:iCs/>
        </w:rPr>
        <w:t>Journal of the American Statistical Association, 53</w:t>
      </w:r>
      <w:r w:rsidRPr="00CE4BA0">
        <w:t>(282), 457–481. https://doi.org/10.2307/2281868</w:t>
      </w:r>
    </w:p>
    <w:p w14:paraId="71823598" w14:textId="77777777" w:rsidR="00274CD8" w:rsidRPr="00CE4BA0" w:rsidRDefault="00274CD8" w:rsidP="00274CD8">
      <w:pPr>
        <w:spacing w:line="360" w:lineRule="auto"/>
        <w:ind w:left="720" w:hanging="720"/>
      </w:pPr>
      <w:r w:rsidRPr="00CE4BA0">
        <w:t xml:space="preserve">Nunnally, J. C., &amp; Bernstein, I. H. (1994). </w:t>
      </w:r>
      <w:r w:rsidRPr="00CE4BA0">
        <w:rPr>
          <w:i/>
          <w:iCs/>
        </w:rPr>
        <w:t>Psychometric theory</w:t>
      </w:r>
      <w:r w:rsidRPr="00CE4BA0">
        <w:t xml:space="preserve"> (3rd ed.). McGraw-Hill.</w:t>
      </w:r>
    </w:p>
    <w:p w14:paraId="2B4EF158" w14:textId="77777777" w:rsidR="00274CD8" w:rsidRDefault="00274CD8" w:rsidP="00274CD8">
      <w:pPr>
        <w:spacing w:line="360" w:lineRule="auto"/>
        <w:ind w:hanging="720"/>
      </w:pPr>
      <w:r w:rsidRPr="006F2AAB">
        <w:t xml:space="preserve">Pan, F., Huang, B., Zhang, C., Zhu, X., Wu, Z., Zhang, M., ... &amp; Li, Z. (2022). A survival </w:t>
      </w:r>
      <w:proofErr w:type="gramStart"/>
      <w:r w:rsidRPr="006F2AAB">
        <w:t>analysis based</w:t>
      </w:r>
      <w:proofErr w:type="gramEnd"/>
      <w:r w:rsidRPr="006F2AAB">
        <w:t xml:space="preserve"> volatility and sparsity modeling network for student dropout prediction. </w:t>
      </w:r>
      <w:proofErr w:type="spellStart"/>
      <w:r w:rsidRPr="006F2AAB">
        <w:rPr>
          <w:i/>
          <w:iCs/>
        </w:rPr>
        <w:t>PloS</w:t>
      </w:r>
      <w:proofErr w:type="spellEnd"/>
      <w:r w:rsidRPr="006F2AAB">
        <w:rPr>
          <w:i/>
          <w:iCs/>
        </w:rPr>
        <w:t xml:space="preserve"> one</w:t>
      </w:r>
      <w:r w:rsidRPr="006F2AAB">
        <w:t>, </w:t>
      </w:r>
      <w:r w:rsidRPr="006F2AAB">
        <w:rPr>
          <w:i/>
          <w:iCs/>
        </w:rPr>
        <w:t>17</w:t>
      </w:r>
      <w:r w:rsidRPr="006F2AAB">
        <w:t>(5), e0267138.</w:t>
      </w:r>
    </w:p>
    <w:p w14:paraId="0E8D90D1" w14:textId="77777777" w:rsidR="00274CD8" w:rsidRDefault="00274CD8" w:rsidP="00274CD8">
      <w:pPr>
        <w:spacing w:line="360" w:lineRule="auto"/>
        <w:ind w:hanging="720"/>
      </w:pPr>
      <w:r w:rsidRPr="006F2AAB">
        <w:t xml:space="preserve">Prabowo, T. T., </w:t>
      </w:r>
      <w:proofErr w:type="spellStart"/>
      <w:r w:rsidRPr="006F2AAB">
        <w:t>Sitthiworachart</w:t>
      </w:r>
      <w:proofErr w:type="spellEnd"/>
      <w:r w:rsidRPr="006F2AAB">
        <w:t>, J., &amp; Lo, C. K. (2024). Demographic analysis of information literacy self-efficacy among library and information science students in Indonesia. </w:t>
      </w:r>
      <w:r w:rsidRPr="006F2AAB">
        <w:rPr>
          <w:i/>
          <w:iCs/>
        </w:rPr>
        <w:t>Library &amp; Information Science Research</w:t>
      </w:r>
      <w:r w:rsidRPr="006F2AAB">
        <w:t>, </w:t>
      </w:r>
      <w:r w:rsidRPr="006F2AAB">
        <w:rPr>
          <w:i/>
          <w:iCs/>
        </w:rPr>
        <w:t>46</w:t>
      </w:r>
      <w:r w:rsidRPr="006F2AAB">
        <w:t>(1), 101281.</w:t>
      </w:r>
    </w:p>
    <w:p w14:paraId="67F95F37" w14:textId="77777777" w:rsidR="00274CD8" w:rsidRDefault="00274CD8" w:rsidP="00274CD8">
      <w:pPr>
        <w:spacing w:line="360" w:lineRule="auto"/>
        <w:ind w:hanging="720"/>
      </w:pPr>
      <w:r w:rsidRPr="006F2AAB">
        <w:t xml:space="preserve">Sergeeva, O. V., Zheltukhina, M. R., </w:t>
      </w:r>
      <w:proofErr w:type="spellStart"/>
      <w:r w:rsidRPr="006F2AAB">
        <w:t>Shoustikova</w:t>
      </w:r>
      <w:proofErr w:type="spellEnd"/>
      <w:r w:rsidRPr="006F2AAB">
        <w:t xml:space="preserve">, T., </w:t>
      </w:r>
      <w:proofErr w:type="spellStart"/>
      <w:r w:rsidRPr="006F2AAB">
        <w:t>Tukhvatullina</w:t>
      </w:r>
      <w:proofErr w:type="spellEnd"/>
      <w:r w:rsidRPr="006F2AAB">
        <w:t xml:space="preserve">, L. R., </w:t>
      </w:r>
      <w:proofErr w:type="spellStart"/>
      <w:r w:rsidRPr="006F2AAB">
        <w:t>Dobrokhotov</w:t>
      </w:r>
      <w:proofErr w:type="spellEnd"/>
      <w:r w:rsidRPr="006F2AAB">
        <w:t>, D. A., &amp; Kondrashev, S. V. (2025). Understanding higher education students’ adoption of generative AI technologies: An empirical investigation using UTAUT2. </w:t>
      </w:r>
      <w:r w:rsidRPr="006F2AAB">
        <w:rPr>
          <w:i/>
          <w:iCs/>
        </w:rPr>
        <w:t>Contemporary Educational Technology</w:t>
      </w:r>
      <w:r w:rsidRPr="006F2AAB">
        <w:t>, </w:t>
      </w:r>
      <w:r w:rsidRPr="006F2AAB">
        <w:rPr>
          <w:i/>
          <w:iCs/>
        </w:rPr>
        <w:t>17</w:t>
      </w:r>
      <w:r w:rsidRPr="006F2AAB">
        <w:t>(2), ep571.</w:t>
      </w:r>
    </w:p>
    <w:p w14:paraId="64C6B125" w14:textId="77777777" w:rsidR="00274CD8" w:rsidRPr="00CE4BA0" w:rsidRDefault="00274CD8" w:rsidP="00274CD8">
      <w:pPr>
        <w:spacing w:line="360" w:lineRule="auto"/>
        <w:ind w:left="720" w:hanging="720"/>
      </w:pPr>
      <w:r w:rsidRPr="00CE4BA0">
        <w:t xml:space="preserve">Tinto, V. (1975). Dropout from higher education: A theoretical synthesis of recent research. </w:t>
      </w:r>
      <w:r w:rsidRPr="00CE4BA0">
        <w:rPr>
          <w:i/>
          <w:iCs/>
        </w:rPr>
        <w:t>Review of Educational Research, 45</w:t>
      </w:r>
      <w:r w:rsidRPr="00CE4BA0">
        <w:t>(1), 89–125. https://doi.org/10.3102/00346543045001089</w:t>
      </w:r>
    </w:p>
    <w:p w14:paraId="3586D56C" w14:textId="77777777" w:rsidR="00274CD8" w:rsidRPr="00CE4BA0" w:rsidRDefault="00274CD8" w:rsidP="00274CD8">
      <w:pPr>
        <w:spacing w:line="360" w:lineRule="auto"/>
        <w:ind w:left="720" w:hanging="720"/>
      </w:pPr>
      <w:r w:rsidRPr="00CE4BA0">
        <w:lastRenderedPageBreak/>
        <w:t xml:space="preserve">Tinto, V. (2017). Through the eyes of students. </w:t>
      </w:r>
      <w:r w:rsidRPr="00CE4BA0">
        <w:rPr>
          <w:i/>
          <w:iCs/>
        </w:rPr>
        <w:t>Journal of College Student Retention: Research, Theory &amp; Practice, 19</w:t>
      </w:r>
      <w:r w:rsidRPr="00CE4BA0">
        <w:t>(3), 254–269. https://doi.org/10.1177/1521025115621917</w:t>
      </w:r>
    </w:p>
    <w:p w14:paraId="10B6692D" w14:textId="77777777" w:rsidR="00274CD8" w:rsidRPr="00CE4BA0" w:rsidRDefault="00274CD8" w:rsidP="00274CD8">
      <w:pPr>
        <w:spacing w:line="360" w:lineRule="auto"/>
        <w:ind w:left="720" w:hanging="720"/>
      </w:pPr>
      <w:r w:rsidRPr="00CE4BA0">
        <w:t xml:space="preserve">Tornatzky, L. G., &amp; Fleischer, M. (1990). </w:t>
      </w:r>
      <w:r w:rsidRPr="00CE4BA0">
        <w:rPr>
          <w:i/>
          <w:iCs/>
        </w:rPr>
        <w:t>The processes of technological innovation</w:t>
      </w:r>
      <w:r w:rsidRPr="00CE4BA0">
        <w:t>. Lexington Books.</w:t>
      </w:r>
    </w:p>
    <w:p w14:paraId="40EDAE20" w14:textId="77777777" w:rsidR="00274CD8" w:rsidRPr="00CE4BA0" w:rsidRDefault="00274CD8" w:rsidP="00274CD8">
      <w:pPr>
        <w:spacing w:line="360" w:lineRule="auto"/>
        <w:ind w:left="720" w:hanging="720"/>
      </w:pPr>
      <w:r w:rsidRPr="00CE4BA0">
        <w:t xml:space="preserve">Trist, E. L., &amp; Bamforth, K. W. (1951). Some social and psychological consequences of the longwall method of coal-getting. </w:t>
      </w:r>
      <w:r w:rsidRPr="00CE4BA0">
        <w:rPr>
          <w:i/>
          <w:iCs/>
        </w:rPr>
        <w:t>Human Relations, 4</w:t>
      </w:r>
      <w:r w:rsidRPr="00CE4BA0">
        <w:t>(1), 3–38. https://doi.org/10.1177/001872675100400101</w:t>
      </w:r>
    </w:p>
    <w:p w14:paraId="793DE61A" w14:textId="77777777" w:rsidR="00274CD8" w:rsidRPr="00CE4BA0" w:rsidRDefault="00274CD8" w:rsidP="00274CD8">
      <w:pPr>
        <w:spacing w:line="360" w:lineRule="auto"/>
        <w:ind w:left="720" w:hanging="720"/>
      </w:pPr>
      <w:r w:rsidRPr="00CE4BA0">
        <w:t xml:space="preserve">Venkatesh, V., Morris, M. G., Davis, G. B., &amp; Davis, F. D. (2003). User acceptance of information technology: Toward a unified view. </w:t>
      </w:r>
      <w:r w:rsidRPr="00CE4BA0">
        <w:rPr>
          <w:i/>
          <w:iCs/>
        </w:rPr>
        <w:t>MIS Quarterly, 27</w:t>
      </w:r>
      <w:r w:rsidRPr="00CE4BA0">
        <w:t>(3), 425–478. https://doi.org/10.2307/30036540</w:t>
      </w:r>
    </w:p>
    <w:p w14:paraId="56B16389" w14:textId="77777777" w:rsidR="00274CD8" w:rsidRPr="00CE4BA0" w:rsidRDefault="00274CD8" w:rsidP="00274CD8">
      <w:pPr>
        <w:spacing w:line="360" w:lineRule="auto"/>
        <w:ind w:left="720" w:hanging="720"/>
      </w:pPr>
      <w:r w:rsidRPr="00CE4BA0">
        <w:t xml:space="preserve">Venkatesh, V., Thong, J. Y. L., &amp; Xu, X. (2012). Consumer acceptance and use of information technology: Extending the unified theory of acceptance and use of technology. </w:t>
      </w:r>
      <w:r w:rsidRPr="00CE4BA0">
        <w:rPr>
          <w:i/>
          <w:iCs/>
        </w:rPr>
        <w:t>MIS Quarterly, 36</w:t>
      </w:r>
      <w:r w:rsidRPr="00CE4BA0">
        <w:t>(1), 157–178. https://doi.org/10.2307/41410412</w:t>
      </w:r>
    </w:p>
    <w:p w14:paraId="6E4474C7" w14:textId="77777777" w:rsidR="00274CD8" w:rsidRDefault="00274CD8" w:rsidP="00274CD8">
      <w:pPr>
        <w:spacing w:line="360" w:lineRule="auto"/>
        <w:ind w:left="720" w:hanging="720"/>
      </w:pPr>
      <w:proofErr w:type="spellStart"/>
      <w:r w:rsidRPr="00CE4BA0">
        <w:t>Yallappa</w:t>
      </w:r>
      <w:proofErr w:type="spellEnd"/>
      <w:r w:rsidRPr="00CE4BA0">
        <w:t xml:space="preserve">. (2026). Application of AI-based chatbots in academic library reference services: A study. </w:t>
      </w:r>
      <w:r w:rsidRPr="00CE4BA0">
        <w:rPr>
          <w:i/>
          <w:iCs/>
        </w:rPr>
        <w:t>Journal of Library and Information Science Technology, 8</w:t>
      </w:r>
      <w:r w:rsidRPr="00CE4BA0">
        <w:t xml:space="preserve">(1), 1–5. </w:t>
      </w:r>
      <w:hyperlink r:id="rId15" w:history="1">
        <w:r w:rsidRPr="005865A8">
          <w:rPr>
            <w:rStyle w:val="Hyperlink"/>
          </w:rPr>
          <w:t>https://doi.org/10.34218/JLIST_08_01_001</w:t>
        </w:r>
      </w:hyperlink>
    </w:p>
    <w:p w14:paraId="0F0DEB61" w14:textId="77777777" w:rsidR="00593527" w:rsidRPr="00CE4BA0" w:rsidRDefault="00593527">
      <w:pPr>
        <w:spacing w:line="480" w:lineRule="auto"/>
        <w:ind w:left="720" w:hanging="720"/>
      </w:pPr>
    </w:p>
    <w:sectPr w:rsidR="00593527" w:rsidRPr="00CE4BA0">
      <w:headerReference w:type="default" r:id="rId16"/>
      <w:footerReference w:type="default" r:id="rId17"/>
      <w:headerReference w:type="firs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BC00" w14:textId="77777777" w:rsidR="00E43744" w:rsidRDefault="00E43744">
      <w:r>
        <w:separator/>
      </w:r>
    </w:p>
  </w:endnote>
  <w:endnote w:type="continuationSeparator" w:id="0">
    <w:p w14:paraId="65681E87" w14:textId="77777777" w:rsidR="00E43744" w:rsidRDefault="00E4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786700"/>
      <w:docPartObj>
        <w:docPartGallery w:val="Page Numbers (Bottom of Page)"/>
        <w:docPartUnique/>
      </w:docPartObj>
    </w:sdtPr>
    <w:sdtEndPr>
      <w:rPr>
        <w:noProof/>
      </w:rPr>
    </w:sdtEndPr>
    <w:sdtContent>
      <w:p w14:paraId="04D6C458" w14:textId="1DA05B8A" w:rsidR="006124DC" w:rsidRDefault="00612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DC8B8" w14:textId="77777777" w:rsidR="006124DC" w:rsidRDefault="00612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4B79" w14:textId="77777777" w:rsidR="00E43744" w:rsidRDefault="00E43744">
      <w:r>
        <w:separator/>
      </w:r>
    </w:p>
  </w:footnote>
  <w:footnote w:type="continuationSeparator" w:id="0">
    <w:p w14:paraId="20816652" w14:textId="77777777" w:rsidR="00E43744" w:rsidRDefault="00E4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6D31" w14:textId="26FC5FB9" w:rsidR="00C972E2" w:rsidRDefault="00C972E2">
    <w:pPr>
      <w:tabs>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9596" w14:textId="77777777" w:rsidR="00C972E2" w:rsidRDefault="00000000">
    <w:pPr>
      <w:tabs>
        <w:tab w:val="right" w:pos="9026"/>
      </w:tabs>
    </w:pPr>
    <w:r>
      <w:t>PREDICTIVE MODELING OF STUDENT RESEARCH ENGAGEMENT</w:t>
    </w:r>
    <w:r>
      <w:tab/>
    </w:r>
    <w:r>
      <w:fldChar w:fldCharType="begin"/>
    </w:r>
    <w:r>
      <w:instrText>PAGE</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1FA8"/>
    <w:multiLevelType w:val="hybridMultilevel"/>
    <w:tmpl w:val="531A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B2A58"/>
    <w:multiLevelType w:val="multilevel"/>
    <w:tmpl w:val="486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A34D0"/>
    <w:multiLevelType w:val="multilevel"/>
    <w:tmpl w:val="8C20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E070C6"/>
    <w:multiLevelType w:val="multilevel"/>
    <w:tmpl w:val="65F0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4D1E65"/>
    <w:multiLevelType w:val="hybridMultilevel"/>
    <w:tmpl w:val="792AA9AA"/>
    <w:lvl w:ilvl="0" w:tplc="7CC4DDD6">
      <w:start w:val="1"/>
      <w:numFmt w:val="bullet"/>
      <w:lvlText w:val="●"/>
      <w:lvlJc w:val="left"/>
      <w:pPr>
        <w:ind w:left="720" w:hanging="360"/>
      </w:pPr>
    </w:lvl>
    <w:lvl w:ilvl="1" w:tplc="1820DAEE">
      <w:start w:val="1"/>
      <w:numFmt w:val="bullet"/>
      <w:lvlText w:val="○"/>
      <w:lvlJc w:val="left"/>
      <w:pPr>
        <w:ind w:left="1440" w:hanging="360"/>
      </w:pPr>
    </w:lvl>
    <w:lvl w:ilvl="2" w:tplc="88081CF8">
      <w:start w:val="1"/>
      <w:numFmt w:val="bullet"/>
      <w:lvlText w:val="■"/>
      <w:lvlJc w:val="left"/>
      <w:pPr>
        <w:ind w:left="2160" w:hanging="360"/>
      </w:pPr>
    </w:lvl>
    <w:lvl w:ilvl="3" w:tplc="D626FA0A">
      <w:start w:val="1"/>
      <w:numFmt w:val="bullet"/>
      <w:lvlText w:val="●"/>
      <w:lvlJc w:val="left"/>
      <w:pPr>
        <w:ind w:left="2880" w:hanging="360"/>
      </w:pPr>
    </w:lvl>
    <w:lvl w:ilvl="4" w:tplc="DA16154A">
      <w:start w:val="1"/>
      <w:numFmt w:val="bullet"/>
      <w:lvlText w:val="○"/>
      <w:lvlJc w:val="left"/>
      <w:pPr>
        <w:ind w:left="3600" w:hanging="360"/>
      </w:pPr>
    </w:lvl>
    <w:lvl w:ilvl="5" w:tplc="37A2A5E0">
      <w:start w:val="1"/>
      <w:numFmt w:val="bullet"/>
      <w:lvlText w:val="■"/>
      <w:lvlJc w:val="left"/>
      <w:pPr>
        <w:ind w:left="4320" w:hanging="360"/>
      </w:pPr>
    </w:lvl>
    <w:lvl w:ilvl="6" w:tplc="FB5CA7F0">
      <w:start w:val="1"/>
      <w:numFmt w:val="bullet"/>
      <w:lvlText w:val="●"/>
      <w:lvlJc w:val="left"/>
      <w:pPr>
        <w:ind w:left="5040" w:hanging="360"/>
      </w:pPr>
    </w:lvl>
    <w:lvl w:ilvl="7" w:tplc="55C4ADBA">
      <w:start w:val="1"/>
      <w:numFmt w:val="bullet"/>
      <w:lvlText w:val="●"/>
      <w:lvlJc w:val="left"/>
      <w:pPr>
        <w:ind w:left="5760" w:hanging="360"/>
      </w:pPr>
    </w:lvl>
    <w:lvl w:ilvl="8" w:tplc="6DA82F92">
      <w:start w:val="1"/>
      <w:numFmt w:val="bullet"/>
      <w:lvlText w:val="●"/>
      <w:lvlJc w:val="left"/>
      <w:pPr>
        <w:ind w:left="6480" w:hanging="360"/>
      </w:pPr>
    </w:lvl>
  </w:abstractNum>
  <w:num w:numId="1" w16cid:durableId="3560947">
    <w:abstractNumId w:val="4"/>
    <w:lvlOverride w:ilvl="0">
      <w:startOverride w:val="1"/>
    </w:lvlOverride>
  </w:num>
  <w:num w:numId="2" w16cid:durableId="1158959239">
    <w:abstractNumId w:val="1"/>
  </w:num>
  <w:num w:numId="3" w16cid:durableId="581449662">
    <w:abstractNumId w:val="3"/>
  </w:num>
  <w:num w:numId="4" w16cid:durableId="926840204">
    <w:abstractNumId w:val="2"/>
  </w:num>
  <w:num w:numId="5" w16cid:durableId="20303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2"/>
    <w:rsid w:val="000B2543"/>
    <w:rsid w:val="001803DB"/>
    <w:rsid w:val="00274CD8"/>
    <w:rsid w:val="00313367"/>
    <w:rsid w:val="00387A7E"/>
    <w:rsid w:val="00396ACE"/>
    <w:rsid w:val="00502C33"/>
    <w:rsid w:val="005139CE"/>
    <w:rsid w:val="00546BCF"/>
    <w:rsid w:val="00593527"/>
    <w:rsid w:val="006124DC"/>
    <w:rsid w:val="00660F3B"/>
    <w:rsid w:val="007643B0"/>
    <w:rsid w:val="008371CF"/>
    <w:rsid w:val="00A07DEA"/>
    <w:rsid w:val="00A365D9"/>
    <w:rsid w:val="00A45B19"/>
    <w:rsid w:val="00AA33C0"/>
    <w:rsid w:val="00BB6445"/>
    <w:rsid w:val="00C02A3A"/>
    <w:rsid w:val="00C972E2"/>
    <w:rsid w:val="00CE4BA0"/>
    <w:rsid w:val="00E43744"/>
    <w:rsid w:val="00EA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5756"/>
  <w15:docId w15:val="{7DA3ECF8-47C9-47E5-807A-720A687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line="480" w:lineRule="auto"/>
      <w:jc w:val="center"/>
      <w:outlineLvl w:val="0"/>
    </w:pPr>
    <w:rPr>
      <w:b/>
      <w:bCs/>
    </w:rPr>
  </w:style>
  <w:style w:type="paragraph" w:styleId="Heading2">
    <w:name w:val="heading 2"/>
    <w:uiPriority w:val="9"/>
    <w:unhideWhenUsed/>
    <w:qFormat/>
    <w:pPr>
      <w:spacing w:before="240" w:after="240" w:line="480" w:lineRule="auto"/>
      <w:outlineLvl w:val="1"/>
    </w:pPr>
    <w:rPr>
      <w:b/>
      <w:bCs/>
    </w:rPr>
  </w:style>
  <w:style w:type="paragraph" w:styleId="Heading3">
    <w:name w:val="heading 3"/>
    <w:uiPriority w:val="9"/>
    <w:semiHidden/>
    <w:unhideWhenUsed/>
    <w:qFormat/>
    <w:pPr>
      <w:spacing w:before="240" w:after="240" w:line="480" w:lineRule="auto"/>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93527"/>
    <w:rPr>
      <w:color w:val="605E5C"/>
      <w:shd w:val="clear" w:color="auto" w:fill="E1DFDD"/>
    </w:rPr>
  </w:style>
  <w:style w:type="paragraph" w:styleId="Header">
    <w:name w:val="header"/>
    <w:basedOn w:val="Normal"/>
    <w:link w:val="HeaderChar"/>
    <w:uiPriority w:val="99"/>
    <w:unhideWhenUsed/>
    <w:rsid w:val="006124DC"/>
    <w:pPr>
      <w:tabs>
        <w:tab w:val="center" w:pos="4680"/>
        <w:tab w:val="right" w:pos="9360"/>
      </w:tabs>
    </w:pPr>
  </w:style>
  <w:style w:type="character" w:customStyle="1" w:styleId="HeaderChar">
    <w:name w:val="Header Char"/>
    <w:basedOn w:val="DefaultParagraphFont"/>
    <w:link w:val="Header"/>
    <w:uiPriority w:val="99"/>
    <w:rsid w:val="006124DC"/>
  </w:style>
  <w:style w:type="paragraph" w:styleId="Footer">
    <w:name w:val="footer"/>
    <w:basedOn w:val="Normal"/>
    <w:link w:val="FooterChar"/>
    <w:uiPriority w:val="99"/>
    <w:unhideWhenUsed/>
    <w:rsid w:val="006124DC"/>
    <w:pPr>
      <w:tabs>
        <w:tab w:val="center" w:pos="4680"/>
        <w:tab w:val="right" w:pos="9360"/>
      </w:tabs>
    </w:pPr>
  </w:style>
  <w:style w:type="character" w:customStyle="1" w:styleId="FooterChar">
    <w:name w:val="Footer Char"/>
    <w:basedOn w:val="DefaultParagraphFont"/>
    <w:link w:val="Footer"/>
    <w:uiPriority w:val="99"/>
    <w:rsid w:val="0061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BF02310555"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11/j.2517-6161.1972.tb00899.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LHT-08-2018-0105" TargetMode="External"/><Relationship Id="rId5" Type="http://schemas.openxmlformats.org/officeDocument/2006/relationships/footnotes" Target="footnotes.xml"/><Relationship Id="rId15" Type="http://schemas.openxmlformats.org/officeDocument/2006/relationships/hyperlink" Target="https://doi.org/10.34218/JLIST_08_01_001"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860/ital.v42i4.16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37</Pages>
  <Words>8660</Words>
  <Characters>49365</Characters>
  <Application>Microsoft Office Word</Application>
  <DocSecurity>0</DocSecurity>
  <Lines>411</Lines>
  <Paragraphs>115</Paragraphs>
  <ScaleCrop>false</ScaleCrop>
  <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Predictive Modeling of Student Research Engagement Using Conversational AI Logs</dc:title>
  <dc:creator>Claude</dc:creator>
  <cp:lastModifiedBy>Emmanuel Chukwu</cp:lastModifiedBy>
  <cp:revision>6</cp:revision>
  <cp:lastPrinted>2026-06-24T20:14:00Z</cp:lastPrinted>
  <dcterms:created xsi:type="dcterms:W3CDTF">2026-06-24T20:13:00Z</dcterms:created>
  <dcterms:modified xsi:type="dcterms:W3CDTF">2026-06-25T06:02:00Z</dcterms:modified>
</cp:coreProperties>
</file>