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2B1" w14:textId="4C7B80D7" w:rsidR="00232602" w:rsidRPr="001D0AE5" w:rsidRDefault="00EE358E" w:rsidP="00232602">
      <w:pPr>
        <w:jc w:val="center"/>
        <w:rPr>
          <w:b/>
          <w:bCs/>
        </w:rPr>
      </w:pPr>
      <w:r w:rsidRPr="001D0AE5">
        <w:rPr>
          <w:b/>
          <w:bCs/>
        </w:rPr>
        <w:t>ENVIRONMENTAL SUSTAINABILITY INVESTMENT AND VALUE CREATION OF LISTED NON-FINANCIAL FIRMS IN NIGERIA.</w:t>
      </w:r>
    </w:p>
    <w:p w14:paraId="4411B3DD" w14:textId="77777777" w:rsidR="001A3C4E" w:rsidRDefault="001A3C4E" w:rsidP="00351C92">
      <w:pPr>
        <w:jc w:val="center"/>
        <w:rPr>
          <w:b/>
          <w:bCs/>
          <w:lang w:val="en-US"/>
        </w:rPr>
      </w:pPr>
    </w:p>
    <w:p w14:paraId="600584C0" w14:textId="77777777" w:rsidR="001A3C4E" w:rsidRDefault="001A3C4E" w:rsidP="00351C92">
      <w:pPr>
        <w:jc w:val="center"/>
        <w:rPr>
          <w:b/>
          <w:bCs/>
          <w:lang w:val="en-US"/>
        </w:rPr>
      </w:pPr>
    </w:p>
    <w:p w14:paraId="1A45D24A" w14:textId="77777777" w:rsidR="001A3C4E" w:rsidRDefault="001A3C4E" w:rsidP="00351C92">
      <w:pPr>
        <w:jc w:val="center"/>
        <w:rPr>
          <w:b/>
          <w:bCs/>
          <w:lang w:val="en-US"/>
        </w:rPr>
      </w:pPr>
    </w:p>
    <w:p w14:paraId="556EA0E7" w14:textId="77777777" w:rsidR="001A3C4E" w:rsidRDefault="001A3C4E" w:rsidP="00351C92">
      <w:pPr>
        <w:jc w:val="center"/>
        <w:rPr>
          <w:b/>
          <w:bCs/>
          <w:lang w:val="en-US"/>
        </w:rPr>
      </w:pPr>
    </w:p>
    <w:p w14:paraId="6E2ECC1D" w14:textId="37F4601F" w:rsidR="00122CC1" w:rsidRPr="00EE337B" w:rsidRDefault="00351C92" w:rsidP="00EE337B">
      <w:pPr>
        <w:jc w:val="center"/>
        <w:rPr>
          <w:b/>
          <w:bCs/>
          <w:sz w:val="22"/>
          <w:szCs w:val="22"/>
          <w:lang w:val="en-US"/>
        </w:rPr>
      </w:pPr>
      <w:r w:rsidRPr="00351C92">
        <w:rPr>
          <w:b/>
          <w:bCs/>
          <w:lang w:val="en-US"/>
        </w:rPr>
        <w:t xml:space="preserve"/>
      </w:r>
      <w:r w:rsidR="009879E9" w:rsidRPr="00EE337B">
        <w:rPr>
          <w:b/>
          <w:bCs/>
          <w:sz w:val="22"/>
          <w:szCs w:val="22"/>
          <w:lang w:val="en-US"/>
        </w:rPr>
        <w:t/>
      </w:r>
      <w:r w:rsidR="009879E9" w:rsidRPr="00EE337B">
        <w:rPr>
          <w:b/>
          <w:bCs/>
          <w:sz w:val="22"/>
          <w:szCs w:val="22"/>
          <w:lang w:val="en-US"/>
        </w:rPr>
        <w:t xml:space="preserve"/>
      </w:r>
      <w:r w:rsidR="00EE358E" w:rsidRPr="00EE337B">
        <w:rPr>
          <w:b/>
          <w:bCs/>
          <w:sz w:val="22"/>
          <w:szCs w:val="22"/>
          <w:lang w:val="en-US"/>
        </w:rPr>
        <w:t/>
      </w:r>
      <w:r w:rsidR="009879E9" w:rsidRPr="00EE337B">
        <w:rPr>
          <w:b/>
          <w:bCs/>
          <w:sz w:val="22"/>
          <w:szCs w:val="22"/>
          <w:lang w:val="en-US"/>
        </w:rPr>
        <w:t xml:space="preserve"/>
      </w:r>
      <w:r w:rsidR="00621C1F" w:rsidRPr="00EE337B">
        <w:rPr>
          <w:b/>
          <w:bCs/>
          <w:sz w:val="22"/>
          <w:szCs w:val="22"/>
          <w:lang w:val="en-US"/>
        </w:rPr>
        <w:t xml:space="preserve"/>
      </w:r>
      <w:r w:rsidR="00EE337B">
        <w:rPr>
          <w:b/>
          <w:bCs/>
          <w:sz w:val="22"/>
          <w:szCs w:val="22"/>
          <w:lang w:val="en-US"/>
        </w:rPr>
        <w:t/>
      </w:r>
      <w:r w:rsidR="00621C1F" w:rsidRPr="00EE337B">
        <w:rPr>
          <w:b/>
          <w:bCs/>
          <w:sz w:val="22"/>
          <w:szCs w:val="22"/>
          <w:lang w:val="en-US"/>
        </w:rPr>
        <w:t/>
      </w:r>
    </w:p>
    <w:p w14:paraId="78D46E66" w14:textId="77777777" w:rsidR="00056575" w:rsidRPr="00EE337B" w:rsidRDefault="00056575" w:rsidP="00056575">
      <w:pPr>
        <w:jc w:val="center"/>
        <w:rPr>
          <w:b/>
          <w:bCs/>
          <w:sz w:val="22"/>
          <w:szCs w:val="22"/>
          <w:lang w:val="en-US"/>
        </w:rPr>
      </w:pPr>
    </w:p>
    <w:p w14:paraId="054D4A6E" w14:textId="089C28DB" w:rsidR="00056575" w:rsidRPr="00EE337B" w:rsidRDefault="00056575" w:rsidP="00056575">
      <w:pPr>
        <w:jc w:val="center"/>
        <w:rPr>
          <w:b/>
          <w:bCs/>
          <w:sz w:val="22"/>
          <w:szCs w:val="22"/>
          <w:lang w:val="en-US"/>
        </w:rPr>
      </w:pPr>
      <w:r w:rsidRPr="00EE337B">
        <w:rPr>
          <w:b/>
          <w:bCs/>
          <w:sz w:val="22"/>
          <w:szCs w:val="22"/>
          <w:lang w:val="en-US"/>
        </w:rPr>
        <w:t xml:space="preserve"/>
      </w:r>
    </w:p>
    <w:p w14:paraId="415FB57D" w14:textId="77777777" w:rsidR="001A3C4E" w:rsidRPr="00056575" w:rsidRDefault="001A3C4E" w:rsidP="00351C92">
      <w:pPr>
        <w:jc w:val="center"/>
        <w:rPr>
          <w:b/>
          <w:bCs/>
          <w:lang w:val="en-US"/>
        </w:rPr>
      </w:pPr>
    </w:p>
    <w:p w14:paraId="217DF881" w14:textId="77777777" w:rsidR="00063B29" w:rsidRPr="00056575" w:rsidRDefault="00063B29" w:rsidP="00351C92">
      <w:pPr>
        <w:jc w:val="center"/>
        <w:rPr>
          <w:b/>
          <w:bCs/>
          <w:lang w:val="en-US"/>
        </w:rPr>
      </w:pPr>
    </w:p>
    <w:p w14:paraId="3880543A" w14:textId="77777777" w:rsidR="00AD3FEF" w:rsidRPr="008D7A52" w:rsidRDefault="00AD3FEF" w:rsidP="00984F28">
      <w:pPr>
        <w:jc w:val="center"/>
        <w:rPr>
          <w:b/>
          <w:bCs/>
        </w:rPr>
      </w:pPr>
    </w:p>
    <w:p w14:paraId="69480934" w14:textId="4B46944C" w:rsidR="00AD3FEF" w:rsidRPr="008D7A52" w:rsidRDefault="00AD3FEF" w:rsidP="00AD3FEF">
      <w:pPr>
        <w:rPr>
          <w:b/>
          <w:bCs/>
        </w:rPr>
      </w:pPr>
      <w:r w:rsidRPr="008D7A52">
        <w:rPr>
          <w:b/>
          <w:bCs/>
        </w:rPr>
        <w:t>Abstract</w:t>
      </w:r>
    </w:p>
    <w:p w14:paraId="2ED63CDF" w14:textId="77777777" w:rsidR="00AD3FEF" w:rsidRPr="008D7A52" w:rsidRDefault="00AD3FEF" w:rsidP="00984F28">
      <w:pPr>
        <w:jc w:val="center"/>
        <w:rPr>
          <w:b/>
          <w:bCs/>
        </w:rPr>
      </w:pPr>
    </w:p>
    <w:p w14:paraId="29019CF0" w14:textId="432C9D0E" w:rsidR="00AD3FEF" w:rsidRDefault="00AD3FEF" w:rsidP="00257967">
      <w:pPr>
        <w:pStyle w:val="NoSpacing"/>
        <w:jc w:val="both"/>
        <w:rPr>
          <w:rFonts w:ascii="Times New Roman" w:hAnsi="Times New Roman"/>
          <w:sz w:val="24"/>
          <w:szCs w:val="24"/>
          <w:lang w:val="en-GB"/>
        </w:rPr>
      </w:pPr>
      <w:r w:rsidRPr="008D7A52">
        <w:rPr>
          <w:rFonts w:ascii="Times New Roman" w:hAnsi="Times New Roman"/>
          <w:sz w:val="24"/>
          <w:szCs w:val="24"/>
          <w:lang w:val="en-GB"/>
        </w:rPr>
        <w:t xml:space="preserve">Environmental sustainability has become an increasingly critical concern for </w:t>
      </w:r>
      <w:r w:rsidR="00AE5252">
        <w:rPr>
          <w:rFonts w:ascii="Times New Roman" w:hAnsi="Times New Roman"/>
          <w:sz w:val="24"/>
          <w:szCs w:val="24"/>
          <w:lang w:val="en-GB"/>
        </w:rPr>
        <w:t>stakeholders,</w:t>
      </w:r>
      <w:r w:rsidRPr="008D7A52">
        <w:rPr>
          <w:rFonts w:ascii="Times New Roman" w:hAnsi="Times New Roman"/>
          <w:sz w:val="24"/>
          <w:szCs w:val="24"/>
          <w:lang w:val="en-GB"/>
        </w:rPr>
        <w:t xml:space="preserve"> particularly in emerging economies </w:t>
      </w:r>
      <w:r w:rsidR="00AE5252">
        <w:rPr>
          <w:rFonts w:ascii="Times New Roman" w:hAnsi="Times New Roman"/>
          <w:sz w:val="24"/>
          <w:szCs w:val="24"/>
          <w:lang w:val="en-GB"/>
        </w:rPr>
        <w:t xml:space="preserve">that </w:t>
      </w:r>
      <w:r w:rsidRPr="008D7A52">
        <w:rPr>
          <w:rFonts w:ascii="Times New Roman" w:hAnsi="Times New Roman"/>
          <w:sz w:val="24"/>
          <w:szCs w:val="24"/>
          <w:lang w:val="en-GB"/>
        </w:rPr>
        <w:t>rel</w:t>
      </w:r>
      <w:r w:rsidR="00257967">
        <w:rPr>
          <w:rFonts w:ascii="Times New Roman" w:hAnsi="Times New Roman"/>
          <w:sz w:val="24"/>
          <w:szCs w:val="24"/>
          <w:lang w:val="en-GB"/>
        </w:rPr>
        <w:t>y</w:t>
      </w:r>
      <w:r w:rsidRPr="008D7A52">
        <w:rPr>
          <w:rFonts w:ascii="Times New Roman" w:hAnsi="Times New Roman"/>
          <w:sz w:val="24"/>
          <w:szCs w:val="24"/>
          <w:lang w:val="en-GB"/>
        </w:rPr>
        <w:t xml:space="preserve"> on natural resource exploitation</w:t>
      </w:r>
      <w:r w:rsidR="00AE5252">
        <w:rPr>
          <w:rFonts w:ascii="Times New Roman" w:hAnsi="Times New Roman"/>
          <w:sz w:val="24"/>
          <w:szCs w:val="24"/>
          <w:lang w:val="en-GB"/>
        </w:rPr>
        <w:t xml:space="preserve"> for growth</w:t>
      </w:r>
      <w:r w:rsidRPr="008D7A52">
        <w:rPr>
          <w:rFonts w:ascii="Times New Roman" w:hAnsi="Times New Roman"/>
          <w:sz w:val="24"/>
          <w:szCs w:val="24"/>
          <w:lang w:val="en-GB"/>
        </w:rPr>
        <w:t>. This study</w:t>
      </w:r>
      <w:r w:rsidR="00AE5252">
        <w:rPr>
          <w:rFonts w:ascii="Times New Roman" w:hAnsi="Times New Roman"/>
          <w:sz w:val="24"/>
          <w:szCs w:val="24"/>
          <w:lang w:val="en-GB"/>
        </w:rPr>
        <w:t xml:space="preserve"> therefore</w:t>
      </w:r>
      <w:r w:rsidRPr="008D7A52">
        <w:rPr>
          <w:rFonts w:ascii="Times New Roman" w:hAnsi="Times New Roman"/>
          <w:sz w:val="24"/>
          <w:szCs w:val="24"/>
          <w:lang w:val="en-GB"/>
        </w:rPr>
        <w:t xml:space="preserve"> investigates the effect of environmental sustainability investment on value creation</w:t>
      </w:r>
      <w:r w:rsidR="00AE5252">
        <w:rPr>
          <w:rFonts w:ascii="Times New Roman" w:hAnsi="Times New Roman"/>
          <w:sz w:val="24"/>
          <w:szCs w:val="24"/>
          <w:lang w:val="en-GB"/>
        </w:rPr>
        <w:t xml:space="preserve"> of listed</w:t>
      </w:r>
      <w:r w:rsidRPr="008D7A52">
        <w:rPr>
          <w:rFonts w:ascii="Times New Roman" w:hAnsi="Times New Roman"/>
          <w:sz w:val="24"/>
          <w:szCs w:val="24"/>
          <w:lang w:val="en-GB"/>
        </w:rPr>
        <w:t xml:space="preserve"> non-financial firms in Nigeria. Using a longitudinal research design, the study examines a ten-year panel dataset </w:t>
      </w:r>
      <w:r w:rsidR="00AE5252">
        <w:rPr>
          <w:rFonts w:ascii="Times New Roman" w:hAnsi="Times New Roman"/>
          <w:sz w:val="24"/>
          <w:szCs w:val="24"/>
          <w:lang w:val="en-GB"/>
        </w:rPr>
        <w:t xml:space="preserve">from </w:t>
      </w:r>
      <w:r w:rsidRPr="008D7A52">
        <w:rPr>
          <w:rFonts w:ascii="Times New Roman" w:hAnsi="Times New Roman"/>
          <w:sz w:val="24"/>
          <w:szCs w:val="24"/>
          <w:lang w:val="en-GB"/>
        </w:rPr>
        <w:t>2014</w:t>
      </w:r>
      <w:r w:rsidR="00AE5252">
        <w:rPr>
          <w:rFonts w:ascii="Times New Roman" w:hAnsi="Times New Roman"/>
          <w:sz w:val="24"/>
          <w:szCs w:val="24"/>
          <w:lang w:val="en-GB"/>
        </w:rPr>
        <w:t xml:space="preserve"> to </w:t>
      </w:r>
      <w:r w:rsidRPr="008D7A52">
        <w:rPr>
          <w:rFonts w:ascii="Times New Roman" w:hAnsi="Times New Roman"/>
          <w:sz w:val="24"/>
          <w:szCs w:val="24"/>
          <w:lang w:val="en-GB"/>
        </w:rPr>
        <w:t xml:space="preserve">2023 drawn from </w:t>
      </w:r>
      <w:r w:rsidR="00AE5252">
        <w:rPr>
          <w:rFonts w:ascii="Times New Roman" w:hAnsi="Times New Roman"/>
          <w:sz w:val="24"/>
          <w:szCs w:val="24"/>
          <w:lang w:val="en-GB"/>
        </w:rPr>
        <w:t xml:space="preserve">a population size of </w:t>
      </w:r>
      <w:r w:rsidRPr="008D7A52">
        <w:rPr>
          <w:rFonts w:ascii="Times New Roman" w:hAnsi="Times New Roman"/>
          <w:sz w:val="24"/>
          <w:szCs w:val="24"/>
          <w:lang w:val="en-GB"/>
        </w:rPr>
        <w:t>104 non-financial firms</w:t>
      </w:r>
      <w:r w:rsidR="00AE5252">
        <w:rPr>
          <w:rFonts w:ascii="Times New Roman" w:hAnsi="Times New Roman"/>
          <w:sz w:val="24"/>
          <w:szCs w:val="24"/>
          <w:lang w:val="en-GB"/>
        </w:rPr>
        <w:t xml:space="preserve"> listed </w:t>
      </w:r>
      <w:r w:rsidRPr="008D7A52">
        <w:rPr>
          <w:rFonts w:ascii="Times New Roman" w:hAnsi="Times New Roman"/>
          <w:sz w:val="24"/>
          <w:szCs w:val="24"/>
          <w:lang w:val="en-GB"/>
        </w:rPr>
        <w:t>on the Nigerian Exchange</w:t>
      </w:r>
      <w:r w:rsidR="00AE5252">
        <w:rPr>
          <w:rFonts w:ascii="Times New Roman" w:hAnsi="Times New Roman"/>
          <w:sz w:val="24"/>
          <w:szCs w:val="24"/>
          <w:lang w:val="en-GB"/>
        </w:rPr>
        <w:t xml:space="preserve"> Group as </w:t>
      </w:r>
      <w:proofErr w:type="gramStart"/>
      <w:r w:rsidR="00AE5252">
        <w:rPr>
          <w:rFonts w:ascii="Times New Roman" w:hAnsi="Times New Roman"/>
          <w:sz w:val="24"/>
          <w:szCs w:val="24"/>
          <w:lang w:val="en-GB"/>
        </w:rPr>
        <w:t>at</w:t>
      </w:r>
      <w:proofErr w:type="gramEnd"/>
      <w:r w:rsidR="00AE5252">
        <w:rPr>
          <w:rFonts w:ascii="Times New Roman" w:hAnsi="Times New Roman"/>
          <w:sz w:val="24"/>
          <w:szCs w:val="24"/>
          <w:lang w:val="en-GB"/>
        </w:rPr>
        <w:t xml:space="preserve"> 31</w:t>
      </w:r>
      <w:r w:rsidR="00AE5252" w:rsidRPr="00AE5252">
        <w:rPr>
          <w:rFonts w:ascii="Times New Roman" w:hAnsi="Times New Roman"/>
          <w:sz w:val="24"/>
          <w:szCs w:val="24"/>
          <w:vertAlign w:val="superscript"/>
          <w:lang w:val="en-GB"/>
        </w:rPr>
        <w:t>st</w:t>
      </w:r>
      <w:r w:rsidR="00AE5252">
        <w:rPr>
          <w:rFonts w:ascii="Times New Roman" w:hAnsi="Times New Roman"/>
          <w:sz w:val="24"/>
          <w:szCs w:val="24"/>
          <w:lang w:val="en-GB"/>
        </w:rPr>
        <w:t xml:space="preserve"> </w:t>
      </w:r>
      <w:r w:rsidR="001A5F24">
        <w:rPr>
          <w:rFonts w:ascii="Times New Roman" w:hAnsi="Times New Roman"/>
          <w:sz w:val="24"/>
          <w:szCs w:val="24"/>
          <w:lang w:val="en-GB"/>
        </w:rPr>
        <w:t>December</w:t>
      </w:r>
      <w:r w:rsidR="00AE5252">
        <w:rPr>
          <w:rFonts w:ascii="Times New Roman" w:hAnsi="Times New Roman"/>
          <w:sz w:val="24"/>
          <w:szCs w:val="24"/>
          <w:lang w:val="en-GB"/>
        </w:rPr>
        <w:t xml:space="preserve"> 2023</w:t>
      </w:r>
      <w:r w:rsidRPr="008D7A52">
        <w:rPr>
          <w:rFonts w:ascii="Times New Roman" w:hAnsi="Times New Roman"/>
          <w:sz w:val="24"/>
          <w:szCs w:val="24"/>
          <w:lang w:val="en-GB"/>
        </w:rPr>
        <w:t xml:space="preserve">. A sample </w:t>
      </w:r>
      <w:r w:rsidR="00667961">
        <w:rPr>
          <w:rFonts w:ascii="Times New Roman" w:hAnsi="Times New Roman"/>
          <w:sz w:val="24"/>
          <w:szCs w:val="24"/>
          <w:lang w:val="en-GB"/>
        </w:rPr>
        <w:t xml:space="preserve">size </w:t>
      </w:r>
      <w:r w:rsidRPr="008D7A52">
        <w:rPr>
          <w:rFonts w:ascii="Times New Roman" w:hAnsi="Times New Roman"/>
          <w:sz w:val="24"/>
          <w:szCs w:val="24"/>
          <w:lang w:val="en-GB"/>
        </w:rPr>
        <w:t>of 35 firms was selected using a criteri</w:t>
      </w:r>
      <w:r w:rsidR="00AE5252">
        <w:rPr>
          <w:rFonts w:ascii="Times New Roman" w:hAnsi="Times New Roman"/>
          <w:sz w:val="24"/>
          <w:szCs w:val="24"/>
          <w:lang w:val="en-GB"/>
        </w:rPr>
        <w:t>on</w:t>
      </w:r>
      <w:r w:rsidRPr="008D7A52">
        <w:rPr>
          <w:rFonts w:ascii="Times New Roman" w:hAnsi="Times New Roman"/>
          <w:sz w:val="24"/>
          <w:szCs w:val="24"/>
          <w:lang w:val="en-GB"/>
        </w:rPr>
        <w:t xml:space="preserve"> sampling method. </w:t>
      </w:r>
      <w:r w:rsidR="00667961">
        <w:rPr>
          <w:rFonts w:ascii="Times New Roman" w:hAnsi="Times New Roman"/>
          <w:sz w:val="24"/>
          <w:szCs w:val="24"/>
          <w:lang w:val="en-GB"/>
        </w:rPr>
        <w:t>D</w:t>
      </w:r>
      <w:r w:rsidRPr="008D7A52">
        <w:rPr>
          <w:rFonts w:ascii="Times New Roman" w:hAnsi="Times New Roman"/>
          <w:sz w:val="24"/>
          <w:szCs w:val="24"/>
          <w:lang w:val="en-GB"/>
        </w:rPr>
        <w:t xml:space="preserve">ata were extracted from annual reports and financial statements. </w:t>
      </w:r>
      <w:r w:rsidR="00667961">
        <w:rPr>
          <w:rFonts w:ascii="Times New Roman" w:hAnsi="Times New Roman"/>
          <w:sz w:val="24"/>
          <w:szCs w:val="24"/>
          <w:lang w:val="en-GB"/>
        </w:rPr>
        <w:t>Data collected were analysed using descriptive statistics</w:t>
      </w:r>
      <w:r w:rsidR="0023284F">
        <w:rPr>
          <w:rFonts w:ascii="Times New Roman" w:hAnsi="Times New Roman"/>
          <w:sz w:val="24"/>
          <w:szCs w:val="24"/>
          <w:lang w:val="en-GB"/>
        </w:rPr>
        <w:t xml:space="preserve"> and panel</w:t>
      </w:r>
      <w:r w:rsidR="00667961">
        <w:rPr>
          <w:rFonts w:ascii="Times New Roman" w:hAnsi="Times New Roman"/>
          <w:sz w:val="24"/>
          <w:szCs w:val="24"/>
          <w:lang w:val="en-GB"/>
        </w:rPr>
        <w:t xml:space="preserve"> corrected standard error regression. The findings revealed that investment in renewable energy (INRE) showed a positive but insignificant effect on value creation. </w:t>
      </w:r>
      <w:r w:rsidR="001A5F24">
        <w:rPr>
          <w:rFonts w:ascii="Times New Roman" w:hAnsi="Times New Roman"/>
          <w:sz w:val="24"/>
          <w:szCs w:val="24"/>
          <w:lang w:val="en-GB"/>
        </w:rPr>
        <w:t>It</w:t>
      </w:r>
      <w:r w:rsidR="0023284F">
        <w:rPr>
          <w:rFonts w:ascii="Times New Roman" w:hAnsi="Times New Roman"/>
          <w:sz w:val="24"/>
          <w:szCs w:val="24"/>
          <w:lang w:val="en-GB"/>
        </w:rPr>
        <w:t>, however,</w:t>
      </w:r>
      <w:r w:rsidR="00667961">
        <w:rPr>
          <w:rFonts w:ascii="Times New Roman" w:hAnsi="Times New Roman"/>
          <w:sz w:val="24"/>
          <w:szCs w:val="24"/>
          <w:lang w:val="en-GB"/>
        </w:rPr>
        <w:t xml:space="preserve"> showed th</w:t>
      </w:r>
      <w:r w:rsidR="00171418">
        <w:rPr>
          <w:rFonts w:ascii="Times New Roman" w:hAnsi="Times New Roman"/>
          <w:sz w:val="24"/>
          <w:szCs w:val="24"/>
          <w:lang w:val="en-GB"/>
        </w:rPr>
        <w:t>at</w:t>
      </w:r>
      <w:r w:rsidR="00667961">
        <w:rPr>
          <w:rFonts w:ascii="Times New Roman" w:hAnsi="Times New Roman"/>
          <w:sz w:val="24"/>
          <w:szCs w:val="24"/>
          <w:lang w:val="en-GB"/>
        </w:rPr>
        <w:t xml:space="preserve"> expenditure on pollution control (EXPC) showed a positive and significant effect on value creation. Also, Green research and development expenditure (GRDE)</w:t>
      </w:r>
      <w:r w:rsidR="00257967">
        <w:rPr>
          <w:rFonts w:ascii="Times New Roman" w:hAnsi="Times New Roman"/>
          <w:sz w:val="24"/>
          <w:szCs w:val="24"/>
          <w:lang w:val="en-GB"/>
        </w:rPr>
        <w:t xml:space="preserve"> showed a positive but insignificant effect on value creation. However, environmental certification and compliance cost (ECCC) had a significant but negative effect on value creation. It is concluded</w:t>
      </w:r>
      <w:r w:rsidR="0023284F">
        <w:rPr>
          <w:rFonts w:ascii="Times New Roman" w:hAnsi="Times New Roman"/>
          <w:sz w:val="24"/>
          <w:szCs w:val="24"/>
          <w:lang w:val="en-GB"/>
        </w:rPr>
        <w:t>, therefore, that the investment of companies in</w:t>
      </w:r>
      <w:r w:rsidR="00257967">
        <w:rPr>
          <w:rFonts w:ascii="Times New Roman" w:hAnsi="Times New Roman"/>
          <w:sz w:val="24"/>
          <w:szCs w:val="24"/>
          <w:lang w:val="en-GB"/>
        </w:rPr>
        <w:t xml:space="preserve"> environmental conservation and preventive measures </w:t>
      </w:r>
      <w:r w:rsidR="00D44C5C">
        <w:rPr>
          <w:rFonts w:ascii="Times New Roman" w:hAnsi="Times New Roman"/>
          <w:sz w:val="24"/>
          <w:szCs w:val="24"/>
          <w:lang w:val="en-GB"/>
        </w:rPr>
        <w:t>can create</w:t>
      </w:r>
      <w:r w:rsidR="00257967">
        <w:rPr>
          <w:rFonts w:ascii="Times New Roman" w:hAnsi="Times New Roman"/>
          <w:sz w:val="24"/>
          <w:szCs w:val="24"/>
          <w:lang w:val="en-GB"/>
        </w:rPr>
        <w:t xml:space="preserve"> firm value. The study therefore recommends that firms should not limit themselves only to pursuing strategies that will earn them environmental preservation certification alone</w:t>
      </w:r>
      <w:r w:rsidR="006F70BA">
        <w:rPr>
          <w:rFonts w:ascii="Times New Roman" w:hAnsi="Times New Roman"/>
          <w:sz w:val="24"/>
          <w:szCs w:val="24"/>
          <w:lang w:val="en-GB"/>
        </w:rPr>
        <w:t>, as it could have a diverse impact on their value creation, but invest</w:t>
      </w:r>
      <w:r w:rsidR="00257967">
        <w:rPr>
          <w:rFonts w:ascii="Times New Roman" w:hAnsi="Times New Roman"/>
          <w:sz w:val="24"/>
          <w:szCs w:val="24"/>
          <w:lang w:val="en-GB"/>
        </w:rPr>
        <w:t xml:space="preserve"> more in activities that will lead to pollution reduction and environmental conservation </w:t>
      </w:r>
      <w:r w:rsidR="004C212B">
        <w:rPr>
          <w:rFonts w:ascii="Times New Roman" w:hAnsi="Times New Roman"/>
          <w:sz w:val="24"/>
          <w:szCs w:val="24"/>
          <w:lang w:val="en-GB"/>
        </w:rPr>
        <w:t>to</w:t>
      </w:r>
      <w:r w:rsidR="00257967">
        <w:rPr>
          <w:rFonts w:ascii="Times New Roman" w:hAnsi="Times New Roman"/>
          <w:sz w:val="24"/>
          <w:szCs w:val="24"/>
          <w:lang w:val="en-GB"/>
        </w:rPr>
        <w:t xml:space="preserve"> earn the trust of stakeholders.</w:t>
      </w:r>
    </w:p>
    <w:p w14:paraId="3FA135EC" w14:textId="77777777" w:rsidR="00257967" w:rsidRPr="00AD3FEF" w:rsidRDefault="00257967" w:rsidP="00257967">
      <w:pPr>
        <w:pStyle w:val="NoSpacing"/>
        <w:jc w:val="both"/>
      </w:pPr>
    </w:p>
    <w:p w14:paraId="6A6127A6" w14:textId="23582C9B" w:rsidR="00AD3FEF" w:rsidRPr="00AD3FEF" w:rsidRDefault="00AD3FEF" w:rsidP="00AD3FEF">
      <w:pPr>
        <w:jc w:val="both"/>
      </w:pPr>
      <w:r w:rsidRPr="00AD3FEF">
        <w:rPr>
          <w:i/>
          <w:iCs/>
        </w:rPr>
        <w:t>Keywords:</w:t>
      </w:r>
      <w:r w:rsidRPr="00AD3FEF">
        <w:t xml:space="preserve"> </w:t>
      </w:r>
      <w:r w:rsidR="008C359D">
        <w:t>E</w:t>
      </w:r>
      <w:r w:rsidR="007F33F5" w:rsidRPr="008D7A52">
        <w:t xml:space="preserve">nvironmental </w:t>
      </w:r>
      <w:r w:rsidR="007F33F5">
        <w:t>c</w:t>
      </w:r>
      <w:r w:rsidR="007F33F5" w:rsidRPr="008D7A52">
        <w:t xml:space="preserve">ertification and </w:t>
      </w:r>
      <w:r w:rsidR="007F33F5" w:rsidRPr="004B5C38">
        <w:t>compliance</w:t>
      </w:r>
      <w:r w:rsidR="007F33F5" w:rsidRPr="008D7A52">
        <w:t xml:space="preserve"> cost</w:t>
      </w:r>
      <w:r w:rsidR="004B5C38">
        <w:t xml:space="preserve">, </w:t>
      </w:r>
      <w:r w:rsidR="008C359D">
        <w:t>G</w:t>
      </w:r>
      <w:r w:rsidR="008C359D" w:rsidRPr="00AD3FEF">
        <w:t>reen R&amp;D,</w:t>
      </w:r>
      <w:r w:rsidR="008C359D">
        <w:t xml:space="preserve"> </w:t>
      </w:r>
      <w:r w:rsidR="00291B72">
        <w:t>M</w:t>
      </w:r>
      <w:r w:rsidRPr="00AD3FEF">
        <w:t xml:space="preserve">arket </w:t>
      </w:r>
      <w:r w:rsidR="00154A69">
        <w:t>v</w:t>
      </w:r>
      <w:r w:rsidRPr="00AD3FEF">
        <w:t xml:space="preserve">alue </w:t>
      </w:r>
      <w:r w:rsidR="00154A69">
        <w:t>a</w:t>
      </w:r>
      <w:r w:rsidRPr="00AD3FEF">
        <w:t xml:space="preserve">dded, </w:t>
      </w:r>
      <w:r w:rsidR="008C359D">
        <w:t>R</w:t>
      </w:r>
      <w:r w:rsidRPr="00AD3FEF">
        <w:t xml:space="preserve">enewable </w:t>
      </w:r>
      <w:r w:rsidR="00154A69">
        <w:t>e</w:t>
      </w:r>
      <w:r w:rsidRPr="00AD3FEF">
        <w:t>nergy</w:t>
      </w:r>
      <w:r w:rsidRPr="008D7A52">
        <w:t xml:space="preserve"> </w:t>
      </w:r>
    </w:p>
    <w:p w14:paraId="0BEBE003" w14:textId="77777777" w:rsidR="00AD3FEF" w:rsidRPr="008D7A52" w:rsidRDefault="00AD3FEF" w:rsidP="00984F28">
      <w:pPr>
        <w:jc w:val="center"/>
        <w:rPr>
          <w:b/>
          <w:bCs/>
        </w:rPr>
      </w:pPr>
    </w:p>
    <w:p w14:paraId="4EBF843E" w14:textId="77777777" w:rsidR="009878B0" w:rsidRPr="008D7A52" w:rsidRDefault="009878B0" w:rsidP="00C8562D">
      <w:pPr>
        <w:jc w:val="both"/>
        <w:rPr>
          <w:b/>
          <w:bCs/>
        </w:rPr>
      </w:pPr>
      <w:r w:rsidRPr="008D7A52">
        <w:rPr>
          <w:b/>
          <w:bCs/>
        </w:rPr>
        <w:t>1. Introduction</w:t>
      </w:r>
    </w:p>
    <w:p w14:paraId="24413044" w14:textId="77777777" w:rsidR="009878B0" w:rsidRPr="008D7A52" w:rsidRDefault="009878B0" w:rsidP="00C8562D">
      <w:pPr>
        <w:jc w:val="both"/>
      </w:pPr>
    </w:p>
    <w:p w14:paraId="73E57033" w14:textId="6BD051D7" w:rsidR="00E17F42" w:rsidRPr="008D7A52" w:rsidRDefault="00E17F42" w:rsidP="00C8562D">
      <w:pPr>
        <w:ind w:firstLine="720"/>
        <w:jc w:val="both"/>
      </w:pPr>
      <w:r w:rsidRPr="008D7A52">
        <w:t>Value creation on a global scale encounters significant challenges, fuelled by rapid technological advancements, shifting stakeholder expectations, stricter regulatory requirements, and mounting environmental pressures</w:t>
      </w:r>
      <w:r w:rsidR="00FB0FBB" w:rsidRPr="008D7A52">
        <w:t xml:space="preserve"> (Brown &amp; Parrino, 2023)</w:t>
      </w:r>
      <w:r w:rsidRPr="008D7A52">
        <w:t>. These factors</w:t>
      </w:r>
      <w:r w:rsidR="003F168A">
        <w:t>, taken together,</w:t>
      </w:r>
      <w:r w:rsidRPr="008D7A52">
        <w:t xml:space="preserve"> complicate efforts to generate sustainable value across industries. </w:t>
      </w:r>
      <w:r w:rsidR="004270F4" w:rsidRPr="008D7A52">
        <w:t>C</w:t>
      </w:r>
      <w:r w:rsidRPr="008D7A52">
        <w:t xml:space="preserve">ompanies are increasingly expected to meet Environmental, Social, and Governance (ESG) standards as investors and consumers </w:t>
      </w:r>
      <w:r w:rsidR="00254D37" w:rsidRPr="008D7A52">
        <w:t>prioritise</w:t>
      </w:r>
      <w:r w:rsidRPr="008D7A52">
        <w:t xml:space="preserve"> sustainability and ethical practices. Failure to invest in ESG initiatives not only </w:t>
      </w:r>
      <w:r w:rsidR="00254D37" w:rsidRPr="008D7A52">
        <w:t>jeopardises</w:t>
      </w:r>
      <w:r w:rsidRPr="008D7A52">
        <w:t xml:space="preserve"> brand reputation but also limits access to capital as sustainable finance becomes mainstream, with many global fund</w:t>
      </w:r>
      <w:r w:rsidR="004270F4" w:rsidRPr="008D7A52">
        <w:t xml:space="preserve"> investors </w:t>
      </w:r>
      <w:r w:rsidRPr="008D7A52">
        <w:t>avoiding firms lacking in ESG compliance (</w:t>
      </w:r>
      <w:proofErr w:type="spellStart"/>
      <w:r w:rsidR="00A113E1" w:rsidRPr="008D7A52">
        <w:t>Unegbu</w:t>
      </w:r>
      <w:proofErr w:type="spellEnd"/>
      <w:r w:rsidR="00A113E1" w:rsidRPr="008D7A52">
        <w:t xml:space="preserve"> &amp; Amah, 2024</w:t>
      </w:r>
      <w:r w:rsidR="008D1209" w:rsidRPr="008D7A52">
        <w:t>; Moreno-</w:t>
      </w:r>
      <w:proofErr w:type="spellStart"/>
      <w:r w:rsidR="008D1209" w:rsidRPr="008D7A52">
        <w:t>Monslave</w:t>
      </w:r>
      <w:proofErr w:type="spellEnd"/>
      <w:r w:rsidR="008D1209" w:rsidRPr="008D7A52">
        <w:t xml:space="preserve"> et al., 2023</w:t>
      </w:r>
      <w:r w:rsidRPr="008D7A52">
        <w:t>). Geopolitical uncertainties further compound these challenges, impacting supply chains and exposing companies to fluctuating costs, making it difficult to maintain consistent value creation in a volatile market (</w:t>
      </w:r>
      <w:r w:rsidR="00A113E1" w:rsidRPr="008D7A52">
        <w:t>A</w:t>
      </w:r>
      <w:r w:rsidR="006B69A2" w:rsidRPr="008D7A52">
        <w:t>li et al., 2021</w:t>
      </w:r>
      <w:r w:rsidRPr="008D7A52">
        <w:t xml:space="preserve">). These issues highlight the need for firms to develop adaptive </w:t>
      </w:r>
      <w:r w:rsidRPr="008D7A52">
        <w:lastRenderedPageBreak/>
        <w:t>strategies that balance short-term profitability with long-term value in a complex, interconnected global economy.</w:t>
      </w:r>
    </w:p>
    <w:p w14:paraId="377E8F82" w14:textId="77777777" w:rsidR="004F595B" w:rsidRPr="008D7A52" w:rsidRDefault="004F595B" w:rsidP="00C8562D">
      <w:pPr>
        <w:ind w:firstLine="720"/>
        <w:jc w:val="both"/>
      </w:pPr>
    </w:p>
    <w:p w14:paraId="440E4A04" w14:textId="5294CEB0" w:rsidR="00E17F42" w:rsidRPr="008D7A52" w:rsidRDefault="00E17F42" w:rsidP="00C8562D">
      <w:pPr>
        <w:ind w:firstLine="720"/>
        <w:jc w:val="both"/>
      </w:pPr>
      <w:r w:rsidRPr="008D7A52">
        <w:t>In developing countries like Nigeria, value creation is limited by economic, infrastructural, and regulatory challenges, including high capital costs and restricted financing options, which constrain business growth and innovation (World Bank, 2022). Infrastructur</w:t>
      </w:r>
      <w:r w:rsidR="008D1209" w:rsidRPr="008D7A52">
        <w:t>al</w:t>
      </w:r>
      <w:r w:rsidRPr="008D7A52">
        <w:t xml:space="preserve"> deficits, such as unreliable energy and poor transportation, elevate operational costs and reduce productivity, particularly in energy-intensive sectors like manufacturing (Agboola &amp; Adekoya, 202</w:t>
      </w:r>
      <w:r w:rsidR="004232E8">
        <w:t>3</w:t>
      </w:r>
      <w:r w:rsidRPr="008D7A52">
        <w:t xml:space="preserve">). Regulatory inconsistencies, corruption, and weak policy enforcement further complicate the business environment, limiting sustainable practices, investor confidence, and </w:t>
      </w:r>
      <w:r w:rsidR="00632605" w:rsidRPr="008D7A52">
        <w:t xml:space="preserve">lack of </w:t>
      </w:r>
      <w:r w:rsidRPr="008D7A52">
        <w:t xml:space="preserve">skilled </w:t>
      </w:r>
      <w:r w:rsidR="006B16B3" w:rsidRPr="008D7A52">
        <w:t>labour</w:t>
      </w:r>
      <w:r w:rsidRPr="008D7A52">
        <w:t xml:space="preserve"> necessary for digital and sustainable growth (Ajayi &amp; Balogun, 2023; Oluwole &amp; Nwachukwu, 2022; PwC, 2023).</w:t>
      </w:r>
      <w:r w:rsidR="00B26C34" w:rsidRPr="008D7A52">
        <w:t xml:space="preserve"> </w:t>
      </w:r>
      <w:r w:rsidRPr="008D7A52">
        <w:t>These challenges impact both local and global business landscapes, as firms in developed nations face stringent ESG requirements, while those in developing countries struggle with limited capital</w:t>
      </w:r>
      <w:r w:rsidR="004270F4" w:rsidRPr="008D7A52">
        <w:t>, power, innovations</w:t>
      </w:r>
      <w:r w:rsidRPr="008D7A52">
        <w:t xml:space="preserve"> and infrastructur</w:t>
      </w:r>
      <w:r w:rsidR="004270F4" w:rsidRPr="008D7A52">
        <w:t>al deficiencies</w:t>
      </w:r>
      <w:r w:rsidRPr="008D7A52">
        <w:t xml:space="preserve">, leading to high operational costs and lower productivity (Deloitte, 2023; </w:t>
      </w:r>
      <w:r w:rsidR="000937FE" w:rsidRPr="008D7A52">
        <w:t>Akinwale, 2023</w:t>
      </w:r>
      <w:r w:rsidRPr="008D7A52">
        <w:t>). In Nigeria,</w:t>
      </w:r>
      <w:r w:rsidR="00972EC9" w:rsidRPr="008D7A52">
        <w:t xml:space="preserve"> inconsistent regulations, infrastructural issues, </w:t>
      </w:r>
      <w:r w:rsidR="008D1209" w:rsidRPr="008D7A52">
        <w:t xml:space="preserve">and </w:t>
      </w:r>
      <w:r w:rsidR="00972EC9" w:rsidRPr="008D7A52">
        <w:t>bureaucratic inefficiencies</w:t>
      </w:r>
      <w:r w:rsidRPr="008D7A52">
        <w:t xml:space="preserve"> </w:t>
      </w:r>
      <w:r w:rsidR="008D1209" w:rsidRPr="008D7A52">
        <w:t>fuel</w:t>
      </w:r>
      <w:r w:rsidRPr="008D7A52">
        <w:t xml:space="preserve"> economic volatility and </w:t>
      </w:r>
      <w:r w:rsidR="008D1209" w:rsidRPr="008D7A52">
        <w:t>hinder</w:t>
      </w:r>
      <w:r w:rsidRPr="008D7A52">
        <w:t xml:space="preserve"> diversification, discouraging foreign investment essential for growth</w:t>
      </w:r>
      <w:r w:rsidR="00972EC9" w:rsidRPr="008D7A52">
        <w:t xml:space="preserve">, ultimately reducing competitiveness and </w:t>
      </w:r>
      <w:r w:rsidR="00632605" w:rsidRPr="008D7A52">
        <w:t>financial</w:t>
      </w:r>
      <w:r w:rsidR="00972EC9" w:rsidRPr="008D7A52">
        <w:t xml:space="preserve"> resilience</w:t>
      </w:r>
      <w:r w:rsidRPr="008D7A52">
        <w:t xml:space="preserve"> (Ibrahim &amp; Ojo, 2023</w:t>
      </w:r>
      <w:r w:rsidR="00972EC9" w:rsidRPr="008D7A52">
        <w:t xml:space="preserve">; </w:t>
      </w:r>
      <w:r w:rsidRPr="008D7A52">
        <w:t>Agboola &amp; Adekoya, 2023; PwC, 2024).</w:t>
      </w:r>
    </w:p>
    <w:p w14:paraId="73833B2F" w14:textId="77777777" w:rsidR="004F595B" w:rsidRPr="008D7A52" w:rsidRDefault="004F595B" w:rsidP="00C8562D">
      <w:pPr>
        <w:ind w:firstLine="720"/>
        <w:jc w:val="both"/>
      </w:pPr>
    </w:p>
    <w:p w14:paraId="733A4E19" w14:textId="3866629B" w:rsidR="005661C0" w:rsidRPr="008D7A52" w:rsidRDefault="004516DA" w:rsidP="00C8562D">
      <w:pPr>
        <w:ind w:firstLine="720"/>
        <w:jc w:val="both"/>
      </w:pPr>
      <w:r w:rsidRPr="008D7A52">
        <w:t xml:space="preserve">Policymakers, international institutions, and researchers have made significant progress in addressing the complexities of value creation, particularly through sustainable development, financial accessibility, and regulatory reform. A key </w:t>
      </w:r>
      <w:r w:rsidR="000A630F" w:rsidRPr="008D7A52">
        <w:t xml:space="preserve">reform </w:t>
      </w:r>
      <w:r w:rsidRPr="008D7A52">
        <w:t xml:space="preserve">strategy </w:t>
      </w:r>
      <w:r w:rsidR="000A630F" w:rsidRPr="008D7A52">
        <w:t>is</w:t>
      </w:r>
      <w:r w:rsidRPr="008D7A52">
        <w:t xml:space="preserve"> the reinforcement of environmental, social, and governance (ESG) frameworks to institutionalise sustainable business practices, exemplified by the European Union’s Green Deal, which enforces stringent environmental standards to drive green value creation across industries (European Commission, 2022). International institutions, including the World Bank and the International Monetary Fund (IMF), have expanded their support for developing economies by providing green financing and resources to facilitate sustainable infrastructure and energy projects that contribute to long-term economic resilience (World Bank, 2023). Similarly, the United Nations’ Sustainable Development Goals (SDGs) Financing Lab serves as a critical mechanism for </w:t>
      </w:r>
      <w:r w:rsidR="008E2BC9">
        <w:t>mobilising</w:t>
      </w:r>
      <w:r w:rsidRPr="008D7A52">
        <w:t xml:space="preserve"> investment in projects that enhance business growth and economic stability in emerging markets (UNDP, 2022). </w:t>
      </w:r>
    </w:p>
    <w:p w14:paraId="02F33A7B" w14:textId="77777777" w:rsidR="004F595B" w:rsidRPr="008D7A52" w:rsidRDefault="004F595B" w:rsidP="00C8562D">
      <w:pPr>
        <w:ind w:firstLine="720"/>
        <w:jc w:val="both"/>
      </w:pPr>
    </w:p>
    <w:p w14:paraId="1ED2FC56" w14:textId="0C826F44" w:rsidR="004516DA" w:rsidRPr="008D7A52" w:rsidRDefault="005661C0" w:rsidP="00C8562D">
      <w:pPr>
        <w:ind w:firstLine="720"/>
        <w:jc w:val="both"/>
      </w:pPr>
      <w:r w:rsidRPr="008D7A52">
        <w:t>In view of this, t</w:t>
      </w:r>
      <w:r w:rsidR="004516DA" w:rsidRPr="008D7A52">
        <w:t xml:space="preserve">he integration of sustainability investments into corporate strategy has emerged as a crucial lever for overcoming value creation challenges, as embedding ESG principles fosters financial resilience and societal impact. As Sroka and Szántó (2021) </w:t>
      </w:r>
      <w:r w:rsidR="00C47CEE" w:rsidRPr="008D7A52">
        <w:t>highlight, a well-structured ESG framework enhances value creation through targeted capital allocation in sustainable projects, investments in renewable energy, compliance with environmental certifications, pollution control measures, and green research and development expenditures</w:t>
      </w:r>
      <w:r w:rsidR="004516DA" w:rsidRPr="008D7A52">
        <w:t>. Furthermore, Escobar-Anel and Jiao (2023) emphasi</w:t>
      </w:r>
      <w:r w:rsidR="000A630F" w:rsidRPr="008D7A52">
        <w:t>sed</w:t>
      </w:r>
      <w:r w:rsidR="004516DA" w:rsidRPr="008D7A52">
        <w:t xml:space="preserve"> that embedding sustainability within core business operations not only mitigates financial and operational risks but also unlocks new opportunities for value generation, particularly in private equity investments. Additionally, Cesarone et al. (2023) argue that sustainability-driven initiatives contribute to shareholder value by improving operational efficiencies, enhancing corporate reputation, and fostering innovation. Collectively, these insights underscore the critical role of sustainability investments in reshaping traditional value creation paradigms, aligning business success with positive environmental and social outcomes while ensuring long-term economic viability.</w:t>
      </w:r>
    </w:p>
    <w:p w14:paraId="3BF4092F" w14:textId="77777777" w:rsidR="004F595B" w:rsidRPr="008D7A52" w:rsidRDefault="004F595B" w:rsidP="005661C0">
      <w:pPr>
        <w:ind w:firstLine="720"/>
        <w:jc w:val="both"/>
      </w:pPr>
    </w:p>
    <w:p w14:paraId="1F272E69" w14:textId="50E6056A" w:rsidR="00FE3C27" w:rsidRPr="008D7A52" w:rsidRDefault="00FE3C27" w:rsidP="005661C0">
      <w:pPr>
        <w:ind w:firstLine="720"/>
        <w:jc w:val="both"/>
      </w:pPr>
      <w:r w:rsidRPr="008D7A52">
        <w:t xml:space="preserve">Environmental sustainability investment has emerged as a strategic imperative for firms seeking to enhance value creation while addressing global sustainability challenges (Grant, </w:t>
      </w:r>
      <w:r w:rsidRPr="008D7A52">
        <w:lastRenderedPageBreak/>
        <w:t>2023). Extensive research in developed economies underscores the role of sustainability-driven investments in strengthening firm performance, fostering stakeholder engagement, and ensuring long-term resilience. Porter (2022) identifies key components of such investments, including capital expenditure in sustainable projects, renewable energy adoption, environmental certification, compliance costs, pollution control, and green R&amp;D expenditure. Empirical studies by Chen et al. (2022), Hitt et al. (2023), and Stewart and Andrews (2024) demonstrate that sustainability initiatives significantly enhance firm profitability, particularly in industries such as renewable energy, technology, and consumer goods. Furthermore, research by Lee and Kim (2022) and Kang et al. (2023) highlights the positive correlation between sustainability-oriented investments</w:t>
      </w:r>
      <w:r w:rsidR="0081707F">
        <w:t xml:space="preserve"> </w:t>
      </w:r>
      <w:r w:rsidRPr="008D7A52">
        <w:t>such as clean technology adoption and eco-friendly product development</w:t>
      </w:r>
      <w:r w:rsidR="002437F8">
        <w:t xml:space="preserve"> </w:t>
      </w:r>
      <w:r w:rsidRPr="008D7A52">
        <w:t>and increased market share, investor confidence, and customer loyalty reinforcing the strategic importance of sustainability in contemporary business models.</w:t>
      </w:r>
    </w:p>
    <w:p w14:paraId="57EF59C9" w14:textId="77777777" w:rsidR="004F595B" w:rsidRPr="008D7A52" w:rsidRDefault="004F595B" w:rsidP="005661C0">
      <w:pPr>
        <w:ind w:firstLine="720"/>
        <w:jc w:val="both"/>
      </w:pPr>
    </w:p>
    <w:p w14:paraId="3D2C2A57" w14:textId="41D61A47" w:rsidR="005661C0" w:rsidRPr="008D7A52" w:rsidRDefault="005661C0" w:rsidP="005661C0">
      <w:pPr>
        <w:ind w:firstLine="720"/>
        <w:jc w:val="both"/>
      </w:pPr>
      <w:r w:rsidRPr="008D7A52">
        <w:t>Despite the well-documented benefits of environmental sustainability investments in developed markets, research on their impact in developing economies</w:t>
      </w:r>
      <w:r w:rsidR="00AD3A2E" w:rsidRPr="008D7A52">
        <w:t>,</w:t>
      </w:r>
      <w:r w:rsidRPr="008D7A52">
        <w:t xml:space="preserve"> particularly regarding sustainable capital expenditure projects, renewable energy, environmental certification and compliance costs, pollution control expenditures, and green research and development</w:t>
      </w:r>
      <w:r w:rsidR="00AD3A2E" w:rsidRPr="008D7A52">
        <w:t xml:space="preserve"> are still debated</w:t>
      </w:r>
      <w:r w:rsidRPr="008D7A52">
        <w:t xml:space="preserve">. While </w:t>
      </w:r>
      <w:r w:rsidR="00AD3A2E" w:rsidRPr="008D7A52">
        <w:t>developed economies</w:t>
      </w:r>
      <w:r w:rsidRPr="008D7A52">
        <w:t xml:space="preserve"> suggest that such investments can help firms address local environmental challenges and regulatory requirements while generating long-term financial and non-financial benefits (Singh &amp; Agarwal, 2022; </w:t>
      </w:r>
      <w:proofErr w:type="spellStart"/>
      <w:r w:rsidRPr="008D7A52">
        <w:t>Mupemhi</w:t>
      </w:r>
      <w:proofErr w:type="spellEnd"/>
      <w:r w:rsidRPr="008D7A52">
        <w:t xml:space="preserve"> et al., 2023),</w:t>
      </w:r>
      <w:r w:rsidR="00045F2E" w:rsidRPr="008D7A52">
        <w:t xml:space="preserve"> other emerging economies need the investment as additional costs. This explains the reason for most existing literature</w:t>
      </w:r>
      <w:r w:rsidRPr="008D7A52">
        <w:t xml:space="preserve"> predominantly focus</w:t>
      </w:r>
      <w:r w:rsidR="00797E95" w:rsidRPr="008D7A52">
        <w:t>ing</w:t>
      </w:r>
      <w:r w:rsidRPr="008D7A52">
        <w:t xml:space="preserve"> on multinational corporations (MNCs) and large enterprises, leaving a significant gap in understanding their implications for small and medium-sized enterprises (SMEs) and </w:t>
      </w:r>
      <w:r w:rsidR="00797E95" w:rsidRPr="008D7A52">
        <w:t xml:space="preserve">other local </w:t>
      </w:r>
      <w:r w:rsidRPr="008D7A52">
        <w:t xml:space="preserve">firms, which play vital </w:t>
      </w:r>
      <w:r w:rsidR="00C47CEE" w:rsidRPr="008D7A52">
        <w:t>roles</w:t>
      </w:r>
      <w:r w:rsidRPr="008D7A52">
        <w:t xml:space="preserve"> in economic growth. Additionally, sustainability research in key sectors such as agriculture and manufacturing often </w:t>
      </w:r>
      <w:r w:rsidR="00682FF1" w:rsidRPr="008D7A52">
        <w:t>prioritize</w:t>
      </w:r>
      <w:r w:rsidRPr="008D7A52">
        <w:t xml:space="preserve"> regulatory compliance and cost-saving measures, overlooking broader dimensions of value creation, including stakeholder trust, innovation capacity, and social impact (Mohammed &amp; Osman, 2023; Kumar et al., 2023). This underscores the need for more comprehensive investigations into how environmental sustainability investments contribute to firm value, particularly in resource-constrained economies where such strategies could drive sustainable development.</w:t>
      </w:r>
    </w:p>
    <w:p w14:paraId="016400CA" w14:textId="77777777" w:rsidR="004F595B" w:rsidRPr="008D7A52" w:rsidRDefault="004F595B" w:rsidP="00C8562D">
      <w:pPr>
        <w:ind w:firstLine="720"/>
        <w:jc w:val="both"/>
      </w:pPr>
    </w:p>
    <w:p w14:paraId="62612E49" w14:textId="14544EE9" w:rsidR="00C8562D" w:rsidRPr="008D7A52" w:rsidRDefault="00797E95" w:rsidP="00C8562D">
      <w:pPr>
        <w:ind w:firstLine="720"/>
        <w:jc w:val="both"/>
      </w:pPr>
      <w:r w:rsidRPr="008D7A52">
        <w:t>Furthermore, c</w:t>
      </w:r>
      <w:r w:rsidR="00C8562D" w:rsidRPr="008D7A52">
        <w:t>urrent research mainly addresses short-term environmental compliance, without fully exploring key investment areas such as sustainable project expenditure, renewable energy adoption, environmental certification and compliance costs, pollution control investments, and green R&amp;D. Given Nigeria's unique challenges</w:t>
      </w:r>
      <w:r w:rsidRPr="008D7A52">
        <w:t xml:space="preserve"> of</w:t>
      </w:r>
      <w:r w:rsidR="00C8562D" w:rsidRPr="008D7A52">
        <w:t xml:space="preserve"> regulatory uncertainties, energy inefficiencies, and environmental degradation (</w:t>
      </w:r>
      <w:proofErr w:type="spellStart"/>
      <w:r w:rsidR="00C8562D" w:rsidRPr="008D7A52">
        <w:t>Onyeiwu</w:t>
      </w:r>
      <w:proofErr w:type="spellEnd"/>
      <w:r w:rsidR="00C8562D" w:rsidRPr="008D7A52">
        <w:t xml:space="preserve">, 2023; Akinwale, 2023), there is a pressing need for deeper insights into how sustainability investments can help firms create long-term value. This study aims to fill this gap by investigating the </w:t>
      </w:r>
      <w:r w:rsidR="00FE3C27" w:rsidRPr="008D7A52">
        <w:t>effect</w:t>
      </w:r>
      <w:r w:rsidR="00C8562D" w:rsidRPr="008D7A52">
        <w:t xml:space="preserve"> of environmental sustainability investment on value creation in Nigerian non-financial firms, offering both theoretical contributions and practical implications for firms in emerging markets.</w:t>
      </w:r>
    </w:p>
    <w:p w14:paraId="432703BD" w14:textId="77777777" w:rsidR="004F595B" w:rsidRPr="008D7A52" w:rsidRDefault="00916487" w:rsidP="00FE3C27">
      <w:pPr>
        <w:ind w:firstLine="720"/>
        <w:jc w:val="both"/>
      </w:pPr>
      <w:r w:rsidRPr="008D7A52">
        <w:t xml:space="preserve"> </w:t>
      </w:r>
    </w:p>
    <w:p w14:paraId="453988D3" w14:textId="17F58A1B" w:rsidR="00E17F42" w:rsidRPr="008D7A52" w:rsidRDefault="004C212B" w:rsidP="00FE3C27">
      <w:pPr>
        <w:ind w:firstLine="720"/>
        <w:jc w:val="both"/>
      </w:pPr>
      <w:r w:rsidRPr="008D7A52">
        <w:t>Considering</w:t>
      </w:r>
      <w:r w:rsidR="00E17F42" w:rsidRPr="008D7A52">
        <w:t xml:space="preserve"> the </w:t>
      </w:r>
      <w:r w:rsidR="00797E95" w:rsidRPr="008D7A52">
        <w:t>identified gaps</w:t>
      </w:r>
      <w:r w:rsidR="00E17F42" w:rsidRPr="008D7A52">
        <w:t xml:space="preserve">, this study investigates the effect of environmental sustainability investment on value creation of non-financial listed firms in Nigeria. The choice of listed non-financial firms </w:t>
      </w:r>
      <w:r w:rsidR="006B16B3" w:rsidRPr="008D7A52">
        <w:t>is</w:t>
      </w:r>
      <w:r w:rsidR="003D1B2A" w:rsidRPr="008D7A52">
        <w:t xml:space="preserve"> </w:t>
      </w:r>
      <w:r w:rsidR="00E17F42" w:rsidRPr="008D7A52">
        <w:t>ideal for this study as they span diverse, economically critical industries while facing distinct sustainability challenges and limited regulatory support compared to financial firms, thereby providing insights into broader economic and environmental dynamics.</w:t>
      </w:r>
      <w:r w:rsidR="00E17F42" w:rsidRPr="008D7A52">
        <w:rPr>
          <w:shd w:val="clear" w:color="auto" w:fill="FFFFFF"/>
        </w:rPr>
        <w:t xml:space="preserve"> </w:t>
      </w:r>
      <w:r w:rsidR="00E17F42" w:rsidRPr="008D7A52">
        <w:t>The study</w:t>
      </w:r>
      <w:r w:rsidR="00FE3C27" w:rsidRPr="008D7A52">
        <w:t xml:space="preserve"> specifically</w:t>
      </w:r>
      <w:r w:rsidR="00E17F42" w:rsidRPr="008D7A52">
        <w:t xml:space="preserve"> </w:t>
      </w:r>
      <w:r w:rsidR="00FE3C27" w:rsidRPr="008D7A52">
        <w:t xml:space="preserve">investigates the effect of investment in renewable energy, </w:t>
      </w:r>
      <w:r w:rsidR="00ED0D2C" w:rsidRPr="008D7A52">
        <w:t>expenditure on pollution control</w:t>
      </w:r>
      <w:r w:rsidR="00B42106">
        <w:t xml:space="preserve">, </w:t>
      </w:r>
      <w:r w:rsidR="00ED0D2C" w:rsidRPr="008D7A52">
        <w:t>green research and development expenditure,</w:t>
      </w:r>
      <w:r w:rsidR="00B42106">
        <w:t xml:space="preserve"> and </w:t>
      </w:r>
      <w:r w:rsidR="00FE3C27" w:rsidRPr="008D7A52">
        <w:t xml:space="preserve">environmental certification and compliance cost, with value creation </w:t>
      </w:r>
      <w:r w:rsidR="00797E95" w:rsidRPr="008D7A52">
        <w:t xml:space="preserve">represented by the </w:t>
      </w:r>
      <w:r w:rsidR="00FE3C27" w:rsidRPr="008D7A52">
        <w:t>market value added.</w:t>
      </w:r>
    </w:p>
    <w:p w14:paraId="4B42EC7B" w14:textId="4AC73603" w:rsidR="00E17F42" w:rsidRDefault="00797E95" w:rsidP="00C8562D">
      <w:pPr>
        <w:ind w:firstLine="720"/>
        <w:jc w:val="both"/>
      </w:pPr>
      <w:r w:rsidRPr="008D7A52">
        <w:lastRenderedPageBreak/>
        <w:t>T</w:t>
      </w:r>
      <w:r w:rsidR="00E17F42" w:rsidRPr="008D7A52">
        <w:t>here are five sections to this study, an overview of the study was covered in the first se</w:t>
      </w:r>
      <w:r w:rsidR="00F3000A" w:rsidRPr="008D7A52">
        <w:t>ction</w:t>
      </w:r>
      <w:r w:rsidR="00E17F42" w:rsidRPr="008D7A52">
        <w:t>. Section two of the study covers the conceptual, theoretical, and empirical assessments of the literature, while the third se</w:t>
      </w:r>
      <w:r w:rsidR="00F3000A" w:rsidRPr="008D7A52">
        <w:t>ction</w:t>
      </w:r>
      <w:r w:rsidR="00E17F42" w:rsidRPr="008D7A52">
        <w:t xml:space="preserve"> addresses the methodology. Data presentation, analysis, and hypothesis testing are covered in se</w:t>
      </w:r>
      <w:r w:rsidR="00F3000A" w:rsidRPr="008D7A52">
        <w:t>ction</w:t>
      </w:r>
      <w:r w:rsidR="00E17F42" w:rsidRPr="008D7A52">
        <w:t xml:space="preserve"> four, while the study's summary, conclusion, and recommendations are covered in section five.</w:t>
      </w:r>
    </w:p>
    <w:p w14:paraId="7A6FC66D" w14:textId="77777777" w:rsidR="008C359D" w:rsidRDefault="008C359D" w:rsidP="00C8562D">
      <w:pPr>
        <w:ind w:firstLine="720"/>
        <w:jc w:val="both"/>
      </w:pPr>
    </w:p>
    <w:p w14:paraId="21D7789D" w14:textId="459E7DFA" w:rsidR="006F7314" w:rsidRPr="008D7A52" w:rsidRDefault="006F7314" w:rsidP="006F7314">
      <w:pPr>
        <w:autoSpaceDE w:val="0"/>
        <w:autoSpaceDN w:val="0"/>
        <w:adjustRightInd w:val="0"/>
        <w:spacing w:line="360" w:lineRule="auto"/>
        <w:jc w:val="both"/>
        <w:rPr>
          <w:b/>
        </w:rPr>
      </w:pPr>
      <w:r w:rsidRPr="008D7A52">
        <w:rPr>
          <w:b/>
        </w:rPr>
        <w:t>2.</w:t>
      </w:r>
      <w:r w:rsidRPr="008D7A52">
        <w:rPr>
          <w:b/>
        </w:rPr>
        <w:tab/>
        <w:t>Literature Review</w:t>
      </w:r>
    </w:p>
    <w:p w14:paraId="623AD1D6" w14:textId="43D8C145" w:rsidR="006F7314" w:rsidRPr="008D7A52" w:rsidRDefault="006F7314" w:rsidP="006F7314">
      <w:pPr>
        <w:ind w:firstLine="720"/>
        <w:jc w:val="both"/>
      </w:pPr>
      <w:r w:rsidRPr="008D7A52">
        <w:t xml:space="preserve">The conceptual review, theoretical review, empirical review, and gap identification that support </w:t>
      </w:r>
      <w:r w:rsidR="00AF35B0" w:rsidRPr="008D7A52">
        <w:t>environmental sustainability investment and value creation</w:t>
      </w:r>
      <w:r w:rsidR="00AF35B0" w:rsidRPr="008D7A52">
        <w:rPr>
          <w:b/>
          <w:bCs/>
        </w:rPr>
        <w:t xml:space="preserve"> </w:t>
      </w:r>
      <w:r w:rsidRPr="008D7A52">
        <w:t>are the main parts of this section.</w:t>
      </w:r>
    </w:p>
    <w:p w14:paraId="0590DE6E" w14:textId="77777777" w:rsidR="006F7314" w:rsidRPr="008D7A52" w:rsidRDefault="006F7314" w:rsidP="006F7314">
      <w:pPr>
        <w:ind w:firstLine="720"/>
        <w:jc w:val="both"/>
        <w:rPr>
          <w:sz w:val="12"/>
          <w:szCs w:val="12"/>
        </w:rPr>
      </w:pPr>
    </w:p>
    <w:p w14:paraId="21B1D3B7" w14:textId="77777777" w:rsidR="006F7314" w:rsidRPr="008D7A52" w:rsidRDefault="006F7314" w:rsidP="006F7314">
      <w:pPr>
        <w:autoSpaceDE w:val="0"/>
        <w:autoSpaceDN w:val="0"/>
        <w:adjustRightInd w:val="0"/>
        <w:spacing w:line="360" w:lineRule="auto"/>
        <w:jc w:val="both"/>
        <w:rPr>
          <w:b/>
        </w:rPr>
      </w:pPr>
      <w:r w:rsidRPr="008D7A52">
        <w:rPr>
          <w:b/>
        </w:rPr>
        <w:t>2.1.</w:t>
      </w:r>
      <w:r w:rsidRPr="008D7A52">
        <w:rPr>
          <w:b/>
        </w:rPr>
        <w:tab/>
        <w:t>Conceptual Review</w:t>
      </w:r>
    </w:p>
    <w:p w14:paraId="2D180450" w14:textId="595B481A" w:rsidR="00E17F42" w:rsidRPr="008D7A52" w:rsidRDefault="00FC313D" w:rsidP="00FC313D">
      <w:pPr>
        <w:ind w:firstLine="720"/>
        <w:jc w:val="both"/>
      </w:pPr>
      <w:r w:rsidRPr="008D7A52">
        <w:t>This section critically examines key concepts and scholarly perspectives, establishing a robust foundation for the study by identifying theoretical connections, prevailing insights, and existing research gaps.</w:t>
      </w:r>
    </w:p>
    <w:p w14:paraId="0CD27BEE" w14:textId="77777777" w:rsidR="003E77E4" w:rsidRPr="008D7A52" w:rsidRDefault="003E77E4" w:rsidP="00FC313D">
      <w:pPr>
        <w:jc w:val="both"/>
        <w:rPr>
          <w:b/>
          <w:bCs/>
        </w:rPr>
      </w:pPr>
    </w:p>
    <w:p w14:paraId="769DA01D" w14:textId="1353B1A3" w:rsidR="00601A89" w:rsidRPr="008D7A52" w:rsidRDefault="00FC313D" w:rsidP="00FC313D">
      <w:pPr>
        <w:jc w:val="both"/>
        <w:rPr>
          <w:b/>
          <w:bCs/>
        </w:rPr>
      </w:pPr>
      <w:r w:rsidRPr="008D7A52">
        <w:rPr>
          <w:b/>
          <w:bCs/>
        </w:rPr>
        <w:t>2.</w:t>
      </w:r>
      <w:r w:rsidR="00D301C6" w:rsidRPr="008D7A52">
        <w:rPr>
          <w:b/>
          <w:bCs/>
        </w:rPr>
        <w:t>1</w:t>
      </w:r>
      <w:r w:rsidRPr="008D7A52">
        <w:rPr>
          <w:b/>
          <w:bCs/>
        </w:rPr>
        <w:t>.1.</w:t>
      </w:r>
      <w:r w:rsidRPr="008D7A52">
        <w:tab/>
      </w:r>
      <w:r w:rsidRPr="008D7A52">
        <w:rPr>
          <w:b/>
          <w:bCs/>
        </w:rPr>
        <w:t>Value Creation</w:t>
      </w:r>
    </w:p>
    <w:p w14:paraId="6659F112" w14:textId="77777777" w:rsidR="003E77E4" w:rsidRPr="008D7A52" w:rsidRDefault="003E77E4" w:rsidP="0087367C">
      <w:pPr>
        <w:spacing w:after="160"/>
        <w:ind w:firstLine="720"/>
        <w:jc w:val="both"/>
        <w:rPr>
          <w:sz w:val="6"/>
          <w:szCs w:val="6"/>
        </w:rPr>
      </w:pPr>
    </w:p>
    <w:p w14:paraId="43883FA3" w14:textId="77777777" w:rsidR="00AB292E" w:rsidRDefault="008E1BDE" w:rsidP="00AB292E">
      <w:pPr>
        <w:spacing w:after="160"/>
        <w:ind w:firstLine="720"/>
        <w:jc w:val="both"/>
      </w:pPr>
      <w:r w:rsidRPr="008D7A52">
        <w:t>Value</w:t>
      </w:r>
      <w:r w:rsidR="0087367C" w:rsidRPr="008D7A52">
        <w:t xml:space="preserve"> creation is a key element in strategic management and economics, referring to processes through which companies generate benefits that surpass the costs of their activities, thus enhancing stakeholder wealth. In the context of environmental sustainability investment, this concept emphasizes the integration of sustainable business practices that promote long-term profitability while benefiting society and the environment. McKinsey &amp; Company (2020) underscores the need to consider the interests of all </w:t>
      </w:r>
      <w:proofErr w:type="gramStart"/>
      <w:r w:rsidR="0087367C" w:rsidRPr="008D7A52">
        <w:t>stakeholders</w:t>
      </w:r>
      <w:proofErr w:type="gramEnd"/>
      <w:r w:rsidR="0081707F">
        <w:t xml:space="preserve"> </w:t>
      </w:r>
      <w:r w:rsidR="0087367C" w:rsidRPr="008D7A52">
        <w:t>customers, employees, suppliers, communities, and the environment</w:t>
      </w:r>
      <w:r w:rsidR="0081707F">
        <w:t xml:space="preserve"> </w:t>
      </w:r>
      <w:r w:rsidR="0087367C" w:rsidRPr="008D7A52">
        <w:t>when pursuing value creation, as this approach fosters sustainable growth. In line with this, Salas-Molina et al. (2020) propose a shared value framework, where sustainability becomes a central driver of value creation. By addressing both environmental concerns and business objectives, companies can not only achieve a competitive advantage but also improve community well-being and ecosystem health. Additionally, Cuevas Lizama and Royo-Vela (2023) emphasize the link between economic value and environmental contributions, suggesting that shared value strategies can enhance corporate success while protecting natural resources.</w:t>
      </w:r>
    </w:p>
    <w:p w14:paraId="2FA0525A" w14:textId="7781A447" w:rsidR="00C653F0" w:rsidRPr="008D7A52" w:rsidRDefault="0087367C" w:rsidP="00AB292E">
      <w:pPr>
        <w:spacing w:after="160"/>
        <w:ind w:firstLine="720"/>
        <w:jc w:val="both"/>
      </w:pPr>
      <w:r w:rsidRPr="008D7A52">
        <w:t xml:space="preserve">Despite its significance, measuring value creation in the realm of environmental sustainability presents substantial challenges. Traditional financial metrics often fail to account for intangible assets such as environmental reputation, green innovations, and long-term resource stewardship. As </w:t>
      </w:r>
      <w:r w:rsidR="008E1BDE" w:rsidRPr="008D7A52">
        <w:t>Faster-Capital</w:t>
      </w:r>
      <w:r w:rsidRPr="008D7A52">
        <w:t xml:space="preserve"> (2021) points out, an overemphasis on short-term financial outcomes can undermine investments in environmental initiatives that generate long-term value. In developing economies, the difficulty of measuring value creation is exacerbated, as Oloyede et al. (2023) highlight the lack of consistent data and varying definitions of environmental impact in digital economies. Moreover, balancing stakeholder interests remains a challenge, as short-term shareholder returns may conflict with long-term environmental goals. Abid et al. (2022) argue that value creation is experiential, with outcomes varying based on context, which makes it essential to develop adaptable evaluation frameworks that accurately assess both financial performance and environmental sustainability. This will allow companies to measure their long-term contributions to both the economy and the planet</w:t>
      </w:r>
      <w:r w:rsidR="00C653F0" w:rsidRPr="008D7A52">
        <w:t>.</w:t>
      </w:r>
    </w:p>
    <w:p w14:paraId="2D290AF0" w14:textId="6D379E63" w:rsidR="00C41FB1" w:rsidRPr="008D7A52" w:rsidRDefault="00B43044" w:rsidP="00B43044">
      <w:pPr>
        <w:ind w:firstLine="720"/>
        <w:jc w:val="both"/>
      </w:pPr>
      <w:r w:rsidRPr="008D7A52">
        <w:t xml:space="preserve">Market Value Added (MVA) is a crucial financial metric that measures the excess value a firm generates beyond the capital invested by shareholders and debt holders, reflecting management’s effectiveness in value creation (Stewart, 2021; Pandya, 2023). It is computed as the difference between a company’s total market value and its invested capital, where a positive MVA signifies successful value creation, while a negative MVA indicates value erosion </w:t>
      </w:r>
      <w:r w:rsidRPr="008D7A52">
        <w:lastRenderedPageBreak/>
        <w:t xml:space="preserve">(Brigham &amp; Ehrhardt, 2022). This metric provides valuable insights into a firm’s ability to generate returns above its cost of capital, aligning financial performance with strategic objectives (Sundari et al., 2023). Empirical studies reinforce MVA’s role in financial performance evaluation, particularly in assessing firms’ long-term value creation strategies and corporate sustainability (Babu &amp; de </w:t>
      </w:r>
      <w:proofErr w:type="spellStart"/>
      <w:r w:rsidRPr="008D7A52">
        <w:t>Rozari</w:t>
      </w:r>
      <w:proofErr w:type="spellEnd"/>
      <w:r w:rsidRPr="008D7A52">
        <w:t xml:space="preserve">, 2024; Chen et al., 2022). For instance, Babu and de </w:t>
      </w:r>
      <w:proofErr w:type="spellStart"/>
      <w:r w:rsidRPr="008D7A52">
        <w:t>Rozari</w:t>
      </w:r>
      <w:proofErr w:type="spellEnd"/>
      <w:r w:rsidRPr="008D7A52">
        <w:t xml:space="preserve"> (2024) analysed PT Mustika Ratu </w:t>
      </w:r>
      <w:proofErr w:type="spellStart"/>
      <w:r w:rsidRPr="008D7A52">
        <w:t>Tbk’s</w:t>
      </w:r>
      <w:proofErr w:type="spellEnd"/>
      <w:r w:rsidRPr="008D7A52">
        <w:t xml:space="preserve"> financial performance using MVA and Economic Value Added (EVA) methodologies, demonstrating MVA’s utility in value assessment before and during the COVID-19 pandemic. Similarly, Sundari et al. (2023) applied MVA and EVA techniques in Indonesia’s cement sub-sector, revealing that firms with higher MVA exhibited superior financial health and operational efficiency. These findings highlight MVA as an essential tool for evaluating corporate sustainability, financial efficiency, and strategic investment decisions in dynamic market conditions.</w:t>
      </w:r>
    </w:p>
    <w:p w14:paraId="407CF598" w14:textId="77777777" w:rsidR="00B43044" w:rsidRDefault="00B43044" w:rsidP="00FC313D">
      <w:pPr>
        <w:jc w:val="both"/>
      </w:pPr>
    </w:p>
    <w:p w14:paraId="67286FBD" w14:textId="77777777" w:rsidR="00B43044" w:rsidRPr="008D7A52" w:rsidRDefault="00B43044" w:rsidP="00FC313D">
      <w:pPr>
        <w:jc w:val="both"/>
        <w:rPr>
          <w:sz w:val="2"/>
          <w:szCs w:val="2"/>
        </w:rPr>
      </w:pPr>
    </w:p>
    <w:p w14:paraId="09CD62D9" w14:textId="2167FB86" w:rsidR="00D301C6" w:rsidRPr="008D7A52" w:rsidRDefault="00D301C6" w:rsidP="00FC313D">
      <w:pPr>
        <w:jc w:val="both"/>
        <w:rPr>
          <w:b/>
          <w:bCs/>
        </w:rPr>
      </w:pPr>
      <w:r w:rsidRPr="008D7A52">
        <w:rPr>
          <w:b/>
          <w:bCs/>
        </w:rPr>
        <w:t>2.1.2</w:t>
      </w:r>
      <w:r w:rsidRPr="008D7A52">
        <w:tab/>
      </w:r>
      <w:r w:rsidRPr="008D7A52">
        <w:rPr>
          <w:b/>
          <w:bCs/>
        </w:rPr>
        <w:t>Environmental Sustainability Investment</w:t>
      </w:r>
    </w:p>
    <w:p w14:paraId="4368689B" w14:textId="77777777" w:rsidR="003E77E4" w:rsidRPr="008D7A52" w:rsidRDefault="003E77E4" w:rsidP="00B22C9C">
      <w:pPr>
        <w:spacing w:after="160"/>
        <w:ind w:firstLine="720"/>
        <w:jc w:val="both"/>
        <w:rPr>
          <w:sz w:val="2"/>
          <w:szCs w:val="2"/>
        </w:rPr>
      </w:pPr>
    </w:p>
    <w:p w14:paraId="636270A2" w14:textId="362ADF40" w:rsidR="00B22C9C" w:rsidRPr="008D7A52" w:rsidRDefault="00B22C9C" w:rsidP="00B22C9C">
      <w:pPr>
        <w:spacing w:after="160"/>
        <w:ind w:firstLine="720"/>
        <w:jc w:val="both"/>
      </w:pPr>
      <w:r w:rsidRPr="008D7A52">
        <w:t xml:space="preserve">Environmental sustainability investment (ESI) is a strategic approach in which financial resources are allocated to projects, industries, and enterprises that promote long-term environmental benefits while maintaining financial viability. It focuses on sectors such as renewable energy, sustainable agriculture, green infrastructure, carbon reduction initiatives, and pollution control. ESI aims to reconcile economic growth with environmental conservation by encouraging investments that foster both ecological sustainability and financial returns (Smith &amp; Johnson, 2021). This aligns with the growing recognition in the literature that sustainability-focused investments not only contribute to global environmental goals but also hold the potential </w:t>
      </w:r>
      <w:r w:rsidR="00774C63" w:rsidRPr="008D7A52">
        <w:t>to generate</w:t>
      </w:r>
      <w:r w:rsidRPr="008D7A52">
        <w:t xml:space="preserve"> robust economic returns for investors (Chen et al., 2022). As defined by scholars, ESI </w:t>
      </w:r>
      <w:r w:rsidR="00A21599">
        <w:t>emphasises</w:t>
      </w:r>
      <w:r w:rsidRPr="008D7A52">
        <w:t xml:space="preserve"> investments that facilitate the achievement of environmental objectives, such as climate change mitigation, biodiversity protection, and resource efficiency, through integrated financial strategies (Williams &amp; Clark, 2021).</w:t>
      </w:r>
    </w:p>
    <w:p w14:paraId="360C0741" w14:textId="626AB463" w:rsidR="00B22C9C" w:rsidRPr="008D7A52" w:rsidRDefault="00B22C9C" w:rsidP="00FD35A3">
      <w:pPr>
        <w:ind w:firstLine="720"/>
        <w:jc w:val="both"/>
      </w:pPr>
      <w:r w:rsidRPr="008D7A52">
        <w:t xml:space="preserve">The significance of environmental sustainability investments has gained momentum </w:t>
      </w:r>
      <w:r w:rsidR="00B84BDC" w:rsidRPr="008D7A52">
        <w:t>because of</w:t>
      </w:r>
      <w:r w:rsidRPr="008D7A52">
        <w:t xml:space="preserve"> increasing institutional and regulatory support for sustainable finance. For instance, the integration of environmental, social, and governance (ESG) criteria into investment decision-making has been a key driver of this trend (Doe &amp; Brown, 2021). However, despite its potential, challenges remain in effectively measuring and reporting the impact of these investments. One of the key obstacles is the lack of universally accepted metrics for assessing sustainability outcomes, which often leads to inconsistencies in performance evaluation (</w:t>
      </w:r>
      <w:r w:rsidR="00AC6F9A">
        <w:t>Abubakar</w:t>
      </w:r>
      <w:r w:rsidRPr="008D7A52">
        <w:t xml:space="preserve"> &amp; </w:t>
      </w:r>
      <w:r w:rsidR="00AC6F9A">
        <w:t>Yusuf</w:t>
      </w:r>
      <w:r w:rsidRPr="008D7A52">
        <w:t>, 2022). Additionally, the tension between short-term financial returns and long-term environmental goals often creates hesitancy among investors, particularly in sectors where green financing remains scarce, especially in developing economies (Nguyen &amp; Lee, 2021). Nevertheless, frameworks like the Return on Sustainability Investment (ROSI) and growing mechanisms such as green bonds and sustainability-linked loans are helping bridge the gap between environmental goals and financial profitability (Nguyen &amp; Lee, 2021; Smith &amp; Johnson, 2021).</w:t>
      </w:r>
    </w:p>
    <w:p w14:paraId="15F789AB" w14:textId="77777777" w:rsidR="00FD35A3" w:rsidRPr="008D7A52" w:rsidRDefault="00FD35A3" w:rsidP="00FD35A3">
      <w:pPr>
        <w:ind w:firstLine="720"/>
        <w:jc w:val="both"/>
        <w:rPr>
          <w:sz w:val="2"/>
          <w:szCs w:val="2"/>
        </w:rPr>
      </w:pPr>
    </w:p>
    <w:p w14:paraId="2DE673CF" w14:textId="77777777" w:rsidR="003E77E4" w:rsidRPr="008D7A52" w:rsidRDefault="003E77E4" w:rsidP="00FC313D">
      <w:pPr>
        <w:jc w:val="both"/>
        <w:rPr>
          <w:b/>
          <w:bCs/>
        </w:rPr>
      </w:pPr>
    </w:p>
    <w:p w14:paraId="766B6540" w14:textId="77777777" w:rsidR="003E77E4" w:rsidRPr="008D7A52" w:rsidRDefault="003E77E4" w:rsidP="00FC313D">
      <w:pPr>
        <w:jc w:val="both"/>
        <w:rPr>
          <w:b/>
          <w:bCs/>
          <w:sz w:val="6"/>
          <w:szCs w:val="6"/>
        </w:rPr>
      </w:pPr>
    </w:p>
    <w:p w14:paraId="750EB6E9" w14:textId="7050AFE9" w:rsidR="00700B6D" w:rsidRPr="008D7A52" w:rsidRDefault="00700B6D" w:rsidP="00FC313D">
      <w:pPr>
        <w:jc w:val="both"/>
      </w:pPr>
      <w:r w:rsidRPr="008D7A52">
        <w:rPr>
          <w:b/>
          <w:bCs/>
        </w:rPr>
        <w:t>2.1.2.</w:t>
      </w:r>
      <w:r w:rsidR="00BA27CB" w:rsidRPr="008D7A52">
        <w:rPr>
          <w:b/>
          <w:bCs/>
        </w:rPr>
        <w:t>1</w:t>
      </w:r>
      <w:r w:rsidRPr="008D7A52">
        <w:rPr>
          <w:b/>
          <w:bCs/>
        </w:rPr>
        <w:tab/>
        <w:t>Investment in Renewable Energy</w:t>
      </w:r>
      <w:r w:rsidRPr="008D7A52">
        <w:t xml:space="preserve"> </w:t>
      </w:r>
    </w:p>
    <w:p w14:paraId="65C10DD8" w14:textId="7391F227" w:rsidR="001A4E75" w:rsidRPr="008D7A52" w:rsidRDefault="001A4E75" w:rsidP="001A4E75">
      <w:pPr>
        <w:ind w:firstLine="720"/>
        <w:jc w:val="both"/>
      </w:pPr>
      <w:r w:rsidRPr="008D7A52">
        <w:t xml:space="preserve">Investment in renewable energy refers to the financial commitment directed towards the development and implementation of energy sources that are naturally replenishing, such as solar, wind, hydro, and geothermal energy (Sharma et al., 2023). This form of investment is critical for transitioning towards low-carbon economies and is a key driver of environmental sustainability investments (ESI). In developing countries, renewable energy investments are particularly influential in addressing energy poverty, enhancing energy security, and meeting climate goals (Ahmed et al., 2022). Studies by Jamil et al. (2021) and Mlambo &amp; Naidoo (2023) highlight that these investments not only reduce environmental impact but also foster economic </w:t>
      </w:r>
      <w:r w:rsidRPr="008D7A52">
        <w:lastRenderedPageBreak/>
        <w:t>growth by creating green jobs and enhancing energy access. Furthermore, research by Patel et al. (2024) reveals that the growing focus on renewable energy in developing regions helps align environmental and financial goals, positioning renewable energy as a cornerstone of sustainable development. Collectively, these studies demonstrate the profound effect of renewable energy investments on promoting long-term sustainability and driving environmental, social, and economic benefits in developing economies.</w:t>
      </w:r>
    </w:p>
    <w:p w14:paraId="0D3C41E1" w14:textId="77777777" w:rsidR="003E77E4" w:rsidRDefault="003E77E4" w:rsidP="00FC313D">
      <w:pPr>
        <w:jc w:val="both"/>
        <w:rPr>
          <w:b/>
          <w:bCs/>
        </w:rPr>
      </w:pPr>
    </w:p>
    <w:p w14:paraId="3A3544B7" w14:textId="77777777" w:rsidR="000031F2" w:rsidRPr="008D7A52" w:rsidRDefault="000031F2" w:rsidP="000031F2">
      <w:pPr>
        <w:jc w:val="both"/>
      </w:pPr>
      <w:r w:rsidRPr="008D7A52">
        <w:rPr>
          <w:b/>
          <w:bCs/>
        </w:rPr>
        <w:t>2.1.2.</w:t>
      </w:r>
      <w:r>
        <w:rPr>
          <w:b/>
          <w:bCs/>
        </w:rPr>
        <w:t>2</w:t>
      </w:r>
      <w:r w:rsidRPr="008D7A52">
        <w:rPr>
          <w:b/>
          <w:bCs/>
        </w:rPr>
        <w:tab/>
        <w:t>Expenditure on Pollution Control</w:t>
      </w:r>
      <w:r w:rsidRPr="008D7A52">
        <w:t xml:space="preserve"> </w:t>
      </w:r>
    </w:p>
    <w:p w14:paraId="3738E10C" w14:textId="77777777" w:rsidR="000031F2" w:rsidRPr="00AC6F9A" w:rsidRDefault="000031F2" w:rsidP="000031F2">
      <w:pPr>
        <w:ind w:firstLine="720"/>
        <w:jc w:val="both"/>
        <w:rPr>
          <w:lang w:val="it-IT"/>
        </w:rPr>
      </w:pPr>
      <w:r w:rsidRPr="008D7A52">
        <w:t xml:space="preserve">Expenditure on pollution control refers to financial investments aimed at mitigating environmental degradation, such as funding for technologies, policies, and practices to reduce the harmful impacts of pollution on ecosystems. This expenditure is crucial for environmental sustainability, helping to restore biodiversity, improve air, water, and soil quality, and combat climate change. In Africa, such investments significantly influence sustainability by promoting a balance between economic development and environmental preservation. Asante et al. (2022) highlighted that in Ghana, pollution control spending led to the adoption of green technologies, enhancing sustainable practices. Moyo et al. (2023) noted that South Africa's increased pollution control expenditure improved corporate environmental responsibility and spurred investments in green industries. However, Osei-Bonsu et al. (2024) found that in Nigeria, while pollution control spending is rising, challenges like insufficient enforcement and limited funds hinder its full impact on sustainable investments. Overall, pollution control expenditure in Africa plays a vital role in driving both environmental protection and long-term sustainable development. </w:t>
      </w:r>
      <w:r w:rsidRPr="00AC6F9A">
        <w:rPr>
          <w:lang w:val="it-IT"/>
        </w:rPr>
        <w:t>(Asante et al., 2022; Moyo et al., 2023; Osei-Bonsu et al., 2024).</w:t>
      </w:r>
    </w:p>
    <w:p w14:paraId="1C1E56C3" w14:textId="77777777" w:rsidR="000031F2" w:rsidRPr="00AC6F9A" w:rsidRDefault="000031F2" w:rsidP="000031F2">
      <w:pPr>
        <w:jc w:val="both"/>
        <w:rPr>
          <w:b/>
          <w:bCs/>
          <w:lang w:val="it-IT"/>
        </w:rPr>
      </w:pPr>
    </w:p>
    <w:p w14:paraId="52F342AB" w14:textId="77777777" w:rsidR="000031F2" w:rsidRPr="008D7A52" w:rsidRDefault="000031F2" w:rsidP="000031F2">
      <w:pPr>
        <w:jc w:val="both"/>
        <w:rPr>
          <w:b/>
          <w:bCs/>
        </w:rPr>
      </w:pPr>
      <w:r w:rsidRPr="008D7A52">
        <w:rPr>
          <w:b/>
          <w:bCs/>
        </w:rPr>
        <w:t>2.1.2.</w:t>
      </w:r>
      <w:r>
        <w:rPr>
          <w:b/>
          <w:bCs/>
        </w:rPr>
        <w:t>3</w:t>
      </w:r>
      <w:r w:rsidRPr="008D7A52">
        <w:rPr>
          <w:b/>
          <w:bCs/>
        </w:rPr>
        <w:tab/>
        <w:t>Green Research and Development Expenditure</w:t>
      </w:r>
    </w:p>
    <w:p w14:paraId="59516D11" w14:textId="77777777" w:rsidR="000031F2" w:rsidRPr="008D7A52" w:rsidRDefault="000031F2" w:rsidP="000031F2">
      <w:pPr>
        <w:jc w:val="both"/>
        <w:rPr>
          <w:b/>
          <w:bCs/>
          <w:sz w:val="8"/>
          <w:szCs w:val="8"/>
        </w:rPr>
      </w:pPr>
    </w:p>
    <w:p w14:paraId="23D201F0" w14:textId="77777777" w:rsidR="000031F2" w:rsidRPr="008D7A52" w:rsidRDefault="000031F2" w:rsidP="000031F2">
      <w:pPr>
        <w:ind w:firstLine="720"/>
        <w:jc w:val="both"/>
      </w:pPr>
      <w:r w:rsidRPr="008D7A52">
        <w:t xml:space="preserve">Green Research and Development (R&amp;D) Expenditure refers to the financial investment directed towards research and technological innovations aimed at developing environmentally sustainable products, processes, and practices. It involves the creation of new green technologies, eco-friendly solutions, and the improvement of existing systems that contribute to environmental conservation and reduce ecological footprints. Green R&amp;D plays a significant role in advancing environmental sustainability by fostering innovations that reduce resource consumption, lower carbon emissions, and enhance the overall ecological balance. In developed countries, such investments have spurred significant advancements in renewable energy, waste management, and eco-efficient manufacturing. For instance, Smith et al. (2021) and Jones and Larson, (2023) found that in Europe, increased green R&amp;D expenditure has accelerated the transition to sustainable energy systems. In Africa, green R&amp;D expenditure has been pivotal in addressing climate change challenges. Adebayo et al. (2023) and Kumasi and Adegboye (2022) observed that in Nigeria, investments in green R&amp;D have enhanced sustainable agricultural practices and improved water management systems. Similarly, Du et al. (2022) argued that in South Africa, green R&amp;D has contributed to innovations in sustainable urban development. However, despite positive impacts, challenges such as limited funding and technological infrastructure persist. </w:t>
      </w:r>
    </w:p>
    <w:p w14:paraId="6D6797BE" w14:textId="77777777" w:rsidR="000031F2" w:rsidRPr="008D7A52" w:rsidRDefault="000031F2" w:rsidP="00FC313D">
      <w:pPr>
        <w:jc w:val="both"/>
        <w:rPr>
          <w:b/>
          <w:bCs/>
        </w:rPr>
      </w:pPr>
    </w:p>
    <w:p w14:paraId="5D3FDEF2" w14:textId="07F7A677" w:rsidR="00700B6D" w:rsidRPr="008D7A52" w:rsidRDefault="00700B6D" w:rsidP="00FC313D">
      <w:pPr>
        <w:jc w:val="both"/>
      </w:pPr>
      <w:r w:rsidRPr="008D7A52">
        <w:rPr>
          <w:b/>
          <w:bCs/>
        </w:rPr>
        <w:t>2.1.2.</w:t>
      </w:r>
      <w:r w:rsidR="00572EE9">
        <w:rPr>
          <w:b/>
          <w:bCs/>
        </w:rPr>
        <w:t>4</w:t>
      </w:r>
      <w:r w:rsidRPr="008D7A52">
        <w:rPr>
          <w:b/>
          <w:bCs/>
        </w:rPr>
        <w:tab/>
        <w:t>Environmental Certification and Compliance Cost</w:t>
      </w:r>
      <w:r w:rsidRPr="008D7A52">
        <w:t xml:space="preserve"> </w:t>
      </w:r>
    </w:p>
    <w:p w14:paraId="1463E6A0" w14:textId="23822E96" w:rsidR="003E77E4" w:rsidRPr="008D7A52" w:rsidRDefault="001D66C1" w:rsidP="003E77E4">
      <w:pPr>
        <w:ind w:firstLine="720"/>
        <w:jc w:val="both"/>
      </w:pPr>
      <w:r w:rsidRPr="008D7A52">
        <w:t>Environmental certification and compliance costs refer to the financial expenditures that organizations incur to meet environmental regulations and attain certification for their sustainability efforts, such as ISO 14001 or Energy Star (</w:t>
      </w:r>
      <w:proofErr w:type="spellStart"/>
      <w:r w:rsidR="002E2498" w:rsidRPr="008D7A52">
        <w:t>Chikodzi</w:t>
      </w:r>
      <w:proofErr w:type="spellEnd"/>
      <w:r w:rsidR="002E2498" w:rsidRPr="008D7A52">
        <w:t xml:space="preserve"> &amp; Nyathi, 2021; </w:t>
      </w:r>
      <w:r w:rsidR="00810AA5" w:rsidRPr="008D7A52">
        <w:t xml:space="preserve">Osei &amp; Fosu, </w:t>
      </w:r>
      <w:r w:rsidRPr="008D7A52">
        <w:t>2022). These certifications recognize a company’s commitment to environmental stewardship and regulatory adherence. While initial costs can be high, they often lead to long-term benefits like improved market access, brand reputation, and consumer trust, which influence environmental sustainability investments (</w:t>
      </w:r>
      <w:r w:rsidR="002E2498" w:rsidRPr="008D7A52">
        <w:t xml:space="preserve">Mwangi &amp; Gitau, </w:t>
      </w:r>
      <w:r w:rsidRPr="008D7A52">
        <w:t xml:space="preserve">2023). In developing countries, these certifications can act as competitive differentiators and promote sustainable business practices (Jha &amp; Kumar, 2024). Studies by </w:t>
      </w:r>
      <w:proofErr w:type="spellStart"/>
      <w:r w:rsidR="00810AA5" w:rsidRPr="008D7A52">
        <w:t>Bensah</w:t>
      </w:r>
      <w:proofErr w:type="spellEnd"/>
      <w:r w:rsidR="00810AA5" w:rsidRPr="008D7A52">
        <w:t xml:space="preserve"> and Oteng </w:t>
      </w:r>
      <w:r w:rsidRPr="008D7A52">
        <w:t xml:space="preserve">(2021) and </w:t>
      </w:r>
      <w:r w:rsidR="002E2498" w:rsidRPr="008D7A52">
        <w:t xml:space="preserve">Zeng and </w:t>
      </w:r>
      <w:r w:rsidR="002E2498" w:rsidRPr="008D7A52">
        <w:lastRenderedPageBreak/>
        <w:t>Ding</w:t>
      </w:r>
      <w:r w:rsidRPr="008D7A52">
        <w:t xml:space="preserve"> (202</w:t>
      </w:r>
      <w:r w:rsidR="002E2498" w:rsidRPr="008D7A52">
        <w:t>3</w:t>
      </w:r>
      <w:r w:rsidRPr="008D7A52">
        <w:t>) show that firms investing in certifications often see better financial performance due to global demand for sustainable products. These certifications also attract green financing and align operations with international standards, fostering further investments in renewable energy and sustainable infrastructure (Mahajan &amp; Patel, 2024). Thus, the costs of environmental certification contribute to both financial growth and sustainability goals.</w:t>
      </w:r>
    </w:p>
    <w:p w14:paraId="3E90DA25" w14:textId="77777777" w:rsidR="00152F20" w:rsidRPr="008D7A52" w:rsidRDefault="00152F20" w:rsidP="00FC313D">
      <w:pPr>
        <w:jc w:val="both"/>
        <w:rPr>
          <w:b/>
          <w:bCs/>
        </w:rPr>
      </w:pPr>
    </w:p>
    <w:p w14:paraId="00423386" w14:textId="1661BCB3" w:rsidR="00116EA7" w:rsidRPr="008D7A52" w:rsidRDefault="00CA1F29" w:rsidP="00FC313D">
      <w:pPr>
        <w:jc w:val="both"/>
        <w:rPr>
          <w:b/>
          <w:bCs/>
        </w:rPr>
      </w:pPr>
      <w:r w:rsidRPr="008D7A52">
        <w:rPr>
          <w:b/>
          <w:bCs/>
        </w:rPr>
        <w:t>2.2</w:t>
      </w:r>
      <w:r w:rsidRPr="008D7A52">
        <w:rPr>
          <w:b/>
          <w:bCs/>
        </w:rPr>
        <w:tab/>
        <w:t>Theoretical Review</w:t>
      </w:r>
    </w:p>
    <w:p w14:paraId="469B45E8" w14:textId="77777777" w:rsidR="00CA1F29" w:rsidRPr="008D7A52" w:rsidRDefault="00CA1F29" w:rsidP="00FC313D">
      <w:pPr>
        <w:jc w:val="both"/>
        <w:rPr>
          <w:b/>
          <w:bCs/>
        </w:rPr>
      </w:pPr>
    </w:p>
    <w:p w14:paraId="18BA94CD" w14:textId="5FF72C6B" w:rsidR="00CA1F29" w:rsidRPr="008D7A52" w:rsidRDefault="00876D5A" w:rsidP="00876D5A">
      <w:pPr>
        <w:ind w:firstLine="720"/>
        <w:jc w:val="both"/>
      </w:pPr>
      <w:r w:rsidRPr="008D7A52">
        <w:t xml:space="preserve">This study is anchored in the foundational frameworks of </w:t>
      </w:r>
      <w:proofErr w:type="spellStart"/>
      <w:r w:rsidR="00535A1F" w:rsidRPr="008D7A52">
        <w:t>signaling</w:t>
      </w:r>
      <w:proofErr w:type="spellEnd"/>
      <w:r w:rsidRPr="008D7A52">
        <w:t xml:space="preserve"> theory and institutional theory.</w:t>
      </w:r>
    </w:p>
    <w:p w14:paraId="3A13A5B8" w14:textId="77777777" w:rsidR="00876D5A" w:rsidRPr="008D7A52" w:rsidRDefault="00876D5A" w:rsidP="00682FF1">
      <w:pPr>
        <w:jc w:val="right"/>
      </w:pPr>
    </w:p>
    <w:p w14:paraId="2D191FE3" w14:textId="684F4BD0" w:rsidR="00876D5A" w:rsidRPr="008D7A52" w:rsidRDefault="00876D5A" w:rsidP="00876D5A">
      <w:pPr>
        <w:jc w:val="both"/>
        <w:rPr>
          <w:b/>
          <w:bCs/>
        </w:rPr>
      </w:pPr>
      <w:r w:rsidRPr="008D7A52">
        <w:rPr>
          <w:b/>
          <w:bCs/>
        </w:rPr>
        <w:t>2.2.1</w:t>
      </w:r>
      <w:r w:rsidRPr="008D7A52">
        <w:rPr>
          <w:b/>
          <w:bCs/>
        </w:rPr>
        <w:tab/>
      </w:r>
      <w:proofErr w:type="spellStart"/>
      <w:r w:rsidR="00535A1F" w:rsidRPr="008D7A52">
        <w:rPr>
          <w:b/>
          <w:bCs/>
        </w:rPr>
        <w:t>Signaling</w:t>
      </w:r>
      <w:proofErr w:type="spellEnd"/>
      <w:r w:rsidRPr="008D7A52">
        <w:rPr>
          <w:b/>
          <w:bCs/>
        </w:rPr>
        <w:t xml:space="preserve"> Theory</w:t>
      </w:r>
    </w:p>
    <w:p w14:paraId="4B8260FB" w14:textId="77777777" w:rsidR="001514C9" w:rsidRPr="008D7A52" w:rsidRDefault="001514C9" w:rsidP="00876D5A">
      <w:pPr>
        <w:jc w:val="both"/>
      </w:pPr>
    </w:p>
    <w:p w14:paraId="6D74FFF2" w14:textId="69CB4CE7" w:rsidR="00876D5A" w:rsidRDefault="00B43044" w:rsidP="00B43044">
      <w:pPr>
        <w:ind w:firstLine="720"/>
        <w:jc w:val="both"/>
      </w:pPr>
      <w:proofErr w:type="spellStart"/>
      <w:r w:rsidRPr="008D7A52">
        <w:t>Signaling</w:t>
      </w:r>
      <w:proofErr w:type="spellEnd"/>
      <w:r w:rsidRPr="008D7A52">
        <w:t xml:space="preserve"> theory, developed by Spence (1973), explains how firms communicate information to stakeholders in situations of asymmetric information. In the context of environmental sustainability investment and value creation, firms can signal their commitment to sustainability through green investments, renewable energy adoption, and resource efficiency, enhancing corporate reputation, market positioning, and investor confidence (Hassan et al., 2022). The theory assumes that firms with superior sustainability practices will send credible signals to differentiate themselves, but its effectiveness depends on stakeholder perceptions and the risk of greenwashing (Kim &amp; Hwang, 2023). Critics argue that </w:t>
      </w:r>
      <w:proofErr w:type="spellStart"/>
      <w:r w:rsidRPr="008D7A52">
        <w:t>signaling</w:t>
      </w:r>
      <w:proofErr w:type="spellEnd"/>
      <w:r w:rsidRPr="008D7A52">
        <w:t xml:space="preserve"> theory does not fully account for institutional pressures and regulatory environments, which influence sustainability disclosures (Choi &amp; Lee, 2024). In Nigeria, </w:t>
      </w:r>
      <w:proofErr w:type="spellStart"/>
      <w:r w:rsidRPr="008D7A52">
        <w:t>signaling</w:t>
      </w:r>
      <w:proofErr w:type="spellEnd"/>
      <w:r w:rsidRPr="008D7A52">
        <w:t xml:space="preserve"> theory helps explain how non-financial firms use sustainability investments to attract investors and gain competitive advantages, particularly in less regulated markets (Ahmed et al., 2022; Ogunyemi et al., 2023). Effective sustainability </w:t>
      </w:r>
      <w:proofErr w:type="spellStart"/>
      <w:r w:rsidRPr="008D7A52">
        <w:t>signaling</w:t>
      </w:r>
      <w:proofErr w:type="spellEnd"/>
      <w:r w:rsidRPr="008D7A52">
        <w:t xml:space="preserve"> can facilitate access to international markets and favourable financing terms while shaping stakeholder perceptions and corporate legitimacy (Anwar &amp; Malik, 2021). Policymakers can leverage this theory to enhance corporate sustainability practices through transparent reporting mechanisms, </w:t>
      </w:r>
      <w:r w:rsidR="00B84BDC" w:rsidRPr="008D7A52">
        <w:t>like</w:t>
      </w:r>
      <w:r w:rsidRPr="008D7A52">
        <w:t xml:space="preserve"> frameworks adopted in developed economies (Gordon &amp; Williamson, 2023). Ultimately, </w:t>
      </w:r>
      <w:proofErr w:type="spellStart"/>
      <w:r w:rsidRPr="008D7A52">
        <w:t>signaling</w:t>
      </w:r>
      <w:proofErr w:type="spellEnd"/>
      <w:r w:rsidRPr="008D7A52">
        <w:t xml:space="preserve"> theory provides a valuable lens for understanding how firms’ sustainability investments influence value creation by shaping market perceptions and stakeholder behaviours in both local and global contexts.</w:t>
      </w:r>
    </w:p>
    <w:p w14:paraId="51790E6A" w14:textId="77777777" w:rsidR="003430A3" w:rsidRPr="008D7A52" w:rsidRDefault="003430A3" w:rsidP="00B43044">
      <w:pPr>
        <w:ind w:firstLine="720"/>
        <w:jc w:val="both"/>
      </w:pPr>
    </w:p>
    <w:p w14:paraId="1E418BB8" w14:textId="77777777" w:rsidR="00B43044" w:rsidRPr="008D7A52" w:rsidRDefault="00B43044" w:rsidP="00876D5A">
      <w:pPr>
        <w:jc w:val="both"/>
        <w:rPr>
          <w:sz w:val="10"/>
          <w:szCs w:val="10"/>
        </w:rPr>
      </w:pPr>
    </w:p>
    <w:p w14:paraId="26FD74E9" w14:textId="5399DAC0" w:rsidR="001514C9" w:rsidRPr="008D7A52" w:rsidRDefault="00876D5A" w:rsidP="00876D5A">
      <w:pPr>
        <w:jc w:val="both"/>
        <w:rPr>
          <w:b/>
          <w:bCs/>
        </w:rPr>
      </w:pPr>
      <w:r w:rsidRPr="008D7A52">
        <w:rPr>
          <w:b/>
          <w:bCs/>
        </w:rPr>
        <w:t>2.2.2</w:t>
      </w:r>
      <w:r w:rsidRPr="008D7A52">
        <w:rPr>
          <w:b/>
          <w:bCs/>
        </w:rPr>
        <w:tab/>
        <w:t>Institutional Theory</w:t>
      </w:r>
    </w:p>
    <w:p w14:paraId="433B4C31" w14:textId="0AC402DE" w:rsidR="00B43044" w:rsidRDefault="00B43044" w:rsidP="00B43044">
      <w:pPr>
        <w:ind w:firstLine="720"/>
        <w:jc w:val="both"/>
      </w:pPr>
      <w:r w:rsidRPr="008D7A52">
        <w:t xml:space="preserve">Institutional theory, developed by DiMaggio and Powell (1983), explains how </w:t>
      </w:r>
      <w:r w:rsidR="001B3824">
        <w:t>organisational</w:t>
      </w:r>
      <w:r w:rsidRPr="008D7A52">
        <w:t xml:space="preserve"> </w:t>
      </w:r>
      <w:r w:rsidR="00A62F17" w:rsidRPr="008D7A52">
        <w:t>behaviour</w:t>
      </w:r>
      <w:r w:rsidRPr="008D7A52">
        <w:t xml:space="preserve"> is shaped by institutional pressures, including norms, regulations, and societal expectations. In the context of environmental sustainability investment and value creation, firms adopt sustainable practices not only for economic benefits but also due to pressures from regulatory bodies, industry standards, and societal demands (Bansal &amp; McKnight, 2021). These pressures drive firms to integrate sustainability initiatives to gain legitimacy, enhance reputation, and comply with evolving regulations. However, institutional theory has been criticized for being overly deterministic, as it often overlooks managerial agency and firms’ ability to innovate beyond institutional constraints (Ahlstrom et al., 2022; Lee &amp; Mason, 2023). In Nigeria, this theory explains how firms respond to both global sustainability trends and local pressures such as government policies and corporate social responsibility expectations (Okafor et al., 2024). Nigerian firms may align with sustainability standards not only to meet regulatory requirements but also to enhance legitimacy, attract investments, and access global markets. Institutional theory also informs policymakers on the need for robust regulatory frameworks to support sustainability-driven value creation (Adomako et al., 2021). In developed economies, it has been instrumental in explaining how regulatory and societal pressures influence firms’ environmental investments, leading to </w:t>
      </w:r>
      <w:r w:rsidRPr="008D7A52">
        <w:lastRenderedPageBreak/>
        <w:t>improved operational efficiency and corporate value (Brown &amp; Richards, 2022). Overall, institutional theory provides a structured lens for understanding how firms navigate sustainability challenges by balancing compliance with strategic environmental initiatives.</w:t>
      </w:r>
    </w:p>
    <w:p w14:paraId="128700D9" w14:textId="77777777" w:rsidR="003430A3" w:rsidRDefault="003430A3" w:rsidP="00876D5A">
      <w:pPr>
        <w:jc w:val="both"/>
        <w:rPr>
          <w:b/>
          <w:bCs/>
        </w:rPr>
      </w:pPr>
    </w:p>
    <w:p w14:paraId="30DC546F" w14:textId="4FDAA8B5" w:rsidR="00C653F0" w:rsidRPr="008D7A52" w:rsidRDefault="00C653F0" w:rsidP="00876D5A">
      <w:pPr>
        <w:jc w:val="both"/>
        <w:rPr>
          <w:b/>
          <w:bCs/>
        </w:rPr>
      </w:pPr>
      <w:r w:rsidRPr="008D7A52">
        <w:rPr>
          <w:b/>
          <w:bCs/>
        </w:rPr>
        <w:t>2.2.3</w:t>
      </w:r>
      <w:r w:rsidRPr="008D7A52">
        <w:rPr>
          <w:b/>
          <w:bCs/>
        </w:rPr>
        <w:tab/>
        <w:t>Theoretical Framework</w:t>
      </w:r>
    </w:p>
    <w:p w14:paraId="21F55936" w14:textId="14ED73AD" w:rsidR="004F595B" w:rsidRPr="008D7A52" w:rsidRDefault="00AD151E" w:rsidP="00876D5A">
      <w:pPr>
        <w:jc w:val="both"/>
      </w:pPr>
      <w:bookmarkStart w:id="0" w:name="_Hlk191634800"/>
      <w:r w:rsidRPr="008D7A52">
        <w:rPr>
          <w:b/>
          <w:bCs/>
        </w:rPr>
        <w:tab/>
      </w:r>
      <w:r w:rsidRPr="008D7A52">
        <w:t xml:space="preserve">This study adopts </w:t>
      </w:r>
      <w:proofErr w:type="spellStart"/>
      <w:r w:rsidRPr="008D7A52">
        <w:t>Signaling</w:t>
      </w:r>
      <w:proofErr w:type="spellEnd"/>
      <w:r w:rsidRPr="008D7A52">
        <w:t xml:space="preserve"> Theory and Institutional Theory to explain the link between environmental sustainability investments and value creation in Nigerian listed non-financial firms. </w:t>
      </w:r>
      <w:proofErr w:type="spellStart"/>
      <w:r w:rsidRPr="008D7A52">
        <w:t>Signaling</w:t>
      </w:r>
      <w:proofErr w:type="spellEnd"/>
      <w:r w:rsidRPr="008D7A52">
        <w:t xml:space="preserve"> Theory suggests that firms engage in sustainability investments, such as green R&amp;D, pollution control, and environmental certifications, to signal long-term commitment to environmental responsibility and financial stability (Spence, 2022; Akinola &amp; Nwachukwu, 202</w:t>
      </w:r>
      <w:r w:rsidR="00E54244" w:rsidRPr="008D7A52">
        <w:t>3</w:t>
      </w:r>
      <w:r w:rsidRPr="008D7A52">
        <w:t>). These investments enhance reputation, attract investors, and improve market valuation (Cheng &amp; Zhao, 2023). Conversely, Institutional Theory highlights how regulatory bodies, industry norms, and societal expectations influence firms' sustainability strategies (DiMaggio &amp; Powell, 2022; Munyua &amp; Mwangi, 2024). In Nigeria, firms must comply with evolving ESG standards to maintain legitimacy and avoid regulatory penalties (Mwenda &amp; Njoroge, 2024). This study integrates both theories to examine how sustainability investments function as strategic signals while also being driven by institutional pressures. Understanding these dynamics provides insight into the financial implications of sustainability investments in Nigerian non-financial firms.</w:t>
      </w:r>
    </w:p>
    <w:p w14:paraId="7E9A25D7" w14:textId="77777777" w:rsidR="00AD151E" w:rsidRPr="008D7A52" w:rsidRDefault="00AD151E" w:rsidP="00876D5A">
      <w:pPr>
        <w:jc w:val="both"/>
      </w:pPr>
    </w:p>
    <w:p w14:paraId="00B24780" w14:textId="6A5B1A10" w:rsidR="00AD151E" w:rsidRPr="008D7A52" w:rsidRDefault="00AD151E" w:rsidP="00876D5A">
      <w:pPr>
        <w:jc w:val="both"/>
        <w:rPr>
          <w:b/>
          <w:bCs/>
        </w:rPr>
      </w:pPr>
      <w:r w:rsidRPr="008D7A52">
        <w:rPr>
          <w:b/>
          <w:bCs/>
        </w:rPr>
        <w:t>Figure 1</w:t>
      </w:r>
      <w:r w:rsidR="00133BFA" w:rsidRPr="008D7A52">
        <w:rPr>
          <w:b/>
          <w:bCs/>
        </w:rPr>
        <w:t>: Theoretical Framework Illustrating the Link between Theories</w:t>
      </w:r>
    </w:p>
    <w:p w14:paraId="5EBFEE73" w14:textId="77777777" w:rsidR="00133BFA" w:rsidRPr="008D7A52" w:rsidRDefault="00133BFA" w:rsidP="00876D5A">
      <w:pPr>
        <w:jc w:val="both"/>
        <w:rPr>
          <w:b/>
          <w:bCs/>
        </w:rPr>
      </w:pPr>
    </w:p>
    <w:p w14:paraId="633D6EFB" w14:textId="4D8104B3" w:rsidR="00AD151E" w:rsidRPr="008D7A52" w:rsidRDefault="00133BFA" w:rsidP="00876D5A">
      <w:pPr>
        <w:jc w:val="both"/>
      </w:pPr>
      <w:r w:rsidRPr="008D7A52">
        <w:rPr>
          <w:noProof/>
          <w14:ligatures w14:val="standardContextual"/>
        </w:rPr>
        <mc:AlternateContent>
          <mc:Choice Requires="wps">
            <w:drawing>
              <wp:anchor distT="0" distB="0" distL="114300" distR="114300" simplePos="0" relativeHeight="251673600" behindDoc="0" locked="0" layoutInCell="1" allowOverlap="1" wp14:anchorId="6417E15E" wp14:editId="73BE668A">
                <wp:simplePos x="0" y="0"/>
                <wp:positionH relativeFrom="column">
                  <wp:posOffset>348895</wp:posOffset>
                </wp:positionH>
                <wp:positionV relativeFrom="paragraph">
                  <wp:posOffset>62855</wp:posOffset>
                </wp:positionV>
                <wp:extent cx="1627200" cy="432000"/>
                <wp:effectExtent l="0" t="0" r="11430" b="25400"/>
                <wp:wrapNone/>
                <wp:docPr id="920248316" name="Rectangle 10"/>
                <wp:cNvGraphicFramePr/>
                <a:graphic xmlns:a="http://schemas.openxmlformats.org/drawingml/2006/main">
                  <a:graphicData uri="http://schemas.microsoft.com/office/word/2010/wordprocessingShape">
                    <wps:wsp>
                      <wps:cNvSpPr/>
                      <wps:spPr>
                        <a:xfrm>
                          <a:off x="0" y="0"/>
                          <a:ext cx="1627200" cy="432000"/>
                        </a:xfrm>
                        <a:prstGeom prst="rect">
                          <a:avLst/>
                        </a:prstGeom>
                      </wps:spPr>
                      <wps:style>
                        <a:lnRef idx="2">
                          <a:schemeClr val="dk1"/>
                        </a:lnRef>
                        <a:fillRef idx="1">
                          <a:schemeClr val="lt1"/>
                        </a:fillRef>
                        <a:effectRef idx="0">
                          <a:schemeClr val="dk1"/>
                        </a:effectRef>
                        <a:fontRef idx="minor">
                          <a:schemeClr val="dk1"/>
                        </a:fontRef>
                      </wps:style>
                      <wps:txbx>
                        <w:txbxContent>
                          <w:p w14:paraId="4B5C1128" w14:textId="1D443D10" w:rsidR="00AD151E" w:rsidRPr="00AD3FEF" w:rsidRDefault="00AD151E" w:rsidP="00AD151E">
                            <w:pPr>
                              <w:jc w:val="center"/>
                              <w:rPr>
                                <w:b/>
                                <w:bCs/>
                              </w:rPr>
                            </w:pPr>
                            <w:proofErr w:type="spellStart"/>
                            <w:r w:rsidRPr="00AD3FEF">
                              <w:rPr>
                                <w:b/>
                                <w:bCs/>
                              </w:rPr>
                              <w:t>Signaling</w:t>
                            </w:r>
                            <w:proofErr w:type="spellEnd"/>
                            <w:r w:rsidRPr="00AD3FEF">
                              <w:rPr>
                                <w:b/>
                                <w:bCs/>
                              </w:rPr>
                              <w:t xml:space="preserve">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7E15E" id="Rectangle 10" o:spid="_x0000_s1026" style="position:absolute;left:0;text-align:left;margin-left:27.45pt;margin-top:4.95pt;width:128.15pt;height:3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" fillcolor="white [3201]" strokecolor="black [3200]" strokeweight="1pt">
                <v:textbox>
                  <w:txbxContent>
                    <w:p w14:paraId="4B5C1128" w14:textId="1D443D10" w:rsidR="00AD151E" w:rsidRPr="00AD3FEF" w:rsidRDefault="00AD151E" w:rsidP="00AD151E">
                      <w:pPr>
                        <w:jc w:val="center"/>
                        <w:rPr>
                          <w:b/>
                          <w:bCs/>
                        </w:rPr>
                      </w:pPr>
                      <w:proofErr w:type="spellStart"/>
                      <w:r w:rsidRPr="00AD3FEF">
                        <w:rPr>
                          <w:b/>
                          <w:bCs/>
                        </w:rPr>
                        <w:t>Signaling</w:t>
                      </w:r>
                      <w:proofErr w:type="spellEnd"/>
                      <w:r w:rsidRPr="00AD3FEF">
                        <w:rPr>
                          <w:b/>
                          <w:bCs/>
                        </w:rPr>
                        <w:t xml:space="preserve"> Theory</w:t>
                      </w:r>
                    </w:p>
                  </w:txbxContent>
                </v:textbox>
              </v:rect>
            </w:pict>
          </mc:Fallback>
        </mc:AlternateContent>
      </w:r>
      <w:r w:rsidR="00AD151E" w:rsidRPr="008D7A52">
        <w:rPr>
          <w:noProof/>
          <w14:ligatures w14:val="standardContextual"/>
        </w:rPr>
        <mc:AlternateContent>
          <mc:Choice Requires="wps">
            <w:drawing>
              <wp:anchor distT="0" distB="0" distL="114300" distR="114300" simplePos="0" relativeHeight="251675648" behindDoc="0" locked="0" layoutInCell="1" allowOverlap="1" wp14:anchorId="3691D9BB" wp14:editId="1E17C13E">
                <wp:simplePos x="0" y="0"/>
                <wp:positionH relativeFrom="margin">
                  <wp:posOffset>3351895</wp:posOffset>
                </wp:positionH>
                <wp:positionV relativeFrom="paragraph">
                  <wp:posOffset>73630</wp:posOffset>
                </wp:positionV>
                <wp:extent cx="1627200" cy="432000"/>
                <wp:effectExtent l="0" t="0" r="11430" b="25400"/>
                <wp:wrapNone/>
                <wp:docPr id="33832674" name="Rectangle 10"/>
                <wp:cNvGraphicFramePr/>
                <a:graphic xmlns:a="http://schemas.openxmlformats.org/drawingml/2006/main">
                  <a:graphicData uri="http://schemas.microsoft.com/office/word/2010/wordprocessingShape">
                    <wps:wsp>
                      <wps:cNvSpPr/>
                      <wps:spPr>
                        <a:xfrm>
                          <a:off x="0" y="0"/>
                          <a:ext cx="1627200" cy="432000"/>
                        </a:xfrm>
                        <a:prstGeom prst="rect">
                          <a:avLst/>
                        </a:prstGeom>
                      </wps:spPr>
                      <wps:style>
                        <a:lnRef idx="2">
                          <a:schemeClr val="dk1"/>
                        </a:lnRef>
                        <a:fillRef idx="1">
                          <a:schemeClr val="lt1"/>
                        </a:fillRef>
                        <a:effectRef idx="0">
                          <a:schemeClr val="dk1"/>
                        </a:effectRef>
                        <a:fontRef idx="minor">
                          <a:schemeClr val="dk1"/>
                        </a:fontRef>
                      </wps:style>
                      <wps:txbx>
                        <w:txbxContent>
                          <w:p w14:paraId="0D8A8FAD" w14:textId="47428350" w:rsidR="00AD151E" w:rsidRPr="00AD3FEF" w:rsidRDefault="00AD151E" w:rsidP="00AD151E">
                            <w:pPr>
                              <w:jc w:val="center"/>
                              <w:rPr>
                                <w:b/>
                                <w:bCs/>
                              </w:rPr>
                            </w:pPr>
                            <w:r w:rsidRPr="00AD3FEF">
                              <w:rPr>
                                <w:b/>
                                <w:bCs/>
                              </w:rPr>
                              <w:t>Institutional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D9BB" id="_x0000_s1027" style="position:absolute;left:0;text-align:left;margin-left:263.95pt;margin-top:5.8pt;width:128.15pt;height:34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" fillcolor="white [3201]" strokecolor="black [3200]" strokeweight="1pt">
                <v:textbox>
                  <w:txbxContent>
                    <w:p w14:paraId="0D8A8FAD" w14:textId="47428350" w:rsidR="00AD151E" w:rsidRPr="00AD3FEF" w:rsidRDefault="00AD151E" w:rsidP="00AD151E">
                      <w:pPr>
                        <w:jc w:val="center"/>
                        <w:rPr>
                          <w:b/>
                          <w:bCs/>
                        </w:rPr>
                      </w:pPr>
                      <w:r w:rsidRPr="00AD3FEF">
                        <w:rPr>
                          <w:b/>
                          <w:bCs/>
                        </w:rPr>
                        <w:t>Institutional Theory</w:t>
                      </w:r>
                    </w:p>
                  </w:txbxContent>
                </v:textbox>
                <w10:wrap anchorx="margin"/>
              </v:rect>
            </w:pict>
          </mc:Fallback>
        </mc:AlternateContent>
      </w:r>
    </w:p>
    <w:p w14:paraId="65C3FF0D" w14:textId="65E6C58C" w:rsidR="00AD151E" w:rsidRPr="008D7A52" w:rsidRDefault="0081707F" w:rsidP="00876D5A">
      <w:pPr>
        <w:jc w:val="both"/>
        <w:rPr>
          <w:b/>
          <w:bCs/>
        </w:rPr>
      </w:pPr>
      <w:r w:rsidRPr="008D7A52">
        <w:rPr>
          <w:b/>
          <w:bCs/>
          <w:noProof/>
          <w14:ligatures w14:val="standardContextual"/>
        </w:rPr>
        <mc:AlternateContent>
          <mc:Choice Requires="wps">
            <w:drawing>
              <wp:anchor distT="0" distB="0" distL="114300" distR="114300" simplePos="0" relativeHeight="251676672" behindDoc="0" locked="0" layoutInCell="1" allowOverlap="1" wp14:anchorId="02B00A92" wp14:editId="63FF033B">
                <wp:simplePos x="0" y="0"/>
                <wp:positionH relativeFrom="column">
                  <wp:posOffset>1977412</wp:posOffset>
                </wp:positionH>
                <wp:positionV relativeFrom="paragraph">
                  <wp:posOffset>63509</wp:posOffset>
                </wp:positionV>
                <wp:extent cx="1379698" cy="45719"/>
                <wp:effectExtent l="38100" t="76200" r="0" b="88265"/>
                <wp:wrapNone/>
                <wp:docPr id="344828220" name="Straight Arrow Connector 11"/>
                <wp:cNvGraphicFramePr/>
                <a:graphic xmlns:a="http://schemas.openxmlformats.org/drawingml/2006/main">
                  <a:graphicData uri="http://schemas.microsoft.com/office/word/2010/wordprocessingShape">
                    <wps:wsp>
                      <wps:cNvCnPr/>
                      <wps:spPr>
                        <a:xfrm flipV="1">
                          <a:off x="0" y="0"/>
                          <a:ext cx="1379698" cy="45719"/>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F4AA16" id="_x0000_t32" coordsize="21600,21600" o:spt="32" o:oned="t" path="m,l21600,21600e" filled="f">
                <v:path arrowok="t" fillok="f" o:connecttype="none"/>
                <o:lock v:ext="edit" shapetype="t"/>
              </v:shapetype>
              <v:shape id="Straight Arrow Connector 11" o:spid="_x0000_s1026" type="#_x0000_t32" style="position:absolute;margin-left:155.7pt;margin-top:5pt;width:108.65pt;height:3.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" strokecolor="black [3213]" strokeweight="1.75pt">
                <v:stroke startarrow="block" endarrow="block" joinstyle="miter"/>
              </v:shape>
            </w:pict>
          </mc:Fallback>
        </mc:AlternateContent>
      </w:r>
    </w:p>
    <w:p w14:paraId="5D340ABC" w14:textId="0C7B011F" w:rsidR="00AD151E" w:rsidRPr="008D7A52" w:rsidRDefault="00AD151E" w:rsidP="00876D5A">
      <w:pPr>
        <w:jc w:val="both"/>
        <w:rPr>
          <w:b/>
          <w:bCs/>
        </w:rPr>
      </w:pPr>
    </w:p>
    <w:p w14:paraId="091CEB1B" w14:textId="77777777" w:rsidR="00133BFA" w:rsidRPr="008D7A52" w:rsidRDefault="00133BFA" w:rsidP="00876D5A">
      <w:pPr>
        <w:jc w:val="both"/>
        <w:rPr>
          <w:b/>
          <w:bCs/>
        </w:rPr>
      </w:pPr>
    </w:p>
    <w:p w14:paraId="1F2C579D" w14:textId="11970196" w:rsidR="00AD151E" w:rsidRPr="008D7A52" w:rsidRDefault="00133BFA" w:rsidP="00876D5A">
      <w:pPr>
        <w:jc w:val="both"/>
        <w:rPr>
          <w:b/>
          <w:bCs/>
        </w:rPr>
      </w:pPr>
      <w:r w:rsidRPr="008D7A52">
        <w:rPr>
          <w:b/>
          <w:bCs/>
        </w:rPr>
        <w:t>Source: Author's design (2025)</w:t>
      </w:r>
    </w:p>
    <w:p w14:paraId="783CF9D8" w14:textId="77777777" w:rsidR="00AD151E" w:rsidRPr="008D7A52" w:rsidRDefault="00AD151E" w:rsidP="00876D5A">
      <w:pPr>
        <w:jc w:val="both"/>
        <w:rPr>
          <w:b/>
          <w:bCs/>
        </w:rPr>
      </w:pPr>
    </w:p>
    <w:p w14:paraId="4C8DC690" w14:textId="6074B47D" w:rsidR="00876D5A" w:rsidRPr="008D7A52" w:rsidRDefault="002B5B5A" w:rsidP="00876D5A">
      <w:pPr>
        <w:jc w:val="both"/>
        <w:rPr>
          <w:b/>
          <w:bCs/>
        </w:rPr>
      </w:pPr>
      <w:r w:rsidRPr="008D7A52">
        <w:rPr>
          <w:b/>
          <w:bCs/>
        </w:rPr>
        <w:t>2.3</w:t>
      </w:r>
      <w:r w:rsidRPr="008D7A52">
        <w:rPr>
          <w:b/>
          <w:bCs/>
        </w:rPr>
        <w:tab/>
        <w:t>Empirical Review</w:t>
      </w:r>
    </w:p>
    <w:p w14:paraId="580A0644" w14:textId="4D5B40A6" w:rsidR="002B5B5A" w:rsidRPr="008D7A52" w:rsidRDefault="002B5B5A" w:rsidP="002B5B5A">
      <w:pPr>
        <w:ind w:firstLine="720"/>
        <w:jc w:val="both"/>
        <w:rPr>
          <w:bCs/>
        </w:rPr>
      </w:pPr>
      <w:r w:rsidRPr="008D7A52">
        <w:rPr>
          <w:bCs/>
        </w:rPr>
        <w:t>This section of the study provides a comprehensive empirical review of the existing literature pertinent to environmental sustainability investments and their effect in value creation.</w:t>
      </w:r>
    </w:p>
    <w:p w14:paraId="6073420F" w14:textId="6483CFB7" w:rsidR="002E4CA2" w:rsidRPr="008D7A52" w:rsidRDefault="00526197" w:rsidP="002E4CA2">
      <w:pPr>
        <w:ind w:firstLine="720"/>
        <w:jc w:val="both"/>
      </w:pPr>
      <w:r w:rsidRPr="008D7A52">
        <w:t xml:space="preserve">Munyua and Ochieng (2021) investigated the impact of environmental certification and compliance costs on value creation among Kenyan firms. Utilizing a randomly selected sample of 45 firms and </w:t>
      </w:r>
      <w:r w:rsidR="000F1366" w:rsidRPr="008D7A52">
        <w:t>analysing</w:t>
      </w:r>
      <w:r w:rsidRPr="008D7A52">
        <w:t xml:space="preserve"> data from 2017 to 2021 through descriptive and regression techniques, the study found a negative correlation between environmental certification costs and market value. The authors attributed this decline to the substantial financial burden of certification, which failed to yield immediate financial benefits, thereby reducing profitability. However, the study did not explore the long-term financial implications of environmental certification, particularly in non-financial firms. To address this gap, the present research will examine the long-term economic effects of environmental certification on listed non-financial firms in Nigeria.</w:t>
      </w:r>
    </w:p>
    <w:p w14:paraId="51D03501" w14:textId="22772D8C" w:rsidR="002E4CA2" w:rsidRPr="008D7A52" w:rsidRDefault="00FF4CB4" w:rsidP="002E4CA2">
      <w:pPr>
        <w:ind w:firstLine="720"/>
        <w:jc w:val="both"/>
      </w:pPr>
      <w:r w:rsidRPr="008D7A52">
        <w:t xml:space="preserve">Zhang and Li (2022) investigated the impact of environmental certification and compliance costs on value creation in Chinese firms. Utilizing a quantitative approach, the study purposively sampled 40 firms and </w:t>
      </w:r>
      <w:r w:rsidR="000F1366" w:rsidRPr="008D7A52">
        <w:t>analysed</w:t>
      </w:r>
      <w:r w:rsidRPr="008D7A52">
        <w:t xml:space="preserve"> data from corporate financial records and environmental impact reports spanning 2016 to 2021. Through ordinary least squares regression, the findings indicated that higher environmental certification and compliance costs contributed positively to market positioning and customer loyalty, ultimately enhancing firm market value. However, the study did not specifically examine the effect of certification costs on listed non-financial firms in China. To address this gap, the present research will explore how Nigerian listed non-financial firms can strategically leverage environmental certification to gain a competitive advantage.</w:t>
      </w:r>
    </w:p>
    <w:p w14:paraId="7359F7DA" w14:textId="6FD11DD5" w:rsidR="003668C6" w:rsidRPr="008D7A52" w:rsidRDefault="003668C6" w:rsidP="002E4CA2">
      <w:pPr>
        <w:ind w:firstLine="720"/>
        <w:jc w:val="both"/>
      </w:pPr>
      <w:r w:rsidRPr="008D7A52">
        <w:lastRenderedPageBreak/>
        <w:t xml:space="preserve">Patel and Kumar (2022) conducted a longitudinal study to evaluate the impact of green research and development (R&amp;D) on value creation in Indian firms. Using a sample of 60 firms selected through convenience sampling, the study </w:t>
      </w:r>
      <w:r w:rsidR="009B4948" w:rsidRPr="008D7A52">
        <w:t>analysed</w:t>
      </w:r>
      <w:r w:rsidRPr="008D7A52">
        <w:t xml:space="preserve"> sustainability reports and financial data from 2014 to 2019. Employing a fixed-effects regression model, the findings revealed that investments in green R&amp;D significantly enhanced innovation and competitive advantage, leading to positive value creation. However, the study was limited to the Indian context. To build on this research, the present study will examine how green R&amp;D can drive innovation and competitiveness in Nigerian listed non-financial firms.</w:t>
      </w:r>
    </w:p>
    <w:p w14:paraId="6E338553" w14:textId="1B2F276C" w:rsidR="00AF5085" w:rsidRPr="008D7A52" w:rsidRDefault="00B8724E" w:rsidP="002E4CA2">
      <w:pPr>
        <w:ind w:firstLine="720"/>
        <w:jc w:val="both"/>
      </w:pPr>
      <w:r w:rsidRPr="008D7A52">
        <w:t xml:space="preserve">Adebayo and Oladele (2022) investigated the influence of capital expenditure on sustainable projects (CESP) on market performance in Nigeria. Drawing on a stratified random sample of 50 firms listed on the Nigerian Stock Exchange (NSE) between 2015 and 2020, the study </w:t>
      </w:r>
      <w:r w:rsidR="00A166A5">
        <w:t>utilised</w:t>
      </w:r>
      <w:r w:rsidRPr="008D7A52">
        <w:t xml:space="preserve"> regression analysis to reveal a significant positive correlation between sustainable capital expenditures and market value. The findings underscored the role of sustainability investments in enhancing environmental reputation, reducing operational costs, and driving profitability. However, the study offered limited sector-specific insights within listed firms in Nigeria. To bridge this gap, the present research will examine the impact of sustainability investments on market performance </w:t>
      </w:r>
      <w:r w:rsidR="00AB15CB">
        <w:t>among Nigerian-listed</w:t>
      </w:r>
      <w:r w:rsidRPr="008D7A52">
        <w:t xml:space="preserve"> non-financial firms.</w:t>
      </w:r>
    </w:p>
    <w:p w14:paraId="30D0B825" w14:textId="77777777" w:rsidR="00AF5085" w:rsidRPr="008D7A52" w:rsidRDefault="00AF5085" w:rsidP="002E4CA2">
      <w:pPr>
        <w:ind w:firstLine="720"/>
        <w:jc w:val="both"/>
      </w:pPr>
    </w:p>
    <w:p w14:paraId="49B084F7" w14:textId="14DE40F4" w:rsidR="002E4CA2" w:rsidRPr="008D7A52" w:rsidRDefault="00B8724E" w:rsidP="002E4CA2">
      <w:pPr>
        <w:ind w:firstLine="720"/>
        <w:jc w:val="both"/>
      </w:pPr>
      <w:r w:rsidRPr="008D7A52">
        <w:t xml:space="preserve">Ochoa and Rivera (2022) examined the role of green research and development (R&amp;D) in value creation through a case study approach in Colombian firms. Using purposive sampling, the study selected 30 firms and </w:t>
      </w:r>
      <w:r w:rsidR="000F1366" w:rsidRPr="008D7A52">
        <w:t>analysed</w:t>
      </w:r>
      <w:r w:rsidRPr="008D7A52">
        <w:t xml:space="preserve"> data from corporate financial and sustainability reports spanning 2016 to 2020. The findings demonstrated that green R&amp;D investments significantly enhanced market share expansion, fostered innovation, and improved financial performance. However, the study lacked a comparative analysis of green R&amp;D's impact across different sectors and economies, including Nigeria. To address this gap, the present research will conduct a comparative study on the effects of green R&amp;D in Nigerian listed non-financial firms.</w:t>
      </w:r>
    </w:p>
    <w:p w14:paraId="5F65BBDB" w14:textId="1CD5202D" w:rsidR="002E4CA2" w:rsidRPr="008D7A52" w:rsidRDefault="00B8724E" w:rsidP="002E4CA2">
      <w:pPr>
        <w:ind w:firstLine="720"/>
        <w:jc w:val="both"/>
      </w:pPr>
      <w:r w:rsidRPr="008D7A52">
        <w:t xml:space="preserve">Abubakar and Yusuf (2022) analysed the impact of environmental certification and compliance costs on value creation in Kenyan firms. Employing a random sample of 40 firms, the study </w:t>
      </w:r>
      <w:r w:rsidR="00AB15CB">
        <w:t>utilised</w:t>
      </w:r>
      <w:r w:rsidRPr="008D7A52">
        <w:t xml:space="preserve"> data from 2016 to 2021 sourced from annual reports and sustainability disclosures. Correlation analysis revealed that firms with higher environmental certification and compliance costs experienced enhanced market positioning, leading to increased shareholder value and improved market performance. However, the study did not examine the impact of compliance costs on Nigerian firms. To bridge this gap, the present research will investigate how compliance costs influence profitability in Nigerian listed non-financial firms.</w:t>
      </w:r>
    </w:p>
    <w:p w14:paraId="3B0866F0" w14:textId="4A27B55A" w:rsidR="002E4CA2" w:rsidRPr="008D7A52" w:rsidRDefault="002A7CDD" w:rsidP="002E4CA2">
      <w:pPr>
        <w:ind w:firstLine="720"/>
        <w:jc w:val="both"/>
      </w:pPr>
      <w:r w:rsidRPr="008D7A52">
        <w:t>Juma and Odhiambo (2022) investigated the effect of pollution control expenditure on value creation in Tanzanian firms. The study used a purposive sample of 30 firms, with data gathered from public financial statements and sustainability reports between 2015 and 2020. Multiple regression analysis revealed that firms investing heavily in pollution control measures not only achieved cost savings but also enhanced their brand value, which positively influenced their market value. However, the study lacked empirical evidence on the impact of pollution control expenditures in non-financial firms. To address this gap, the present research will explore the financial returns of pollution control investments in Nigerian listed non-financial firms.</w:t>
      </w:r>
    </w:p>
    <w:p w14:paraId="5C53A301" w14:textId="2EF8D007" w:rsidR="002E4CA2" w:rsidRPr="008D7A52" w:rsidRDefault="002A7CDD" w:rsidP="002E4CA2">
      <w:pPr>
        <w:ind w:firstLine="720"/>
        <w:jc w:val="both"/>
      </w:pPr>
      <w:r w:rsidRPr="008D7A52">
        <w:t>Banda and Komba (2022) examined the impact of pollution control expenditures on the financial performance of firms in Malawi. The study, using a stratified sample of 40 firms with data collected from 2016 to 2021, employed panel data regression analysis. The findings revealed no significant relationship between pollution control expenditure and value creation, suggesting that firms' investments in pollution control were primarily compliance-driven rather than aimed at improving operational efficiency, which resulted in no observable impact on market value. Building on this, the current study will explore various sustainability investment variables, including pollution control, and their influence on value creation in non-listed firms in Nigeria.</w:t>
      </w:r>
    </w:p>
    <w:p w14:paraId="1004A0A1" w14:textId="2ACF7A79" w:rsidR="002E4CA2" w:rsidRPr="008D7A52" w:rsidRDefault="00096DDA" w:rsidP="002E4CA2">
      <w:pPr>
        <w:ind w:firstLine="720"/>
        <w:jc w:val="both"/>
      </w:pPr>
      <w:r w:rsidRPr="008D7A52">
        <w:lastRenderedPageBreak/>
        <w:t>Brown and Lee (2023) investigated the impact of renewable energy investments on the financial performance of U.S.-based firms through a longitudinal study. Utilizing a randomly selected sample of 100 firms, the study analysed data from sustainability performance reports and financial records spanning 2012 to 2022. Panel data regression analysis revealed that investments in renewable energy significantly enhanced operational efficiency, reduced costs, and improved profitability, ultimately contributing to increased market value. While the study confirmed the financial benefits of green energy investments for U.S. firms, it did not extend its analysis beyond the U.S. market. To address this gap, the current study will conduct a cost-benefit analysis of renewable energy investments in Nigerian listed non-financial firms.</w:t>
      </w:r>
    </w:p>
    <w:p w14:paraId="6689F149" w14:textId="69D9B52B" w:rsidR="002E4CA2" w:rsidRPr="008D7A52" w:rsidRDefault="005D402C" w:rsidP="002E4CA2">
      <w:pPr>
        <w:ind w:firstLine="720"/>
        <w:jc w:val="both"/>
      </w:pPr>
      <w:r w:rsidRPr="008D7A52">
        <w:t>Jones and Clark (2023) examined the effect of pollution control expenditure on market value in UK-based firms through a cross-sectional study. The study employed stratified sampling with a sample of 120 firms, using data collected from financial statements and sustainability reports spanning 2018 to 2021. Structural equation modelling (SEM) revealed that pollution control expenditures led to significant reductions in operational costs and increased profitability, which positively influenced market value and long-term financial stability. However, the study did not provide a sector-specific analysis of pollution control investments. To address this gap, the current study will focus on analysing industry-specific pollution control strategies and their financial impact on Nigerian listed non-financial firms.</w:t>
      </w:r>
    </w:p>
    <w:p w14:paraId="6659D8BB" w14:textId="73203E61" w:rsidR="002E4CA2" w:rsidRPr="008D7A52" w:rsidRDefault="005D402C" w:rsidP="002E4CA2">
      <w:pPr>
        <w:ind w:firstLine="720"/>
        <w:jc w:val="both"/>
      </w:pPr>
      <w:r w:rsidRPr="008D7A52">
        <w:t>Gonzalez and Alvarez (2023) explored the impact of renewable energy investments on financial performance in Mexican firms through a quantitative cross-sectional study. Using random sampling, the study selected 45 firms, with data drawn from public financial disclosures and sustainability reports for 2020. Regression analysis revealed a positive correlation between renewable energy investments and enhanced financial performance, primarily driven by reduced energy costs and improved profit margins. However, the study did not address the impact of renewable energy investments in other countries' non-financial sectors. To fill this gap, the current study will investigate the effects of renewable energy investments on the financial sustainability of Nigerian non-financial firms.</w:t>
      </w:r>
    </w:p>
    <w:p w14:paraId="2BE44695" w14:textId="73046234" w:rsidR="002E4CA2" w:rsidRPr="008D7A52" w:rsidRDefault="0097147B" w:rsidP="002E4CA2">
      <w:pPr>
        <w:ind w:firstLine="720"/>
        <w:jc w:val="both"/>
      </w:pPr>
      <w:r w:rsidRPr="008D7A52">
        <w:t>Roberts and Wang (2023) conducted a longitudinal study to investigate the effect of pollution control expenditures on the financial performance of Canadian firms. The study, which employed stratified random sampling with a sample size of 75 firms, analysed data from 2015 to 2021. Using multivariate regression analysis, the authors found that investments in pollution control not only led to operational efficiencies and cost savings but also improved corporate reputation, resulting in higher market value. However, the study was limited to Canadian firms and did not address the impact on non-financial firms in Nigeria. This research will extend the analysis by examining the influence of pollution control expenditures on market value in Nigerian non-financial firms.</w:t>
      </w:r>
    </w:p>
    <w:p w14:paraId="364A9B42" w14:textId="4CBE690E" w:rsidR="002E4CA2" w:rsidRPr="008D7A52" w:rsidRDefault="00E548DD" w:rsidP="002E4CA2">
      <w:pPr>
        <w:ind w:firstLine="720"/>
        <w:jc w:val="both"/>
      </w:pPr>
      <w:r w:rsidRPr="008D7A52">
        <w:t>Cheng and Zhao (2023) conducted a cross-sectional study to analyse the impact of environmental certification on value creation in Japan. The study, which involved 60 firms selected through random sampling, utilized data collected in 2021 from sustainability reports and corporate financial disclosures. Structural equation modelling (SEM) revealed that environmental certification and associated compliance costs significantly enhanced firm reputation and consumer loyalty, leading to improved market value and financial performance. However, the study was limited to Japanese firms and did not address Nigeria’s non-financial sector. This research will extend the analysis by exploring the effect of environmental certification on market value in Nigerian non-financial firms.</w:t>
      </w:r>
    </w:p>
    <w:p w14:paraId="3049F3F8" w14:textId="45CA6E61" w:rsidR="002E4CA2" w:rsidRPr="008D7A52" w:rsidRDefault="00E548DD" w:rsidP="002E4CA2">
      <w:pPr>
        <w:ind w:firstLine="720"/>
        <w:jc w:val="both"/>
      </w:pPr>
      <w:r w:rsidRPr="008D7A52">
        <w:t xml:space="preserve">Moyo and Khumalo (2023) examined the relationship between investment in renewable energy and value creation in South African firms. The study involved 70 firms selected through purposive sampling, with data collected from corporate sustainability reports and financial disclosures between 2017 and 2022. Panel data regression analysis revealed that firms investing in renewable energy saw significant reductions in energy costs and achieved long-term operational efficiencies, which led to higher market valuation and improved financial performance. However, the study was focused on South African firms and did not consider </w:t>
      </w:r>
      <w:r w:rsidRPr="008D7A52">
        <w:lastRenderedPageBreak/>
        <w:t>Nigeria’s non-financial sector. This study will address this gap by analysing the financial impact of renewable energy investments in Nigerian non-financial firms.</w:t>
      </w:r>
    </w:p>
    <w:p w14:paraId="13094650" w14:textId="35B3C283" w:rsidR="00ED73D4" w:rsidRPr="008D7A52" w:rsidRDefault="00ED73D4" w:rsidP="00ED73D4">
      <w:pPr>
        <w:ind w:firstLine="720"/>
        <w:jc w:val="both"/>
      </w:pPr>
      <w:r w:rsidRPr="008D7A52">
        <w:t>Akinola and Nwachukwu (2023) investigated the role of green research and development expenditure (GRDE) in value creation within Nigerian manufacturing firms. The study utilized purposive sampling to select 35 firms, with data collected from sustainability reports and financial disclosures from 2018 to 2022. Fixed-effects regression analysis indicated that green R&amp;D investments led to the development of innovative products and technologies, which significantly boosted firms' market value by attracting both investors and consumers interested in sustainable solutions. However, the study was limited to Nigerian manufacturing firms and did not address non-financial firms. To fill this gap, the current study will explore the impact of green R&amp;D on value creation in Nigerian non-financial firms.</w:t>
      </w:r>
    </w:p>
    <w:p w14:paraId="7779C4B5" w14:textId="590E7693" w:rsidR="00376971" w:rsidRPr="008D7A52" w:rsidRDefault="00ED73D4" w:rsidP="00F6259C">
      <w:pPr>
        <w:ind w:firstLine="720"/>
        <w:jc w:val="both"/>
      </w:pPr>
      <w:proofErr w:type="spellStart"/>
      <w:r w:rsidRPr="008D7A52">
        <w:t>Chikodzi</w:t>
      </w:r>
      <w:proofErr w:type="spellEnd"/>
      <w:r w:rsidRPr="008D7A52">
        <w:t xml:space="preserve"> and Nyasha (2023) analysed the effect of capital expenditure on sustainable projects (CESP) on market performance in Zimbabwean firms. The study employed purposive sampling to select 38 firms, with data collected from 2015 to 2021. Using regression analysis, the study found that while capital expenditure on sustainable projects was expected to enhance value creation, the relationship with market value was statistically insignificant. The authors concluded that the environmental benefits of such investments did not immediately translate into improved financial performance, likely due to the high initial costs involved. The study was limited to Zimbabwean firms and did not explore the impact on Nigerian firms. This research will investigate the effect of capital expenditure on sustainable projects in Nigerian non-financial firms.</w:t>
      </w:r>
    </w:p>
    <w:p w14:paraId="285B7BA6" w14:textId="77777777" w:rsidR="00ED73D4" w:rsidRPr="008D7A52" w:rsidRDefault="00ED73D4" w:rsidP="00F6259C">
      <w:pPr>
        <w:ind w:firstLine="720"/>
        <w:jc w:val="both"/>
        <w:rPr>
          <w:sz w:val="20"/>
          <w:szCs w:val="20"/>
        </w:rPr>
      </w:pPr>
    </w:p>
    <w:p w14:paraId="235D9E9C" w14:textId="772E6292" w:rsidR="00ED73D4" w:rsidRPr="008D7A52" w:rsidRDefault="00ED73D4" w:rsidP="00C33397">
      <w:pPr>
        <w:ind w:firstLine="720"/>
        <w:jc w:val="both"/>
      </w:pPr>
      <w:r w:rsidRPr="008D7A52">
        <w:t>Akpan and Eze (2024) examined the relationship between investment in renewable energy and financial performance in Ghanaian firms. The study, which involved 60 firms from various sectors, utilized secondary data from sustainability reports and financial records spanning 2016 to 2023. Regression analysis revealed a negative relationship between renewable energy investments and market value, suggesting that the short-term financial burden of transitioning to renewable energy outweighed the expected long-term benefits, resulting in a decline in market performance. The study focused on Ghanaian firms and did not address the Nigerian non-financial sector. This research will explore the impact of renewable energy investments on the market value of Nigerian non-financial firms.</w:t>
      </w:r>
    </w:p>
    <w:p w14:paraId="30DF0560" w14:textId="2CF9E164" w:rsidR="00F6259C" w:rsidRPr="008D7A52" w:rsidRDefault="000F1366" w:rsidP="00C33397">
      <w:pPr>
        <w:ind w:firstLine="720"/>
        <w:jc w:val="both"/>
      </w:pPr>
      <w:r w:rsidRPr="008D7A52">
        <w:t>Munyua and Mwangi (2024) investigated the relationship between environmental sustainability investment and value creation in Uganda. The study, which included 45 firms selected through stratified random sampling, analysed data from sustainability and financial reports spanning 2015 to 2023. Regression analysis revealed that environmental sustainability investments, especially in renewable energy and pollution control, positively impacted the firms' market value by enhancing operational efficiency and providing a competitive advantage in the local market. This study will extend the analysis to explore how environmental sustainability investments influence market value in Nigerian non-financial firms.</w:t>
      </w:r>
    </w:p>
    <w:p w14:paraId="218305EB" w14:textId="338DB7A8" w:rsidR="000F1366" w:rsidRPr="008D7A52" w:rsidRDefault="000F1366" w:rsidP="00C33397">
      <w:pPr>
        <w:ind w:firstLine="720"/>
        <w:jc w:val="both"/>
      </w:pPr>
      <w:r w:rsidRPr="008D7A52">
        <w:t xml:space="preserve">Mohan and Kanu (2024) examined the link between green research and development expenditure (GRDE) and market value in Nigerian firms. The study, involving 30 purposively selected firms, </w:t>
      </w:r>
      <w:r w:rsidR="00A62F17" w:rsidRPr="008D7A52">
        <w:t>analysed</w:t>
      </w:r>
      <w:r w:rsidRPr="008D7A52">
        <w:t xml:space="preserve"> data from 2013 to 2022. Regression analysis revealed no significant relationship between green R&amp;D spending and value creation. The authors concluded that the high initial costs of R&amp;D investments hindered the expected returns, resulting in no substantial impact on market value. This study focused on Nigerian manufacturing firms and did not address non-financial firms. To address this gap, the current study will explore the financial returns of green R&amp;D investments in Nigerian non-financial firms.</w:t>
      </w:r>
    </w:p>
    <w:bookmarkEnd w:id="0"/>
    <w:p w14:paraId="5B7ED711" w14:textId="3CF7DF94" w:rsidR="000F1366" w:rsidRPr="008D7A52" w:rsidRDefault="000F1366" w:rsidP="000F1366">
      <w:pPr>
        <w:ind w:firstLine="720"/>
        <w:jc w:val="both"/>
        <w:rPr>
          <w:bCs/>
        </w:rPr>
      </w:pPr>
      <w:r w:rsidRPr="008D7A52">
        <w:rPr>
          <w:bCs/>
        </w:rPr>
        <w:t xml:space="preserve">Mwenda and Njoroge (2024) investigated the impact of environmental sustainability investments on value creation in Ugandan firms. The study, based on a random sample of 50 firms, </w:t>
      </w:r>
      <w:r w:rsidR="00A62F17" w:rsidRPr="008D7A52">
        <w:rPr>
          <w:bCs/>
        </w:rPr>
        <w:t>analysed</w:t>
      </w:r>
      <w:r w:rsidRPr="008D7A52">
        <w:rPr>
          <w:bCs/>
        </w:rPr>
        <w:t xml:space="preserve"> data from 2013 to 2022 using regression analysis. The findings revealed a negative relationship between sustainability investments and market value, attributed to underdeveloped sustainability practices and the difficulty in realizing short-term financial </w:t>
      </w:r>
      <w:r w:rsidRPr="008D7A52">
        <w:rPr>
          <w:bCs/>
        </w:rPr>
        <w:lastRenderedPageBreak/>
        <w:t>gains. While the study focused on Ugandan firms, it did not consider the Nigerian non-financial sector. To bridge this gap, the present study will examine the effect of environmental sustainability investments on the market value of Nigerian non-financial firms.</w:t>
      </w:r>
    </w:p>
    <w:p w14:paraId="04F247BD" w14:textId="77777777" w:rsidR="00EE5DB0" w:rsidRPr="008D7A52" w:rsidRDefault="00EE5DB0" w:rsidP="002B5B5A">
      <w:pPr>
        <w:ind w:firstLine="720"/>
        <w:jc w:val="both"/>
        <w:rPr>
          <w:bCs/>
        </w:rPr>
      </w:pPr>
    </w:p>
    <w:p w14:paraId="46380BE7" w14:textId="77777777" w:rsidR="0083627D" w:rsidRPr="008D7A52" w:rsidRDefault="0083627D" w:rsidP="0083627D">
      <w:pPr>
        <w:pStyle w:val="Default"/>
        <w:rPr>
          <w:rFonts w:ascii="Times New Roman" w:hAnsi="Times New Roman" w:cs="Times New Roman"/>
          <w:b/>
          <w:bCs/>
          <w:color w:val="auto"/>
          <w:lang w:val="en-GB"/>
        </w:rPr>
      </w:pPr>
      <w:r w:rsidRPr="008D7A52">
        <w:rPr>
          <w:rFonts w:ascii="Times New Roman" w:hAnsi="Times New Roman" w:cs="Times New Roman"/>
          <w:b/>
          <w:color w:val="auto"/>
          <w:lang w:val="en-GB"/>
        </w:rPr>
        <w:t>2.4</w:t>
      </w:r>
      <w:r w:rsidRPr="008D7A52">
        <w:rPr>
          <w:rFonts w:ascii="Times New Roman" w:hAnsi="Times New Roman" w:cs="Times New Roman"/>
          <w:bCs/>
          <w:color w:val="auto"/>
          <w:lang w:val="en-GB"/>
        </w:rPr>
        <w:tab/>
      </w:r>
      <w:bookmarkStart w:id="1" w:name="_Hlk190475023"/>
      <w:r w:rsidRPr="008D7A52">
        <w:rPr>
          <w:rFonts w:ascii="Times New Roman" w:hAnsi="Times New Roman" w:cs="Times New Roman"/>
          <w:b/>
          <w:bCs/>
          <w:color w:val="auto"/>
          <w:lang w:val="en-GB"/>
        </w:rPr>
        <w:t>Gap in Literature</w:t>
      </w:r>
      <w:bookmarkEnd w:id="1"/>
    </w:p>
    <w:p w14:paraId="41E3FD40" w14:textId="77777777" w:rsidR="009A4192" w:rsidRPr="008D7A52" w:rsidRDefault="009A4192" w:rsidP="009A4192">
      <w:pPr>
        <w:pStyle w:val="Default"/>
        <w:ind w:firstLine="720"/>
        <w:jc w:val="both"/>
        <w:rPr>
          <w:rFonts w:ascii="Times New Roman" w:hAnsi="Times New Roman" w:cs="Times New Roman"/>
          <w:color w:val="auto"/>
          <w:lang w:val="en-GB"/>
        </w:rPr>
      </w:pPr>
      <w:r w:rsidRPr="008D7A52">
        <w:rPr>
          <w:rFonts w:ascii="Times New Roman" w:hAnsi="Times New Roman" w:cs="Times New Roman"/>
          <w:color w:val="auto"/>
          <w:lang w:val="en-GB"/>
        </w:rPr>
        <w:t xml:space="preserve">Despite extensive research on the link between environmental sustainability investments and value creation, critical gaps remain. Conceptually, while studies examine individual sustainability initiatives such as environmental certifications, green R&amp;D, and pollution control, few integrate these factors to assess their combined impact on firm value (Munyua &amp; Ochieng, 2021; Smith &amp; Thompson, 2022; Juma &amp; Odhiambo, 2022). Theoretically, most research fails to incorporate both </w:t>
      </w:r>
      <w:proofErr w:type="spellStart"/>
      <w:r w:rsidRPr="008D7A52">
        <w:rPr>
          <w:rFonts w:ascii="Times New Roman" w:hAnsi="Times New Roman" w:cs="Times New Roman"/>
          <w:color w:val="auto"/>
          <w:lang w:val="en-GB"/>
        </w:rPr>
        <w:t>Signaling</w:t>
      </w:r>
      <w:proofErr w:type="spellEnd"/>
      <w:r w:rsidRPr="008D7A52">
        <w:rPr>
          <w:rFonts w:ascii="Times New Roman" w:hAnsi="Times New Roman" w:cs="Times New Roman"/>
          <w:color w:val="auto"/>
          <w:lang w:val="en-GB"/>
        </w:rPr>
        <w:t xml:space="preserve"> Theory and Institutional Theory in explaining financial outcomes (Akinola &amp; Nwachukwu, 2022; Gupta &amp; Sharma, 2023). </w:t>
      </w:r>
      <w:proofErr w:type="spellStart"/>
      <w:r w:rsidRPr="008D7A52">
        <w:rPr>
          <w:rFonts w:ascii="Times New Roman" w:hAnsi="Times New Roman" w:cs="Times New Roman"/>
          <w:color w:val="auto"/>
          <w:lang w:val="en-GB"/>
        </w:rPr>
        <w:t>Signaling</w:t>
      </w:r>
      <w:proofErr w:type="spellEnd"/>
      <w:r w:rsidRPr="008D7A52">
        <w:rPr>
          <w:rFonts w:ascii="Times New Roman" w:hAnsi="Times New Roman" w:cs="Times New Roman"/>
          <w:color w:val="auto"/>
          <w:lang w:val="en-GB"/>
        </w:rPr>
        <w:t xml:space="preserve"> Theory suggests firms use sustainability investments to demonstrate long-term stability and environmental responsibility, yet studies rarely explore how these signals influence investor confidence in Nigeria (Spence, 2022; Cheng &amp; Zhao, 2023). Institutional Theory highlights external pressures like regulations and industry norms that compel firms to adopt sustainability practices (DiMaggio &amp; Powell, 2022; Munyua &amp; Mwangi, 2024). However, limited research investigates how Nigeria’s inconsistent regulations affect firms’ environmental investment strategies. The lack of a framework integrating these theories leaves a gap in understanding how firms balance voluntary sustainability investments with institutional compliance.</w:t>
      </w:r>
    </w:p>
    <w:p w14:paraId="46C77CD0" w14:textId="77777777" w:rsidR="00EE5DB0" w:rsidRDefault="00EE5DB0" w:rsidP="009A4192">
      <w:pPr>
        <w:pStyle w:val="Default"/>
        <w:ind w:firstLine="720"/>
        <w:jc w:val="both"/>
        <w:rPr>
          <w:rFonts w:ascii="Times New Roman" w:hAnsi="Times New Roman" w:cs="Times New Roman"/>
          <w:color w:val="auto"/>
          <w:lang w:val="en-GB"/>
        </w:rPr>
      </w:pPr>
    </w:p>
    <w:p w14:paraId="6277658D" w14:textId="4AE6FFFF" w:rsidR="009A4192" w:rsidRPr="008D7A52" w:rsidRDefault="009A4192" w:rsidP="009A4192">
      <w:pPr>
        <w:pStyle w:val="Default"/>
        <w:ind w:firstLine="720"/>
        <w:jc w:val="both"/>
        <w:rPr>
          <w:rFonts w:ascii="Times New Roman" w:hAnsi="Times New Roman" w:cs="Times New Roman"/>
          <w:color w:val="auto"/>
          <w:lang w:val="en-GB"/>
        </w:rPr>
      </w:pPr>
      <w:r w:rsidRPr="008D7A52">
        <w:rPr>
          <w:rFonts w:ascii="Times New Roman" w:hAnsi="Times New Roman" w:cs="Times New Roman"/>
          <w:color w:val="auto"/>
          <w:lang w:val="en-GB"/>
        </w:rPr>
        <w:t>Empirically, research findings on the financial effects of sustainability investments remain inconsistent, with some studies reporting positive effects while others show negative or insignificant results, largely due to differences in measurement methodologies (</w:t>
      </w:r>
      <w:proofErr w:type="spellStart"/>
      <w:r w:rsidRPr="008D7A52">
        <w:rPr>
          <w:rFonts w:ascii="Times New Roman" w:hAnsi="Times New Roman" w:cs="Times New Roman"/>
          <w:color w:val="auto"/>
          <w:lang w:val="en-GB"/>
        </w:rPr>
        <w:t>Chikodzi</w:t>
      </w:r>
      <w:proofErr w:type="spellEnd"/>
      <w:r w:rsidRPr="008D7A52">
        <w:rPr>
          <w:rFonts w:ascii="Times New Roman" w:hAnsi="Times New Roman" w:cs="Times New Roman"/>
          <w:color w:val="auto"/>
          <w:lang w:val="en-GB"/>
        </w:rPr>
        <w:t xml:space="preserve"> &amp; Nyasha, 2023; Mwenda &amp; Njoroge, 2024). Additionally, most studies focus on developed economies, limiting applicability to African markets with different regulatory and economic structures (Juma &amp; Odhiambo, 2022; Moyo &amp; Khumalo, 2023; Mohan &amp; Kanu, 2024). Many </w:t>
      </w:r>
      <w:r w:rsidR="00A62F17" w:rsidRPr="008D7A52">
        <w:rPr>
          <w:rFonts w:ascii="Times New Roman" w:hAnsi="Times New Roman" w:cs="Times New Roman"/>
          <w:color w:val="auto"/>
          <w:lang w:val="en-GB"/>
        </w:rPr>
        <w:t>uses</w:t>
      </w:r>
      <w:r w:rsidRPr="008D7A52">
        <w:rPr>
          <w:rFonts w:ascii="Times New Roman" w:hAnsi="Times New Roman" w:cs="Times New Roman"/>
          <w:color w:val="auto"/>
          <w:lang w:val="en-GB"/>
        </w:rPr>
        <w:t xml:space="preserve"> short timeframes of five to six years, failing to capture long-term effects (Abubakar &amp; Yusuf, 2022; Banda &amp; Komba, 2022; Jones &amp; Clark, 2023). Small sample sizes further reduce statistical robustness. Moreover, limited research examines how firm-specific factors like industry type, financial health, and governance moderate the relationship between sustainability investments and value creation. Addressing these gaps requires longitudinal studies with broader sample sizes and </w:t>
      </w:r>
      <w:r w:rsidR="00346ED2">
        <w:rPr>
          <w:rFonts w:ascii="Times New Roman" w:hAnsi="Times New Roman" w:cs="Times New Roman"/>
          <w:color w:val="auto"/>
          <w:lang w:val="en-GB"/>
        </w:rPr>
        <w:t>standardised</w:t>
      </w:r>
      <w:r w:rsidRPr="008D7A52">
        <w:rPr>
          <w:rFonts w:ascii="Times New Roman" w:hAnsi="Times New Roman" w:cs="Times New Roman"/>
          <w:color w:val="auto"/>
          <w:lang w:val="en-GB"/>
        </w:rPr>
        <w:t xml:space="preserve"> measurement tools to better assess the financial implications of sustainability investments.</w:t>
      </w:r>
    </w:p>
    <w:p w14:paraId="1F94159E" w14:textId="63D53F40" w:rsidR="0083627D" w:rsidRPr="008D7A52" w:rsidRDefault="00B84BDC" w:rsidP="0083627D">
      <w:pPr>
        <w:pStyle w:val="NoSpacing"/>
        <w:ind w:firstLine="720"/>
        <w:jc w:val="both"/>
        <w:rPr>
          <w:rFonts w:ascii="Times New Roman" w:eastAsiaTheme="minorHAnsi" w:hAnsi="Times New Roman"/>
          <w:kern w:val="2"/>
          <w:sz w:val="24"/>
          <w:szCs w:val="24"/>
          <w:lang w:val="en-GB"/>
          <w14:ligatures w14:val="standardContextual"/>
        </w:rPr>
      </w:pPr>
      <w:r w:rsidRPr="008D7A52">
        <w:rPr>
          <w:rFonts w:ascii="Times New Roman" w:eastAsiaTheme="minorHAnsi" w:hAnsi="Times New Roman"/>
          <w:kern w:val="2"/>
          <w:sz w:val="24"/>
          <w:szCs w:val="24"/>
          <w:lang w:val="en-GB"/>
          <w14:ligatures w14:val="standardContextual"/>
        </w:rPr>
        <w:t>Considering</w:t>
      </w:r>
      <w:r w:rsidR="0083627D" w:rsidRPr="008D7A52">
        <w:rPr>
          <w:rFonts w:ascii="Times New Roman" w:eastAsiaTheme="minorHAnsi" w:hAnsi="Times New Roman"/>
          <w:kern w:val="2"/>
          <w:sz w:val="24"/>
          <w:szCs w:val="24"/>
          <w:lang w:val="en-GB"/>
          <w14:ligatures w14:val="standardContextual"/>
        </w:rPr>
        <w:t xml:space="preserve"> the </w:t>
      </w:r>
      <w:r w:rsidR="00600E33" w:rsidRPr="008D7A52">
        <w:rPr>
          <w:rFonts w:ascii="Times New Roman" w:eastAsiaTheme="minorHAnsi" w:hAnsi="Times New Roman"/>
          <w:kern w:val="2"/>
          <w:sz w:val="24"/>
          <w:szCs w:val="24"/>
          <w:lang w:val="en-GB"/>
          <w14:ligatures w14:val="standardContextual"/>
        </w:rPr>
        <w:t>highlighted gaps</w:t>
      </w:r>
      <w:r w:rsidR="0083627D" w:rsidRPr="008D7A52">
        <w:rPr>
          <w:rFonts w:ascii="Times New Roman" w:eastAsiaTheme="minorHAnsi" w:hAnsi="Times New Roman"/>
          <w:kern w:val="2"/>
          <w:sz w:val="24"/>
          <w:szCs w:val="24"/>
          <w:lang w:val="en-GB"/>
          <w14:ligatures w14:val="standardContextual"/>
        </w:rPr>
        <w:t>, the following hypotheses were formulated in their null form to guide the empirical investigation:</w:t>
      </w:r>
    </w:p>
    <w:p w14:paraId="2FCA2EBF" w14:textId="77777777" w:rsidR="00712B49" w:rsidRDefault="00FB0818" w:rsidP="00343269">
      <w:pPr>
        <w:pStyle w:val="NoSpacing"/>
        <w:numPr>
          <w:ilvl w:val="0"/>
          <w:numId w:val="1"/>
        </w:numPr>
        <w:ind w:left="720"/>
        <w:jc w:val="both"/>
        <w:rPr>
          <w:rFonts w:ascii="Times New Roman" w:hAnsi="Times New Roman"/>
          <w:b/>
          <w:bCs/>
          <w:sz w:val="24"/>
          <w:szCs w:val="24"/>
          <w:lang w:val="en-GB"/>
        </w:rPr>
      </w:pPr>
      <w:r w:rsidRPr="00712B49">
        <w:rPr>
          <w:rFonts w:ascii="Times New Roman" w:hAnsi="Times New Roman"/>
          <w:sz w:val="24"/>
          <w:szCs w:val="24"/>
          <w:lang w:val="en-GB"/>
        </w:rPr>
        <w:t xml:space="preserve">Investment in renewable energy </w:t>
      </w:r>
      <w:r w:rsidR="0083627D" w:rsidRPr="00712B49">
        <w:rPr>
          <w:rFonts w:ascii="Times New Roman" w:hAnsi="Times New Roman"/>
          <w:sz w:val="24"/>
          <w:szCs w:val="24"/>
          <w:lang w:val="en-GB"/>
        </w:rPr>
        <w:t>does not have significant effect on value creation of listed non-financial firms in Nigeria</w:t>
      </w:r>
      <w:r w:rsidR="0083627D" w:rsidRPr="00712B49">
        <w:rPr>
          <w:rFonts w:ascii="Times New Roman" w:hAnsi="Times New Roman"/>
          <w:b/>
          <w:bCs/>
          <w:sz w:val="24"/>
          <w:szCs w:val="24"/>
          <w:lang w:val="en-GB"/>
        </w:rPr>
        <w:t xml:space="preserve"> </w:t>
      </w:r>
    </w:p>
    <w:p w14:paraId="1E3EC0F4" w14:textId="77777777" w:rsidR="00712B49" w:rsidRDefault="00FB0818" w:rsidP="00E908FA">
      <w:pPr>
        <w:pStyle w:val="NoSpacing"/>
        <w:numPr>
          <w:ilvl w:val="0"/>
          <w:numId w:val="1"/>
        </w:numPr>
        <w:ind w:left="720"/>
        <w:jc w:val="both"/>
        <w:rPr>
          <w:rFonts w:ascii="Times New Roman" w:hAnsi="Times New Roman"/>
          <w:b/>
          <w:bCs/>
          <w:sz w:val="24"/>
          <w:szCs w:val="24"/>
          <w:lang w:val="en-GB"/>
        </w:rPr>
      </w:pPr>
      <w:r w:rsidRPr="00712B49">
        <w:rPr>
          <w:rFonts w:ascii="Times New Roman" w:hAnsi="Times New Roman"/>
          <w:sz w:val="24"/>
          <w:szCs w:val="24"/>
          <w:lang w:val="en-GB"/>
        </w:rPr>
        <w:t xml:space="preserve">Expenditure on pollution control </w:t>
      </w:r>
      <w:r w:rsidR="0083627D" w:rsidRPr="00712B49">
        <w:rPr>
          <w:rFonts w:ascii="Times New Roman" w:hAnsi="Times New Roman"/>
          <w:sz w:val="24"/>
          <w:szCs w:val="24"/>
          <w:lang w:val="en-GB"/>
        </w:rPr>
        <w:t>does not have significant effect on value creation of listed non-financial firms in Nigeria</w:t>
      </w:r>
      <w:r w:rsidR="0083627D" w:rsidRPr="00712B49">
        <w:rPr>
          <w:rFonts w:ascii="Times New Roman" w:hAnsi="Times New Roman"/>
          <w:b/>
          <w:bCs/>
          <w:sz w:val="24"/>
          <w:szCs w:val="24"/>
          <w:lang w:val="en-GB"/>
        </w:rPr>
        <w:t>.</w:t>
      </w:r>
    </w:p>
    <w:p w14:paraId="028273AF" w14:textId="77777777" w:rsidR="00712B49" w:rsidRDefault="0083627D" w:rsidP="00712B49">
      <w:pPr>
        <w:pStyle w:val="NoSpacing"/>
        <w:numPr>
          <w:ilvl w:val="0"/>
          <w:numId w:val="1"/>
        </w:numPr>
        <w:ind w:left="720"/>
        <w:jc w:val="both"/>
        <w:rPr>
          <w:rFonts w:ascii="Times New Roman" w:hAnsi="Times New Roman"/>
          <w:b/>
          <w:bCs/>
          <w:sz w:val="24"/>
          <w:szCs w:val="24"/>
          <w:lang w:val="en-GB"/>
        </w:rPr>
      </w:pPr>
      <w:r w:rsidRPr="00712B49">
        <w:rPr>
          <w:rFonts w:ascii="Times New Roman" w:hAnsi="Times New Roman"/>
          <w:sz w:val="24"/>
          <w:szCs w:val="24"/>
          <w:lang w:val="en-GB"/>
        </w:rPr>
        <w:t>Green research and development expenditure does not have significant effect on value creation of listed non-financial firms in Nigeria</w:t>
      </w:r>
      <w:r w:rsidRPr="00712B49">
        <w:rPr>
          <w:rFonts w:ascii="Times New Roman" w:hAnsi="Times New Roman"/>
          <w:b/>
          <w:bCs/>
          <w:sz w:val="24"/>
          <w:szCs w:val="24"/>
          <w:lang w:val="en-GB"/>
        </w:rPr>
        <w:t>.</w:t>
      </w:r>
    </w:p>
    <w:p w14:paraId="08E18F39" w14:textId="1D453156" w:rsidR="00404A39" w:rsidRPr="00712B49" w:rsidRDefault="00404A39" w:rsidP="00712B49">
      <w:pPr>
        <w:pStyle w:val="NoSpacing"/>
        <w:numPr>
          <w:ilvl w:val="0"/>
          <w:numId w:val="1"/>
        </w:numPr>
        <w:ind w:left="720"/>
        <w:jc w:val="both"/>
        <w:rPr>
          <w:rFonts w:ascii="Times New Roman" w:hAnsi="Times New Roman"/>
          <w:b/>
          <w:bCs/>
          <w:sz w:val="24"/>
          <w:szCs w:val="24"/>
          <w:lang w:val="en-GB"/>
        </w:rPr>
      </w:pPr>
      <w:r w:rsidRPr="00712B49">
        <w:rPr>
          <w:rFonts w:ascii="Times New Roman" w:hAnsi="Times New Roman"/>
          <w:sz w:val="24"/>
          <w:szCs w:val="24"/>
          <w:lang w:val="en-GB"/>
        </w:rPr>
        <w:t>Environmental certification and compliance</w:t>
      </w:r>
      <w:r w:rsidRPr="00712B49">
        <w:rPr>
          <w:rFonts w:ascii="Times New Roman" w:hAnsi="Times New Roman"/>
          <w:b/>
          <w:bCs/>
          <w:sz w:val="24"/>
          <w:szCs w:val="24"/>
          <w:lang w:val="en-GB"/>
        </w:rPr>
        <w:t xml:space="preserve"> </w:t>
      </w:r>
      <w:r w:rsidRPr="00712B49">
        <w:rPr>
          <w:rFonts w:ascii="Times New Roman" w:hAnsi="Times New Roman"/>
          <w:sz w:val="24"/>
          <w:szCs w:val="24"/>
          <w:lang w:val="en-GB"/>
        </w:rPr>
        <w:t>cost does not have significant effect on value creation of listed non-financial firms in Nigeria</w:t>
      </w:r>
      <w:r w:rsidRPr="00712B49">
        <w:rPr>
          <w:rFonts w:ascii="Times New Roman" w:hAnsi="Times New Roman"/>
          <w:b/>
          <w:bCs/>
          <w:sz w:val="24"/>
          <w:szCs w:val="24"/>
          <w:lang w:val="en-GB"/>
        </w:rPr>
        <w:t>.</w:t>
      </w:r>
    </w:p>
    <w:p w14:paraId="766EA458" w14:textId="77777777" w:rsidR="00600E33" w:rsidRDefault="00600E33" w:rsidP="00FB0818">
      <w:pPr>
        <w:jc w:val="both"/>
        <w:rPr>
          <w:b/>
        </w:rPr>
      </w:pPr>
    </w:p>
    <w:p w14:paraId="75E3CCC4" w14:textId="77777777" w:rsidR="00EE337B" w:rsidRDefault="00EE337B" w:rsidP="00FB0818">
      <w:pPr>
        <w:jc w:val="both"/>
        <w:rPr>
          <w:b/>
        </w:rPr>
      </w:pPr>
    </w:p>
    <w:p w14:paraId="16F0E408" w14:textId="77777777" w:rsidR="00C165B4" w:rsidRDefault="00C165B4" w:rsidP="00FB0818">
      <w:pPr>
        <w:jc w:val="both"/>
        <w:rPr>
          <w:b/>
        </w:rPr>
      </w:pPr>
    </w:p>
    <w:p w14:paraId="7AE4E3AE" w14:textId="77777777" w:rsidR="00C165B4" w:rsidRDefault="00C165B4" w:rsidP="00FB0818">
      <w:pPr>
        <w:jc w:val="both"/>
        <w:rPr>
          <w:b/>
        </w:rPr>
      </w:pPr>
    </w:p>
    <w:p w14:paraId="184EBA36" w14:textId="77777777" w:rsidR="00C165B4" w:rsidRDefault="00C165B4" w:rsidP="00FB0818">
      <w:pPr>
        <w:jc w:val="both"/>
        <w:rPr>
          <w:b/>
        </w:rPr>
      </w:pPr>
    </w:p>
    <w:p w14:paraId="3263155D" w14:textId="77777777" w:rsidR="00EE337B" w:rsidRDefault="00EE337B" w:rsidP="00FB0818">
      <w:pPr>
        <w:jc w:val="both"/>
        <w:rPr>
          <w:b/>
        </w:rPr>
      </w:pPr>
    </w:p>
    <w:p w14:paraId="4D11042B" w14:textId="77777777" w:rsidR="00EE337B" w:rsidRPr="008D7A52" w:rsidRDefault="00EE337B" w:rsidP="00FB0818">
      <w:pPr>
        <w:jc w:val="both"/>
        <w:rPr>
          <w:b/>
        </w:rPr>
      </w:pPr>
    </w:p>
    <w:p w14:paraId="298B13AF" w14:textId="189CA4AB" w:rsidR="00FB0818" w:rsidRPr="008D7A52" w:rsidRDefault="00FB0818" w:rsidP="00FB0818">
      <w:pPr>
        <w:jc w:val="both"/>
        <w:rPr>
          <w:b/>
        </w:rPr>
      </w:pPr>
      <w:r w:rsidRPr="008D7A52">
        <w:rPr>
          <w:b/>
        </w:rPr>
        <w:lastRenderedPageBreak/>
        <w:t>2.5</w:t>
      </w:r>
      <w:r w:rsidRPr="008D7A52">
        <w:rPr>
          <w:b/>
        </w:rPr>
        <w:tab/>
        <w:t>Conceptual Framework</w:t>
      </w:r>
    </w:p>
    <w:p w14:paraId="577ED972" w14:textId="77777777" w:rsidR="00FB0818" w:rsidRPr="008D7A52" w:rsidRDefault="00FB0818" w:rsidP="00FB0818">
      <w:pPr>
        <w:jc w:val="both"/>
        <w:rPr>
          <w:sz w:val="16"/>
          <w:szCs w:val="16"/>
        </w:rPr>
      </w:pPr>
    </w:p>
    <w:p w14:paraId="48D878A4" w14:textId="2A08FAC0" w:rsidR="00D212C0" w:rsidRPr="008D7A52" w:rsidRDefault="00F3178E" w:rsidP="00D212C0">
      <w:pPr>
        <w:ind w:firstLine="720"/>
        <w:jc w:val="both"/>
      </w:pPr>
      <w:r w:rsidRPr="008D7A52">
        <w:t xml:space="preserve">The conceptual framework model is systematically designed to address the identified research gaps while supporting the study's objectives and hypotheses. This model visually represents the relationship between the independent and dependent variables, forming the foundation for the current investigation. As depicted in Figure 1, the study primarily focuses on value creation, with market value added (MVA) serving as the proxy for the dependent variable. The independent variable, environmental sustainability investment, is </w:t>
      </w:r>
      <w:r w:rsidR="006F35AC">
        <w:t>operationalised</w:t>
      </w:r>
      <w:r w:rsidRPr="008D7A52">
        <w:t xml:space="preserve"> through f</w:t>
      </w:r>
      <w:r w:rsidR="009E169B">
        <w:t>our</w:t>
      </w:r>
      <w:r w:rsidRPr="008D7A52">
        <w:t xml:space="preserve"> key proxies:</w:t>
      </w:r>
      <w:r w:rsidR="009E169B">
        <w:t xml:space="preserve"> i</w:t>
      </w:r>
      <w:r w:rsidRPr="008D7A52">
        <w:t xml:space="preserve">nvestment in renewable energy (INRE), </w:t>
      </w:r>
      <w:r w:rsidR="006F35AC" w:rsidRPr="008D7A52">
        <w:t>expenditure on pollution control (EXPC), green research and development expenditure (GRDE)</w:t>
      </w:r>
      <w:r w:rsidR="006F35AC">
        <w:t xml:space="preserve"> and </w:t>
      </w:r>
      <w:r w:rsidRPr="008D7A52">
        <w:t>environmental certification and compliance cost (ECCC).</w:t>
      </w:r>
    </w:p>
    <w:p w14:paraId="0BC1898F" w14:textId="77777777" w:rsidR="00F3178E" w:rsidRPr="008D7A52" w:rsidRDefault="00F3178E" w:rsidP="00D212C0">
      <w:pPr>
        <w:ind w:firstLine="720"/>
        <w:jc w:val="both"/>
        <w:rPr>
          <w:b/>
        </w:rPr>
      </w:pPr>
    </w:p>
    <w:p w14:paraId="28FD6AE4" w14:textId="2CC6A02A" w:rsidR="004168AE" w:rsidRPr="008D7A52" w:rsidRDefault="004168AE" w:rsidP="004168AE">
      <w:pPr>
        <w:autoSpaceDE w:val="0"/>
        <w:autoSpaceDN w:val="0"/>
        <w:adjustRightInd w:val="0"/>
        <w:rPr>
          <w:b/>
        </w:rPr>
      </w:pPr>
      <w:r w:rsidRPr="008D7A52">
        <w:rPr>
          <w:b/>
        </w:rPr>
        <w:t xml:space="preserve">Figure </w:t>
      </w:r>
      <w:r w:rsidR="00600E33" w:rsidRPr="008D7A52">
        <w:rPr>
          <w:b/>
        </w:rPr>
        <w:t>2</w:t>
      </w:r>
      <w:r w:rsidRPr="008D7A52">
        <w:rPr>
          <w:b/>
        </w:rPr>
        <w:t>: Conceptual Framework</w:t>
      </w:r>
      <w:r w:rsidR="00BA4B28" w:rsidRPr="008D7A52">
        <w:rPr>
          <w:b/>
        </w:rPr>
        <w:t xml:space="preserve"> illustrating the relationship between Environmental Sustainability Investment and Value Creation</w:t>
      </w:r>
    </w:p>
    <w:p w14:paraId="338D3AE1" w14:textId="59F352EF" w:rsidR="00FB0818" w:rsidRPr="008D7A52" w:rsidRDefault="00FB0818" w:rsidP="00FB0818">
      <w:pPr>
        <w:jc w:val="both"/>
        <w:rPr>
          <w:b/>
        </w:rPr>
      </w:pPr>
    </w:p>
    <w:p w14:paraId="4C18A261" w14:textId="4B87ADA9" w:rsidR="00FB0818" w:rsidRPr="008D7A52" w:rsidRDefault="00B85143" w:rsidP="00B85143">
      <w:pPr>
        <w:jc w:val="both"/>
        <w:rPr>
          <w:b/>
        </w:rPr>
      </w:pPr>
      <w:r w:rsidRPr="008D7A52">
        <w:rPr>
          <w:b/>
          <w:bCs/>
        </w:rPr>
        <w:t>Environmental Sustainability Investment</w:t>
      </w:r>
      <w:r w:rsidR="00FB0818" w:rsidRPr="008D7A52">
        <w:rPr>
          <w:b/>
        </w:rPr>
        <w:tab/>
      </w:r>
      <w:r w:rsidR="00FB0818" w:rsidRPr="008D7A52">
        <w:rPr>
          <w:b/>
        </w:rPr>
        <w:tab/>
      </w:r>
      <w:r w:rsidR="00FB0818" w:rsidRPr="008D7A52">
        <w:rPr>
          <w:b/>
        </w:rPr>
        <w:tab/>
      </w:r>
      <w:r w:rsidR="00FB0818" w:rsidRPr="008D7A52">
        <w:rPr>
          <w:b/>
        </w:rPr>
        <w:tab/>
        <w:t>Value Creation</w:t>
      </w:r>
    </w:p>
    <w:p w14:paraId="247FE685" w14:textId="494D3A6E" w:rsidR="00FB0818" w:rsidRPr="008D7A52" w:rsidRDefault="00600E33" w:rsidP="00FB0818">
      <w:pPr>
        <w:ind w:firstLine="720"/>
        <w:jc w:val="both"/>
        <w:rPr>
          <w:b/>
        </w:rPr>
      </w:pPr>
      <w:r w:rsidRPr="008D7A52">
        <w:rPr>
          <w:b/>
          <w:noProof/>
        </w:rPr>
        <mc:AlternateContent>
          <mc:Choice Requires="wps">
            <w:drawing>
              <wp:anchor distT="0" distB="0" distL="114300" distR="114300" simplePos="0" relativeHeight="251659264" behindDoc="0" locked="0" layoutInCell="1" allowOverlap="1" wp14:anchorId="1957FCB4" wp14:editId="51CF50A2">
                <wp:simplePos x="0" y="0"/>
                <wp:positionH relativeFrom="margin">
                  <wp:posOffset>3956225</wp:posOffset>
                </wp:positionH>
                <wp:positionV relativeFrom="paragraph">
                  <wp:posOffset>105185</wp:posOffset>
                </wp:positionV>
                <wp:extent cx="1905000" cy="2057400"/>
                <wp:effectExtent l="0" t="0" r="19050" b="19050"/>
                <wp:wrapNone/>
                <wp:docPr id="233169029" name="Rectangle 16"/>
                <wp:cNvGraphicFramePr/>
                <a:graphic xmlns:a="http://schemas.openxmlformats.org/drawingml/2006/main">
                  <a:graphicData uri="http://schemas.microsoft.com/office/word/2010/wordprocessingShape">
                    <wps:wsp>
                      <wps:cNvSpPr/>
                      <wps:spPr>
                        <a:xfrm>
                          <a:off x="0" y="0"/>
                          <a:ext cx="1905000" cy="2057400"/>
                        </a:xfrm>
                        <a:prstGeom prst="rect">
                          <a:avLst/>
                        </a:prstGeom>
                      </wps:spPr>
                      <wps:style>
                        <a:lnRef idx="2">
                          <a:schemeClr val="dk1"/>
                        </a:lnRef>
                        <a:fillRef idx="1">
                          <a:schemeClr val="lt1"/>
                        </a:fillRef>
                        <a:effectRef idx="0">
                          <a:schemeClr val="dk1"/>
                        </a:effectRef>
                        <a:fontRef idx="minor">
                          <a:schemeClr val="dk1"/>
                        </a:fontRef>
                      </wps:style>
                      <wps:txbx>
                        <w:txbxContent>
                          <w:p w14:paraId="12C29F6A" w14:textId="77777777" w:rsidR="00FB0818" w:rsidRPr="00AD3FEF" w:rsidRDefault="00FB0818" w:rsidP="00FB0818">
                            <w:pPr>
                              <w:pStyle w:val="BalloonText"/>
                              <w:rPr>
                                <w:rFonts w:ascii="Times New Roman" w:hAnsi="Times New Roman" w:cs="Times New Roman"/>
                                <w:color w:val="000000" w:themeColor="text1"/>
                                <w:sz w:val="20"/>
                                <w:szCs w:val="20"/>
                              </w:rPr>
                            </w:pPr>
                          </w:p>
                          <w:p w14:paraId="67927C68" w14:textId="23F32917" w:rsidR="00B85143" w:rsidRPr="00AD3FEF" w:rsidRDefault="00FB0818" w:rsidP="00FB0818">
                            <w:pPr>
                              <w:pStyle w:val="BalloonText"/>
                              <w:rPr>
                                <w:rFonts w:ascii="Times New Roman" w:hAnsi="Times New Roman" w:cs="Times New Roman"/>
                                <w:sz w:val="24"/>
                                <w:szCs w:val="24"/>
                              </w:rPr>
                            </w:pPr>
                            <w:r w:rsidRPr="00AD3FEF">
                              <w:rPr>
                                <w:rFonts w:ascii="Times New Roman" w:hAnsi="Times New Roman" w:cs="Times New Roman"/>
                                <w:bCs/>
                                <w:color w:val="000000" w:themeColor="text1"/>
                                <w:sz w:val="24"/>
                                <w:szCs w:val="24"/>
                              </w:rPr>
                              <w:t xml:space="preserve">  </w:t>
                            </w:r>
                            <w:r w:rsidR="005506D7" w:rsidRPr="00AD3FEF">
                              <w:rPr>
                                <w:rFonts w:ascii="Times New Roman" w:hAnsi="Times New Roman" w:cs="Times New Roman"/>
                                <w:bCs/>
                                <w:color w:val="000000" w:themeColor="text1"/>
                                <w:sz w:val="24"/>
                                <w:szCs w:val="24"/>
                              </w:rPr>
                              <w:t xml:space="preserve">  </w:t>
                            </w:r>
                            <w:r w:rsidR="00B85143" w:rsidRPr="00AD3FEF">
                              <w:rPr>
                                <w:rFonts w:ascii="Times New Roman" w:hAnsi="Times New Roman" w:cs="Times New Roman"/>
                                <w:sz w:val="24"/>
                                <w:szCs w:val="24"/>
                              </w:rPr>
                              <w:t xml:space="preserve">Market Value Added    </w:t>
                            </w:r>
                          </w:p>
                          <w:p w14:paraId="3D2C957F" w14:textId="34F5D5D1" w:rsidR="00FB0818" w:rsidRPr="00AD3FEF" w:rsidRDefault="00B63173" w:rsidP="00FB0818">
                            <w:pPr>
                              <w:jc w:val="center"/>
                            </w:pPr>
                            <w:r w:rsidRPr="00AD3FEF">
                              <w:t>(MVA)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7FCB4" id="Rectangle 16" o:spid="_x0000_s1028" style="position:absolute;left:0;text-align:left;margin-left:311.5pt;margin-top:8.3pt;width:150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" fillcolor="white [3201]" strokecolor="black [3200]" strokeweight="1pt">
                <v:textbox>
                  <w:txbxContent>
                    <w:p w14:paraId="12C29F6A" w14:textId="77777777" w:rsidR="00FB0818" w:rsidRPr="00AD3FEF" w:rsidRDefault="00FB0818" w:rsidP="00FB0818">
                      <w:pPr>
                        <w:pStyle w:val="BalloonText"/>
                        <w:rPr>
                          <w:rFonts w:ascii="Times New Roman" w:hAnsi="Times New Roman" w:cs="Times New Roman"/>
                          <w:color w:val="000000" w:themeColor="text1"/>
                          <w:sz w:val="20"/>
                          <w:szCs w:val="20"/>
                        </w:rPr>
                      </w:pPr>
                    </w:p>
                    <w:p w14:paraId="67927C68" w14:textId="23F32917" w:rsidR="00B85143" w:rsidRPr="00AD3FEF" w:rsidRDefault="00FB0818" w:rsidP="00FB0818">
                      <w:pPr>
                        <w:pStyle w:val="BalloonText"/>
                        <w:rPr>
                          <w:rFonts w:ascii="Times New Roman" w:hAnsi="Times New Roman" w:cs="Times New Roman"/>
                          <w:sz w:val="24"/>
                          <w:szCs w:val="24"/>
                        </w:rPr>
                      </w:pPr>
                      <w:r w:rsidRPr="00AD3FEF">
                        <w:rPr>
                          <w:rFonts w:ascii="Times New Roman" w:hAnsi="Times New Roman" w:cs="Times New Roman"/>
                          <w:bCs/>
                          <w:color w:val="000000" w:themeColor="text1"/>
                          <w:sz w:val="24"/>
                          <w:szCs w:val="24"/>
                        </w:rPr>
                        <w:t xml:space="preserve">  </w:t>
                      </w:r>
                      <w:r w:rsidR="005506D7" w:rsidRPr="00AD3FEF">
                        <w:rPr>
                          <w:rFonts w:ascii="Times New Roman" w:hAnsi="Times New Roman" w:cs="Times New Roman"/>
                          <w:bCs/>
                          <w:color w:val="000000" w:themeColor="text1"/>
                          <w:sz w:val="24"/>
                          <w:szCs w:val="24"/>
                        </w:rPr>
                        <w:t xml:space="preserve">  </w:t>
                      </w:r>
                      <w:r w:rsidR="00B85143" w:rsidRPr="00AD3FEF">
                        <w:rPr>
                          <w:rFonts w:ascii="Times New Roman" w:hAnsi="Times New Roman" w:cs="Times New Roman"/>
                          <w:sz w:val="24"/>
                          <w:szCs w:val="24"/>
                        </w:rPr>
                        <w:t xml:space="preserve">Market Value Added    </w:t>
                      </w:r>
                    </w:p>
                    <w:p w14:paraId="3D2C957F" w14:textId="34F5D5D1" w:rsidR="00FB0818" w:rsidRPr="00AD3FEF" w:rsidRDefault="00B63173" w:rsidP="00FB0818">
                      <w:pPr>
                        <w:jc w:val="center"/>
                      </w:pPr>
                      <w:r w:rsidRPr="00AD3FEF">
                        <w:t>(MVA)</w:t>
                      </w:r>
                    </w:p>
                  </w:txbxContent>
                </v:textbox>
                <w10:wrap anchorx="margin"/>
              </v:rect>
            </w:pict>
          </mc:Fallback>
        </mc:AlternateContent>
      </w:r>
      <w:r w:rsidRPr="008D7A52">
        <w:rPr>
          <w:b/>
          <w:noProof/>
        </w:rPr>
        <mc:AlternateContent>
          <mc:Choice Requires="wps">
            <w:drawing>
              <wp:anchor distT="0" distB="0" distL="114300" distR="114300" simplePos="0" relativeHeight="251661312" behindDoc="0" locked="0" layoutInCell="1" allowOverlap="1" wp14:anchorId="388E4CE1" wp14:editId="5DD97072">
                <wp:simplePos x="0" y="0"/>
                <wp:positionH relativeFrom="margin">
                  <wp:posOffset>9750</wp:posOffset>
                </wp:positionH>
                <wp:positionV relativeFrom="paragraph">
                  <wp:posOffset>126330</wp:posOffset>
                </wp:positionV>
                <wp:extent cx="3124200" cy="371475"/>
                <wp:effectExtent l="0" t="0" r="19050" b="28575"/>
                <wp:wrapNone/>
                <wp:docPr id="980047223" name="Rectangle 9"/>
                <wp:cNvGraphicFramePr/>
                <a:graphic xmlns:a="http://schemas.openxmlformats.org/drawingml/2006/main">
                  <a:graphicData uri="http://schemas.microsoft.com/office/word/2010/wordprocessingShape">
                    <wps:wsp>
                      <wps:cNvSpPr/>
                      <wps:spPr>
                        <a:xfrm>
                          <a:off x="0" y="0"/>
                          <a:ext cx="3124200"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65CB8B" w14:textId="1DA54566" w:rsidR="00FB0818" w:rsidRPr="00AD3FEF" w:rsidRDefault="00B85143" w:rsidP="00B85143">
                            <w:r w:rsidRPr="00AD3FEF">
                              <w:t>Investment in Renewable 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E4CE1" id="Rectangle 9" o:spid="_x0000_s1029" style="position:absolute;left:0;text-align:left;margin-left:.75pt;margin-top:9.95pt;width:246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" fillcolor="white [3201]" strokecolor="#70ad47 [3209]" strokeweight="1pt">
                <v:textbox>
                  <w:txbxContent>
                    <w:p w14:paraId="4D65CB8B" w14:textId="1DA54566" w:rsidR="00FB0818" w:rsidRPr="00AD3FEF" w:rsidRDefault="00B85143" w:rsidP="00B85143">
                      <w:r w:rsidRPr="00AD3FEF">
                        <w:t>Investment in Renewable Energy</w:t>
                      </w:r>
                    </w:p>
                  </w:txbxContent>
                </v:textbox>
                <w10:wrap anchorx="margin"/>
              </v:rect>
            </w:pict>
          </mc:Fallback>
        </mc:AlternateContent>
      </w:r>
    </w:p>
    <w:p w14:paraId="59BB3F3A" w14:textId="5AFD0E01" w:rsidR="00FB0818" w:rsidRPr="008D7A52" w:rsidRDefault="00600E33" w:rsidP="00FB0818">
      <w:pPr>
        <w:ind w:firstLine="720"/>
        <w:jc w:val="both"/>
        <w:rPr>
          <w:b/>
        </w:rPr>
      </w:pPr>
      <w:r w:rsidRPr="008D7A52">
        <w:rPr>
          <w:b/>
          <w:noProof/>
          <w14:ligatures w14:val="standardContextual"/>
        </w:rPr>
        <mc:AlternateContent>
          <mc:Choice Requires="wps">
            <w:drawing>
              <wp:anchor distT="0" distB="0" distL="114300" distR="114300" simplePos="0" relativeHeight="251670528" behindDoc="0" locked="0" layoutInCell="1" allowOverlap="1" wp14:anchorId="38088990" wp14:editId="45DB724F">
                <wp:simplePos x="0" y="0"/>
                <wp:positionH relativeFrom="column">
                  <wp:posOffset>3128140</wp:posOffset>
                </wp:positionH>
                <wp:positionV relativeFrom="paragraph">
                  <wp:posOffset>124035</wp:posOffset>
                </wp:positionV>
                <wp:extent cx="834595" cy="504000"/>
                <wp:effectExtent l="0" t="0" r="80010" b="48895"/>
                <wp:wrapNone/>
                <wp:docPr id="57196213" name="Straight Arrow Connector 5"/>
                <wp:cNvGraphicFramePr/>
                <a:graphic xmlns:a="http://schemas.openxmlformats.org/drawingml/2006/main">
                  <a:graphicData uri="http://schemas.microsoft.com/office/word/2010/wordprocessingShape">
                    <wps:wsp>
                      <wps:cNvCnPr/>
                      <wps:spPr>
                        <a:xfrm>
                          <a:off x="0" y="0"/>
                          <a:ext cx="834595" cy="504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E9B04" id="Straight Arrow Connector 5" o:spid="_x0000_s1026" type="#_x0000_t32" style="position:absolute;margin-left:246.3pt;margin-top:9.75pt;width:65.7pt;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" strokecolor="black [3200]" strokeweight="1.5pt">
                <v:stroke endarrow="block" joinstyle="miter"/>
              </v:shape>
            </w:pict>
          </mc:Fallback>
        </mc:AlternateContent>
      </w:r>
    </w:p>
    <w:p w14:paraId="7F7575C6" w14:textId="7A033468" w:rsidR="00FB0818" w:rsidRPr="008D7A52" w:rsidRDefault="00FB0818" w:rsidP="00FB0818">
      <w:pPr>
        <w:ind w:firstLine="720"/>
        <w:jc w:val="both"/>
        <w:rPr>
          <w:b/>
        </w:rPr>
      </w:pPr>
    </w:p>
    <w:p w14:paraId="583427BC" w14:textId="638C05C2" w:rsidR="00FB0818" w:rsidRPr="008D7A52" w:rsidRDefault="00FB0818" w:rsidP="00FB0818">
      <w:pPr>
        <w:ind w:firstLine="720"/>
        <w:jc w:val="both"/>
        <w:rPr>
          <w:b/>
        </w:rPr>
      </w:pPr>
    </w:p>
    <w:p w14:paraId="63E54C68" w14:textId="2E96420C" w:rsidR="00FB0818" w:rsidRPr="008D7A52" w:rsidRDefault="00600E33" w:rsidP="00FB0818">
      <w:pPr>
        <w:ind w:firstLine="720"/>
        <w:jc w:val="both"/>
        <w:rPr>
          <w:b/>
        </w:rPr>
      </w:pPr>
      <w:r w:rsidRPr="008D7A52">
        <w:rPr>
          <w:b/>
          <w:noProof/>
        </w:rPr>
        <mc:AlternateContent>
          <mc:Choice Requires="wps">
            <w:drawing>
              <wp:anchor distT="0" distB="0" distL="114300" distR="114300" simplePos="0" relativeHeight="251662336" behindDoc="0" locked="0" layoutInCell="1" allowOverlap="1" wp14:anchorId="2A617AB7" wp14:editId="58D92313">
                <wp:simplePos x="0" y="0"/>
                <wp:positionH relativeFrom="margin">
                  <wp:align>left</wp:align>
                </wp:positionH>
                <wp:positionV relativeFrom="paragraph">
                  <wp:posOffset>6580</wp:posOffset>
                </wp:positionV>
                <wp:extent cx="3124200" cy="438150"/>
                <wp:effectExtent l="0" t="0" r="19050" b="19050"/>
                <wp:wrapNone/>
                <wp:docPr id="1148527631" name="Rectangle 10"/>
                <wp:cNvGraphicFramePr/>
                <a:graphic xmlns:a="http://schemas.openxmlformats.org/drawingml/2006/main">
                  <a:graphicData uri="http://schemas.microsoft.com/office/word/2010/wordprocessingShape">
                    <wps:wsp>
                      <wps:cNvSpPr/>
                      <wps:spPr>
                        <a:xfrm>
                          <a:off x="0" y="0"/>
                          <a:ext cx="31242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243F19" w14:textId="77777777" w:rsidR="0082689A" w:rsidRPr="00AD3FEF" w:rsidRDefault="0082689A" w:rsidP="0082689A">
                            <w:r w:rsidRPr="00AD3FEF">
                              <w:t>Expenditure on Pollution Control</w:t>
                            </w:r>
                          </w:p>
                          <w:p w14:paraId="59E0AC4A" w14:textId="3F15BAE3" w:rsidR="00FB0818" w:rsidRPr="00AD3FEF" w:rsidRDefault="00FB0818" w:rsidP="00FB08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7AB7" id="_x0000_s1030" style="position:absolute;left:0;text-align:left;margin-left:0;margin-top:.5pt;width:246pt;height:3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" fillcolor="white [3201]" strokecolor="#70ad47 [3209]" strokeweight="1pt">
                <v:textbox>
                  <w:txbxContent>
                    <w:p w14:paraId="16243F19" w14:textId="77777777" w:rsidR="0082689A" w:rsidRPr="00AD3FEF" w:rsidRDefault="0082689A" w:rsidP="0082689A">
                      <w:r w:rsidRPr="00AD3FEF">
                        <w:t>Expenditure on Pollution Control</w:t>
                      </w:r>
                    </w:p>
                    <w:p w14:paraId="59E0AC4A" w14:textId="3F15BAE3" w:rsidR="00FB0818" w:rsidRPr="00AD3FEF" w:rsidRDefault="00FB0818" w:rsidP="00FB0818">
                      <w:pPr>
                        <w:jc w:val="center"/>
                      </w:pPr>
                    </w:p>
                  </w:txbxContent>
                </v:textbox>
                <w10:wrap anchorx="margin"/>
              </v:rect>
            </w:pict>
          </mc:Fallback>
        </mc:AlternateContent>
      </w:r>
    </w:p>
    <w:p w14:paraId="6EB12E4F" w14:textId="289204BF" w:rsidR="00FB0818" w:rsidRPr="008D7A52" w:rsidRDefault="00600E33" w:rsidP="00FB0818">
      <w:pPr>
        <w:ind w:firstLine="720"/>
        <w:jc w:val="both"/>
        <w:rPr>
          <w:b/>
        </w:rPr>
      </w:pPr>
      <w:r w:rsidRPr="008D7A52">
        <w:rPr>
          <w:b/>
          <w:noProof/>
          <w14:ligatures w14:val="standardContextual"/>
        </w:rPr>
        <mc:AlternateContent>
          <mc:Choice Requires="wps">
            <w:drawing>
              <wp:anchor distT="0" distB="0" distL="114300" distR="114300" simplePos="0" relativeHeight="251671552" behindDoc="0" locked="0" layoutInCell="1" allowOverlap="1" wp14:anchorId="46E9F6EA" wp14:editId="7453F4DA">
                <wp:simplePos x="0" y="0"/>
                <wp:positionH relativeFrom="column">
                  <wp:posOffset>3128140</wp:posOffset>
                </wp:positionH>
                <wp:positionV relativeFrom="paragraph">
                  <wp:posOffset>63345</wp:posOffset>
                </wp:positionV>
                <wp:extent cx="828000" cy="45719"/>
                <wp:effectExtent l="0" t="57150" r="29845" b="50165"/>
                <wp:wrapNone/>
                <wp:docPr id="1419549330" name="Straight Arrow Connector 6"/>
                <wp:cNvGraphicFramePr/>
                <a:graphic xmlns:a="http://schemas.openxmlformats.org/drawingml/2006/main">
                  <a:graphicData uri="http://schemas.microsoft.com/office/word/2010/wordprocessingShape">
                    <wps:wsp>
                      <wps:cNvCnPr/>
                      <wps:spPr>
                        <a:xfrm flipV="1">
                          <a:off x="0" y="0"/>
                          <a:ext cx="82800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289B9" id="Straight Arrow Connector 6" o:spid="_x0000_s1026" type="#_x0000_t32" style="position:absolute;margin-left:246.3pt;margin-top:5pt;width:65.2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" strokecolor="black [3200]" strokeweight="1.5pt">
                <v:stroke endarrow="block" joinstyle="miter"/>
              </v:shape>
            </w:pict>
          </mc:Fallback>
        </mc:AlternateContent>
      </w:r>
    </w:p>
    <w:p w14:paraId="1E4A888F" w14:textId="03088309" w:rsidR="00FB0818" w:rsidRPr="008D7A52" w:rsidRDefault="00600E33" w:rsidP="00FB0818">
      <w:pPr>
        <w:ind w:firstLine="720"/>
        <w:jc w:val="both"/>
        <w:rPr>
          <w:b/>
        </w:rPr>
      </w:pPr>
      <w:r w:rsidRPr="008D7A52">
        <w:rPr>
          <w:b/>
          <w:noProof/>
          <w14:ligatures w14:val="standardContextual"/>
        </w:rPr>
        <mc:AlternateContent>
          <mc:Choice Requires="wps">
            <w:drawing>
              <wp:anchor distT="0" distB="0" distL="114300" distR="114300" simplePos="0" relativeHeight="251672576" behindDoc="0" locked="0" layoutInCell="1" allowOverlap="1" wp14:anchorId="490DBE36" wp14:editId="25ECED66">
                <wp:simplePos x="0" y="0"/>
                <wp:positionH relativeFrom="column">
                  <wp:posOffset>3113740</wp:posOffset>
                </wp:positionH>
                <wp:positionV relativeFrom="paragraph">
                  <wp:posOffset>162769</wp:posOffset>
                </wp:positionV>
                <wp:extent cx="849600" cy="333795"/>
                <wp:effectExtent l="0" t="38100" r="65405" b="28575"/>
                <wp:wrapNone/>
                <wp:docPr id="1108010007" name="Straight Arrow Connector 7"/>
                <wp:cNvGraphicFramePr/>
                <a:graphic xmlns:a="http://schemas.openxmlformats.org/drawingml/2006/main">
                  <a:graphicData uri="http://schemas.microsoft.com/office/word/2010/wordprocessingShape">
                    <wps:wsp>
                      <wps:cNvCnPr/>
                      <wps:spPr>
                        <a:xfrm flipV="1">
                          <a:off x="0" y="0"/>
                          <a:ext cx="849600" cy="33379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93B62" id="Straight Arrow Connector 7" o:spid="_x0000_s1026" type="#_x0000_t32" style="position:absolute;margin-left:245.2pt;margin-top:12.8pt;width:66.9pt;height:26.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" strokecolor="black [3200]" strokeweight="1.5pt">
                <v:stroke endarrow="block" joinstyle="miter"/>
              </v:shape>
            </w:pict>
          </mc:Fallback>
        </mc:AlternateContent>
      </w:r>
    </w:p>
    <w:p w14:paraId="2C65932B" w14:textId="1E3C1BF0" w:rsidR="00FB0818" w:rsidRPr="008D7A52" w:rsidRDefault="00600E33" w:rsidP="00FB0818">
      <w:pPr>
        <w:ind w:firstLine="720"/>
        <w:jc w:val="both"/>
      </w:pPr>
      <w:r w:rsidRPr="008D7A52">
        <w:rPr>
          <w:b/>
          <w:noProof/>
          <w14:ligatures w14:val="standardContextual"/>
        </w:rPr>
        <mc:AlternateContent>
          <mc:Choice Requires="wps">
            <w:drawing>
              <wp:anchor distT="0" distB="0" distL="114300" distR="114300" simplePos="0" relativeHeight="251666432" behindDoc="0" locked="0" layoutInCell="1" allowOverlap="1" wp14:anchorId="343CEB1B" wp14:editId="4ECCA6A9">
                <wp:simplePos x="0" y="0"/>
                <wp:positionH relativeFrom="margin">
                  <wp:align>left</wp:align>
                </wp:positionH>
                <wp:positionV relativeFrom="paragraph">
                  <wp:posOffset>52705</wp:posOffset>
                </wp:positionV>
                <wp:extent cx="3105150" cy="425450"/>
                <wp:effectExtent l="0" t="0" r="19050" b="12700"/>
                <wp:wrapNone/>
                <wp:docPr id="149825255" name="Rectangle 1"/>
                <wp:cNvGraphicFramePr/>
                <a:graphic xmlns:a="http://schemas.openxmlformats.org/drawingml/2006/main">
                  <a:graphicData uri="http://schemas.microsoft.com/office/word/2010/wordprocessingShape">
                    <wps:wsp>
                      <wps:cNvSpPr/>
                      <wps:spPr>
                        <a:xfrm>
                          <a:off x="0" y="0"/>
                          <a:ext cx="3105150" cy="425450"/>
                        </a:xfrm>
                        <a:prstGeom prst="rect">
                          <a:avLst/>
                        </a:prstGeom>
                      </wps:spPr>
                      <wps:style>
                        <a:lnRef idx="2">
                          <a:schemeClr val="dk1"/>
                        </a:lnRef>
                        <a:fillRef idx="1">
                          <a:schemeClr val="lt1"/>
                        </a:fillRef>
                        <a:effectRef idx="0">
                          <a:schemeClr val="dk1"/>
                        </a:effectRef>
                        <a:fontRef idx="minor">
                          <a:schemeClr val="dk1"/>
                        </a:fontRef>
                      </wps:style>
                      <wps:txbx>
                        <w:txbxContent>
                          <w:p w14:paraId="69428195" w14:textId="06821F1D" w:rsidR="0082689A" w:rsidRPr="00AD3FEF" w:rsidRDefault="0082689A" w:rsidP="0082689A">
                            <w:r w:rsidRPr="00AD3FEF">
                              <w:t>Green Research and Development Expenditure</w:t>
                            </w:r>
                          </w:p>
                          <w:p w14:paraId="104D2097" w14:textId="37720EB7" w:rsidR="00F3178E" w:rsidRPr="00AD3FEF" w:rsidRDefault="00F3178E" w:rsidP="00F317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CEB1B" id="Rectangle 1" o:spid="_x0000_s1031" style="position:absolute;left:0;text-align:left;margin-left:0;margin-top:4.15pt;width:244.5pt;height:3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" fillcolor="white [3201]" strokecolor="black [3200]" strokeweight="1pt">
                <v:textbox>
                  <w:txbxContent>
                    <w:p w14:paraId="69428195" w14:textId="06821F1D" w:rsidR="0082689A" w:rsidRPr="00AD3FEF" w:rsidRDefault="0082689A" w:rsidP="0082689A">
                      <w:r w:rsidRPr="00AD3FEF">
                        <w:t>Green Research and Development Expenditure</w:t>
                      </w:r>
                    </w:p>
                    <w:p w14:paraId="104D2097" w14:textId="37720EB7" w:rsidR="00F3178E" w:rsidRPr="00AD3FEF" w:rsidRDefault="00F3178E" w:rsidP="00F3178E"/>
                  </w:txbxContent>
                </v:textbox>
                <w10:wrap anchorx="margin"/>
              </v:rect>
            </w:pict>
          </mc:Fallback>
        </mc:AlternateContent>
      </w:r>
    </w:p>
    <w:p w14:paraId="4FCB9B75" w14:textId="14299ADF" w:rsidR="00FB0818" w:rsidRPr="008D7A52" w:rsidRDefault="00600E33" w:rsidP="00FB0818">
      <w:pPr>
        <w:jc w:val="both"/>
        <w:rPr>
          <w:sz w:val="20"/>
          <w:szCs w:val="20"/>
        </w:rPr>
      </w:pPr>
      <w:r w:rsidRPr="008D7A52">
        <w:rPr>
          <w:noProof/>
          <w14:ligatures w14:val="standardContextual"/>
        </w:rPr>
        <mc:AlternateContent>
          <mc:Choice Requires="wps">
            <w:drawing>
              <wp:anchor distT="0" distB="0" distL="114300" distR="114300" simplePos="0" relativeHeight="251669504" behindDoc="0" locked="0" layoutInCell="1" allowOverlap="1" wp14:anchorId="75DC7F94" wp14:editId="5E469B38">
                <wp:simplePos x="0" y="0"/>
                <wp:positionH relativeFrom="column">
                  <wp:posOffset>3108490</wp:posOffset>
                </wp:positionH>
                <wp:positionV relativeFrom="paragraph">
                  <wp:posOffset>44749</wp:posOffset>
                </wp:positionV>
                <wp:extent cx="838595" cy="609900"/>
                <wp:effectExtent l="0" t="38100" r="57150" b="19050"/>
                <wp:wrapNone/>
                <wp:docPr id="856362219" name="Straight Arrow Connector 4"/>
                <wp:cNvGraphicFramePr/>
                <a:graphic xmlns:a="http://schemas.openxmlformats.org/drawingml/2006/main">
                  <a:graphicData uri="http://schemas.microsoft.com/office/word/2010/wordprocessingShape">
                    <wps:wsp>
                      <wps:cNvCnPr/>
                      <wps:spPr>
                        <a:xfrm flipV="1">
                          <a:off x="0" y="0"/>
                          <a:ext cx="838595" cy="609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7E678" id="Straight Arrow Connector 4" o:spid="_x0000_s1026" type="#_x0000_t32" style="position:absolute;margin-left:244.75pt;margin-top:3.5pt;width:66.05pt;height:4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" strokecolor="black [3200]" strokeweight="1.5pt">
                <v:stroke endarrow="block" joinstyle="miter"/>
              </v:shape>
            </w:pict>
          </mc:Fallback>
        </mc:AlternateContent>
      </w:r>
      <w:r w:rsidR="00FB0818" w:rsidRPr="008D7A52">
        <w:rPr>
          <w:sz w:val="20"/>
          <w:szCs w:val="20"/>
        </w:rPr>
        <w:t xml:space="preserve"> </w:t>
      </w:r>
    </w:p>
    <w:p w14:paraId="5117B23E" w14:textId="5C5FCF1E" w:rsidR="00FB0818" w:rsidRPr="008D7A52" w:rsidRDefault="00FB0818" w:rsidP="00FB0818">
      <w:pPr>
        <w:tabs>
          <w:tab w:val="left" w:pos="5475"/>
        </w:tabs>
        <w:jc w:val="both"/>
        <w:rPr>
          <w:sz w:val="20"/>
          <w:szCs w:val="20"/>
        </w:rPr>
      </w:pPr>
      <w:r w:rsidRPr="008D7A52">
        <w:rPr>
          <w:sz w:val="20"/>
          <w:szCs w:val="20"/>
        </w:rPr>
        <w:tab/>
      </w:r>
    </w:p>
    <w:p w14:paraId="66DC7FA6" w14:textId="5C3117B0" w:rsidR="00B85143" w:rsidRPr="008D7A52" w:rsidRDefault="00B85143" w:rsidP="00FB0818">
      <w:pPr>
        <w:tabs>
          <w:tab w:val="left" w:pos="5475"/>
        </w:tabs>
        <w:jc w:val="both"/>
        <w:rPr>
          <w:sz w:val="20"/>
          <w:szCs w:val="20"/>
        </w:rPr>
      </w:pPr>
    </w:p>
    <w:p w14:paraId="151DCD17" w14:textId="528D505A" w:rsidR="00FB0818" w:rsidRPr="008D7A52" w:rsidRDefault="00600E33" w:rsidP="00FB0818">
      <w:pPr>
        <w:jc w:val="both"/>
        <w:rPr>
          <w:sz w:val="20"/>
          <w:szCs w:val="20"/>
        </w:rPr>
      </w:pPr>
      <w:r w:rsidRPr="008D7A52">
        <w:rPr>
          <w:noProof/>
          <w:sz w:val="20"/>
          <w:szCs w:val="20"/>
          <w14:ligatures w14:val="standardContextual"/>
        </w:rPr>
        <mc:AlternateContent>
          <mc:Choice Requires="wps">
            <w:drawing>
              <wp:anchor distT="0" distB="0" distL="114300" distR="114300" simplePos="0" relativeHeight="251667456" behindDoc="0" locked="0" layoutInCell="1" allowOverlap="1" wp14:anchorId="1F657024" wp14:editId="761F5304">
                <wp:simplePos x="0" y="0"/>
                <wp:positionH relativeFrom="margin">
                  <wp:align>left</wp:align>
                </wp:positionH>
                <wp:positionV relativeFrom="paragraph">
                  <wp:posOffset>47850</wp:posOffset>
                </wp:positionV>
                <wp:extent cx="3105150" cy="314325"/>
                <wp:effectExtent l="0" t="0" r="19050" b="28575"/>
                <wp:wrapNone/>
                <wp:docPr id="2118633737" name="Rectangle 2"/>
                <wp:cNvGraphicFramePr/>
                <a:graphic xmlns:a="http://schemas.openxmlformats.org/drawingml/2006/main">
                  <a:graphicData uri="http://schemas.microsoft.com/office/word/2010/wordprocessingShape">
                    <wps:wsp>
                      <wps:cNvSpPr/>
                      <wps:spPr>
                        <a:xfrm>
                          <a:off x="0" y="0"/>
                          <a:ext cx="31051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7C56535E" w14:textId="2ACC92E3" w:rsidR="00F3178E" w:rsidRPr="00AD3FEF" w:rsidRDefault="0082689A" w:rsidP="0082689A">
                            <w:r w:rsidRPr="00AD3FEF">
                              <w:t>Environmental Certification and Compliance</w:t>
                            </w:r>
                            <w:r w:rsidRPr="00AD3FEF">
                              <w:rPr>
                                <w:b/>
                                <w:bCs/>
                              </w:rPr>
                              <w:t xml:space="preserve"> </w:t>
                            </w:r>
                            <w:r w:rsidRPr="00AD3FEF">
                              <w:t>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57024" id="Rectangle 2" o:spid="_x0000_s1032" style="position:absolute;left:0;text-align:left;margin-left:0;margin-top:3.75pt;width:244.5pt;height:24.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" fillcolor="white [3201]" strokecolor="black [3200]" strokeweight="1pt">
                <v:textbox>
                  <w:txbxContent>
                    <w:p w14:paraId="7C56535E" w14:textId="2ACC92E3" w:rsidR="00F3178E" w:rsidRPr="00AD3FEF" w:rsidRDefault="0082689A" w:rsidP="0082689A">
                      <w:r w:rsidRPr="00AD3FEF">
                        <w:t>Environmental Certification and Compliance</w:t>
                      </w:r>
                      <w:r w:rsidRPr="00AD3FEF">
                        <w:rPr>
                          <w:b/>
                          <w:bCs/>
                        </w:rPr>
                        <w:t xml:space="preserve"> </w:t>
                      </w:r>
                      <w:r w:rsidRPr="00AD3FEF">
                        <w:t>Cost</w:t>
                      </w:r>
                    </w:p>
                  </w:txbxContent>
                </v:textbox>
                <w10:wrap anchorx="margin"/>
              </v:rect>
            </w:pict>
          </mc:Fallback>
        </mc:AlternateContent>
      </w:r>
    </w:p>
    <w:p w14:paraId="494AD7A5" w14:textId="77777777" w:rsidR="00B85143" w:rsidRPr="008D7A52" w:rsidRDefault="00B85143" w:rsidP="00FB0818">
      <w:pPr>
        <w:pStyle w:val="BalloonText"/>
        <w:rPr>
          <w:rFonts w:ascii="Times New Roman" w:hAnsi="Times New Roman" w:cs="Times New Roman"/>
          <w:b/>
          <w:bCs/>
          <w:sz w:val="24"/>
          <w:szCs w:val="24"/>
        </w:rPr>
      </w:pPr>
    </w:p>
    <w:p w14:paraId="5A9C3036" w14:textId="77777777" w:rsidR="00152F20" w:rsidRPr="008D7A52" w:rsidRDefault="00FB0818" w:rsidP="00FB0818">
      <w:pPr>
        <w:pStyle w:val="BalloonText"/>
        <w:rPr>
          <w:rFonts w:ascii="Times New Roman" w:hAnsi="Times New Roman" w:cs="Times New Roman"/>
          <w:b/>
          <w:bCs/>
          <w:sz w:val="24"/>
          <w:szCs w:val="24"/>
        </w:rPr>
      </w:pPr>
      <w:r w:rsidRPr="008D7A52">
        <w:rPr>
          <w:rFonts w:ascii="Times New Roman" w:hAnsi="Times New Roman" w:cs="Times New Roman"/>
          <w:b/>
          <w:bCs/>
          <w:sz w:val="24"/>
          <w:szCs w:val="24"/>
        </w:rPr>
        <w:t xml:space="preserve">Source: </w:t>
      </w:r>
      <w:r w:rsidR="00BA4B28" w:rsidRPr="008D7A52">
        <w:rPr>
          <w:rFonts w:ascii="Times New Roman" w:hAnsi="Times New Roman" w:cs="Times New Roman"/>
          <w:b/>
          <w:bCs/>
          <w:sz w:val="24"/>
          <w:szCs w:val="24"/>
        </w:rPr>
        <w:t>Researcher</w:t>
      </w:r>
      <w:r w:rsidRPr="008D7A52">
        <w:rPr>
          <w:rFonts w:ascii="Times New Roman" w:hAnsi="Times New Roman" w:cs="Times New Roman"/>
          <w:b/>
          <w:bCs/>
          <w:sz w:val="24"/>
          <w:szCs w:val="24"/>
        </w:rPr>
        <w:t>’s Design (202</w:t>
      </w:r>
      <w:r w:rsidR="00F3178E" w:rsidRPr="008D7A52">
        <w:rPr>
          <w:rFonts w:ascii="Times New Roman" w:hAnsi="Times New Roman" w:cs="Times New Roman"/>
          <w:b/>
          <w:bCs/>
          <w:sz w:val="24"/>
          <w:szCs w:val="24"/>
        </w:rPr>
        <w:t>5</w:t>
      </w:r>
      <w:r w:rsidRPr="008D7A52">
        <w:rPr>
          <w:rFonts w:ascii="Times New Roman" w:hAnsi="Times New Roman" w:cs="Times New Roman"/>
          <w:b/>
          <w:bCs/>
          <w:sz w:val="24"/>
          <w:szCs w:val="24"/>
        </w:rPr>
        <w:t xml:space="preserve">)      </w:t>
      </w:r>
    </w:p>
    <w:p w14:paraId="3351B9A8" w14:textId="23A06054" w:rsidR="00FB0818" w:rsidRPr="008D7A52" w:rsidRDefault="00FB0818" w:rsidP="00FB0818">
      <w:pPr>
        <w:pStyle w:val="BalloonText"/>
        <w:rPr>
          <w:rFonts w:ascii="Times New Roman" w:hAnsi="Times New Roman" w:cs="Times New Roman"/>
          <w:sz w:val="24"/>
          <w:szCs w:val="24"/>
          <w:vertAlign w:val="subscript"/>
        </w:rPr>
      </w:pPr>
      <w:r w:rsidRPr="008D7A52">
        <w:rPr>
          <w:rFonts w:ascii="Times New Roman" w:hAnsi="Times New Roman" w:cs="Times New Roman"/>
          <w:b/>
          <w:bCs/>
          <w:sz w:val="24"/>
          <w:szCs w:val="24"/>
        </w:rPr>
        <w:t xml:space="preserve">                                                     </w:t>
      </w:r>
    </w:p>
    <w:p w14:paraId="31331759" w14:textId="47C6B243" w:rsidR="005506D7" w:rsidRPr="008D7A52" w:rsidRDefault="005506D7" w:rsidP="005506D7">
      <w:pPr>
        <w:jc w:val="both"/>
      </w:pPr>
      <w:r w:rsidRPr="008D7A52">
        <w:rPr>
          <w:b/>
        </w:rPr>
        <w:t>3.</w:t>
      </w:r>
      <w:r w:rsidRPr="008D7A52">
        <w:rPr>
          <w:b/>
        </w:rPr>
        <w:tab/>
        <w:t>Methodology</w:t>
      </w:r>
    </w:p>
    <w:p w14:paraId="3FF0C55D" w14:textId="57AC97FB" w:rsidR="009C64EE" w:rsidRPr="008D7A52" w:rsidRDefault="009C64EE" w:rsidP="009C64EE">
      <w:pPr>
        <w:ind w:firstLine="720"/>
        <w:jc w:val="both"/>
        <w:rPr>
          <w:rFonts w:eastAsia="Calibri"/>
        </w:rPr>
      </w:pPr>
      <w:r w:rsidRPr="008D7A52">
        <w:rPr>
          <w:rFonts w:eastAsia="Calibri"/>
        </w:rPr>
        <w:t xml:space="preserve">The study employs a longitudinal research design to assess the impact of environmental sustainability investments on value creation among listed non-financial firms in Nigeria. The target population consists of 104 non-financial firms listed on the Nigerian Exchange (NGX), spanning ten sectors: agriculture (5), conglomerates (6), construction/real estate (9), consumer goods (21), healthcare (7), ICT (8), industrial goods (13), natural resources (4), oil and gas (9), and services (22). To ensure representativeness and reliability, the study </w:t>
      </w:r>
      <w:r w:rsidR="000E77CD">
        <w:rPr>
          <w:rFonts w:eastAsia="Calibri"/>
        </w:rPr>
        <w:t>utilises</w:t>
      </w:r>
      <w:r w:rsidRPr="008D7A52">
        <w:rPr>
          <w:rFonts w:eastAsia="Calibri"/>
        </w:rPr>
        <w:t xml:space="preserve"> a criteria-based sampling </w:t>
      </w:r>
      <w:r w:rsidR="00BA4B28" w:rsidRPr="008D7A52">
        <w:rPr>
          <w:rFonts w:eastAsia="Calibri"/>
        </w:rPr>
        <w:t>method</w:t>
      </w:r>
      <w:r w:rsidRPr="008D7A52">
        <w:rPr>
          <w:rFonts w:eastAsia="Calibri"/>
        </w:rPr>
        <w:t>, proportionally selecting 3</w:t>
      </w:r>
      <w:r w:rsidR="00F24281">
        <w:rPr>
          <w:rFonts w:eastAsia="Calibri"/>
        </w:rPr>
        <w:t>5</w:t>
      </w:r>
      <w:r w:rsidRPr="008D7A52">
        <w:rPr>
          <w:rFonts w:eastAsia="Calibri"/>
        </w:rPr>
        <w:t xml:space="preserve"> firms across these sectors. Selection criteria include market </w:t>
      </w:r>
      <w:r w:rsidR="006E1A27">
        <w:rPr>
          <w:rFonts w:eastAsia="Calibri"/>
        </w:rPr>
        <w:t>capitalisation</w:t>
      </w:r>
      <w:r w:rsidRPr="008D7A52">
        <w:rPr>
          <w:rFonts w:eastAsia="Calibri"/>
        </w:rPr>
        <w:t xml:space="preserve">, completeness of financial records, and continuous listing on the NGX as of December 2023. Firms with extensive financial disclosures, active trading status, and significant capital investments in sustainability initiatives are </w:t>
      </w:r>
      <w:r w:rsidR="000E77CD">
        <w:rPr>
          <w:rFonts w:eastAsia="Calibri"/>
        </w:rPr>
        <w:t>prioritised to enhance data availability and analytical rigour (See Appendix</w:t>
      </w:r>
      <w:r w:rsidR="004567D6">
        <w:rPr>
          <w:rFonts w:eastAsia="Calibri"/>
        </w:rPr>
        <w:t xml:space="preserve"> 1</w:t>
      </w:r>
      <w:r w:rsidR="00C01E86">
        <w:rPr>
          <w:rFonts w:eastAsia="Calibri"/>
        </w:rPr>
        <w:t xml:space="preserve">). </w:t>
      </w:r>
      <w:r w:rsidRPr="008D7A52">
        <w:rPr>
          <w:rFonts w:eastAsia="Calibri"/>
        </w:rPr>
        <w:t xml:space="preserve">The study covers </w:t>
      </w:r>
      <w:r w:rsidR="00BA4B28" w:rsidRPr="008D7A52">
        <w:rPr>
          <w:rFonts w:eastAsia="Calibri"/>
        </w:rPr>
        <w:t>10 years</w:t>
      </w:r>
      <w:r w:rsidRPr="008D7A52">
        <w:rPr>
          <w:rFonts w:eastAsia="Calibri"/>
        </w:rPr>
        <w:t xml:space="preserve"> (2014–2023) to capture long-term sustainability trends and their financial implications.</w:t>
      </w:r>
    </w:p>
    <w:p w14:paraId="12D05D8D" w14:textId="0E66106D" w:rsidR="009C64EE" w:rsidRDefault="009C64EE" w:rsidP="009C64EE">
      <w:pPr>
        <w:ind w:firstLine="720"/>
        <w:jc w:val="both"/>
        <w:rPr>
          <w:rFonts w:eastAsia="Calibri"/>
        </w:rPr>
      </w:pPr>
      <w:r w:rsidRPr="008D7A52">
        <w:rPr>
          <w:rFonts w:eastAsia="Calibri"/>
        </w:rPr>
        <w:t>To facilitate robust empirical analysis, the study relies on secondary data sources, drawing financial and sustainability information from annual reports, standalone sustainability reports, and corporate disclosures of the sampled firms. Key environmental sustainability investment variables include investment in renewable energy, environmental certification and compliance costs, pollution control expenditures, and green research and development spending, while market value added serves as the measure of value creation. The selection of 2014 as the base year is strategic, considering the significant economic and regulatory reforms in Nigeria that have influenced corporate sustainability practices and financial performance</w:t>
      </w:r>
      <w:r w:rsidR="00BA4B28" w:rsidRPr="008D7A52">
        <w:rPr>
          <w:rFonts w:eastAsia="Calibri"/>
        </w:rPr>
        <w:t xml:space="preserve"> </w:t>
      </w:r>
      <w:r w:rsidR="00BA4B28" w:rsidRPr="008D7A52">
        <w:t>(UNDP, 2022).</w:t>
      </w:r>
      <w:r w:rsidRPr="008D7A52">
        <w:rPr>
          <w:rFonts w:eastAsia="Calibri"/>
        </w:rPr>
        <w:t xml:space="preserve"> By employing a decade-long dataset, the study provides a comprehensive </w:t>
      </w:r>
      <w:r w:rsidRPr="008D7A52">
        <w:rPr>
          <w:rFonts w:eastAsia="Calibri"/>
        </w:rPr>
        <w:lastRenderedPageBreak/>
        <w:t>evaluation of the relationship between environmental sustainability investments and value creation in the Nigerian non-financial sector. For data analysis, the study employs descriptive statistics, correlation analysis and panel least</w:t>
      </w:r>
      <w:r w:rsidR="00BA4B28" w:rsidRPr="008D7A52">
        <w:rPr>
          <w:rFonts w:eastAsia="Calibri"/>
        </w:rPr>
        <w:t>-</w:t>
      </w:r>
      <w:r w:rsidRPr="008D7A52">
        <w:rPr>
          <w:rFonts w:eastAsia="Calibri"/>
        </w:rPr>
        <w:t>square regression.</w:t>
      </w:r>
    </w:p>
    <w:p w14:paraId="460A6E43" w14:textId="05FDCC51" w:rsidR="0072405E" w:rsidRPr="008D7A52" w:rsidRDefault="00D17296" w:rsidP="00D17296">
      <w:pPr>
        <w:ind w:firstLine="720"/>
        <w:jc w:val="both"/>
      </w:pPr>
      <w:r w:rsidRPr="008D7A52">
        <w:rPr>
          <w:rFonts w:eastAsia="Calibri"/>
        </w:rPr>
        <w:t xml:space="preserve"> </w:t>
      </w:r>
      <w:r w:rsidR="0072405E" w:rsidRPr="008D7A52">
        <w:t xml:space="preserve"> </w:t>
      </w:r>
    </w:p>
    <w:p w14:paraId="1934E306" w14:textId="430C6A1A" w:rsidR="0072405E" w:rsidRPr="008D7A52" w:rsidRDefault="0072405E" w:rsidP="0072405E">
      <w:pPr>
        <w:rPr>
          <w:b/>
          <w:bCs/>
        </w:rPr>
      </w:pPr>
      <w:r w:rsidRPr="008D7A52">
        <w:rPr>
          <w:b/>
          <w:bCs/>
        </w:rPr>
        <w:t xml:space="preserve">Table 1: </w:t>
      </w:r>
      <w:r w:rsidR="006159DC">
        <w:rPr>
          <w:b/>
          <w:bCs/>
        </w:rPr>
        <w:t xml:space="preserve">Sample </w:t>
      </w:r>
      <w:r w:rsidR="00CD7A86">
        <w:rPr>
          <w:b/>
          <w:bCs/>
        </w:rPr>
        <w:t>Size Determination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1890"/>
        <w:gridCol w:w="1980"/>
        <w:gridCol w:w="2160"/>
      </w:tblGrid>
      <w:tr w:rsidR="008D7A52" w:rsidRPr="008D7A52" w14:paraId="5BEA908D" w14:textId="77777777" w:rsidTr="008F6F0A">
        <w:tc>
          <w:tcPr>
            <w:tcW w:w="2965" w:type="dxa"/>
            <w:tcBorders>
              <w:bottom w:val="single" w:sz="4" w:space="0" w:color="auto"/>
            </w:tcBorders>
          </w:tcPr>
          <w:p w14:paraId="1CF61920" w14:textId="77777777" w:rsidR="0072405E" w:rsidRPr="008D7A52" w:rsidRDefault="0072405E" w:rsidP="008F6F0A">
            <w:pPr>
              <w:pStyle w:val="NoSpacing"/>
              <w:rPr>
                <w:rFonts w:ascii="Times New Roman" w:hAnsi="Times New Roman"/>
                <w:b/>
                <w:bCs/>
                <w:sz w:val="24"/>
                <w:szCs w:val="24"/>
                <w:lang w:val="en-GB"/>
              </w:rPr>
            </w:pPr>
            <w:r w:rsidRPr="008D7A52">
              <w:rPr>
                <w:rFonts w:ascii="Times New Roman" w:hAnsi="Times New Roman"/>
                <w:b/>
                <w:bCs/>
                <w:sz w:val="24"/>
                <w:szCs w:val="24"/>
                <w:lang w:val="en-GB"/>
              </w:rPr>
              <w:t>Classification of Firms</w:t>
            </w:r>
          </w:p>
        </w:tc>
        <w:tc>
          <w:tcPr>
            <w:tcW w:w="1890" w:type="dxa"/>
            <w:tcBorders>
              <w:bottom w:val="single" w:sz="4" w:space="0" w:color="auto"/>
            </w:tcBorders>
          </w:tcPr>
          <w:p w14:paraId="282EA017" w14:textId="77777777" w:rsidR="0072405E" w:rsidRPr="008D7A52" w:rsidRDefault="0072405E" w:rsidP="008F6F0A">
            <w:pPr>
              <w:pStyle w:val="NoSpacing"/>
              <w:rPr>
                <w:rFonts w:ascii="Times New Roman" w:hAnsi="Times New Roman"/>
                <w:b/>
                <w:bCs/>
                <w:sz w:val="24"/>
                <w:szCs w:val="24"/>
                <w:lang w:val="en-GB"/>
              </w:rPr>
            </w:pPr>
            <w:r w:rsidRPr="008D7A52">
              <w:rPr>
                <w:rFonts w:ascii="Times New Roman" w:hAnsi="Times New Roman"/>
                <w:b/>
                <w:lang w:val="en-GB"/>
              </w:rPr>
              <w:t>No of Companies</w:t>
            </w:r>
            <w:r w:rsidRPr="008D7A52">
              <w:rPr>
                <w:rFonts w:ascii="Times New Roman" w:hAnsi="Times New Roman"/>
                <w:b/>
                <w:bCs/>
                <w:sz w:val="24"/>
                <w:szCs w:val="24"/>
                <w:lang w:val="en-GB"/>
              </w:rPr>
              <w:t xml:space="preserve"> </w:t>
            </w:r>
          </w:p>
        </w:tc>
        <w:tc>
          <w:tcPr>
            <w:tcW w:w="1980" w:type="dxa"/>
            <w:tcBorders>
              <w:bottom w:val="single" w:sz="4" w:space="0" w:color="auto"/>
            </w:tcBorders>
          </w:tcPr>
          <w:p w14:paraId="1FC0666D" w14:textId="408D98CB" w:rsidR="0072405E" w:rsidRPr="008D7A52" w:rsidRDefault="005A2718" w:rsidP="008F6F0A">
            <w:pPr>
              <w:pStyle w:val="NoSpacing"/>
              <w:rPr>
                <w:rFonts w:ascii="Times New Roman" w:hAnsi="Times New Roman"/>
                <w:b/>
                <w:bCs/>
                <w:sz w:val="24"/>
                <w:szCs w:val="24"/>
                <w:lang w:val="en-GB"/>
              </w:rPr>
            </w:pPr>
            <w:r>
              <w:rPr>
                <w:rFonts w:ascii="Times New Roman" w:hAnsi="Times New Roman"/>
                <w:b/>
                <w:bCs/>
                <w:sz w:val="24"/>
                <w:szCs w:val="24"/>
                <w:lang w:val="en-GB"/>
              </w:rPr>
              <w:t xml:space="preserve">Companies </w:t>
            </w:r>
            <w:r w:rsidR="00C97982">
              <w:rPr>
                <w:rFonts w:ascii="Times New Roman" w:hAnsi="Times New Roman"/>
                <w:b/>
                <w:bCs/>
                <w:sz w:val="24"/>
                <w:szCs w:val="24"/>
                <w:lang w:val="en-GB"/>
              </w:rPr>
              <w:t>W</w:t>
            </w:r>
            <w:r>
              <w:rPr>
                <w:rFonts w:ascii="Times New Roman" w:hAnsi="Times New Roman"/>
                <w:b/>
                <w:bCs/>
                <w:sz w:val="24"/>
                <w:szCs w:val="24"/>
                <w:lang w:val="en-GB"/>
              </w:rPr>
              <w:t xml:space="preserve">ithout </w:t>
            </w:r>
            <w:r w:rsidR="00C97982">
              <w:rPr>
                <w:rFonts w:ascii="Times New Roman" w:hAnsi="Times New Roman"/>
                <w:b/>
                <w:bCs/>
                <w:sz w:val="24"/>
                <w:szCs w:val="24"/>
                <w:lang w:val="en-GB"/>
              </w:rPr>
              <w:t>F</w:t>
            </w:r>
            <w:r>
              <w:rPr>
                <w:rFonts w:ascii="Times New Roman" w:hAnsi="Times New Roman"/>
                <w:b/>
                <w:bCs/>
                <w:sz w:val="24"/>
                <w:szCs w:val="24"/>
                <w:lang w:val="en-GB"/>
              </w:rPr>
              <w:t xml:space="preserve">ull </w:t>
            </w:r>
            <w:r w:rsidR="00C97982">
              <w:rPr>
                <w:rFonts w:ascii="Times New Roman" w:hAnsi="Times New Roman"/>
                <w:b/>
                <w:bCs/>
                <w:sz w:val="24"/>
                <w:szCs w:val="24"/>
                <w:lang w:val="en-GB"/>
              </w:rPr>
              <w:t>C</w:t>
            </w:r>
            <w:r>
              <w:rPr>
                <w:rFonts w:ascii="Times New Roman" w:hAnsi="Times New Roman"/>
                <w:b/>
                <w:bCs/>
                <w:sz w:val="24"/>
                <w:szCs w:val="24"/>
                <w:lang w:val="en-GB"/>
              </w:rPr>
              <w:t xml:space="preserve">overage </w:t>
            </w:r>
            <w:r w:rsidR="00C97982">
              <w:rPr>
                <w:rFonts w:ascii="Times New Roman" w:hAnsi="Times New Roman"/>
                <w:b/>
                <w:bCs/>
                <w:sz w:val="24"/>
                <w:szCs w:val="24"/>
                <w:lang w:val="en-GB"/>
              </w:rPr>
              <w:t>from</w:t>
            </w:r>
            <w:r>
              <w:rPr>
                <w:rFonts w:ascii="Times New Roman" w:hAnsi="Times New Roman"/>
                <w:b/>
                <w:bCs/>
                <w:sz w:val="24"/>
                <w:szCs w:val="24"/>
                <w:lang w:val="en-GB"/>
              </w:rPr>
              <w:t xml:space="preserve"> </w:t>
            </w:r>
            <w:r w:rsidR="00C53C24">
              <w:rPr>
                <w:rFonts w:ascii="Times New Roman" w:hAnsi="Times New Roman"/>
                <w:b/>
                <w:bCs/>
                <w:sz w:val="24"/>
                <w:szCs w:val="24"/>
                <w:lang w:val="en-GB"/>
              </w:rPr>
              <w:t>2014 to 2023</w:t>
            </w:r>
          </w:p>
        </w:tc>
        <w:tc>
          <w:tcPr>
            <w:tcW w:w="2160" w:type="dxa"/>
            <w:tcBorders>
              <w:bottom w:val="single" w:sz="4" w:space="0" w:color="auto"/>
            </w:tcBorders>
          </w:tcPr>
          <w:p w14:paraId="332635CC" w14:textId="131FEF45" w:rsidR="0072405E" w:rsidRPr="008D7A52" w:rsidRDefault="0072405E" w:rsidP="008F6F0A">
            <w:pPr>
              <w:pStyle w:val="NoSpacing"/>
              <w:rPr>
                <w:rFonts w:ascii="Times New Roman" w:hAnsi="Times New Roman"/>
                <w:b/>
                <w:bCs/>
                <w:sz w:val="24"/>
                <w:szCs w:val="24"/>
                <w:lang w:val="en-GB"/>
              </w:rPr>
            </w:pPr>
            <w:r w:rsidRPr="008D7A52">
              <w:rPr>
                <w:rFonts w:ascii="Times New Roman" w:hAnsi="Times New Roman"/>
                <w:b/>
                <w:bCs/>
                <w:sz w:val="24"/>
                <w:szCs w:val="24"/>
                <w:lang w:val="en-GB"/>
              </w:rPr>
              <w:t xml:space="preserve">Sample size </w:t>
            </w:r>
          </w:p>
        </w:tc>
      </w:tr>
      <w:tr w:rsidR="008D7A52" w:rsidRPr="008D7A52" w14:paraId="5D65786D" w14:textId="77777777" w:rsidTr="008F6F0A">
        <w:tc>
          <w:tcPr>
            <w:tcW w:w="2965" w:type="dxa"/>
            <w:tcBorders>
              <w:top w:val="single" w:sz="4" w:space="0" w:color="auto"/>
              <w:bottom w:val="nil"/>
            </w:tcBorders>
          </w:tcPr>
          <w:p w14:paraId="50B848F7" w14:textId="77777777" w:rsidR="0072405E" w:rsidRPr="008D7A52" w:rsidRDefault="0072405E" w:rsidP="008F6F0A">
            <w:pPr>
              <w:pStyle w:val="NoSpacing"/>
              <w:rPr>
                <w:rFonts w:ascii="Times New Roman" w:hAnsi="Times New Roman"/>
                <w:sz w:val="24"/>
                <w:szCs w:val="24"/>
                <w:lang w:val="en-GB"/>
              </w:rPr>
            </w:pPr>
            <w:r w:rsidRPr="008D7A52">
              <w:rPr>
                <w:rFonts w:ascii="Times New Roman" w:hAnsi="Times New Roman"/>
                <w:sz w:val="24"/>
                <w:szCs w:val="24"/>
                <w:lang w:val="en-GB"/>
              </w:rPr>
              <w:t>Agriculture</w:t>
            </w:r>
          </w:p>
        </w:tc>
        <w:tc>
          <w:tcPr>
            <w:tcW w:w="1890" w:type="dxa"/>
            <w:tcBorders>
              <w:top w:val="single" w:sz="4" w:space="0" w:color="auto"/>
              <w:bottom w:val="nil"/>
            </w:tcBorders>
          </w:tcPr>
          <w:p w14:paraId="48D3FA1B"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5</w:t>
            </w:r>
          </w:p>
        </w:tc>
        <w:tc>
          <w:tcPr>
            <w:tcW w:w="1980" w:type="dxa"/>
            <w:tcBorders>
              <w:top w:val="single" w:sz="4" w:space="0" w:color="auto"/>
              <w:bottom w:val="nil"/>
            </w:tcBorders>
          </w:tcPr>
          <w:p w14:paraId="072EB780" w14:textId="41DA8AF8" w:rsidR="0072405E" w:rsidRPr="008D7A52" w:rsidRDefault="00C53C24" w:rsidP="008F6F0A">
            <w:pPr>
              <w:pStyle w:val="NoSpacing"/>
              <w:jc w:val="center"/>
              <w:rPr>
                <w:rFonts w:ascii="Times New Roman" w:hAnsi="Times New Roman"/>
                <w:sz w:val="24"/>
                <w:szCs w:val="24"/>
                <w:lang w:val="en-GB"/>
              </w:rPr>
            </w:pPr>
            <w:r>
              <w:rPr>
                <w:rFonts w:ascii="Times New Roman" w:hAnsi="Times New Roman"/>
                <w:sz w:val="24"/>
                <w:szCs w:val="24"/>
                <w:lang w:val="en-GB"/>
              </w:rPr>
              <w:t>3</w:t>
            </w:r>
          </w:p>
        </w:tc>
        <w:tc>
          <w:tcPr>
            <w:tcW w:w="2160" w:type="dxa"/>
            <w:tcBorders>
              <w:top w:val="single" w:sz="4" w:space="0" w:color="auto"/>
              <w:bottom w:val="nil"/>
            </w:tcBorders>
          </w:tcPr>
          <w:p w14:paraId="26426D3D" w14:textId="7958026A"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w:t>
            </w:r>
          </w:p>
        </w:tc>
      </w:tr>
      <w:tr w:rsidR="008D7A52" w:rsidRPr="008D7A52" w14:paraId="2E521E2E" w14:textId="77777777" w:rsidTr="008F6F0A">
        <w:tc>
          <w:tcPr>
            <w:tcW w:w="2965" w:type="dxa"/>
            <w:tcBorders>
              <w:top w:val="nil"/>
            </w:tcBorders>
          </w:tcPr>
          <w:p w14:paraId="18C9E171"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Conglomerates</w:t>
            </w:r>
          </w:p>
        </w:tc>
        <w:tc>
          <w:tcPr>
            <w:tcW w:w="1890" w:type="dxa"/>
            <w:tcBorders>
              <w:top w:val="nil"/>
            </w:tcBorders>
          </w:tcPr>
          <w:p w14:paraId="13DA587C"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6</w:t>
            </w:r>
          </w:p>
        </w:tc>
        <w:tc>
          <w:tcPr>
            <w:tcW w:w="1980" w:type="dxa"/>
            <w:tcBorders>
              <w:top w:val="nil"/>
            </w:tcBorders>
          </w:tcPr>
          <w:p w14:paraId="3A815BDF" w14:textId="14402D79" w:rsidR="0072405E" w:rsidRPr="008D7A52" w:rsidRDefault="00C53C24" w:rsidP="008F6F0A">
            <w:pPr>
              <w:pStyle w:val="NoSpacing"/>
              <w:jc w:val="center"/>
              <w:rPr>
                <w:rFonts w:ascii="Times New Roman" w:hAnsi="Times New Roman"/>
                <w:sz w:val="24"/>
                <w:szCs w:val="24"/>
                <w:lang w:val="en-GB"/>
              </w:rPr>
            </w:pPr>
            <w:r>
              <w:rPr>
                <w:rFonts w:ascii="Times New Roman" w:hAnsi="Times New Roman"/>
                <w:sz w:val="24"/>
                <w:szCs w:val="24"/>
                <w:lang w:val="en-GB"/>
              </w:rPr>
              <w:t>4</w:t>
            </w:r>
          </w:p>
        </w:tc>
        <w:tc>
          <w:tcPr>
            <w:tcW w:w="2160" w:type="dxa"/>
            <w:tcBorders>
              <w:top w:val="nil"/>
            </w:tcBorders>
          </w:tcPr>
          <w:p w14:paraId="0FAE5727" w14:textId="788CC8E7"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w:t>
            </w:r>
          </w:p>
        </w:tc>
      </w:tr>
      <w:tr w:rsidR="008D7A52" w:rsidRPr="008D7A52" w14:paraId="47CD5F55" w14:textId="77777777" w:rsidTr="008F6F0A">
        <w:tc>
          <w:tcPr>
            <w:tcW w:w="2965" w:type="dxa"/>
          </w:tcPr>
          <w:p w14:paraId="1F5C883B"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Construction/ Real estate</w:t>
            </w:r>
          </w:p>
        </w:tc>
        <w:tc>
          <w:tcPr>
            <w:tcW w:w="1890" w:type="dxa"/>
          </w:tcPr>
          <w:p w14:paraId="3BE2F7C8"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9</w:t>
            </w:r>
          </w:p>
        </w:tc>
        <w:tc>
          <w:tcPr>
            <w:tcW w:w="1980" w:type="dxa"/>
          </w:tcPr>
          <w:p w14:paraId="0D487DEA" w14:textId="4448EE1E"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6</w:t>
            </w:r>
          </w:p>
        </w:tc>
        <w:tc>
          <w:tcPr>
            <w:tcW w:w="2160" w:type="dxa"/>
          </w:tcPr>
          <w:p w14:paraId="31132DB6" w14:textId="59F7911C"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3</w:t>
            </w:r>
          </w:p>
        </w:tc>
      </w:tr>
      <w:tr w:rsidR="008D7A52" w:rsidRPr="008D7A52" w14:paraId="6E5179D1" w14:textId="77777777" w:rsidTr="008F6F0A">
        <w:tc>
          <w:tcPr>
            <w:tcW w:w="2965" w:type="dxa"/>
          </w:tcPr>
          <w:p w14:paraId="2CCF0CE8"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Consumer goods</w:t>
            </w:r>
          </w:p>
        </w:tc>
        <w:tc>
          <w:tcPr>
            <w:tcW w:w="1890" w:type="dxa"/>
          </w:tcPr>
          <w:p w14:paraId="1E2EEFA2"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21</w:t>
            </w:r>
          </w:p>
        </w:tc>
        <w:tc>
          <w:tcPr>
            <w:tcW w:w="1980" w:type="dxa"/>
          </w:tcPr>
          <w:p w14:paraId="09ABDB0B" w14:textId="0586FD2D"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14</w:t>
            </w:r>
          </w:p>
        </w:tc>
        <w:tc>
          <w:tcPr>
            <w:tcW w:w="2160" w:type="dxa"/>
          </w:tcPr>
          <w:p w14:paraId="20FEE986" w14:textId="126B8322"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7</w:t>
            </w:r>
          </w:p>
        </w:tc>
      </w:tr>
      <w:tr w:rsidR="008D7A52" w:rsidRPr="008D7A52" w14:paraId="72E5DE6D" w14:textId="77777777" w:rsidTr="008F6F0A">
        <w:tc>
          <w:tcPr>
            <w:tcW w:w="2965" w:type="dxa"/>
          </w:tcPr>
          <w:p w14:paraId="46BB3359"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Healthcare</w:t>
            </w:r>
          </w:p>
        </w:tc>
        <w:tc>
          <w:tcPr>
            <w:tcW w:w="1890" w:type="dxa"/>
          </w:tcPr>
          <w:p w14:paraId="16ADB0E1"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7</w:t>
            </w:r>
          </w:p>
        </w:tc>
        <w:tc>
          <w:tcPr>
            <w:tcW w:w="1980" w:type="dxa"/>
          </w:tcPr>
          <w:p w14:paraId="20676F86" w14:textId="64BB7539"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5</w:t>
            </w:r>
          </w:p>
        </w:tc>
        <w:tc>
          <w:tcPr>
            <w:tcW w:w="2160" w:type="dxa"/>
          </w:tcPr>
          <w:p w14:paraId="3B2E1B9B"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w:t>
            </w:r>
          </w:p>
        </w:tc>
      </w:tr>
      <w:tr w:rsidR="008D7A52" w:rsidRPr="008D7A52" w14:paraId="393B6A2C" w14:textId="77777777" w:rsidTr="008F6F0A">
        <w:tc>
          <w:tcPr>
            <w:tcW w:w="2965" w:type="dxa"/>
          </w:tcPr>
          <w:p w14:paraId="7792E29F"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ICT</w:t>
            </w:r>
          </w:p>
        </w:tc>
        <w:tc>
          <w:tcPr>
            <w:tcW w:w="1890" w:type="dxa"/>
          </w:tcPr>
          <w:p w14:paraId="590CE4AC"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8</w:t>
            </w:r>
          </w:p>
        </w:tc>
        <w:tc>
          <w:tcPr>
            <w:tcW w:w="1980" w:type="dxa"/>
          </w:tcPr>
          <w:p w14:paraId="5EAD7E83" w14:textId="5480278E"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5</w:t>
            </w:r>
          </w:p>
        </w:tc>
        <w:tc>
          <w:tcPr>
            <w:tcW w:w="2160" w:type="dxa"/>
          </w:tcPr>
          <w:p w14:paraId="40DB543C" w14:textId="28FD0425"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3</w:t>
            </w:r>
          </w:p>
        </w:tc>
      </w:tr>
      <w:tr w:rsidR="008D7A52" w:rsidRPr="008D7A52" w14:paraId="79E432D4" w14:textId="77777777" w:rsidTr="008F6F0A">
        <w:tc>
          <w:tcPr>
            <w:tcW w:w="2965" w:type="dxa"/>
          </w:tcPr>
          <w:p w14:paraId="3764F4CC"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Industrial goods</w:t>
            </w:r>
          </w:p>
        </w:tc>
        <w:tc>
          <w:tcPr>
            <w:tcW w:w="1890" w:type="dxa"/>
          </w:tcPr>
          <w:p w14:paraId="371015A5"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13</w:t>
            </w:r>
          </w:p>
        </w:tc>
        <w:tc>
          <w:tcPr>
            <w:tcW w:w="1980" w:type="dxa"/>
          </w:tcPr>
          <w:p w14:paraId="7F1B251E" w14:textId="4D09114C"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9</w:t>
            </w:r>
          </w:p>
        </w:tc>
        <w:tc>
          <w:tcPr>
            <w:tcW w:w="2160" w:type="dxa"/>
          </w:tcPr>
          <w:p w14:paraId="4F6BE95B" w14:textId="1FE52D69"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4</w:t>
            </w:r>
          </w:p>
        </w:tc>
      </w:tr>
      <w:tr w:rsidR="008D7A52" w:rsidRPr="008D7A52" w14:paraId="190F4FCB" w14:textId="77777777" w:rsidTr="008F6F0A">
        <w:tc>
          <w:tcPr>
            <w:tcW w:w="2965" w:type="dxa"/>
          </w:tcPr>
          <w:p w14:paraId="427EE900"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Natural resources</w:t>
            </w:r>
          </w:p>
        </w:tc>
        <w:tc>
          <w:tcPr>
            <w:tcW w:w="1890" w:type="dxa"/>
          </w:tcPr>
          <w:p w14:paraId="19BD73C1"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4</w:t>
            </w:r>
          </w:p>
        </w:tc>
        <w:tc>
          <w:tcPr>
            <w:tcW w:w="1980" w:type="dxa"/>
          </w:tcPr>
          <w:p w14:paraId="140E62EC" w14:textId="790D86EC"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2</w:t>
            </w:r>
          </w:p>
        </w:tc>
        <w:tc>
          <w:tcPr>
            <w:tcW w:w="2160" w:type="dxa"/>
          </w:tcPr>
          <w:p w14:paraId="06F5A6DE" w14:textId="47687C43"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w:t>
            </w:r>
          </w:p>
        </w:tc>
      </w:tr>
      <w:tr w:rsidR="008D7A52" w:rsidRPr="008D7A52" w14:paraId="69D3EB57" w14:textId="77777777" w:rsidTr="008F6F0A">
        <w:tc>
          <w:tcPr>
            <w:tcW w:w="2965" w:type="dxa"/>
          </w:tcPr>
          <w:p w14:paraId="7B74DA9C" w14:textId="77777777" w:rsidR="0072405E" w:rsidRPr="00BA5527" w:rsidRDefault="0072405E" w:rsidP="008F6F0A">
            <w:pPr>
              <w:pStyle w:val="NoSpacing"/>
              <w:rPr>
                <w:rFonts w:ascii="Times New Roman" w:hAnsi="Times New Roman"/>
                <w:color w:val="000000" w:themeColor="text1"/>
                <w:sz w:val="24"/>
                <w:szCs w:val="24"/>
                <w:lang w:val="en-GB"/>
              </w:rPr>
            </w:pPr>
            <w:r w:rsidRPr="00BA5527">
              <w:rPr>
                <w:rFonts w:ascii="Times New Roman" w:hAnsi="Times New Roman"/>
                <w:color w:val="000000" w:themeColor="text1"/>
                <w:sz w:val="24"/>
                <w:szCs w:val="24"/>
                <w:lang w:val="en-GB"/>
              </w:rPr>
              <w:t>Oil and gas</w:t>
            </w:r>
          </w:p>
        </w:tc>
        <w:tc>
          <w:tcPr>
            <w:tcW w:w="1890" w:type="dxa"/>
          </w:tcPr>
          <w:p w14:paraId="4CF397E5"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9</w:t>
            </w:r>
          </w:p>
        </w:tc>
        <w:tc>
          <w:tcPr>
            <w:tcW w:w="1980" w:type="dxa"/>
          </w:tcPr>
          <w:p w14:paraId="38170488" w14:textId="3553E978" w:rsidR="0072405E" w:rsidRPr="008D7A52" w:rsidRDefault="00BD5762" w:rsidP="008F6F0A">
            <w:pPr>
              <w:pStyle w:val="NoSpacing"/>
              <w:jc w:val="center"/>
              <w:rPr>
                <w:rFonts w:ascii="Times New Roman" w:hAnsi="Times New Roman"/>
                <w:sz w:val="24"/>
                <w:szCs w:val="24"/>
                <w:lang w:val="en-GB"/>
              </w:rPr>
            </w:pPr>
            <w:r>
              <w:rPr>
                <w:rFonts w:ascii="Times New Roman" w:hAnsi="Times New Roman"/>
                <w:sz w:val="24"/>
                <w:szCs w:val="24"/>
                <w:lang w:val="en-GB"/>
              </w:rPr>
              <w:t>6</w:t>
            </w:r>
          </w:p>
        </w:tc>
        <w:tc>
          <w:tcPr>
            <w:tcW w:w="2160" w:type="dxa"/>
          </w:tcPr>
          <w:p w14:paraId="6615B52A" w14:textId="014C7D33" w:rsidR="0072405E" w:rsidRPr="008D7A52" w:rsidRDefault="003930A4"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3</w:t>
            </w:r>
          </w:p>
        </w:tc>
      </w:tr>
      <w:tr w:rsidR="008D7A52" w:rsidRPr="008D7A52" w14:paraId="00E919E7" w14:textId="77777777" w:rsidTr="008F6F0A">
        <w:tc>
          <w:tcPr>
            <w:tcW w:w="2965" w:type="dxa"/>
          </w:tcPr>
          <w:p w14:paraId="01F855B5" w14:textId="77777777" w:rsidR="0072405E" w:rsidRPr="008D7A52" w:rsidRDefault="0072405E" w:rsidP="008F6F0A">
            <w:pPr>
              <w:pStyle w:val="NoSpacing"/>
              <w:rPr>
                <w:rFonts w:ascii="Times New Roman" w:hAnsi="Times New Roman"/>
                <w:sz w:val="24"/>
                <w:szCs w:val="24"/>
                <w:lang w:val="en-GB"/>
              </w:rPr>
            </w:pPr>
            <w:r w:rsidRPr="008D7A52">
              <w:rPr>
                <w:rFonts w:ascii="Times New Roman" w:hAnsi="Times New Roman"/>
                <w:sz w:val="24"/>
                <w:szCs w:val="24"/>
                <w:lang w:val="en-GB"/>
              </w:rPr>
              <w:t>Services</w:t>
            </w:r>
          </w:p>
        </w:tc>
        <w:tc>
          <w:tcPr>
            <w:tcW w:w="1890" w:type="dxa"/>
          </w:tcPr>
          <w:p w14:paraId="2EFC9FDA" w14:textId="77777777" w:rsidR="0072405E" w:rsidRPr="008D7A52" w:rsidRDefault="0072405E" w:rsidP="008F6F0A">
            <w:pPr>
              <w:pStyle w:val="NoSpacing"/>
              <w:jc w:val="center"/>
              <w:rPr>
                <w:rFonts w:ascii="Times New Roman" w:hAnsi="Times New Roman"/>
                <w:sz w:val="24"/>
                <w:szCs w:val="24"/>
                <w:lang w:val="en-GB"/>
              </w:rPr>
            </w:pPr>
            <w:r w:rsidRPr="008D7A52">
              <w:rPr>
                <w:rFonts w:ascii="Times New Roman" w:hAnsi="Times New Roman"/>
                <w:sz w:val="24"/>
                <w:szCs w:val="24"/>
                <w:lang w:val="en-GB"/>
              </w:rPr>
              <w:t>22</w:t>
            </w:r>
          </w:p>
        </w:tc>
        <w:tc>
          <w:tcPr>
            <w:tcW w:w="1980" w:type="dxa"/>
          </w:tcPr>
          <w:p w14:paraId="2C8D3049" w14:textId="20D4D40E" w:rsidR="0072405E" w:rsidRPr="008D7A52" w:rsidRDefault="00A01AC2" w:rsidP="008F6F0A">
            <w:pPr>
              <w:pStyle w:val="NoSpacing"/>
              <w:jc w:val="center"/>
              <w:rPr>
                <w:rFonts w:ascii="Times New Roman" w:hAnsi="Times New Roman"/>
                <w:sz w:val="24"/>
                <w:szCs w:val="24"/>
                <w:lang w:val="en-GB"/>
              </w:rPr>
            </w:pPr>
            <w:r>
              <w:rPr>
                <w:rFonts w:ascii="Times New Roman" w:hAnsi="Times New Roman"/>
                <w:sz w:val="24"/>
                <w:szCs w:val="24"/>
                <w:lang w:val="en-GB"/>
              </w:rPr>
              <w:t>15</w:t>
            </w:r>
          </w:p>
        </w:tc>
        <w:tc>
          <w:tcPr>
            <w:tcW w:w="2160" w:type="dxa"/>
          </w:tcPr>
          <w:p w14:paraId="3F8232F1" w14:textId="0419EF30" w:rsidR="0072405E" w:rsidRPr="008D7A52" w:rsidRDefault="00A4307F" w:rsidP="008F6F0A">
            <w:pPr>
              <w:pStyle w:val="NoSpacing"/>
              <w:jc w:val="center"/>
              <w:rPr>
                <w:rFonts w:ascii="Times New Roman" w:hAnsi="Times New Roman"/>
                <w:sz w:val="24"/>
                <w:szCs w:val="24"/>
                <w:lang w:val="en-GB"/>
              </w:rPr>
            </w:pPr>
            <w:r>
              <w:rPr>
                <w:rFonts w:ascii="Times New Roman" w:hAnsi="Times New Roman"/>
                <w:sz w:val="24"/>
                <w:szCs w:val="24"/>
                <w:lang w:val="en-GB"/>
              </w:rPr>
              <w:t>7</w:t>
            </w:r>
          </w:p>
        </w:tc>
      </w:tr>
      <w:tr w:rsidR="008D7A52" w:rsidRPr="008D7A52" w14:paraId="56F51A17" w14:textId="77777777" w:rsidTr="009816EA">
        <w:trPr>
          <w:trHeight w:val="60"/>
        </w:trPr>
        <w:tc>
          <w:tcPr>
            <w:tcW w:w="2965" w:type="dxa"/>
          </w:tcPr>
          <w:p w14:paraId="099357F0" w14:textId="77777777" w:rsidR="0072405E" w:rsidRPr="008D7A52" w:rsidRDefault="0072405E" w:rsidP="008F6F0A">
            <w:pPr>
              <w:pStyle w:val="NoSpacing"/>
              <w:rPr>
                <w:rFonts w:ascii="Times New Roman" w:hAnsi="Times New Roman"/>
                <w:b/>
                <w:bCs/>
                <w:sz w:val="24"/>
                <w:szCs w:val="24"/>
                <w:lang w:val="en-GB"/>
              </w:rPr>
            </w:pPr>
            <w:r w:rsidRPr="008D7A52">
              <w:rPr>
                <w:rFonts w:ascii="Times New Roman" w:hAnsi="Times New Roman"/>
                <w:b/>
                <w:bCs/>
                <w:sz w:val="24"/>
                <w:szCs w:val="24"/>
                <w:lang w:val="en-GB"/>
              </w:rPr>
              <w:t>TOTAL</w:t>
            </w:r>
          </w:p>
        </w:tc>
        <w:tc>
          <w:tcPr>
            <w:tcW w:w="1890" w:type="dxa"/>
          </w:tcPr>
          <w:p w14:paraId="74A13B52" w14:textId="77777777" w:rsidR="0072405E" w:rsidRPr="008D7A52" w:rsidRDefault="0072405E" w:rsidP="008F6F0A">
            <w:pPr>
              <w:pStyle w:val="NoSpacing"/>
              <w:jc w:val="center"/>
              <w:rPr>
                <w:rFonts w:ascii="Times New Roman" w:hAnsi="Times New Roman"/>
                <w:b/>
                <w:bCs/>
                <w:sz w:val="24"/>
                <w:szCs w:val="24"/>
                <w:lang w:val="en-GB"/>
              </w:rPr>
            </w:pPr>
            <w:r w:rsidRPr="008D7A52">
              <w:rPr>
                <w:rFonts w:ascii="Times New Roman" w:hAnsi="Times New Roman"/>
                <w:b/>
                <w:bCs/>
                <w:sz w:val="24"/>
                <w:szCs w:val="24"/>
                <w:lang w:val="en-GB"/>
              </w:rPr>
              <w:t>104</w:t>
            </w:r>
          </w:p>
        </w:tc>
        <w:tc>
          <w:tcPr>
            <w:tcW w:w="1980" w:type="dxa"/>
          </w:tcPr>
          <w:p w14:paraId="686DB9C7" w14:textId="3D44FD9F" w:rsidR="0072405E" w:rsidRPr="008D7A52" w:rsidRDefault="00F534B4" w:rsidP="008F6F0A">
            <w:pPr>
              <w:pStyle w:val="NoSpacing"/>
              <w:jc w:val="center"/>
              <w:rPr>
                <w:rFonts w:ascii="Times New Roman" w:hAnsi="Times New Roman"/>
                <w:b/>
                <w:bCs/>
                <w:sz w:val="24"/>
                <w:szCs w:val="24"/>
                <w:lang w:val="en-GB"/>
              </w:rPr>
            </w:pPr>
            <w:r>
              <w:rPr>
                <w:rFonts w:ascii="Times New Roman" w:hAnsi="Times New Roman"/>
                <w:b/>
                <w:bCs/>
                <w:sz w:val="24"/>
                <w:szCs w:val="24"/>
                <w:lang w:val="en-GB"/>
              </w:rPr>
              <w:t>69</w:t>
            </w:r>
          </w:p>
        </w:tc>
        <w:tc>
          <w:tcPr>
            <w:tcW w:w="2160" w:type="dxa"/>
          </w:tcPr>
          <w:p w14:paraId="547CE8A0" w14:textId="4940E02F" w:rsidR="0072405E" w:rsidRPr="008D7A52" w:rsidRDefault="0072405E" w:rsidP="008F6F0A">
            <w:pPr>
              <w:pStyle w:val="NoSpacing"/>
              <w:jc w:val="center"/>
              <w:rPr>
                <w:rFonts w:ascii="Times New Roman" w:hAnsi="Times New Roman"/>
                <w:b/>
                <w:bCs/>
                <w:sz w:val="24"/>
                <w:szCs w:val="24"/>
                <w:lang w:val="en-GB"/>
              </w:rPr>
            </w:pPr>
            <w:r w:rsidRPr="008D7A52">
              <w:rPr>
                <w:rFonts w:ascii="Times New Roman" w:hAnsi="Times New Roman"/>
                <w:b/>
                <w:bCs/>
                <w:sz w:val="24"/>
                <w:szCs w:val="24"/>
                <w:lang w:val="en-GB"/>
              </w:rPr>
              <w:t>3</w:t>
            </w:r>
            <w:r w:rsidR="009574B0">
              <w:rPr>
                <w:rFonts w:ascii="Times New Roman" w:hAnsi="Times New Roman"/>
                <w:b/>
                <w:bCs/>
                <w:sz w:val="24"/>
                <w:szCs w:val="24"/>
                <w:lang w:val="en-GB"/>
              </w:rPr>
              <w:t>5</w:t>
            </w:r>
          </w:p>
        </w:tc>
      </w:tr>
    </w:tbl>
    <w:p w14:paraId="13F6C7A3" w14:textId="63CF4ED7" w:rsidR="0072405E" w:rsidRPr="008D7A52" w:rsidRDefault="0072405E" w:rsidP="0072405E">
      <w:pPr>
        <w:rPr>
          <w:b/>
          <w:bCs/>
        </w:rPr>
      </w:pPr>
      <w:r w:rsidRPr="008D7A52">
        <w:rPr>
          <w:b/>
          <w:bCs/>
        </w:rPr>
        <w:t xml:space="preserve">Source: </w:t>
      </w:r>
      <w:r w:rsidR="00F2728D">
        <w:rPr>
          <w:b/>
          <w:bCs/>
        </w:rPr>
        <w:t>Culled from Nigeria Exchange Group Website</w:t>
      </w:r>
      <w:r w:rsidRPr="008D7A52">
        <w:rPr>
          <w:b/>
          <w:bCs/>
        </w:rPr>
        <w:t xml:space="preserve"> (2025).</w:t>
      </w:r>
    </w:p>
    <w:p w14:paraId="4773F2D7" w14:textId="7D55858A" w:rsidR="0083627D" w:rsidRPr="008D7A52" w:rsidRDefault="0083627D" w:rsidP="0072405E">
      <w:pPr>
        <w:pStyle w:val="NoSpacing"/>
        <w:jc w:val="both"/>
        <w:rPr>
          <w:rFonts w:ascii="Times New Roman" w:hAnsi="Times New Roman"/>
          <w:sz w:val="24"/>
          <w:szCs w:val="24"/>
          <w:lang w:val="en-GB"/>
        </w:rPr>
      </w:pPr>
    </w:p>
    <w:p w14:paraId="62B0AD92" w14:textId="77777777" w:rsidR="00AB0F9F" w:rsidRPr="008D7A52" w:rsidRDefault="00AB0F9F" w:rsidP="00AB0F9F">
      <w:pPr>
        <w:pStyle w:val="Default"/>
        <w:spacing w:line="360" w:lineRule="auto"/>
        <w:jc w:val="both"/>
        <w:rPr>
          <w:rFonts w:ascii="Times New Roman" w:hAnsi="Times New Roman" w:cs="Times New Roman"/>
          <w:b/>
          <w:color w:val="auto"/>
          <w:lang w:val="en-GB"/>
        </w:rPr>
      </w:pPr>
      <w:r w:rsidRPr="008D7A52">
        <w:rPr>
          <w:rFonts w:ascii="Times New Roman" w:hAnsi="Times New Roman" w:cs="Times New Roman"/>
          <w:b/>
          <w:color w:val="auto"/>
          <w:lang w:val="en-GB"/>
        </w:rPr>
        <w:t>3.1.</w:t>
      </w:r>
      <w:r w:rsidRPr="008D7A52">
        <w:rPr>
          <w:rFonts w:ascii="Times New Roman" w:hAnsi="Times New Roman" w:cs="Times New Roman"/>
          <w:b/>
          <w:color w:val="auto"/>
          <w:sz w:val="22"/>
          <w:szCs w:val="22"/>
          <w:lang w:val="en-GB"/>
        </w:rPr>
        <w:tab/>
      </w:r>
      <w:r w:rsidRPr="008D7A52">
        <w:rPr>
          <w:rFonts w:ascii="Times New Roman" w:hAnsi="Times New Roman" w:cs="Times New Roman"/>
          <w:b/>
          <w:color w:val="auto"/>
          <w:lang w:val="en-GB"/>
        </w:rPr>
        <w:t xml:space="preserve">Model Specification </w:t>
      </w:r>
    </w:p>
    <w:p w14:paraId="4C707EE7" w14:textId="45C32789" w:rsidR="004000ED" w:rsidRPr="008D7A52" w:rsidRDefault="004000ED" w:rsidP="00AB0F9F">
      <w:pPr>
        <w:ind w:firstLine="720"/>
        <w:jc w:val="both"/>
      </w:pPr>
      <w:r w:rsidRPr="008D7A52">
        <w:t>To measure the effect of environmental sustainability investment on value creation, this study adopts an econometric model adapted from Munyua and Mwangi (2024). The model, originally developed to explore the relationship between environmental sustainability investment and value creation in Ugandan firms, has been modified to suit the context of Nigerian non-financial firms.</w:t>
      </w:r>
    </w:p>
    <w:p w14:paraId="68DBC8FD" w14:textId="77777777" w:rsidR="00B43044" w:rsidRPr="008D7A52" w:rsidRDefault="00B43044" w:rsidP="00AB0F9F">
      <w:pPr>
        <w:ind w:firstLine="720"/>
        <w:jc w:val="both"/>
      </w:pPr>
    </w:p>
    <w:p w14:paraId="2298D9B5" w14:textId="7ECBBB42" w:rsidR="00AB0F9F" w:rsidRPr="008D7A52" w:rsidRDefault="004000ED" w:rsidP="00AB0F9F">
      <w:pPr>
        <w:ind w:firstLine="720"/>
        <w:jc w:val="both"/>
      </w:pPr>
      <w:r w:rsidRPr="008D7A52">
        <w:t>The model was simplified into a linear form as follows:</w:t>
      </w:r>
    </w:p>
    <w:p w14:paraId="0BDC496F" w14:textId="77777777" w:rsidR="004000ED" w:rsidRPr="008D7A52" w:rsidRDefault="004000ED" w:rsidP="00AB0F9F">
      <w:pPr>
        <w:ind w:firstLine="720"/>
        <w:jc w:val="both"/>
      </w:pPr>
    </w:p>
    <w:p w14:paraId="5CE4BD48" w14:textId="5E627C49" w:rsidR="00AB0F9F" w:rsidRPr="008D7A52" w:rsidRDefault="00B26906" w:rsidP="00AB0F9F">
      <w:pPr>
        <w:rPr>
          <w:vertAlign w:val="subscript"/>
        </w:rPr>
      </w:pPr>
      <w:proofErr w:type="spellStart"/>
      <w:r w:rsidRPr="008D7A52">
        <w:t>VC</w:t>
      </w:r>
      <w:r w:rsidR="00AB0F9F" w:rsidRPr="008D7A52">
        <w:rPr>
          <w:vertAlign w:val="subscript"/>
        </w:rPr>
        <w:t>it</w:t>
      </w:r>
      <w:proofErr w:type="spellEnd"/>
      <w:r w:rsidR="00AB0F9F" w:rsidRPr="008D7A52">
        <w:t xml:space="preserve"> = β</w:t>
      </w:r>
      <w:r w:rsidR="00AB0F9F" w:rsidRPr="008D7A52">
        <w:rPr>
          <w:vertAlign w:val="subscript"/>
        </w:rPr>
        <w:t>0</w:t>
      </w:r>
      <w:r w:rsidR="00AB0F9F" w:rsidRPr="008D7A52">
        <w:t xml:space="preserve"> + β</w:t>
      </w:r>
      <w:r w:rsidR="00AB0F9F" w:rsidRPr="008D7A52">
        <w:rPr>
          <w:vertAlign w:val="subscript"/>
        </w:rPr>
        <w:t>1</w:t>
      </w:r>
      <w:r w:rsidR="00B96247" w:rsidRPr="008D7A52">
        <w:t>INRE</w:t>
      </w:r>
      <w:r w:rsidR="00AB0F9F" w:rsidRPr="008D7A52">
        <w:rPr>
          <w:vertAlign w:val="subscript"/>
        </w:rPr>
        <w:t>it</w:t>
      </w:r>
      <w:r w:rsidR="00AB0F9F" w:rsidRPr="008D7A52">
        <w:t xml:space="preserve"> + β</w:t>
      </w:r>
      <w:r w:rsidR="00AB0F9F" w:rsidRPr="008D7A52">
        <w:rPr>
          <w:vertAlign w:val="subscript"/>
        </w:rPr>
        <w:t>2</w:t>
      </w:r>
      <w:r w:rsidR="00B96247" w:rsidRPr="008D7A52">
        <w:t>EXPC</w:t>
      </w:r>
      <w:r w:rsidR="00AB0F9F" w:rsidRPr="008D7A52">
        <w:rPr>
          <w:vertAlign w:val="subscript"/>
        </w:rPr>
        <w:t>it</w:t>
      </w:r>
      <w:r w:rsidR="00AB0F9F" w:rsidRPr="008D7A52">
        <w:t xml:space="preserve"> + </w:t>
      </w:r>
      <w:proofErr w:type="spellStart"/>
      <w:r w:rsidRPr="008D7A52">
        <w:t>Ɛ</w:t>
      </w:r>
      <w:r w:rsidR="00AB0F9F" w:rsidRPr="008D7A52">
        <w:rPr>
          <w:vertAlign w:val="subscript"/>
        </w:rPr>
        <w:t>it</w:t>
      </w:r>
      <w:proofErr w:type="spellEnd"/>
    </w:p>
    <w:p w14:paraId="4E3E6CC4" w14:textId="77777777" w:rsidR="00AB0F9F" w:rsidRPr="008D7A52" w:rsidRDefault="00AB0F9F" w:rsidP="00AB0F9F"/>
    <w:p w14:paraId="4BDF6D79" w14:textId="77777777" w:rsidR="00AB0F9F" w:rsidRPr="008D7A52" w:rsidRDefault="00AB0F9F" w:rsidP="00AB0F9F">
      <w:r w:rsidRPr="008D7A52">
        <w:t xml:space="preserve">Where: </w:t>
      </w:r>
    </w:p>
    <w:p w14:paraId="6A1DCA8D" w14:textId="0304FC9D" w:rsidR="00AB0F9F" w:rsidRPr="008D7A52" w:rsidRDefault="00B26906" w:rsidP="00AB0F9F">
      <w:r w:rsidRPr="008D7A52">
        <w:t>VC</w:t>
      </w:r>
      <w:r w:rsidR="00AB0F9F" w:rsidRPr="008D7A52">
        <w:t xml:space="preserve"> = </w:t>
      </w:r>
      <w:r w:rsidRPr="008D7A52">
        <w:t>Value Creation</w:t>
      </w:r>
      <w:r w:rsidR="00AB0F9F" w:rsidRPr="008D7A52">
        <w:t xml:space="preserve">; </w:t>
      </w:r>
      <w:r w:rsidR="00B96247" w:rsidRPr="008D7A52">
        <w:t>INRE</w:t>
      </w:r>
      <w:r w:rsidR="00AB0F9F" w:rsidRPr="008D7A52">
        <w:t>=</w:t>
      </w:r>
      <w:r w:rsidR="00B96247" w:rsidRPr="008D7A52">
        <w:t xml:space="preserve"> Investment in Renewable Energy</w:t>
      </w:r>
      <w:r w:rsidR="00AB0F9F" w:rsidRPr="008D7A52">
        <w:t xml:space="preserve">; </w:t>
      </w:r>
      <w:r w:rsidR="00B96247" w:rsidRPr="008D7A52">
        <w:t>EXPC</w:t>
      </w:r>
      <w:r w:rsidR="003C446A" w:rsidRPr="008D7A52">
        <w:t xml:space="preserve"> </w:t>
      </w:r>
      <w:r w:rsidR="00AB0F9F" w:rsidRPr="008D7A52">
        <w:t xml:space="preserve">= </w:t>
      </w:r>
      <w:r w:rsidR="00B96247" w:rsidRPr="008D7A52">
        <w:t>Expenditure on</w:t>
      </w:r>
      <w:r w:rsidR="003C446A" w:rsidRPr="008D7A52">
        <w:t xml:space="preserve"> </w:t>
      </w:r>
      <w:r w:rsidR="00B96247" w:rsidRPr="008D7A52">
        <w:t>Pollution Control</w:t>
      </w:r>
    </w:p>
    <w:p w14:paraId="66DBB848" w14:textId="5D87FA8F" w:rsidR="003C446A" w:rsidRPr="008D7A52" w:rsidRDefault="00920E96" w:rsidP="003C446A">
      <w:pPr>
        <w:ind w:firstLine="720"/>
        <w:jc w:val="both"/>
        <w:rPr>
          <w:sz w:val="10"/>
          <w:szCs w:val="10"/>
        </w:rPr>
      </w:pPr>
      <w:r w:rsidRPr="008D7A52">
        <w:rPr>
          <w:sz w:val="10"/>
          <w:szCs w:val="10"/>
        </w:rPr>
        <w:t>,</w:t>
      </w:r>
    </w:p>
    <w:p w14:paraId="4567A485" w14:textId="28CE13BD" w:rsidR="001471D8" w:rsidRPr="008D7A52" w:rsidRDefault="001471D8" w:rsidP="003C446A">
      <w:pPr>
        <w:ind w:firstLine="720"/>
        <w:jc w:val="both"/>
      </w:pPr>
      <w:r w:rsidRPr="008D7A52">
        <w:t xml:space="preserve">This study will refine the model by substituting Market Value Added (MVA) for value creation as the dependent variable, while replacing Investment in Renewable Energy (INRE), </w:t>
      </w:r>
      <w:r w:rsidR="00C97781" w:rsidRPr="008D7A52">
        <w:t>Expenditure on Pollution Control (EXPC),</w:t>
      </w:r>
      <w:r w:rsidR="00A3095F">
        <w:t xml:space="preserve"> </w:t>
      </w:r>
      <w:r w:rsidR="00C97781" w:rsidRPr="008D7A52">
        <w:t>Green Research and Development Expenditure (GRDE)</w:t>
      </w:r>
      <w:r w:rsidR="00A3095F">
        <w:t xml:space="preserve"> and </w:t>
      </w:r>
      <w:r w:rsidRPr="008D7A52">
        <w:t xml:space="preserve">Environmental Certification and Compliance Costs (ECCC), with </w:t>
      </w:r>
      <w:r w:rsidR="003C446A" w:rsidRPr="008D7A52">
        <w:t>Investment in Renewable Energy (INRE) and Expenditure on Pollution Control (EXPC)</w:t>
      </w:r>
      <w:r w:rsidRPr="008D7A52">
        <w:t xml:space="preserve">. This adjustment </w:t>
      </w:r>
      <w:r w:rsidR="00920E96" w:rsidRPr="008D7A52">
        <w:t>provides</w:t>
      </w:r>
      <w:r w:rsidRPr="008D7A52">
        <w:t xml:space="preserve"> a more holistic and integrated measure that captures the comprehensive </w:t>
      </w:r>
      <w:r w:rsidR="00920E96" w:rsidRPr="008D7A52">
        <w:t xml:space="preserve">commitment to environmental sustainability investment and the </w:t>
      </w:r>
      <w:r w:rsidRPr="008D7A52">
        <w:t xml:space="preserve">impact of a firm's sustainability initiatives. </w:t>
      </w:r>
      <w:r w:rsidR="00920E96" w:rsidRPr="008D7A52">
        <w:t>Introduction of</w:t>
      </w:r>
      <w:r w:rsidRPr="008D7A52">
        <w:t xml:space="preserve"> these new variables will strengthen the assessment of market value added by incorporating a wider scope of sustainability-related activities.</w:t>
      </w:r>
    </w:p>
    <w:p w14:paraId="3AB7AC5E" w14:textId="45775734" w:rsidR="00F353C7" w:rsidRPr="008D7A52" w:rsidRDefault="00AB0F9F" w:rsidP="00F353C7">
      <w:pPr>
        <w:autoSpaceDE w:val="0"/>
        <w:autoSpaceDN w:val="0"/>
        <w:adjustRightInd w:val="0"/>
        <w:ind w:firstLine="720"/>
        <w:jc w:val="both"/>
      </w:pPr>
      <w:r w:rsidRPr="008D7A52">
        <w:t xml:space="preserve">Thus, below is the study model with the linear representation:  </w:t>
      </w:r>
    </w:p>
    <w:p w14:paraId="6B59E39B" w14:textId="02772BF7" w:rsidR="00BA27CB" w:rsidRPr="008D7A52" w:rsidRDefault="00BA27CB" w:rsidP="00F353C7">
      <w:pPr>
        <w:autoSpaceDE w:val="0"/>
        <w:autoSpaceDN w:val="0"/>
        <w:adjustRightInd w:val="0"/>
        <w:jc w:val="both"/>
      </w:pPr>
      <w:r w:rsidRPr="008D7A52">
        <w:t>VC = ƒ(</w:t>
      </w:r>
      <w:r w:rsidR="004168AE" w:rsidRPr="008D7A52">
        <w:t>ESI) ………………………………………………………………………………</w:t>
      </w:r>
      <w:proofErr w:type="gramStart"/>
      <w:r w:rsidR="004168AE" w:rsidRPr="008D7A52">
        <w:t>….(</w:t>
      </w:r>
      <w:proofErr w:type="gramEnd"/>
      <w:r w:rsidR="004168AE" w:rsidRPr="008D7A52">
        <w:t>1)</w:t>
      </w:r>
    </w:p>
    <w:p w14:paraId="7D50FEA2" w14:textId="09AAC79B" w:rsidR="00AB0F9F" w:rsidRPr="008D7A52" w:rsidRDefault="00B23A96" w:rsidP="00F353C7">
      <w:pPr>
        <w:autoSpaceDE w:val="0"/>
        <w:autoSpaceDN w:val="0"/>
        <w:adjustRightInd w:val="0"/>
        <w:jc w:val="both"/>
      </w:pPr>
      <w:r w:rsidRPr="008D7A52">
        <w:t>MVA</w:t>
      </w:r>
      <w:r w:rsidR="00AB0F9F" w:rsidRPr="008D7A52">
        <w:t xml:space="preserve">= </w:t>
      </w:r>
      <w:proofErr w:type="gramStart"/>
      <w:r w:rsidR="00AB0F9F" w:rsidRPr="008D7A52">
        <w:t>ƒ(</w:t>
      </w:r>
      <w:proofErr w:type="gramEnd"/>
      <w:r w:rsidRPr="008D7A52">
        <w:t>INRE</w:t>
      </w:r>
      <w:r w:rsidR="00AB0F9F" w:rsidRPr="008D7A52">
        <w:t xml:space="preserve">, </w:t>
      </w:r>
      <w:r w:rsidR="00C158A5" w:rsidRPr="008D7A52">
        <w:t>EXPC, GRDE</w:t>
      </w:r>
      <w:r w:rsidR="00C158A5">
        <w:t>,</w:t>
      </w:r>
      <w:r w:rsidR="00C158A5" w:rsidRPr="008D7A52">
        <w:t xml:space="preserve"> </w:t>
      </w:r>
      <w:proofErr w:type="gramStart"/>
      <w:r w:rsidRPr="008D7A52">
        <w:t>ECCC</w:t>
      </w:r>
      <w:r w:rsidR="00AB0F9F" w:rsidRPr="008D7A52">
        <w:t>)…</w:t>
      </w:r>
      <w:proofErr w:type="gramEnd"/>
      <w:r w:rsidR="00AB0F9F" w:rsidRPr="008D7A52">
        <w:t>………………………………</w:t>
      </w:r>
      <w:r w:rsidR="00F353C7" w:rsidRPr="008D7A52">
        <w:t>………</w:t>
      </w:r>
      <w:proofErr w:type="gramStart"/>
      <w:r w:rsidR="00AB0F9F" w:rsidRPr="008D7A52">
        <w:t>…(</w:t>
      </w:r>
      <w:proofErr w:type="gramEnd"/>
      <w:r w:rsidR="004168AE" w:rsidRPr="008D7A52">
        <w:t>2</w:t>
      </w:r>
      <w:r w:rsidR="00AB0F9F" w:rsidRPr="008D7A52">
        <w:t>)</w:t>
      </w:r>
    </w:p>
    <w:p w14:paraId="274596B9" w14:textId="77777777" w:rsidR="00AB0F9F" w:rsidRPr="008D7A52" w:rsidRDefault="00AB0F9F" w:rsidP="00AB0F9F">
      <w:pPr>
        <w:rPr>
          <w:lang w:eastAsia="en-GB"/>
        </w:rPr>
      </w:pPr>
      <w:r w:rsidRPr="008D7A52">
        <w:rPr>
          <w:lang w:eastAsia="en-GB"/>
        </w:rPr>
        <w:t>The model for econometrics will be:</w:t>
      </w:r>
    </w:p>
    <w:p w14:paraId="1980FEC4" w14:textId="6C03C071" w:rsidR="00AB0F9F" w:rsidRPr="008D7A52" w:rsidRDefault="00B23A96" w:rsidP="00F353C7">
      <w:pPr>
        <w:tabs>
          <w:tab w:val="left" w:pos="1518"/>
        </w:tabs>
        <w:autoSpaceDE w:val="0"/>
        <w:autoSpaceDN w:val="0"/>
        <w:adjustRightInd w:val="0"/>
        <w:jc w:val="both"/>
      </w:pPr>
      <w:proofErr w:type="spellStart"/>
      <w:r w:rsidRPr="008D7A52">
        <w:t>MVA</w:t>
      </w:r>
      <w:r w:rsidR="00AB0F9F" w:rsidRPr="008D7A52">
        <w:t>it</w:t>
      </w:r>
      <w:proofErr w:type="spellEnd"/>
      <w:r w:rsidR="00AB0F9F" w:rsidRPr="008D7A52">
        <w:t>=</w:t>
      </w:r>
      <w:r w:rsidR="00AB0F9F" w:rsidRPr="008D7A52">
        <w:rPr>
          <w:rFonts w:ascii="Cambria Math" w:hAnsi="Cambria Math" w:cs="Cambria Math"/>
        </w:rPr>
        <w:t>𝛽</w:t>
      </w:r>
      <w:r w:rsidR="00AB0F9F" w:rsidRPr="008D7A52">
        <w:t xml:space="preserve">0 + </w:t>
      </w:r>
      <w:r w:rsidR="00AB0F9F" w:rsidRPr="008D7A52">
        <w:rPr>
          <w:rFonts w:ascii="Cambria Math" w:hAnsi="Cambria Math" w:cs="Cambria Math"/>
        </w:rPr>
        <w:t>𝛽</w:t>
      </w:r>
      <w:r w:rsidR="00BA4B28" w:rsidRPr="008D7A52">
        <w:rPr>
          <w:vertAlign w:val="subscript"/>
        </w:rPr>
        <w:t>1</w:t>
      </w:r>
      <w:r w:rsidRPr="008D7A52">
        <w:t>INRE</w:t>
      </w:r>
      <w:r w:rsidR="00AB0F9F" w:rsidRPr="008D7A52">
        <w:rPr>
          <w:rFonts w:ascii="Cambria Math" w:hAnsi="Cambria Math" w:cs="Cambria Math"/>
          <w:vertAlign w:val="subscript"/>
        </w:rPr>
        <w:t>it</w:t>
      </w:r>
      <w:r w:rsidR="00AB0F9F" w:rsidRPr="008D7A52">
        <w:t xml:space="preserve"> + </w:t>
      </w:r>
      <w:r w:rsidR="005F03DF" w:rsidRPr="008D7A52">
        <w:rPr>
          <w:rFonts w:ascii="Cambria Math" w:hAnsi="Cambria Math" w:cs="Cambria Math"/>
        </w:rPr>
        <w:t>𝛽</w:t>
      </w:r>
      <w:r w:rsidR="005F03DF">
        <w:rPr>
          <w:vertAlign w:val="subscript"/>
        </w:rPr>
        <w:t>2</w:t>
      </w:r>
      <w:r w:rsidR="005F03DF" w:rsidRPr="008D7A52">
        <w:t>EXPC</w:t>
      </w:r>
      <w:r w:rsidR="005F03DF" w:rsidRPr="008D7A52">
        <w:rPr>
          <w:rFonts w:ascii="Cambria Math" w:hAnsi="Cambria Math" w:cs="Cambria Math"/>
          <w:vertAlign w:val="subscript"/>
        </w:rPr>
        <w:t>it</w:t>
      </w:r>
      <w:r w:rsidR="005F03DF" w:rsidRPr="008D7A52">
        <w:t xml:space="preserve"> + </w:t>
      </w:r>
      <w:r w:rsidR="005F03DF" w:rsidRPr="008D7A52">
        <w:rPr>
          <w:rFonts w:ascii="Cambria Math" w:hAnsi="Cambria Math" w:cs="Cambria Math"/>
        </w:rPr>
        <w:t>𝛽</w:t>
      </w:r>
      <w:r w:rsidR="005F03DF">
        <w:rPr>
          <w:vertAlign w:val="subscript"/>
        </w:rPr>
        <w:t>3</w:t>
      </w:r>
      <w:r w:rsidR="005F03DF" w:rsidRPr="008D7A52">
        <w:t>GRDE</w:t>
      </w:r>
      <w:r w:rsidR="005F03DF" w:rsidRPr="008D7A52">
        <w:rPr>
          <w:rFonts w:ascii="Cambria Math" w:hAnsi="Cambria Math" w:cs="Cambria Math"/>
          <w:vertAlign w:val="subscript"/>
        </w:rPr>
        <w:t>it</w:t>
      </w:r>
      <w:r w:rsidR="005F03DF" w:rsidRPr="008D7A52">
        <w:t xml:space="preserve"> </w:t>
      </w:r>
      <w:r w:rsidR="00AB0F9F" w:rsidRPr="008D7A52">
        <w:rPr>
          <w:rFonts w:ascii="Cambria Math" w:hAnsi="Cambria Math" w:cs="Cambria Math"/>
        </w:rPr>
        <w:t>𝛽</w:t>
      </w:r>
      <w:r w:rsidR="005F03DF">
        <w:rPr>
          <w:vertAlign w:val="subscript"/>
        </w:rPr>
        <w:t>4</w:t>
      </w:r>
      <w:r w:rsidRPr="008D7A52">
        <w:t>ECCC</w:t>
      </w:r>
      <w:r w:rsidR="00AB0F9F" w:rsidRPr="008D7A52">
        <w:rPr>
          <w:rFonts w:ascii="Cambria Math" w:hAnsi="Cambria Math" w:cs="Cambria Math"/>
          <w:vertAlign w:val="subscript"/>
        </w:rPr>
        <w:t>it</w:t>
      </w:r>
      <w:r w:rsidR="00AB0F9F" w:rsidRPr="008D7A52">
        <w:rPr>
          <w:vertAlign w:val="subscript"/>
        </w:rPr>
        <w:t xml:space="preserve"> </w:t>
      </w:r>
      <w:r w:rsidRPr="008D7A52">
        <w:t xml:space="preserve">+ </w:t>
      </w:r>
      <w:proofErr w:type="spellStart"/>
      <w:r w:rsidRPr="008D7A52">
        <w:t>Ɛ</w:t>
      </w:r>
      <w:r w:rsidR="00AB0F9F" w:rsidRPr="008D7A52">
        <w:rPr>
          <w:vertAlign w:val="subscript"/>
        </w:rPr>
        <w:t>it</w:t>
      </w:r>
      <w:proofErr w:type="spellEnd"/>
      <w:r w:rsidR="009B2C7D" w:rsidRPr="008D7A52">
        <w:rPr>
          <w:vertAlign w:val="subscript"/>
        </w:rPr>
        <w:t xml:space="preserve"> </w:t>
      </w:r>
      <w:r w:rsidR="00AB0F9F" w:rsidRPr="008D7A52">
        <w:t>…</w:t>
      </w:r>
      <w:r w:rsidR="009B2C7D" w:rsidRPr="008D7A52">
        <w:t>…...</w:t>
      </w:r>
      <w:proofErr w:type="gramStart"/>
      <w:r w:rsidR="00AB0F9F" w:rsidRPr="008D7A52">
        <w:t>…</w:t>
      </w:r>
      <w:r w:rsidR="009B2C7D" w:rsidRPr="008D7A52">
        <w:t>..</w:t>
      </w:r>
      <w:proofErr w:type="gramEnd"/>
      <w:r w:rsidR="009B2C7D" w:rsidRPr="008D7A52">
        <w:t xml:space="preserve">  </w:t>
      </w:r>
      <w:r w:rsidR="00AB0F9F" w:rsidRPr="008D7A52">
        <w:t>(</w:t>
      </w:r>
      <w:r w:rsidR="004168AE" w:rsidRPr="008D7A52">
        <w:t>3</w:t>
      </w:r>
      <w:r w:rsidR="00AB0F9F" w:rsidRPr="008D7A52">
        <w:t>)</w:t>
      </w:r>
    </w:p>
    <w:p w14:paraId="1AB8AD93" w14:textId="233913DC" w:rsidR="009B2C7D" w:rsidRPr="008D7A52" w:rsidRDefault="00AB0F9F" w:rsidP="009B2C7D">
      <w:pPr>
        <w:autoSpaceDE w:val="0"/>
        <w:autoSpaceDN w:val="0"/>
        <w:adjustRightInd w:val="0"/>
        <w:jc w:val="both"/>
      </w:pPr>
      <w:r w:rsidRPr="008D7A52">
        <w:t>Where:</w:t>
      </w:r>
    </w:p>
    <w:p w14:paraId="7BA99FBA" w14:textId="284CE540" w:rsidR="00AB0F9F" w:rsidRPr="008D7A52" w:rsidRDefault="009B2C7D" w:rsidP="00AB0F9F">
      <w:pPr>
        <w:autoSpaceDE w:val="0"/>
        <w:autoSpaceDN w:val="0"/>
        <w:adjustRightInd w:val="0"/>
        <w:jc w:val="both"/>
      </w:pPr>
      <w:r w:rsidRPr="008D7A52">
        <w:lastRenderedPageBreak/>
        <w:t>MVA</w:t>
      </w:r>
      <w:r w:rsidR="00AB0F9F" w:rsidRPr="008D7A52">
        <w:t xml:space="preserve"> = </w:t>
      </w:r>
      <w:r w:rsidRPr="008D7A52">
        <w:t>Market Value Added</w:t>
      </w:r>
      <w:r w:rsidR="00AB0F9F" w:rsidRPr="008D7A52">
        <w:t xml:space="preserve">, </w:t>
      </w:r>
    </w:p>
    <w:p w14:paraId="79F4029C" w14:textId="56957E54" w:rsidR="00AB0F9F" w:rsidRPr="008D7A52" w:rsidRDefault="009B2C7D" w:rsidP="00AB0F9F">
      <w:pPr>
        <w:autoSpaceDE w:val="0"/>
        <w:autoSpaceDN w:val="0"/>
        <w:adjustRightInd w:val="0"/>
        <w:jc w:val="both"/>
      </w:pPr>
      <w:r w:rsidRPr="008D7A52">
        <w:t>INRE</w:t>
      </w:r>
      <w:r w:rsidR="00AB0F9F" w:rsidRPr="008D7A52">
        <w:t xml:space="preserve"> = </w:t>
      </w:r>
      <w:r w:rsidRPr="008D7A52">
        <w:t>Investment in Renewable Energy</w:t>
      </w:r>
      <w:r w:rsidR="00AB0F9F" w:rsidRPr="008D7A52">
        <w:t xml:space="preserve">, </w:t>
      </w:r>
    </w:p>
    <w:p w14:paraId="6B4BA9C5" w14:textId="77777777" w:rsidR="00632D6F" w:rsidRPr="008D7A52" w:rsidRDefault="00632D6F" w:rsidP="00632D6F">
      <w:pPr>
        <w:autoSpaceDE w:val="0"/>
        <w:autoSpaceDN w:val="0"/>
        <w:adjustRightInd w:val="0"/>
        <w:jc w:val="both"/>
      </w:pPr>
      <w:r w:rsidRPr="008D7A52">
        <w:t>EXPC = Expenditure on Pollution Control</w:t>
      </w:r>
    </w:p>
    <w:p w14:paraId="50BCE838" w14:textId="77777777" w:rsidR="00632D6F" w:rsidRPr="008D7A52" w:rsidRDefault="00632D6F" w:rsidP="00632D6F">
      <w:pPr>
        <w:autoSpaceDE w:val="0"/>
        <w:autoSpaceDN w:val="0"/>
        <w:adjustRightInd w:val="0"/>
        <w:jc w:val="both"/>
      </w:pPr>
      <w:r w:rsidRPr="008D7A52">
        <w:t>GRDE = Green Research and Development Expenditure</w:t>
      </w:r>
    </w:p>
    <w:p w14:paraId="21151482" w14:textId="78CD0F32" w:rsidR="00AB0F9F" w:rsidRPr="008D7A52" w:rsidRDefault="009B2C7D" w:rsidP="00AB0F9F">
      <w:pPr>
        <w:autoSpaceDE w:val="0"/>
        <w:autoSpaceDN w:val="0"/>
        <w:adjustRightInd w:val="0"/>
        <w:jc w:val="both"/>
      </w:pPr>
      <w:r w:rsidRPr="008D7A52">
        <w:t>ECCC</w:t>
      </w:r>
      <w:r w:rsidR="00AB0F9F" w:rsidRPr="008D7A52">
        <w:t xml:space="preserve"> = </w:t>
      </w:r>
      <w:r w:rsidRPr="008D7A52">
        <w:t>Environmental Certification and Compliance Cost</w:t>
      </w:r>
    </w:p>
    <w:p w14:paraId="34029DC9" w14:textId="77777777" w:rsidR="00AB0F9F" w:rsidRPr="008D7A52" w:rsidRDefault="00AB0F9F" w:rsidP="00AB0F9F">
      <w:pPr>
        <w:autoSpaceDE w:val="0"/>
        <w:autoSpaceDN w:val="0"/>
        <w:adjustRightInd w:val="0"/>
        <w:jc w:val="both"/>
      </w:pPr>
      <w:proofErr w:type="spellStart"/>
      <w:r w:rsidRPr="008D7A52">
        <w:t>i</w:t>
      </w:r>
      <w:proofErr w:type="spellEnd"/>
      <w:r w:rsidRPr="008D7A52">
        <w:t xml:space="preserve"> = company </w:t>
      </w:r>
    </w:p>
    <w:p w14:paraId="636BF485" w14:textId="77777777" w:rsidR="00AB0F9F" w:rsidRPr="008D7A52" w:rsidRDefault="00AB0F9F" w:rsidP="00AB0F9F">
      <w:pPr>
        <w:autoSpaceDE w:val="0"/>
        <w:autoSpaceDN w:val="0"/>
        <w:adjustRightInd w:val="0"/>
        <w:jc w:val="both"/>
      </w:pPr>
      <w:r w:rsidRPr="008D7A52">
        <w:t>t = time</w:t>
      </w:r>
    </w:p>
    <w:p w14:paraId="3F907D9D" w14:textId="1F4BFB78" w:rsidR="00AB0F9F" w:rsidRPr="008D7A52" w:rsidRDefault="009B2C7D" w:rsidP="00AB0F9F">
      <w:pPr>
        <w:autoSpaceDE w:val="0"/>
        <w:autoSpaceDN w:val="0"/>
        <w:adjustRightInd w:val="0"/>
        <w:jc w:val="both"/>
      </w:pPr>
      <w:proofErr w:type="spellStart"/>
      <w:r w:rsidRPr="008D7A52">
        <w:t>Ɛ</w:t>
      </w:r>
      <w:r w:rsidR="00AB0F9F" w:rsidRPr="008D7A52">
        <w:rPr>
          <w:vertAlign w:val="subscript"/>
        </w:rPr>
        <w:t>it</w:t>
      </w:r>
      <w:proofErr w:type="spellEnd"/>
      <w:r w:rsidR="00AB0F9F" w:rsidRPr="008D7A52">
        <w:t xml:space="preserve"> = error term</w:t>
      </w:r>
    </w:p>
    <w:p w14:paraId="252FCE12" w14:textId="77777777" w:rsidR="00AB0F9F" w:rsidRPr="008D7A52" w:rsidRDefault="00AB0F9F" w:rsidP="00AB0F9F">
      <w:pPr>
        <w:autoSpaceDE w:val="0"/>
        <w:autoSpaceDN w:val="0"/>
        <w:adjustRightInd w:val="0"/>
        <w:jc w:val="both"/>
      </w:pPr>
      <w:r w:rsidRPr="008D7A52">
        <w:t>β</w:t>
      </w:r>
      <w:r w:rsidRPr="008D7A52">
        <w:rPr>
          <w:vertAlign w:val="subscript"/>
        </w:rPr>
        <w:t>0</w:t>
      </w:r>
      <w:r w:rsidRPr="008D7A52">
        <w:t xml:space="preserve"> = constant/intercept;</w:t>
      </w:r>
    </w:p>
    <w:p w14:paraId="360160CE" w14:textId="212203D2" w:rsidR="00AB0F9F" w:rsidRPr="008D7A52" w:rsidRDefault="00AB0F9F" w:rsidP="00AB0F9F">
      <w:pPr>
        <w:rPr>
          <w:lang w:eastAsia="en-GB"/>
        </w:rPr>
      </w:pPr>
      <w:r w:rsidRPr="008D7A52">
        <w:t>β</w:t>
      </w:r>
      <w:r w:rsidRPr="008D7A52">
        <w:rPr>
          <w:vertAlign w:val="subscript"/>
        </w:rPr>
        <w:t>1</w:t>
      </w:r>
      <w:r w:rsidRPr="008D7A52">
        <w:t xml:space="preserve"> – β</w:t>
      </w:r>
      <w:r w:rsidR="00BA4B28" w:rsidRPr="008D7A52">
        <w:rPr>
          <w:vertAlign w:val="subscript"/>
        </w:rPr>
        <w:t>4</w:t>
      </w:r>
      <w:r w:rsidRPr="008D7A52">
        <w:t xml:space="preserve"> = slope of the </w:t>
      </w:r>
      <w:r w:rsidRPr="008D7A52">
        <w:rPr>
          <w:lang w:eastAsia="en-GB"/>
        </w:rPr>
        <w:t>independent elements</w:t>
      </w:r>
    </w:p>
    <w:p w14:paraId="7BE38EE5" w14:textId="77777777" w:rsidR="00F353C7" w:rsidRPr="008D7A52" w:rsidRDefault="00F353C7" w:rsidP="00AB0F9F">
      <w:pPr>
        <w:autoSpaceDE w:val="0"/>
        <w:autoSpaceDN w:val="0"/>
        <w:adjustRightInd w:val="0"/>
        <w:jc w:val="both"/>
      </w:pPr>
    </w:p>
    <w:p w14:paraId="6DEB97A0" w14:textId="18F5B270" w:rsidR="00AB0F9F" w:rsidRPr="008D7A52" w:rsidRDefault="00AB0F9F" w:rsidP="00F353C7">
      <w:pPr>
        <w:autoSpaceDE w:val="0"/>
        <w:autoSpaceDN w:val="0"/>
        <w:adjustRightInd w:val="0"/>
        <w:ind w:firstLine="720"/>
        <w:jc w:val="both"/>
        <w:rPr>
          <w:rFonts w:eastAsiaTheme="minorEastAsia"/>
        </w:rPr>
      </w:pPr>
      <w:r w:rsidRPr="008D7A52">
        <w:t xml:space="preserve">The researcher a priori expectation based on extant literature is as follow: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oMath>
      <w:r w:rsidRPr="008D7A52">
        <w:rPr>
          <w:rFonts w:eastAsiaTheme="minorEastAsia"/>
        </w:rPr>
        <w:t xml:space="preserve">&gt; 0, </w:t>
      </w: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&gt;0, </m:t>
        </m:r>
        <m:sSub>
          <m:sSubPr>
            <m:ctrlPr>
              <w:rPr>
                <w:rFonts w:ascii="Cambria Math" w:hAnsi="Cambria Math"/>
                <w:i/>
              </w:rPr>
            </m:ctrlPr>
          </m:sSubPr>
          <m:e>
            <m:r>
              <w:rPr>
                <w:rFonts w:ascii="Cambria Math" w:hAnsi="Cambria Math"/>
              </w:rPr>
              <m:t>β</m:t>
            </m:r>
          </m:e>
          <m:sub>
            <m:r>
              <w:rPr>
                <w:rFonts w:ascii="Cambria Math" w:hAnsi="Cambria Math"/>
              </w:rPr>
              <m:t xml:space="preserve">3  </m:t>
            </m:r>
          </m:sub>
        </m:sSub>
        <m:r>
          <w:rPr>
            <w:rFonts w:ascii="Cambria Math" w:hAnsi="Cambria Math"/>
          </w:rPr>
          <m:t>&gt;0</m:t>
        </m:r>
        <m:sSub>
          <m:sSubPr>
            <m:ctrlPr>
              <w:rPr>
                <w:rFonts w:ascii="Cambria Math" w:hAnsi="Cambria Math"/>
                <w:i/>
              </w:rPr>
            </m:ctrlPr>
          </m:sSubPr>
          <m:e>
            <m:r>
              <w:rPr>
                <w:rFonts w:ascii="Cambria Math" w:hAnsi="Cambria Math"/>
              </w:rPr>
              <m:t>, β</m:t>
            </m:r>
          </m:e>
          <m:sub>
            <m:r>
              <w:rPr>
                <w:rFonts w:ascii="Cambria Math" w:hAnsi="Cambria Math"/>
              </w:rPr>
              <m:t xml:space="preserve">4 </m:t>
            </m:r>
          </m:sub>
        </m:sSub>
        <m:r>
          <w:rPr>
            <w:rFonts w:ascii="Cambria Math" w:hAnsi="Cambria Math"/>
          </w:rPr>
          <m:t>&gt;0</m:t>
        </m:r>
      </m:oMath>
      <w:r w:rsidRPr="008D7A52">
        <w:rPr>
          <w:rFonts w:eastAsiaTheme="minorEastAsia"/>
        </w:rPr>
        <w:t xml:space="preserve"> </w:t>
      </w:r>
    </w:p>
    <w:p w14:paraId="4915C198" w14:textId="77777777" w:rsidR="00AB0F9F" w:rsidRPr="008D7A52" w:rsidRDefault="00AB0F9F" w:rsidP="0072405E">
      <w:pPr>
        <w:pStyle w:val="NoSpacing"/>
        <w:jc w:val="both"/>
        <w:rPr>
          <w:rFonts w:ascii="Times New Roman" w:hAnsi="Times New Roman"/>
          <w:sz w:val="24"/>
          <w:szCs w:val="24"/>
          <w:lang w:val="en-GB"/>
        </w:rPr>
      </w:pPr>
    </w:p>
    <w:p w14:paraId="6F4032EE" w14:textId="37F607F6" w:rsidR="00602860" w:rsidRPr="008D7A52" w:rsidRDefault="00602860" w:rsidP="00602860">
      <w:pPr>
        <w:rPr>
          <w:b/>
          <w:bCs/>
        </w:rPr>
      </w:pPr>
      <w:r w:rsidRPr="008D7A52">
        <w:rPr>
          <w:b/>
          <w:bCs/>
        </w:rPr>
        <w:t>3.2</w:t>
      </w:r>
      <w:r w:rsidRPr="008D7A52">
        <w:rPr>
          <w:b/>
          <w:bCs/>
        </w:rPr>
        <w:tab/>
        <w:t>Measurement</w:t>
      </w:r>
      <w:r w:rsidR="004168AE" w:rsidRPr="008D7A52">
        <w:rPr>
          <w:b/>
          <w:bCs/>
        </w:rPr>
        <w:t xml:space="preserve"> of variable</w:t>
      </w:r>
      <w:r w:rsidR="00BA4B28" w:rsidRPr="008D7A52">
        <w:rPr>
          <w:b/>
          <w:bCs/>
        </w:rPr>
        <w:t>s</w:t>
      </w:r>
    </w:p>
    <w:p w14:paraId="494D7E06" w14:textId="4986FC4C" w:rsidR="00602860" w:rsidRDefault="00602860" w:rsidP="00602860">
      <w:pPr>
        <w:ind w:firstLine="720"/>
        <w:jc w:val="both"/>
      </w:pPr>
      <w:r w:rsidRPr="008D7A52">
        <w:t>This section presents a comprehensive analysis of the key variables influencing the relationship between environmental sustainability investment and value creation, offering well-defined conceptual frameworks and precise measurement methodologies. It systematically delineates each variable, ensuring clarity in definition, scope, and operationalization to enhance empirical rigor and analytical accuracy.</w:t>
      </w:r>
    </w:p>
    <w:p w14:paraId="7605DD77" w14:textId="77777777" w:rsidR="00BA3D07" w:rsidRDefault="00BA3D07" w:rsidP="00602860">
      <w:pPr>
        <w:ind w:firstLine="720"/>
        <w:jc w:val="both"/>
      </w:pPr>
    </w:p>
    <w:p w14:paraId="4136315F" w14:textId="77777777" w:rsidR="00602860" w:rsidRPr="008D7A52" w:rsidRDefault="00602860" w:rsidP="00602860">
      <w:pPr>
        <w:rPr>
          <w:b/>
          <w:bCs/>
        </w:rPr>
      </w:pPr>
      <w:r w:rsidRPr="008D7A52">
        <w:rPr>
          <w:b/>
          <w:bCs/>
        </w:rPr>
        <w:t>Table 2: Variables Description / Measurements</w:t>
      </w:r>
    </w:p>
    <w:p w14:paraId="01C4E9A7" w14:textId="77777777" w:rsidR="001471D8" w:rsidRPr="000B1FE7" w:rsidRDefault="001471D8" w:rsidP="00602860">
      <w:pPr>
        <w:rPr>
          <w:b/>
          <w:bCs/>
          <w:sz w:val="20"/>
          <w:szCs w:val="20"/>
        </w:rPr>
      </w:pPr>
    </w:p>
    <w:tbl>
      <w:tblPr>
        <w:tblStyle w:val="TableGrid"/>
        <w:tblW w:w="998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1835"/>
        <w:gridCol w:w="2966"/>
        <w:gridCol w:w="2704"/>
        <w:gridCol w:w="1890"/>
      </w:tblGrid>
      <w:tr w:rsidR="008D7A52" w:rsidRPr="000B1FE7" w14:paraId="463CF381" w14:textId="77777777" w:rsidTr="001464C6">
        <w:tc>
          <w:tcPr>
            <w:tcW w:w="590" w:type="dxa"/>
            <w:tcBorders>
              <w:top w:val="single" w:sz="4" w:space="0" w:color="auto"/>
              <w:bottom w:val="single" w:sz="4" w:space="0" w:color="auto"/>
            </w:tcBorders>
          </w:tcPr>
          <w:p w14:paraId="5710D3FD" w14:textId="77777777" w:rsidR="00602860" w:rsidRPr="000B1FE7" w:rsidRDefault="00602860" w:rsidP="008F6F0A">
            <w:pPr>
              <w:rPr>
                <w:b/>
                <w:bCs/>
                <w:sz w:val="20"/>
                <w:szCs w:val="20"/>
              </w:rPr>
            </w:pPr>
            <w:r w:rsidRPr="000B1FE7">
              <w:rPr>
                <w:b/>
                <w:bCs/>
                <w:sz w:val="20"/>
                <w:szCs w:val="20"/>
              </w:rPr>
              <w:t>S/N</w:t>
            </w:r>
          </w:p>
        </w:tc>
        <w:tc>
          <w:tcPr>
            <w:tcW w:w="1835" w:type="dxa"/>
            <w:tcBorders>
              <w:top w:val="single" w:sz="4" w:space="0" w:color="auto"/>
              <w:bottom w:val="single" w:sz="4" w:space="0" w:color="auto"/>
            </w:tcBorders>
          </w:tcPr>
          <w:p w14:paraId="3BA17FE1" w14:textId="77777777" w:rsidR="00602860" w:rsidRPr="000B1FE7" w:rsidRDefault="00602860" w:rsidP="008F6F0A">
            <w:pPr>
              <w:rPr>
                <w:b/>
                <w:bCs/>
                <w:sz w:val="20"/>
                <w:szCs w:val="20"/>
              </w:rPr>
            </w:pPr>
            <w:r w:rsidRPr="000B1FE7">
              <w:rPr>
                <w:b/>
                <w:bCs/>
                <w:sz w:val="20"/>
                <w:szCs w:val="20"/>
              </w:rPr>
              <w:t>Variable (s)</w:t>
            </w:r>
          </w:p>
        </w:tc>
        <w:tc>
          <w:tcPr>
            <w:tcW w:w="2966" w:type="dxa"/>
            <w:tcBorders>
              <w:top w:val="single" w:sz="4" w:space="0" w:color="auto"/>
              <w:bottom w:val="single" w:sz="4" w:space="0" w:color="auto"/>
            </w:tcBorders>
          </w:tcPr>
          <w:p w14:paraId="3DB3B4F4" w14:textId="77777777" w:rsidR="00602860" w:rsidRPr="000B1FE7" w:rsidRDefault="00602860" w:rsidP="008F6F0A">
            <w:pPr>
              <w:rPr>
                <w:b/>
                <w:bCs/>
                <w:sz w:val="20"/>
                <w:szCs w:val="20"/>
              </w:rPr>
            </w:pPr>
            <w:r w:rsidRPr="000B1FE7">
              <w:rPr>
                <w:b/>
                <w:bCs/>
                <w:sz w:val="20"/>
                <w:szCs w:val="20"/>
              </w:rPr>
              <w:t>Description</w:t>
            </w:r>
          </w:p>
        </w:tc>
        <w:tc>
          <w:tcPr>
            <w:tcW w:w="2704" w:type="dxa"/>
            <w:tcBorders>
              <w:top w:val="single" w:sz="4" w:space="0" w:color="auto"/>
              <w:bottom w:val="single" w:sz="4" w:space="0" w:color="auto"/>
            </w:tcBorders>
          </w:tcPr>
          <w:p w14:paraId="3231C2CB" w14:textId="77777777" w:rsidR="00602860" w:rsidRPr="000B1FE7" w:rsidRDefault="00602860" w:rsidP="008F6F0A">
            <w:pPr>
              <w:rPr>
                <w:b/>
                <w:bCs/>
                <w:sz w:val="20"/>
                <w:szCs w:val="20"/>
              </w:rPr>
            </w:pPr>
            <w:r w:rsidRPr="000B1FE7">
              <w:rPr>
                <w:b/>
                <w:bCs/>
                <w:sz w:val="20"/>
                <w:szCs w:val="20"/>
              </w:rPr>
              <w:t>Measurement</w:t>
            </w:r>
          </w:p>
        </w:tc>
        <w:tc>
          <w:tcPr>
            <w:tcW w:w="1890" w:type="dxa"/>
            <w:tcBorders>
              <w:top w:val="single" w:sz="4" w:space="0" w:color="auto"/>
              <w:bottom w:val="single" w:sz="4" w:space="0" w:color="auto"/>
            </w:tcBorders>
          </w:tcPr>
          <w:p w14:paraId="3A0AAA88" w14:textId="77777777" w:rsidR="00602860" w:rsidRPr="000B1FE7" w:rsidRDefault="00602860" w:rsidP="008F6F0A">
            <w:pPr>
              <w:rPr>
                <w:b/>
                <w:bCs/>
                <w:sz w:val="20"/>
                <w:szCs w:val="20"/>
              </w:rPr>
            </w:pPr>
            <w:r w:rsidRPr="000B1FE7">
              <w:rPr>
                <w:b/>
                <w:bCs/>
                <w:sz w:val="20"/>
                <w:szCs w:val="20"/>
              </w:rPr>
              <w:t>Source</w:t>
            </w:r>
          </w:p>
        </w:tc>
      </w:tr>
      <w:tr w:rsidR="008D7A52" w:rsidRPr="001306CA" w14:paraId="07A19493" w14:textId="77777777" w:rsidTr="001464C6">
        <w:tc>
          <w:tcPr>
            <w:tcW w:w="590" w:type="dxa"/>
            <w:tcBorders>
              <w:top w:val="single" w:sz="4" w:space="0" w:color="auto"/>
            </w:tcBorders>
          </w:tcPr>
          <w:p w14:paraId="2B567C5F" w14:textId="226A8739" w:rsidR="00602860" w:rsidRPr="001306CA" w:rsidRDefault="00602860" w:rsidP="008F6F0A">
            <w:pPr>
              <w:rPr>
                <w:sz w:val="19"/>
                <w:szCs w:val="19"/>
              </w:rPr>
            </w:pPr>
          </w:p>
        </w:tc>
        <w:tc>
          <w:tcPr>
            <w:tcW w:w="1835" w:type="dxa"/>
            <w:tcBorders>
              <w:top w:val="single" w:sz="4" w:space="0" w:color="auto"/>
            </w:tcBorders>
          </w:tcPr>
          <w:p w14:paraId="2FEE208E" w14:textId="789FB833" w:rsidR="00602860" w:rsidRPr="001306CA" w:rsidRDefault="00602860" w:rsidP="008F6F0A">
            <w:pPr>
              <w:rPr>
                <w:sz w:val="19"/>
                <w:szCs w:val="19"/>
              </w:rPr>
            </w:pPr>
          </w:p>
        </w:tc>
        <w:tc>
          <w:tcPr>
            <w:tcW w:w="2966" w:type="dxa"/>
            <w:tcBorders>
              <w:top w:val="single" w:sz="4" w:space="0" w:color="auto"/>
            </w:tcBorders>
          </w:tcPr>
          <w:p w14:paraId="5D63AB78" w14:textId="220D7073" w:rsidR="00602860" w:rsidRPr="001306CA" w:rsidRDefault="00602860" w:rsidP="008F6F0A">
            <w:pPr>
              <w:rPr>
                <w:sz w:val="19"/>
                <w:szCs w:val="19"/>
              </w:rPr>
            </w:pPr>
          </w:p>
        </w:tc>
        <w:tc>
          <w:tcPr>
            <w:tcW w:w="2704" w:type="dxa"/>
            <w:tcBorders>
              <w:top w:val="single" w:sz="4" w:space="0" w:color="auto"/>
            </w:tcBorders>
          </w:tcPr>
          <w:p w14:paraId="53B60A29" w14:textId="7CAA8D1A" w:rsidR="008F79F6" w:rsidRPr="001306CA" w:rsidRDefault="008F79F6" w:rsidP="008F6F0A">
            <w:pPr>
              <w:rPr>
                <w:sz w:val="19"/>
                <w:szCs w:val="19"/>
              </w:rPr>
            </w:pPr>
          </w:p>
        </w:tc>
        <w:tc>
          <w:tcPr>
            <w:tcW w:w="1890" w:type="dxa"/>
            <w:tcBorders>
              <w:top w:val="single" w:sz="4" w:space="0" w:color="auto"/>
            </w:tcBorders>
          </w:tcPr>
          <w:p w14:paraId="5ABC5F51" w14:textId="0B38EDF4" w:rsidR="00602860" w:rsidRPr="001306CA" w:rsidRDefault="00602860" w:rsidP="008F6F0A">
            <w:pPr>
              <w:rPr>
                <w:sz w:val="19"/>
                <w:szCs w:val="19"/>
              </w:rPr>
            </w:pPr>
          </w:p>
        </w:tc>
      </w:tr>
      <w:tr w:rsidR="008D7A52" w:rsidRPr="001306CA" w14:paraId="4C5CBD25" w14:textId="77777777" w:rsidTr="001464C6">
        <w:tc>
          <w:tcPr>
            <w:tcW w:w="590" w:type="dxa"/>
          </w:tcPr>
          <w:p w14:paraId="5CCD7F54" w14:textId="7E905342" w:rsidR="00602860" w:rsidRPr="001306CA" w:rsidRDefault="00BA27CB" w:rsidP="008F6F0A">
            <w:pPr>
              <w:rPr>
                <w:sz w:val="19"/>
                <w:szCs w:val="19"/>
              </w:rPr>
            </w:pPr>
            <w:r w:rsidRPr="001306CA">
              <w:rPr>
                <w:sz w:val="19"/>
                <w:szCs w:val="19"/>
              </w:rPr>
              <w:t>1</w:t>
            </w:r>
          </w:p>
        </w:tc>
        <w:tc>
          <w:tcPr>
            <w:tcW w:w="1835" w:type="dxa"/>
          </w:tcPr>
          <w:p w14:paraId="529A8EA2" w14:textId="31AA9472" w:rsidR="00602860" w:rsidRPr="001306CA" w:rsidRDefault="008F79F6" w:rsidP="008F6F0A">
            <w:pPr>
              <w:rPr>
                <w:sz w:val="19"/>
                <w:szCs w:val="19"/>
              </w:rPr>
            </w:pPr>
            <w:r w:rsidRPr="001306CA">
              <w:rPr>
                <w:sz w:val="19"/>
                <w:szCs w:val="19"/>
              </w:rPr>
              <w:t xml:space="preserve">Investment in Renewable Energy (INRE) </w:t>
            </w:r>
            <w:r w:rsidR="00602860" w:rsidRPr="001306CA">
              <w:rPr>
                <w:sz w:val="19"/>
                <w:szCs w:val="19"/>
              </w:rPr>
              <w:t>(Independent)</w:t>
            </w:r>
          </w:p>
        </w:tc>
        <w:tc>
          <w:tcPr>
            <w:tcW w:w="2966" w:type="dxa"/>
          </w:tcPr>
          <w:p w14:paraId="648D5F36" w14:textId="1005C6BA" w:rsidR="00602860" w:rsidRPr="001306CA" w:rsidRDefault="008F79F6" w:rsidP="008F6F0A">
            <w:pPr>
              <w:rPr>
                <w:sz w:val="19"/>
                <w:szCs w:val="19"/>
              </w:rPr>
            </w:pPr>
            <w:r w:rsidRPr="001306CA">
              <w:rPr>
                <w:sz w:val="19"/>
                <w:szCs w:val="19"/>
              </w:rPr>
              <w:t xml:space="preserve">Funds directed towards the development, acquisition, or integration of renewable energy sources, including solar, wind, hydro, and biomass, to reduce reliance on fossil fuels. </w:t>
            </w:r>
          </w:p>
        </w:tc>
        <w:tc>
          <w:tcPr>
            <w:tcW w:w="2704" w:type="dxa"/>
          </w:tcPr>
          <w:p w14:paraId="0AF31108" w14:textId="77777777" w:rsidR="00602860" w:rsidRPr="001306CA" w:rsidRDefault="008F79F6" w:rsidP="008F6F0A">
            <w:pPr>
              <w:rPr>
                <w:sz w:val="19"/>
                <w:szCs w:val="19"/>
              </w:rPr>
            </w:pPr>
            <w:r w:rsidRPr="001306CA">
              <w:rPr>
                <w:sz w:val="19"/>
                <w:szCs w:val="19"/>
              </w:rPr>
              <w:t>Natural log of the total annual financial commitment to renewable energy initiatives, reflected in capital budgets or specific line items in sustainability disclosures.</w:t>
            </w:r>
          </w:p>
          <w:p w14:paraId="1E8A779B" w14:textId="453E2B85" w:rsidR="00FF681E" w:rsidRPr="001306CA" w:rsidRDefault="00FF681E" w:rsidP="008F6F0A">
            <w:pPr>
              <w:rPr>
                <w:sz w:val="19"/>
                <w:szCs w:val="19"/>
              </w:rPr>
            </w:pPr>
          </w:p>
        </w:tc>
        <w:tc>
          <w:tcPr>
            <w:tcW w:w="1890" w:type="dxa"/>
          </w:tcPr>
          <w:p w14:paraId="411B38BF" w14:textId="15EE0DE1" w:rsidR="00602860" w:rsidRPr="001306CA" w:rsidRDefault="00FF681E" w:rsidP="008F6F0A">
            <w:pPr>
              <w:rPr>
                <w:sz w:val="19"/>
                <w:szCs w:val="19"/>
              </w:rPr>
            </w:pPr>
            <w:r w:rsidRPr="001306CA">
              <w:rPr>
                <w:sz w:val="19"/>
                <w:szCs w:val="19"/>
              </w:rPr>
              <w:t>Brown &amp;Lee (2023); Gonzalez &amp; Alvarez (2023)</w:t>
            </w:r>
          </w:p>
        </w:tc>
      </w:tr>
      <w:tr w:rsidR="004F383A" w:rsidRPr="001306CA" w14:paraId="481EB11C" w14:textId="77777777" w:rsidTr="001464C6">
        <w:tc>
          <w:tcPr>
            <w:tcW w:w="590" w:type="dxa"/>
          </w:tcPr>
          <w:p w14:paraId="7FD91532" w14:textId="627F003C" w:rsidR="004F383A" w:rsidRPr="001306CA" w:rsidRDefault="004F383A" w:rsidP="004F383A">
            <w:pPr>
              <w:rPr>
                <w:sz w:val="19"/>
                <w:szCs w:val="19"/>
              </w:rPr>
            </w:pPr>
            <w:r w:rsidRPr="001306CA">
              <w:rPr>
                <w:sz w:val="19"/>
                <w:szCs w:val="19"/>
              </w:rPr>
              <w:t>2</w:t>
            </w:r>
          </w:p>
        </w:tc>
        <w:tc>
          <w:tcPr>
            <w:tcW w:w="1835" w:type="dxa"/>
          </w:tcPr>
          <w:p w14:paraId="460F0AE9" w14:textId="742554B7" w:rsidR="004F383A" w:rsidRPr="001306CA" w:rsidRDefault="004F383A" w:rsidP="004F383A">
            <w:pPr>
              <w:rPr>
                <w:sz w:val="19"/>
                <w:szCs w:val="19"/>
              </w:rPr>
            </w:pPr>
            <w:r w:rsidRPr="001306CA">
              <w:rPr>
                <w:sz w:val="19"/>
                <w:szCs w:val="19"/>
              </w:rPr>
              <w:t>Expenditure on Pollution Control (EXPC) (Independent)</w:t>
            </w:r>
          </w:p>
        </w:tc>
        <w:tc>
          <w:tcPr>
            <w:tcW w:w="2966" w:type="dxa"/>
          </w:tcPr>
          <w:p w14:paraId="4A226E47" w14:textId="572FDA5A" w:rsidR="004F383A" w:rsidRPr="001306CA" w:rsidRDefault="004F383A" w:rsidP="004F383A">
            <w:pPr>
              <w:rPr>
                <w:sz w:val="19"/>
                <w:szCs w:val="19"/>
              </w:rPr>
            </w:pPr>
            <w:r w:rsidRPr="001306CA">
              <w:rPr>
                <w:sz w:val="19"/>
                <w:szCs w:val="19"/>
              </w:rPr>
              <w:t>Financial resources allocated to technologies, systems, and processes designed to reduce, manage, or eliminate pollutants from production and operational activities.</w:t>
            </w:r>
          </w:p>
        </w:tc>
        <w:tc>
          <w:tcPr>
            <w:tcW w:w="2704" w:type="dxa"/>
          </w:tcPr>
          <w:p w14:paraId="61D8A1DC" w14:textId="77777777" w:rsidR="004F383A" w:rsidRPr="001306CA" w:rsidRDefault="004F383A" w:rsidP="004F383A">
            <w:pPr>
              <w:rPr>
                <w:sz w:val="19"/>
                <w:szCs w:val="19"/>
              </w:rPr>
            </w:pPr>
            <w:r w:rsidRPr="001306CA">
              <w:rPr>
                <w:sz w:val="19"/>
                <w:szCs w:val="19"/>
              </w:rPr>
              <w:t xml:space="preserve">Natural log of the total costs spending on pollution control measures, including installation and maintenance of equipment, as detailed in environmental management accounts. </w:t>
            </w:r>
          </w:p>
          <w:p w14:paraId="25ED6745" w14:textId="77777777" w:rsidR="004F383A" w:rsidRPr="001306CA" w:rsidRDefault="004F383A" w:rsidP="004F383A">
            <w:pPr>
              <w:rPr>
                <w:sz w:val="19"/>
                <w:szCs w:val="19"/>
              </w:rPr>
            </w:pPr>
          </w:p>
        </w:tc>
        <w:tc>
          <w:tcPr>
            <w:tcW w:w="1890" w:type="dxa"/>
          </w:tcPr>
          <w:p w14:paraId="1F9F94DD" w14:textId="4EC655BB" w:rsidR="004F383A" w:rsidRPr="001306CA" w:rsidRDefault="004F383A" w:rsidP="004F383A">
            <w:pPr>
              <w:rPr>
                <w:sz w:val="19"/>
                <w:szCs w:val="19"/>
              </w:rPr>
            </w:pPr>
            <w:r w:rsidRPr="001306CA">
              <w:rPr>
                <w:sz w:val="19"/>
                <w:szCs w:val="19"/>
              </w:rPr>
              <w:t>Jones &amp; Clark (2023); Roberts &amp;Wang (2023)</w:t>
            </w:r>
          </w:p>
        </w:tc>
      </w:tr>
      <w:tr w:rsidR="001464C6" w:rsidRPr="001306CA" w14:paraId="047EAA57" w14:textId="77777777" w:rsidTr="001464C6">
        <w:tc>
          <w:tcPr>
            <w:tcW w:w="590" w:type="dxa"/>
          </w:tcPr>
          <w:p w14:paraId="298723FC" w14:textId="4249EBFF" w:rsidR="001464C6" w:rsidRPr="001306CA" w:rsidRDefault="001464C6" w:rsidP="001464C6">
            <w:pPr>
              <w:rPr>
                <w:sz w:val="19"/>
                <w:szCs w:val="19"/>
              </w:rPr>
            </w:pPr>
            <w:r w:rsidRPr="001306CA">
              <w:rPr>
                <w:sz w:val="19"/>
                <w:szCs w:val="19"/>
              </w:rPr>
              <w:t>3</w:t>
            </w:r>
          </w:p>
        </w:tc>
        <w:tc>
          <w:tcPr>
            <w:tcW w:w="1835" w:type="dxa"/>
          </w:tcPr>
          <w:p w14:paraId="22A3F1E8" w14:textId="77777777" w:rsidR="001464C6" w:rsidRPr="001306CA" w:rsidRDefault="001464C6" w:rsidP="001464C6">
            <w:pPr>
              <w:rPr>
                <w:sz w:val="19"/>
                <w:szCs w:val="19"/>
              </w:rPr>
            </w:pPr>
            <w:r w:rsidRPr="001306CA">
              <w:rPr>
                <w:sz w:val="19"/>
                <w:szCs w:val="19"/>
              </w:rPr>
              <w:t>Green Research and Development Expenditure (GRDE) (Independent)</w:t>
            </w:r>
          </w:p>
          <w:p w14:paraId="407C3F42" w14:textId="77777777" w:rsidR="001464C6" w:rsidRPr="001306CA" w:rsidRDefault="001464C6" w:rsidP="001464C6">
            <w:pPr>
              <w:rPr>
                <w:sz w:val="19"/>
                <w:szCs w:val="19"/>
              </w:rPr>
            </w:pPr>
          </w:p>
        </w:tc>
        <w:tc>
          <w:tcPr>
            <w:tcW w:w="2966" w:type="dxa"/>
          </w:tcPr>
          <w:p w14:paraId="7993901A" w14:textId="068406B5" w:rsidR="001464C6" w:rsidRPr="001306CA" w:rsidRDefault="001464C6" w:rsidP="001464C6">
            <w:pPr>
              <w:rPr>
                <w:sz w:val="19"/>
                <w:szCs w:val="19"/>
              </w:rPr>
            </w:pPr>
            <w:r w:rsidRPr="001306CA">
              <w:rPr>
                <w:sz w:val="19"/>
                <w:szCs w:val="19"/>
              </w:rPr>
              <w:t>Investment in research and development activities focused on creating environmentally friendly products, processes, or technologies that promote sustainability.</w:t>
            </w:r>
          </w:p>
        </w:tc>
        <w:tc>
          <w:tcPr>
            <w:tcW w:w="2704" w:type="dxa"/>
          </w:tcPr>
          <w:p w14:paraId="120214CA" w14:textId="77777777" w:rsidR="001464C6" w:rsidRPr="001306CA" w:rsidRDefault="001464C6" w:rsidP="001464C6">
            <w:pPr>
              <w:rPr>
                <w:sz w:val="19"/>
                <w:szCs w:val="19"/>
              </w:rPr>
            </w:pPr>
            <w:r w:rsidRPr="001306CA">
              <w:rPr>
                <w:sz w:val="19"/>
                <w:szCs w:val="19"/>
              </w:rPr>
              <w:t>Measured by the proportion of R&amp;D budget allocated to green initiatives, as indicated in the company's R&amp;D expenditure reports or sustainability disclosures.</w:t>
            </w:r>
          </w:p>
          <w:p w14:paraId="2D0C4070" w14:textId="77777777" w:rsidR="001464C6" w:rsidRPr="001306CA" w:rsidRDefault="001464C6" w:rsidP="001464C6">
            <w:pPr>
              <w:rPr>
                <w:sz w:val="19"/>
                <w:szCs w:val="19"/>
              </w:rPr>
            </w:pPr>
          </w:p>
        </w:tc>
        <w:tc>
          <w:tcPr>
            <w:tcW w:w="1890" w:type="dxa"/>
          </w:tcPr>
          <w:p w14:paraId="4A10E06E" w14:textId="74E44459" w:rsidR="001464C6" w:rsidRPr="001306CA" w:rsidRDefault="001464C6" w:rsidP="001464C6">
            <w:pPr>
              <w:rPr>
                <w:sz w:val="19"/>
                <w:szCs w:val="19"/>
              </w:rPr>
            </w:pPr>
            <w:r w:rsidRPr="001306CA">
              <w:rPr>
                <w:sz w:val="19"/>
                <w:szCs w:val="19"/>
              </w:rPr>
              <w:t>Patel &amp; Kumar (2022); Akinola &amp; Nwachukwu (2023)</w:t>
            </w:r>
          </w:p>
        </w:tc>
      </w:tr>
      <w:tr w:rsidR="001464C6" w:rsidRPr="001306CA" w14:paraId="14B535C6" w14:textId="77777777" w:rsidTr="001464C6">
        <w:tc>
          <w:tcPr>
            <w:tcW w:w="590" w:type="dxa"/>
            <w:tcBorders>
              <w:bottom w:val="nil"/>
            </w:tcBorders>
          </w:tcPr>
          <w:p w14:paraId="1CD11267" w14:textId="05D65E83" w:rsidR="001464C6" w:rsidRPr="001306CA" w:rsidRDefault="001464C6" w:rsidP="001464C6">
            <w:pPr>
              <w:rPr>
                <w:sz w:val="19"/>
                <w:szCs w:val="19"/>
              </w:rPr>
            </w:pPr>
            <w:r w:rsidRPr="001306CA">
              <w:rPr>
                <w:sz w:val="19"/>
                <w:szCs w:val="19"/>
              </w:rPr>
              <w:t>4</w:t>
            </w:r>
          </w:p>
        </w:tc>
        <w:tc>
          <w:tcPr>
            <w:tcW w:w="1835" w:type="dxa"/>
            <w:tcBorders>
              <w:bottom w:val="nil"/>
            </w:tcBorders>
          </w:tcPr>
          <w:p w14:paraId="1BBBCAB8" w14:textId="3C3AA3FA" w:rsidR="001464C6" w:rsidRPr="001306CA" w:rsidRDefault="001464C6" w:rsidP="001464C6">
            <w:pPr>
              <w:rPr>
                <w:sz w:val="19"/>
                <w:szCs w:val="19"/>
              </w:rPr>
            </w:pPr>
            <w:r w:rsidRPr="001306CA">
              <w:rPr>
                <w:sz w:val="19"/>
                <w:szCs w:val="19"/>
              </w:rPr>
              <w:t>Environmental Certification and Compliance Cost (ECCC) (Independent)</w:t>
            </w:r>
          </w:p>
          <w:p w14:paraId="0E5CAB65" w14:textId="77777777" w:rsidR="001464C6" w:rsidRPr="001306CA" w:rsidRDefault="001464C6" w:rsidP="001464C6">
            <w:pPr>
              <w:rPr>
                <w:sz w:val="19"/>
                <w:szCs w:val="19"/>
              </w:rPr>
            </w:pPr>
          </w:p>
        </w:tc>
        <w:tc>
          <w:tcPr>
            <w:tcW w:w="2966" w:type="dxa"/>
            <w:tcBorders>
              <w:bottom w:val="nil"/>
            </w:tcBorders>
          </w:tcPr>
          <w:p w14:paraId="1427FE29" w14:textId="13EF319A" w:rsidR="001464C6" w:rsidRPr="001306CA" w:rsidRDefault="001464C6" w:rsidP="001464C6">
            <w:pPr>
              <w:rPr>
                <w:sz w:val="19"/>
                <w:szCs w:val="19"/>
              </w:rPr>
            </w:pPr>
            <w:r w:rsidRPr="001306CA">
              <w:rPr>
                <w:sz w:val="19"/>
                <w:szCs w:val="19"/>
              </w:rPr>
              <w:t>Expenses incurred to obtain environmental certifications (e.g., ISO 14001) and to ensure adherence to environmental regulations and standards.</w:t>
            </w:r>
          </w:p>
        </w:tc>
        <w:tc>
          <w:tcPr>
            <w:tcW w:w="2704" w:type="dxa"/>
            <w:tcBorders>
              <w:bottom w:val="nil"/>
            </w:tcBorders>
          </w:tcPr>
          <w:p w14:paraId="22B1465A" w14:textId="06AB5A6A" w:rsidR="001464C6" w:rsidRPr="001306CA" w:rsidRDefault="001464C6" w:rsidP="001464C6">
            <w:pPr>
              <w:rPr>
                <w:sz w:val="19"/>
                <w:szCs w:val="19"/>
              </w:rPr>
            </w:pPr>
            <w:r w:rsidRPr="001306CA">
              <w:rPr>
                <w:sz w:val="19"/>
                <w:szCs w:val="19"/>
              </w:rPr>
              <w:t>Natural log of all the total costs associated with certification processes, compliance audits, and related administrative activities within the reporting period.</w:t>
            </w:r>
          </w:p>
          <w:p w14:paraId="5D4E34C6" w14:textId="7D8A08AB" w:rsidR="001464C6" w:rsidRPr="001306CA" w:rsidRDefault="001464C6" w:rsidP="001464C6">
            <w:pPr>
              <w:rPr>
                <w:sz w:val="19"/>
                <w:szCs w:val="19"/>
              </w:rPr>
            </w:pPr>
          </w:p>
        </w:tc>
        <w:tc>
          <w:tcPr>
            <w:tcW w:w="1890" w:type="dxa"/>
            <w:tcBorders>
              <w:bottom w:val="nil"/>
            </w:tcBorders>
          </w:tcPr>
          <w:p w14:paraId="1C4B6D85" w14:textId="1E1FAE0A" w:rsidR="001464C6" w:rsidRPr="001306CA" w:rsidRDefault="001464C6" w:rsidP="001464C6">
            <w:pPr>
              <w:rPr>
                <w:sz w:val="19"/>
                <w:szCs w:val="19"/>
              </w:rPr>
            </w:pPr>
            <w:r w:rsidRPr="001306CA">
              <w:rPr>
                <w:sz w:val="19"/>
                <w:szCs w:val="19"/>
              </w:rPr>
              <w:t>Munyua &amp; Ochieng (2021); Cheng &amp; Zhao (2023)</w:t>
            </w:r>
          </w:p>
        </w:tc>
      </w:tr>
      <w:tr w:rsidR="001464C6" w:rsidRPr="001306CA" w14:paraId="146BD20E" w14:textId="77777777" w:rsidTr="001464C6">
        <w:tc>
          <w:tcPr>
            <w:tcW w:w="590" w:type="dxa"/>
            <w:tcBorders>
              <w:top w:val="nil"/>
              <w:bottom w:val="single" w:sz="4" w:space="0" w:color="auto"/>
            </w:tcBorders>
          </w:tcPr>
          <w:p w14:paraId="2CBF3748" w14:textId="510E17EA" w:rsidR="001464C6" w:rsidRPr="001306CA" w:rsidRDefault="001464C6" w:rsidP="001464C6">
            <w:pPr>
              <w:rPr>
                <w:sz w:val="19"/>
                <w:szCs w:val="19"/>
              </w:rPr>
            </w:pPr>
            <w:r w:rsidRPr="001306CA">
              <w:rPr>
                <w:sz w:val="19"/>
                <w:szCs w:val="19"/>
              </w:rPr>
              <w:t>5</w:t>
            </w:r>
          </w:p>
        </w:tc>
        <w:tc>
          <w:tcPr>
            <w:tcW w:w="1835" w:type="dxa"/>
            <w:tcBorders>
              <w:top w:val="nil"/>
              <w:bottom w:val="single" w:sz="4" w:space="0" w:color="auto"/>
            </w:tcBorders>
          </w:tcPr>
          <w:p w14:paraId="3EB899C0" w14:textId="2E6F35BB" w:rsidR="001464C6" w:rsidRPr="001306CA" w:rsidRDefault="001464C6" w:rsidP="001464C6">
            <w:pPr>
              <w:rPr>
                <w:b/>
                <w:bCs/>
                <w:sz w:val="19"/>
                <w:szCs w:val="19"/>
              </w:rPr>
            </w:pPr>
            <w:r w:rsidRPr="001306CA">
              <w:rPr>
                <w:bCs/>
                <w:sz w:val="19"/>
                <w:szCs w:val="19"/>
              </w:rPr>
              <w:t xml:space="preserve">Market Value Added (MKVA) </w:t>
            </w:r>
            <w:r w:rsidRPr="001306CA">
              <w:rPr>
                <w:sz w:val="19"/>
                <w:szCs w:val="19"/>
              </w:rPr>
              <w:t>(Dependent)</w:t>
            </w:r>
          </w:p>
        </w:tc>
        <w:tc>
          <w:tcPr>
            <w:tcW w:w="2966" w:type="dxa"/>
            <w:tcBorders>
              <w:top w:val="nil"/>
              <w:bottom w:val="single" w:sz="4" w:space="0" w:color="auto"/>
            </w:tcBorders>
          </w:tcPr>
          <w:p w14:paraId="4AEF375C" w14:textId="32AF74B1" w:rsidR="001464C6" w:rsidRPr="001306CA" w:rsidRDefault="001464C6" w:rsidP="001464C6">
            <w:pPr>
              <w:rPr>
                <w:b/>
                <w:bCs/>
                <w:sz w:val="19"/>
                <w:szCs w:val="19"/>
              </w:rPr>
            </w:pPr>
            <w:r w:rsidRPr="001306CA">
              <w:rPr>
                <w:sz w:val="19"/>
                <w:szCs w:val="19"/>
                <w:shd w:val="clear" w:color="auto" w:fill="FFFFFF"/>
              </w:rPr>
              <w:t>A financial metric that represents the difference between the market value of a company and the capital contributed by investors, indicating the value created beyond the invested capital.</w:t>
            </w:r>
          </w:p>
        </w:tc>
        <w:tc>
          <w:tcPr>
            <w:tcW w:w="2704" w:type="dxa"/>
            <w:tcBorders>
              <w:top w:val="nil"/>
              <w:bottom w:val="single" w:sz="4" w:space="0" w:color="auto"/>
            </w:tcBorders>
          </w:tcPr>
          <w:p w14:paraId="562BB1BE" w14:textId="506022CD" w:rsidR="001464C6" w:rsidRPr="001306CA" w:rsidRDefault="001464C6" w:rsidP="001464C6">
            <w:pPr>
              <w:rPr>
                <w:b/>
                <w:bCs/>
                <w:sz w:val="19"/>
                <w:szCs w:val="19"/>
              </w:rPr>
            </w:pPr>
            <w:r w:rsidRPr="001306CA">
              <w:rPr>
                <w:sz w:val="19"/>
                <w:szCs w:val="19"/>
              </w:rPr>
              <w:t xml:space="preserve">Natural log of </w:t>
            </w:r>
            <w:r w:rsidRPr="001306CA">
              <w:rPr>
                <w:sz w:val="19"/>
                <w:szCs w:val="19"/>
                <w:shd w:val="clear" w:color="auto" w:fill="FFFFFF"/>
              </w:rPr>
              <w:t xml:space="preserve">the difference between the company's total market value (equity and debt) and the total capital invested by shareholders and debt holders. </w:t>
            </w:r>
          </w:p>
        </w:tc>
        <w:tc>
          <w:tcPr>
            <w:tcW w:w="1890" w:type="dxa"/>
            <w:tcBorders>
              <w:top w:val="nil"/>
              <w:bottom w:val="single" w:sz="4" w:space="0" w:color="auto"/>
            </w:tcBorders>
          </w:tcPr>
          <w:p w14:paraId="654EA063" w14:textId="5A059245" w:rsidR="001464C6" w:rsidRPr="001306CA" w:rsidRDefault="001464C6" w:rsidP="001464C6">
            <w:pPr>
              <w:rPr>
                <w:sz w:val="19"/>
                <w:szCs w:val="19"/>
              </w:rPr>
            </w:pPr>
            <w:r w:rsidRPr="001306CA">
              <w:rPr>
                <w:sz w:val="19"/>
                <w:szCs w:val="19"/>
              </w:rPr>
              <w:t xml:space="preserve">Pandya (2023); Babu &amp; de </w:t>
            </w:r>
            <w:proofErr w:type="spellStart"/>
            <w:r w:rsidRPr="001306CA">
              <w:rPr>
                <w:sz w:val="19"/>
                <w:szCs w:val="19"/>
              </w:rPr>
              <w:t>Rozari</w:t>
            </w:r>
            <w:proofErr w:type="spellEnd"/>
            <w:r w:rsidRPr="001306CA">
              <w:rPr>
                <w:sz w:val="19"/>
                <w:szCs w:val="19"/>
              </w:rPr>
              <w:t xml:space="preserve"> (2024)</w:t>
            </w:r>
          </w:p>
        </w:tc>
      </w:tr>
    </w:tbl>
    <w:p w14:paraId="688C73B7" w14:textId="0448EFAD" w:rsidR="00602860" w:rsidRPr="001306CA" w:rsidRDefault="00602860" w:rsidP="00C75315">
      <w:pPr>
        <w:rPr>
          <w:b/>
          <w:bCs/>
          <w:sz w:val="19"/>
          <w:szCs w:val="19"/>
        </w:rPr>
      </w:pPr>
      <w:r w:rsidRPr="001306CA">
        <w:rPr>
          <w:b/>
          <w:bCs/>
          <w:sz w:val="19"/>
          <w:szCs w:val="19"/>
        </w:rPr>
        <w:t xml:space="preserve">Source: </w:t>
      </w:r>
      <w:r w:rsidR="00BA4B28" w:rsidRPr="001306CA">
        <w:rPr>
          <w:b/>
          <w:bCs/>
          <w:sz w:val="19"/>
          <w:szCs w:val="19"/>
        </w:rPr>
        <w:t>Researchers</w:t>
      </w:r>
      <w:r w:rsidRPr="001306CA">
        <w:rPr>
          <w:b/>
          <w:bCs/>
          <w:sz w:val="19"/>
          <w:szCs w:val="19"/>
        </w:rPr>
        <w:t>’ Compilation (202</w:t>
      </w:r>
      <w:r w:rsidR="007924F7" w:rsidRPr="001306CA">
        <w:rPr>
          <w:b/>
          <w:bCs/>
          <w:sz w:val="19"/>
          <w:szCs w:val="19"/>
        </w:rPr>
        <w:t>5</w:t>
      </w:r>
      <w:r w:rsidRPr="001306CA">
        <w:rPr>
          <w:b/>
          <w:bCs/>
          <w:sz w:val="19"/>
          <w:szCs w:val="19"/>
        </w:rPr>
        <w:t>).</w:t>
      </w:r>
    </w:p>
    <w:p w14:paraId="351BF5C6" w14:textId="3A29A5F8" w:rsidR="003F70A4" w:rsidRDefault="006F10A3" w:rsidP="003F70A4">
      <w:pPr>
        <w:autoSpaceDE w:val="0"/>
        <w:autoSpaceDN w:val="0"/>
        <w:adjustRightInd w:val="0"/>
        <w:spacing w:line="360" w:lineRule="auto"/>
        <w:ind w:left="1260" w:hanging="1260"/>
        <w:jc w:val="both"/>
        <w:rPr>
          <w:b/>
        </w:rPr>
      </w:pPr>
      <w:r w:rsidRPr="008D7A52">
        <w:rPr>
          <w:b/>
        </w:rPr>
        <w:lastRenderedPageBreak/>
        <w:t>4</w:t>
      </w:r>
      <w:r w:rsidR="003F70A4" w:rsidRPr="008D7A52">
        <w:rPr>
          <w:b/>
        </w:rPr>
        <w:t xml:space="preserve">. </w:t>
      </w:r>
      <w:r w:rsidR="003F70A4" w:rsidRPr="008D7A52">
        <w:rPr>
          <w:b/>
        </w:rPr>
        <w:tab/>
        <w:t xml:space="preserve">Data Analysis and Discussion of Findings </w:t>
      </w:r>
    </w:p>
    <w:p w14:paraId="0CB089C5" w14:textId="77777777" w:rsidR="003F70A4" w:rsidRDefault="003F70A4" w:rsidP="003F70A4">
      <w:pPr>
        <w:autoSpaceDE w:val="0"/>
        <w:autoSpaceDN w:val="0"/>
        <w:adjustRightInd w:val="0"/>
        <w:spacing w:line="360" w:lineRule="auto"/>
        <w:ind w:left="1260" w:hanging="1260"/>
        <w:jc w:val="both"/>
        <w:rPr>
          <w:b/>
        </w:rPr>
      </w:pPr>
      <w:r w:rsidRPr="008D7A52">
        <w:rPr>
          <w:b/>
        </w:rPr>
        <w:t>4.1</w:t>
      </w:r>
      <w:r w:rsidRPr="008D7A52">
        <w:rPr>
          <w:b/>
        </w:rPr>
        <w:tab/>
        <w:t>Descriptive Statistics</w:t>
      </w:r>
    </w:p>
    <w:p w14:paraId="7C96C1F6" w14:textId="77777777" w:rsidR="000752C1" w:rsidRPr="008D7A52" w:rsidRDefault="000752C1" w:rsidP="000752C1">
      <w:pPr>
        <w:pStyle w:val="root-block-node"/>
        <w:spacing w:before="0" w:beforeAutospacing="0" w:after="0" w:afterAutospacing="0" w:line="360" w:lineRule="auto"/>
        <w:jc w:val="both"/>
        <w:rPr>
          <w:b/>
          <w:lang w:val="en-GB"/>
        </w:rPr>
      </w:pPr>
      <w:r w:rsidRPr="008D7A52">
        <w:rPr>
          <w:b/>
          <w:lang w:val="en-GB"/>
        </w:rPr>
        <w:t>Table 3: Descriptive Statistics</w:t>
      </w:r>
    </w:p>
    <w:tbl>
      <w:tblPr>
        <w:tblW w:w="7906" w:type="dxa"/>
        <w:tblBorders>
          <w:top w:val="single" w:sz="4" w:space="0" w:color="auto"/>
        </w:tblBorders>
        <w:tblLook w:val="04A0" w:firstRow="1" w:lastRow="0" w:firstColumn="1" w:lastColumn="0" w:noHBand="0" w:noVBand="1"/>
      </w:tblPr>
      <w:tblGrid>
        <w:gridCol w:w="1436"/>
        <w:gridCol w:w="1294"/>
        <w:gridCol w:w="1294"/>
        <w:gridCol w:w="1294"/>
        <w:gridCol w:w="1294"/>
        <w:gridCol w:w="1294"/>
      </w:tblGrid>
      <w:tr w:rsidR="000752C1" w:rsidRPr="008D7A52" w14:paraId="17878077" w14:textId="77777777" w:rsidTr="00C478F6">
        <w:trPr>
          <w:trHeight w:val="413"/>
        </w:trPr>
        <w:tc>
          <w:tcPr>
            <w:tcW w:w="1436" w:type="dxa"/>
            <w:tcBorders>
              <w:top w:val="single" w:sz="4" w:space="0" w:color="auto"/>
              <w:bottom w:val="single" w:sz="4" w:space="0" w:color="auto"/>
            </w:tcBorders>
            <w:noWrap/>
            <w:vAlign w:val="bottom"/>
            <w:hideMark/>
          </w:tcPr>
          <w:p w14:paraId="3E9BFA92" w14:textId="77777777" w:rsidR="000752C1" w:rsidRPr="008D7A52" w:rsidRDefault="000752C1" w:rsidP="00C478F6">
            <w:pPr>
              <w:rPr>
                <w:b/>
                <w:bCs/>
              </w:rPr>
            </w:pPr>
            <w:r w:rsidRPr="008D7A52">
              <w:rPr>
                <w:b/>
                <w:bCs/>
              </w:rPr>
              <w:t>Stats</w:t>
            </w:r>
          </w:p>
        </w:tc>
        <w:tc>
          <w:tcPr>
            <w:tcW w:w="1294" w:type="dxa"/>
            <w:tcBorders>
              <w:top w:val="single" w:sz="4" w:space="0" w:color="auto"/>
              <w:bottom w:val="single" w:sz="4" w:space="0" w:color="auto"/>
            </w:tcBorders>
            <w:noWrap/>
            <w:vAlign w:val="bottom"/>
            <w:hideMark/>
          </w:tcPr>
          <w:p w14:paraId="00E884CA" w14:textId="77777777" w:rsidR="000752C1" w:rsidRPr="008D7A52" w:rsidRDefault="000752C1" w:rsidP="00C478F6">
            <w:pPr>
              <w:jc w:val="center"/>
            </w:pPr>
            <w:r w:rsidRPr="008D7A52">
              <w:t>MVA</w:t>
            </w:r>
          </w:p>
        </w:tc>
        <w:tc>
          <w:tcPr>
            <w:tcW w:w="1294" w:type="dxa"/>
            <w:tcBorders>
              <w:top w:val="single" w:sz="4" w:space="0" w:color="auto"/>
              <w:bottom w:val="single" w:sz="4" w:space="0" w:color="auto"/>
            </w:tcBorders>
            <w:noWrap/>
            <w:vAlign w:val="bottom"/>
            <w:hideMark/>
          </w:tcPr>
          <w:p w14:paraId="733AF360" w14:textId="77777777" w:rsidR="000752C1" w:rsidRPr="008D7A52" w:rsidRDefault="000752C1" w:rsidP="00C478F6">
            <w:pPr>
              <w:jc w:val="center"/>
            </w:pPr>
            <w:r w:rsidRPr="008D7A52">
              <w:t>INRE</w:t>
            </w:r>
          </w:p>
        </w:tc>
        <w:tc>
          <w:tcPr>
            <w:tcW w:w="1294" w:type="dxa"/>
            <w:tcBorders>
              <w:top w:val="single" w:sz="4" w:space="0" w:color="auto"/>
              <w:bottom w:val="single" w:sz="4" w:space="0" w:color="auto"/>
            </w:tcBorders>
            <w:noWrap/>
            <w:vAlign w:val="bottom"/>
            <w:hideMark/>
          </w:tcPr>
          <w:p w14:paraId="37979A58" w14:textId="77777777" w:rsidR="000752C1" w:rsidRPr="008D7A52" w:rsidRDefault="000752C1" w:rsidP="00C478F6">
            <w:pPr>
              <w:jc w:val="center"/>
            </w:pPr>
            <w:r w:rsidRPr="008D7A52">
              <w:t>EXPC</w:t>
            </w:r>
          </w:p>
        </w:tc>
        <w:tc>
          <w:tcPr>
            <w:tcW w:w="1294" w:type="dxa"/>
            <w:tcBorders>
              <w:top w:val="single" w:sz="4" w:space="0" w:color="auto"/>
              <w:bottom w:val="single" w:sz="4" w:space="0" w:color="auto"/>
            </w:tcBorders>
            <w:noWrap/>
            <w:vAlign w:val="bottom"/>
            <w:hideMark/>
          </w:tcPr>
          <w:p w14:paraId="4E08F9B6" w14:textId="77777777" w:rsidR="000752C1" w:rsidRPr="008D7A52" w:rsidRDefault="000752C1" w:rsidP="00C478F6">
            <w:pPr>
              <w:jc w:val="center"/>
            </w:pPr>
            <w:r w:rsidRPr="008D7A52">
              <w:t>GRDE</w:t>
            </w:r>
          </w:p>
        </w:tc>
        <w:tc>
          <w:tcPr>
            <w:tcW w:w="1294" w:type="dxa"/>
            <w:tcBorders>
              <w:top w:val="single" w:sz="4" w:space="0" w:color="auto"/>
              <w:bottom w:val="single" w:sz="4" w:space="0" w:color="auto"/>
            </w:tcBorders>
            <w:noWrap/>
            <w:vAlign w:val="bottom"/>
            <w:hideMark/>
          </w:tcPr>
          <w:p w14:paraId="4960897E" w14:textId="77777777" w:rsidR="000752C1" w:rsidRPr="008D7A52" w:rsidRDefault="000752C1" w:rsidP="00C478F6">
            <w:pPr>
              <w:jc w:val="center"/>
            </w:pPr>
            <w:r w:rsidRPr="008D7A52">
              <w:t>ECCC</w:t>
            </w:r>
          </w:p>
        </w:tc>
      </w:tr>
      <w:tr w:rsidR="000752C1" w:rsidRPr="008D7A52" w14:paraId="348FCFE0" w14:textId="77777777" w:rsidTr="00C478F6">
        <w:trPr>
          <w:trHeight w:val="323"/>
        </w:trPr>
        <w:tc>
          <w:tcPr>
            <w:tcW w:w="1436" w:type="dxa"/>
            <w:tcBorders>
              <w:top w:val="single" w:sz="4" w:space="0" w:color="auto"/>
            </w:tcBorders>
            <w:noWrap/>
            <w:vAlign w:val="bottom"/>
            <w:hideMark/>
          </w:tcPr>
          <w:p w14:paraId="445818F7" w14:textId="77777777" w:rsidR="000752C1" w:rsidRPr="008D7A52" w:rsidRDefault="000752C1" w:rsidP="00C478F6">
            <w:r w:rsidRPr="008D7A52">
              <w:t>Mean</w:t>
            </w:r>
          </w:p>
        </w:tc>
        <w:tc>
          <w:tcPr>
            <w:tcW w:w="1294" w:type="dxa"/>
            <w:tcBorders>
              <w:top w:val="single" w:sz="4" w:space="0" w:color="auto"/>
            </w:tcBorders>
            <w:noWrap/>
            <w:vAlign w:val="bottom"/>
            <w:hideMark/>
          </w:tcPr>
          <w:p w14:paraId="02C29D5E" w14:textId="77777777" w:rsidR="000752C1" w:rsidRPr="008D7A52" w:rsidRDefault="000752C1" w:rsidP="00C478F6">
            <w:pPr>
              <w:jc w:val="center"/>
            </w:pPr>
            <w:r w:rsidRPr="008D7A52">
              <w:t>4.489</w:t>
            </w:r>
          </w:p>
        </w:tc>
        <w:tc>
          <w:tcPr>
            <w:tcW w:w="1294" w:type="dxa"/>
            <w:tcBorders>
              <w:top w:val="single" w:sz="4" w:space="0" w:color="auto"/>
            </w:tcBorders>
            <w:noWrap/>
            <w:vAlign w:val="bottom"/>
            <w:hideMark/>
          </w:tcPr>
          <w:p w14:paraId="7F1BC642" w14:textId="77777777" w:rsidR="000752C1" w:rsidRPr="008D7A52" w:rsidRDefault="000752C1" w:rsidP="00C478F6">
            <w:pPr>
              <w:jc w:val="center"/>
            </w:pPr>
            <w:r w:rsidRPr="008D7A52">
              <w:t>5.276</w:t>
            </w:r>
          </w:p>
        </w:tc>
        <w:tc>
          <w:tcPr>
            <w:tcW w:w="1294" w:type="dxa"/>
            <w:tcBorders>
              <w:top w:val="single" w:sz="4" w:space="0" w:color="auto"/>
            </w:tcBorders>
            <w:noWrap/>
            <w:vAlign w:val="bottom"/>
            <w:hideMark/>
          </w:tcPr>
          <w:p w14:paraId="6791CB23" w14:textId="77777777" w:rsidR="000752C1" w:rsidRPr="008D7A52" w:rsidRDefault="000752C1" w:rsidP="00C478F6">
            <w:pPr>
              <w:jc w:val="center"/>
            </w:pPr>
            <w:r w:rsidRPr="008D7A52">
              <w:t>1.876</w:t>
            </w:r>
          </w:p>
        </w:tc>
        <w:tc>
          <w:tcPr>
            <w:tcW w:w="1294" w:type="dxa"/>
            <w:tcBorders>
              <w:top w:val="single" w:sz="4" w:space="0" w:color="auto"/>
            </w:tcBorders>
            <w:noWrap/>
            <w:vAlign w:val="bottom"/>
            <w:hideMark/>
          </w:tcPr>
          <w:p w14:paraId="5F2AE38A" w14:textId="77777777" w:rsidR="000752C1" w:rsidRPr="008D7A52" w:rsidRDefault="000752C1" w:rsidP="00C478F6">
            <w:pPr>
              <w:jc w:val="center"/>
            </w:pPr>
            <w:r w:rsidRPr="008D7A52">
              <w:t>4.460</w:t>
            </w:r>
          </w:p>
        </w:tc>
        <w:tc>
          <w:tcPr>
            <w:tcW w:w="1294" w:type="dxa"/>
            <w:tcBorders>
              <w:top w:val="single" w:sz="4" w:space="0" w:color="auto"/>
            </w:tcBorders>
            <w:noWrap/>
            <w:vAlign w:val="bottom"/>
            <w:hideMark/>
          </w:tcPr>
          <w:p w14:paraId="0B681F92" w14:textId="77777777" w:rsidR="000752C1" w:rsidRPr="008D7A52" w:rsidRDefault="000752C1" w:rsidP="00C478F6">
            <w:pPr>
              <w:jc w:val="center"/>
            </w:pPr>
            <w:r w:rsidRPr="008D7A52">
              <w:t>0.332</w:t>
            </w:r>
          </w:p>
        </w:tc>
      </w:tr>
      <w:tr w:rsidR="000752C1" w:rsidRPr="008D7A52" w14:paraId="0AFFB115" w14:textId="77777777" w:rsidTr="00C478F6">
        <w:trPr>
          <w:trHeight w:val="323"/>
        </w:trPr>
        <w:tc>
          <w:tcPr>
            <w:tcW w:w="1436" w:type="dxa"/>
            <w:noWrap/>
            <w:vAlign w:val="bottom"/>
            <w:hideMark/>
          </w:tcPr>
          <w:p w14:paraId="0C2681D2" w14:textId="77777777" w:rsidR="000752C1" w:rsidRPr="008D7A52" w:rsidRDefault="000752C1" w:rsidP="00C478F6">
            <w:proofErr w:type="gramStart"/>
            <w:r w:rsidRPr="008D7A52">
              <w:t>S.D</w:t>
            </w:r>
            <w:proofErr w:type="gramEnd"/>
          </w:p>
        </w:tc>
        <w:tc>
          <w:tcPr>
            <w:tcW w:w="1294" w:type="dxa"/>
            <w:noWrap/>
            <w:vAlign w:val="bottom"/>
            <w:hideMark/>
          </w:tcPr>
          <w:p w14:paraId="3C4F06AB" w14:textId="77777777" w:rsidR="000752C1" w:rsidRPr="008D7A52" w:rsidRDefault="000752C1" w:rsidP="00C478F6">
            <w:pPr>
              <w:jc w:val="center"/>
            </w:pPr>
            <w:r w:rsidRPr="008D7A52">
              <w:t>6.962</w:t>
            </w:r>
          </w:p>
        </w:tc>
        <w:tc>
          <w:tcPr>
            <w:tcW w:w="1294" w:type="dxa"/>
            <w:noWrap/>
            <w:vAlign w:val="bottom"/>
            <w:hideMark/>
          </w:tcPr>
          <w:p w14:paraId="3EBF9C7F" w14:textId="77777777" w:rsidR="000752C1" w:rsidRPr="008D7A52" w:rsidRDefault="000752C1" w:rsidP="00C478F6">
            <w:pPr>
              <w:jc w:val="center"/>
            </w:pPr>
            <w:r w:rsidRPr="008D7A52">
              <w:t>1.721</w:t>
            </w:r>
          </w:p>
        </w:tc>
        <w:tc>
          <w:tcPr>
            <w:tcW w:w="1294" w:type="dxa"/>
            <w:noWrap/>
            <w:vAlign w:val="bottom"/>
            <w:hideMark/>
          </w:tcPr>
          <w:p w14:paraId="57E38DD3" w14:textId="77777777" w:rsidR="000752C1" w:rsidRPr="008D7A52" w:rsidRDefault="000752C1" w:rsidP="00C478F6">
            <w:pPr>
              <w:jc w:val="center"/>
            </w:pPr>
            <w:r w:rsidRPr="008D7A52">
              <w:t>2.340</w:t>
            </w:r>
          </w:p>
        </w:tc>
        <w:tc>
          <w:tcPr>
            <w:tcW w:w="1294" w:type="dxa"/>
            <w:noWrap/>
            <w:vAlign w:val="bottom"/>
            <w:hideMark/>
          </w:tcPr>
          <w:p w14:paraId="4FC4C1C0" w14:textId="77777777" w:rsidR="000752C1" w:rsidRPr="008D7A52" w:rsidRDefault="000752C1" w:rsidP="00C478F6">
            <w:pPr>
              <w:jc w:val="center"/>
            </w:pPr>
            <w:r w:rsidRPr="008D7A52">
              <w:t>2.115</w:t>
            </w:r>
          </w:p>
        </w:tc>
        <w:tc>
          <w:tcPr>
            <w:tcW w:w="1294" w:type="dxa"/>
            <w:noWrap/>
            <w:vAlign w:val="bottom"/>
            <w:hideMark/>
          </w:tcPr>
          <w:p w14:paraId="4A49C462" w14:textId="77777777" w:rsidR="000752C1" w:rsidRPr="008D7A52" w:rsidRDefault="000752C1" w:rsidP="00C478F6">
            <w:pPr>
              <w:jc w:val="center"/>
            </w:pPr>
            <w:r w:rsidRPr="008D7A52">
              <w:t>1.207</w:t>
            </w:r>
          </w:p>
        </w:tc>
      </w:tr>
      <w:tr w:rsidR="000752C1" w:rsidRPr="008D7A52" w14:paraId="1CC6225E" w14:textId="77777777" w:rsidTr="00C478F6">
        <w:trPr>
          <w:trHeight w:val="323"/>
        </w:trPr>
        <w:tc>
          <w:tcPr>
            <w:tcW w:w="1436" w:type="dxa"/>
            <w:noWrap/>
            <w:vAlign w:val="bottom"/>
            <w:hideMark/>
          </w:tcPr>
          <w:p w14:paraId="0E391F11" w14:textId="77777777" w:rsidR="000752C1" w:rsidRPr="008D7A52" w:rsidRDefault="000752C1" w:rsidP="00C478F6">
            <w:r w:rsidRPr="008D7A52">
              <w:t>Se(mean)</w:t>
            </w:r>
          </w:p>
        </w:tc>
        <w:tc>
          <w:tcPr>
            <w:tcW w:w="1294" w:type="dxa"/>
            <w:noWrap/>
            <w:vAlign w:val="bottom"/>
            <w:hideMark/>
          </w:tcPr>
          <w:p w14:paraId="406977A3" w14:textId="77777777" w:rsidR="000752C1" w:rsidRPr="008D7A52" w:rsidRDefault="000752C1" w:rsidP="00C478F6">
            <w:pPr>
              <w:jc w:val="center"/>
            </w:pPr>
            <w:r w:rsidRPr="008D7A52">
              <w:t>0.378</w:t>
            </w:r>
          </w:p>
        </w:tc>
        <w:tc>
          <w:tcPr>
            <w:tcW w:w="1294" w:type="dxa"/>
            <w:noWrap/>
            <w:vAlign w:val="bottom"/>
            <w:hideMark/>
          </w:tcPr>
          <w:p w14:paraId="291F855A" w14:textId="77777777" w:rsidR="000752C1" w:rsidRPr="008D7A52" w:rsidRDefault="000752C1" w:rsidP="00C478F6">
            <w:pPr>
              <w:jc w:val="center"/>
            </w:pPr>
            <w:r w:rsidRPr="008D7A52">
              <w:t>0.093</w:t>
            </w:r>
          </w:p>
        </w:tc>
        <w:tc>
          <w:tcPr>
            <w:tcW w:w="1294" w:type="dxa"/>
            <w:noWrap/>
            <w:vAlign w:val="bottom"/>
            <w:hideMark/>
          </w:tcPr>
          <w:p w14:paraId="394B9F11" w14:textId="77777777" w:rsidR="000752C1" w:rsidRPr="008D7A52" w:rsidRDefault="000752C1" w:rsidP="00C478F6">
            <w:pPr>
              <w:jc w:val="center"/>
            </w:pPr>
            <w:r w:rsidRPr="008D7A52">
              <w:t>0.127</w:t>
            </w:r>
          </w:p>
        </w:tc>
        <w:tc>
          <w:tcPr>
            <w:tcW w:w="1294" w:type="dxa"/>
            <w:noWrap/>
            <w:vAlign w:val="bottom"/>
            <w:hideMark/>
          </w:tcPr>
          <w:p w14:paraId="2522330F" w14:textId="77777777" w:rsidR="000752C1" w:rsidRPr="008D7A52" w:rsidRDefault="000752C1" w:rsidP="00C478F6">
            <w:pPr>
              <w:jc w:val="center"/>
            </w:pPr>
            <w:r w:rsidRPr="008D7A52">
              <w:t>0.115</w:t>
            </w:r>
          </w:p>
        </w:tc>
        <w:tc>
          <w:tcPr>
            <w:tcW w:w="1294" w:type="dxa"/>
            <w:noWrap/>
            <w:vAlign w:val="bottom"/>
            <w:hideMark/>
          </w:tcPr>
          <w:p w14:paraId="2C0D7ECC" w14:textId="77777777" w:rsidR="000752C1" w:rsidRPr="008D7A52" w:rsidRDefault="000752C1" w:rsidP="00C478F6">
            <w:pPr>
              <w:jc w:val="center"/>
            </w:pPr>
            <w:r w:rsidRPr="008D7A52">
              <w:t>0.065</w:t>
            </w:r>
          </w:p>
        </w:tc>
      </w:tr>
      <w:tr w:rsidR="000752C1" w:rsidRPr="008D7A52" w14:paraId="4E037A93" w14:textId="77777777" w:rsidTr="00C478F6">
        <w:trPr>
          <w:trHeight w:val="323"/>
        </w:trPr>
        <w:tc>
          <w:tcPr>
            <w:tcW w:w="1436" w:type="dxa"/>
            <w:noWrap/>
            <w:vAlign w:val="bottom"/>
            <w:hideMark/>
          </w:tcPr>
          <w:p w14:paraId="782123D9" w14:textId="77777777" w:rsidR="000752C1" w:rsidRPr="008D7A52" w:rsidRDefault="000752C1" w:rsidP="00C478F6">
            <w:r w:rsidRPr="008D7A52">
              <w:t>Min</w:t>
            </w:r>
          </w:p>
        </w:tc>
        <w:tc>
          <w:tcPr>
            <w:tcW w:w="1294" w:type="dxa"/>
            <w:noWrap/>
            <w:vAlign w:val="bottom"/>
            <w:hideMark/>
          </w:tcPr>
          <w:p w14:paraId="2A692269" w14:textId="77777777" w:rsidR="000752C1" w:rsidRPr="008D7A52" w:rsidRDefault="000752C1" w:rsidP="00C478F6">
            <w:pPr>
              <w:jc w:val="center"/>
            </w:pPr>
            <w:r w:rsidRPr="008D7A52">
              <w:t>-8.905</w:t>
            </w:r>
          </w:p>
        </w:tc>
        <w:tc>
          <w:tcPr>
            <w:tcW w:w="1294" w:type="dxa"/>
            <w:noWrap/>
            <w:vAlign w:val="bottom"/>
            <w:hideMark/>
          </w:tcPr>
          <w:p w14:paraId="1E59E340" w14:textId="77777777" w:rsidR="000752C1" w:rsidRPr="008D7A52" w:rsidRDefault="000752C1" w:rsidP="00C478F6">
            <w:pPr>
              <w:jc w:val="center"/>
            </w:pPr>
            <w:r w:rsidRPr="008D7A52">
              <w:t>0.000</w:t>
            </w:r>
          </w:p>
        </w:tc>
        <w:tc>
          <w:tcPr>
            <w:tcW w:w="1294" w:type="dxa"/>
            <w:noWrap/>
            <w:vAlign w:val="bottom"/>
            <w:hideMark/>
          </w:tcPr>
          <w:p w14:paraId="796FBE33" w14:textId="77777777" w:rsidR="000752C1" w:rsidRPr="008D7A52" w:rsidRDefault="000752C1" w:rsidP="00C478F6">
            <w:pPr>
              <w:jc w:val="center"/>
            </w:pPr>
            <w:r w:rsidRPr="008D7A52">
              <w:t>0.000</w:t>
            </w:r>
          </w:p>
        </w:tc>
        <w:tc>
          <w:tcPr>
            <w:tcW w:w="1294" w:type="dxa"/>
            <w:noWrap/>
            <w:vAlign w:val="bottom"/>
            <w:hideMark/>
          </w:tcPr>
          <w:p w14:paraId="4EE0B452" w14:textId="77777777" w:rsidR="000752C1" w:rsidRPr="008D7A52" w:rsidRDefault="000752C1" w:rsidP="00C478F6">
            <w:pPr>
              <w:jc w:val="center"/>
            </w:pPr>
            <w:r w:rsidRPr="008D7A52">
              <w:t>0.000</w:t>
            </w:r>
          </w:p>
        </w:tc>
        <w:tc>
          <w:tcPr>
            <w:tcW w:w="1294" w:type="dxa"/>
            <w:noWrap/>
            <w:vAlign w:val="bottom"/>
            <w:hideMark/>
          </w:tcPr>
          <w:p w14:paraId="1D728921" w14:textId="77777777" w:rsidR="000752C1" w:rsidRPr="008D7A52" w:rsidRDefault="000752C1" w:rsidP="00C478F6">
            <w:pPr>
              <w:jc w:val="center"/>
            </w:pPr>
            <w:r w:rsidRPr="008D7A52">
              <w:t>0.000</w:t>
            </w:r>
          </w:p>
        </w:tc>
      </w:tr>
      <w:tr w:rsidR="000752C1" w:rsidRPr="008D7A52" w14:paraId="260EECA8" w14:textId="77777777" w:rsidTr="00C478F6">
        <w:trPr>
          <w:trHeight w:val="138"/>
        </w:trPr>
        <w:tc>
          <w:tcPr>
            <w:tcW w:w="1436" w:type="dxa"/>
            <w:noWrap/>
            <w:vAlign w:val="bottom"/>
            <w:hideMark/>
          </w:tcPr>
          <w:p w14:paraId="76822D18" w14:textId="77777777" w:rsidR="000752C1" w:rsidRPr="008D7A52" w:rsidRDefault="000752C1" w:rsidP="00C478F6">
            <w:r w:rsidRPr="008D7A52">
              <w:t>Max</w:t>
            </w:r>
          </w:p>
        </w:tc>
        <w:tc>
          <w:tcPr>
            <w:tcW w:w="1294" w:type="dxa"/>
            <w:noWrap/>
            <w:vAlign w:val="bottom"/>
            <w:hideMark/>
          </w:tcPr>
          <w:p w14:paraId="7B08EDCC" w14:textId="77777777" w:rsidR="000752C1" w:rsidRPr="008D7A52" w:rsidRDefault="000752C1" w:rsidP="00C478F6">
            <w:pPr>
              <w:jc w:val="center"/>
            </w:pPr>
            <w:r w:rsidRPr="008D7A52">
              <w:t>13.008</w:t>
            </w:r>
          </w:p>
        </w:tc>
        <w:tc>
          <w:tcPr>
            <w:tcW w:w="1294" w:type="dxa"/>
            <w:noWrap/>
            <w:vAlign w:val="bottom"/>
            <w:hideMark/>
          </w:tcPr>
          <w:p w14:paraId="2097A385" w14:textId="77777777" w:rsidR="000752C1" w:rsidRPr="008D7A52" w:rsidRDefault="000752C1" w:rsidP="00C478F6">
            <w:pPr>
              <w:jc w:val="center"/>
            </w:pPr>
            <w:r w:rsidRPr="008D7A52">
              <w:t>8.601</w:t>
            </w:r>
          </w:p>
        </w:tc>
        <w:tc>
          <w:tcPr>
            <w:tcW w:w="1294" w:type="dxa"/>
            <w:noWrap/>
            <w:vAlign w:val="bottom"/>
            <w:hideMark/>
          </w:tcPr>
          <w:p w14:paraId="7468FB42" w14:textId="77777777" w:rsidR="000752C1" w:rsidRPr="008D7A52" w:rsidRDefault="000752C1" w:rsidP="00C478F6">
            <w:pPr>
              <w:jc w:val="center"/>
            </w:pPr>
            <w:r w:rsidRPr="008D7A52">
              <w:t>6.692</w:t>
            </w:r>
          </w:p>
        </w:tc>
        <w:tc>
          <w:tcPr>
            <w:tcW w:w="1294" w:type="dxa"/>
            <w:noWrap/>
            <w:vAlign w:val="bottom"/>
            <w:hideMark/>
          </w:tcPr>
          <w:p w14:paraId="7A7BF9ED" w14:textId="77777777" w:rsidR="000752C1" w:rsidRPr="008D7A52" w:rsidRDefault="000752C1" w:rsidP="00C478F6">
            <w:pPr>
              <w:jc w:val="center"/>
            </w:pPr>
            <w:r w:rsidRPr="008D7A52">
              <w:t>7.940</w:t>
            </w:r>
          </w:p>
        </w:tc>
        <w:tc>
          <w:tcPr>
            <w:tcW w:w="1294" w:type="dxa"/>
            <w:noWrap/>
            <w:vAlign w:val="bottom"/>
            <w:hideMark/>
          </w:tcPr>
          <w:p w14:paraId="012FE91F" w14:textId="77777777" w:rsidR="000752C1" w:rsidRPr="008D7A52" w:rsidRDefault="000752C1" w:rsidP="00C478F6">
            <w:pPr>
              <w:jc w:val="center"/>
            </w:pPr>
            <w:r w:rsidRPr="008D7A52">
              <w:t>6.446</w:t>
            </w:r>
          </w:p>
        </w:tc>
      </w:tr>
      <w:tr w:rsidR="000752C1" w:rsidRPr="008D7A52" w14:paraId="0376A188" w14:textId="77777777" w:rsidTr="00C478F6">
        <w:trPr>
          <w:trHeight w:val="323"/>
        </w:trPr>
        <w:tc>
          <w:tcPr>
            <w:tcW w:w="1436" w:type="dxa"/>
            <w:noWrap/>
            <w:vAlign w:val="bottom"/>
            <w:hideMark/>
          </w:tcPr>
          <w:p w14:paraId="2599AAD2" w14:textId="77777777" w:rsidR="000752C1" w:rsidRPr="008D7A52" w:rsidRDefault="000752C1" w:rsidP="00C478F6">
            <w:r w:rsidRPr="008D7A52">
              <w:t>Sum</w:t>
            </w:r>
          </w:p>
        </w:tc>
        <w:tc>
          <w:tcPr>
            <w:tcW w:w="1294" w:type="dxa"/>
            <w:noWrap/>
            <w:vAlign w:val="bottom"/>
            <w:hideMark/>
          </w:tcPr>
          <w:p w14:paraId="133B0BB4" w14:textId="77777777" w:rsidR="000752C1" w:rsidRPr="008D7A52" w:rsidRDefault="000752C1" w:rsidP="00C478F6">
            <w:pPr>
              <w:jc w:val="center"/>
            </w:pPr>
            <w:r w:rsidRPr="008D7A52">
              <w:t>1526.308</w:t>
            </w:r>
          </w:p>
        </w:tc>
        <w:tc>
          <w:tcPr>
            <w:tcW w:w="1294" w:type="dxa"/>
            <w:noWrap/>
            <w:vAlign w:val="bottom"/>
            <w:hideMark/>
          </w:tcPr>
          <w:p w14:paraId="5B3CA635" w14:textId="77777777" w:rsidR="000752C1" w:rsidRPr="008D7A52" w:rsidRDefault="000752C1" w:rsidP="00C478F6">
            <w:pPr>
              <w:jc w:val="center"/>
            </w:pPr>
            <w:r w:rsidRPr="008D7A52">
              <w:t>1793.762</w:t>
            </w:r>
          </w:p>
        </w:tc>
        <w:tc>
          <w:tcPr>
            <w:tcW w:w="1294" w:type="dxa"/>
            <w:noWrap/>
            <w:vAlign w:val="bottom"/>
            <w:hideMark/>
          </w:tcPr>
          <w:p w14:paraId="40C12F16" w14:textId="77777777" w:rsidR="000752C1" w:rsidRPr="008D7A52" w:rsidRDefault="000752C1" w:rsidP="00C478F6">
            <w:pPr>
              <w:jc w:val="center"/>
            </w:pPr>
            <w:r w:rsidRPr="008D7A52">
              <w:t>637.824</w:t>
            </w:r>
          </w:p>
        </w:tc>
        <w:tc>
          <w:tcPr>
            <w:tcW w:w="1294" w:type="dxa"/>
            <w:noWrap/>
            <w:vAlign w:val="bottom"/>
            <w:hideMark/>
          </w:tcPr>
          <w:p w14:paraId="4E382978" w14:textId="77777777" w:rsidR="000752C1" w:rsidRPr="008D7A52" w:rsidRDefault="000752C1" w:rsidP="00C478F6">
            <w:pPr>
              <w:jc w:val="center"/>
            </w:pPr>
            <w:r w:rsidRPr="008D7A52">
              <w:t>1516.266</w:t>
            </w:r>
          </w:p>
        </w:tc>
        <w:tc>
          <w:tcPr>
            <w:tcW w:w="1294" w:type="dxa"/>
            <w:noWrap/>
            <w:vAlign w:val="bottom"/>
            <w:hideMark/>
          </w:tcPr>
          <w:p w14:paraId="5B9BCF90" w14:textId="77777777" w:rsidR="000752C1" w:rsidRPr="008D7A52" w:rsidRDefault="000752C1" w:rsidP="00C478F6">
            <w:pPr>
              <w:jc w:val="center"/>
            </w:pPr>
            <w:r w:rsidRPr="008D7A52">
              <w:t>112.921</w:t>
            </w:r>
          </w:p>
        </w:tc>
      </w:tr>
      <w:tr w:rsidR="000752C1" w:rsidRPr="008D7A52" w14:paraId="15767DF6" w14:textId="77777777" w:rsidTr="00C478F6">
        <w:trPr>
          <w:trHeight w:val="323"/>
        </w:trPr>
        <w:tc>
          <w:tcPr>
            <w:tcW w:w="1436" w:type="dxa"/>
            <w:tcBorders>
              <w:bottom w:val="nil"/>
            </w:tcBorders>
            <w:noWrap/>
            <w:vAlign w:val="bottom"/>
            <w:hideMark/>
          </w:tcPr>
          <w:p w14:paraId="791F8631" w14:textId="77777777" w:rsidR="000752C1" w:rsidRPr="008D7A52" w:rsidRDefault="000752C1" w:rsidP="00C478F6">
            <w:r w:rsidRPr="008D7A52">
              <w:t>Skewedness</w:t>
            </w:r>
          </w:p>
        </w:tc>
        <w:tc>
          <w:tcPr>
            <w:tcW w:w="1294" w:type="dxa"/>
            <w:tcBorders>
              <w:bottom w:val="nil"/>
            </w:tcBorders>
            <w:noWrap/>
            <w:vAlign w:val="bottom"/>
            <w:hideMark/>
          </w:tcPr>
          <w:p w14:paraId="496BF0F3" w14:textId="77777777" w:rsidR="000752C1" w:rsidRPr="008D7A52" w:rsidRDefault="000752C1" w:rsidP="00C478F6">
            <w:pPr>
              <w:jc w:val="center"/>
            </w:pPr>
            <w:r w:rsidRPr="008D7A52">
              <w:t>-0.991</w:t>
            </w:r>
          </w:p>
        </w:tc>
        <w:tc>
          <w:tcPr>
            <w:tcW w:w="1294" w:type="dxa"/>
            <w:tcBorders>
              <w:bottom w:val="nil"/>
            </w:tcBorders>
            <w:noWrap/>
            <w:vAlign w:val="bottom"/>
            <w:hideMark/>
          </w:tcPr>
          <w:p w14:paraId="4D076A86" w14:textId="77777777" w:rsidR="000752C1" w:rsidRPr="008D7A52" w:rsidRDefault="000752C1" w:rsidP="00C478F6">
            <w:pPr>
              <w:jc w:val="center"/>
            </w:pPr>
            <w:r w:rsidRPr="008D7A52">
              <w:t>-1.505</w:t>
            </w:r>
          </w:p>
        </w:tc>
        <w:tc>
          <w:tcPr>
            <w:tcW w:w="1294" w:type="dxa"/>
            <w:tcBorders>
              <w:bottom w:val="nil"/>
            </w:tcBorders>
            <w:noWrap/>
            <w:vAlign w:val="bottom"/>
            <w:hideMark/>
          </w:tcPr>
          <w:p w14:paraId="308E8520" w14:textId="77777777" w:rsidR="000752C1" w:rsidRPr="008D7A52" w:rsidRDefault="000752C1" w:rsidP="00C478F6">
            <w:pPr>
              <w:jc w:val="center"/>
            </w:pPr>
            <w:r w:rsidRPr="008D7A52">
              <w:t>0.502</w:t>
            </w:r>
          </w:p>
        </w:tc>
        <w:tc>
          <w:tcPr>
            <w:tcW w:w="1294" w:type="dxa"/>
            <w:tcBorders>
              <w:bottom w:val="nil"/>
            </w:tcBorders>
            <w:noWrap/>
            <w:vAlign w:val="bottom"/>
            <w:hideMark/>
          </w:tcPr>
          <w:p w14:paraId="6695EC6C" w14:textId="77777777" w:rsidR="000752C1" w:rsidRPr="008D7A52" w:rsidRDefault="000752C1" w:rsidP="00C478F6">
            <w:pPr>
              <w:jc w:val="center"/>
            </w:pPr>
            <w:r w:rsidRPr="008D7A52">
              <w:t>-0.902</w:t>
            </w:r>
          </w:p>
        </w:tc>
        <w:tc>
          <w:tcPr>
            <w:tcW w:w="1294" w:type="dxa"/>
            <w:tcBorders>
              <w:bottom w:val="nil"/>
            </w:tcBorders>
            <w:noWrap/>
            <w:vAlign w:val="bottom"/>
            <w:hideMark/>
          </w:tcPr>
          <w:p w14:paraId="209BD63C" w14:textId="77777777" w:rsidR="000752C1" w:rsidRPr="008D7A52" w:rsidRDefault="000752C1" w:rsidP="00C478F6">
            <w:pPr>
              <w:jc w:val="center"/>
            </w:pPr>
            <w:r w:rsidRPr="008D7A52">
              <w:t>3.634</w:t>
            </w:r>
          </w:p>
        </w:tc>
      </w:tr>
      <w:tr w:rsidR="000752C1" w:rsidRPr="008D7A52" w14:paraId="03EB74BA" w14:textId="77777777" w:rsidTr="00C478F6">
        <w:trPr>
          <w:trHeight w:val="323"/>
        </w:trPr>
        <w:tc>
          <w:tcPr>
            <w:tcW w:w="1436" w:type="dxa"/>
            <w:tcBorders>
              <w:top w:val="nil"/>
              <w:bottom w:val="single" w:sz="4" w:space="0" w:color="auto"/>
            </w:tcBorders>
            <w:noWrap/>
            <w:vAlign w:val="bottom"/>
            <w:hideMark/>
          </w:tcPr>
          <w:p w14:paraId="7DCB08C0" w14:textId="77777777" w:rsidR="000752C1" w:rsidRPr="008D7A52" w:rsidRDefault="000752C1" w:rsidP="00C478F6">
            <w:r w:rsidRPr="008D7A52">
              <w:t>Kurtosis</w:t>
            </w:r>
          </w:p>
        </w:tc>
        <w:tc>
          <w:tcPr>
            <w:tcW w:w="1294" w:type="dxa"/>
            <w:tcBorders>
              <w:top w:val="nil"/>
              <w:bottom w:val="single" w:sz="4" w:space="0" w:color="auto"/>
            </w:tcBorders>
            <w:noWrap/>
            <w:vAlign w:val="bottom"/>
            <w:hideMark/>
          </w:tcPr>
          <w:p w14:paraId="711BAB67" w14:textId="77777777" w:rsidR="000752C1" w:rsidRPr="008D7A52" w:rsidRDefault="000752C1" w:rsidP="00C478F6">
            <w:pPr>
              <w:jc w:val="center"/>
            </w:pPr>
            <w:r w:rsidRPr="008D7A52">
              <w:t>2.254</w:t>
            </w:r>
          </w:p>
        </w:tc>
        <w:tc>
          <w:tcPr>
            <w:tcW w:w="1294" w:type="dxa"/>
            <w:tcBorders>
              <w:top w:val="nil"/>
              <w:bottom w:val="single" w:sz="4" w:space="0" w:color="auto"/>
            </w:tcBorders>
            <w:noWrap/>
            <w:vAlign w:val="bottom"/>
            <w:hideMark/>
          </w:tcPr>
          <w:p w14:paraId="4D8B7FC9" w14:textId="77777777" w:rsidR="000752C1" w:rsidRPr="008D7A52" w:rsidRDefault="000752C1" w:rsidP="00C478F6">
            <w:pPr>
              <w:jc w:val="center"/>
            </w:pPr>
            <w:r w:rsidRPr="008D7A52">
              <w:t>6.361</w:t>
            </w:r>
          </w:p>
        </w:tc>
        <w:tc>
          <w:tcPr>
            <w:tcW w:w="1294" w:type="dxa"/>
            <w:tcBorders>
              <w:top w:val="nil"/>
              <w:bottom w:val="single" w:sz="4" w:space="0" w:color="auto"/>
            </w:tcBorders>
            <w:noWrap/>
            <w:vAlign w:val="bottom"/>
            <w:hideMark/>
          </w:tcPr>
          <w:p w14:paraId="7BB2151D" w14:textId="77777777" w:rsidR="000752C1" w:rsidRPr="008D7A52" w:rsidRDefault="000752C1" w:rsidP="00C478F6">
            <w:pPr>
              <w:jc w:val="center"/>
            </w:pPr>
            <w:r w:rsidRPr="008D7A52">
              <w:t>1.371</w:t>
            </w:r>
          </w:p>
        </w:tc>
        <w:tc>
          <w:tcPr>
            <w:tcW w:w="1294" w:type="dxa"/>
            <w:tcBorders>
              <w:top w:val="nil"/>
              <w:bottom w:val="single" w:sz="4" w:space="0" w:color="auto"/>
            </w:tcBorders>
            <w:noWrap/>
            <w:vAlign w:val="bottom"/>
            <w:hideMark/>
          </w:tcPr>
          <w:p w14:paraId="79E0E43B" w14:textId="77777777" w:rsidR="000752C1" w:rsidRPr="008D7A52" w:rsidRDefault="000752C1" w:rsidP="00C478F6">
            <w:pPr>
              <w:jc w:val="center"/>
            </w:pPr>
            <w:r w:rsidRPr="008D7A52">
              <w:t>3.420</w:t>
            </w:r>
          </w:p>
        </w:tc>
        <w:tc>
          <w:tcPr>
            <w:tcW w:w="1294" w:type="dxa"/>
            <w:tcBorders>
              <w:top w:val="nil"/>
              <w:bottom w:val="single" w:sz="4" w:space="0" w:color="auto"/>
            </w:tcBorders>
            <w:noWrap/>
            <w:vAlign w:val="bottom"/>
            <w:hideMark/>
          </w:tcPr>
          <w:p w14:paraId="43A09E73" w14:textId="77777777" w:rsidR="000752C1" w:rsidRPr="008D7A52" w:rsidRDefault="000752C1" w:rsidP="00C478F6">
            <w:pPr>
              <w:jc w:val="center"/>
            </w:pPr>
            <w:r w:rsidRPr="008D7A52">
              <w:t>15.193</w:t>
            </w:r>
          </w:p>
        </w:tc>
      </w:tr>
    </w:tbl>
    <w:p w14:paraId="7AE9B9F7" w14:textId="77777777" w:rsidR="000752C1" w:rsidRPr="008D7A52" w:rsidRDefault="000752C1" w:rsidP="000752C1">
      <w:pPr>
        <w:spacing w:line="360" w:lineRule="auto"/>
        <w:jc w:val="both"/>
        <w:rPr>
          <w:b/>
        </w:rPr>
      </w:pPr>
      <w:r w:rsidRPr="008D7A52">
        <w:rPr>
          <w:b/>
        </w:rPr>
        <w:t>Researcher’s Computation (2025)</w:t>
      </w:r>
    </w:p>
    <w:p w14:paraId="6BA20010" w14:textId="654F553D" w:rsidR="003F70A4" w:rsidRPr="008D7A52" w:rsidRDefault="003F70A4" w:rsidP="001C4D36">
      <w:pPr>
        <w:pStyle w:val="root-block-node"/>
        <w:spacing w:before="240" w:beforeAutospacing="0" w:after="0" w:afterAutospacing="0"/>
        <w:ind w:firstLine="720"/>
        <w:jc w:val="both"/>
        <w:rPr>
          <w:lang w:val="en-GB"/>
        </w:rPr>
      </w:pPr>
      <w:r w:rsidRPr="008D7A52">
        <w:rPr>
          <w:lang w:val="en-GB"/>
        </w:rPr>
        <w:t xml:space="preserve">The descriptive analysis of variables is reported in Table 3. The results shows that market value added (MVA) of the firms sampled on the average is </w:t>
      </w:r>
      <w:r w:rsidRPr="008D7A52">
        <w:rPr>
          <w:rFonts w:ascii="Calibri" w:hAnsi="Calibri" w:cs="Calibri"/>
          <w:sz w:val="22"/>
          <w:szCs w:val="22"/>
          <w:lang w:val="en-GB"/>
        </w:rPr>
        <w:t xml:space="preserve">4.489 </w:t>
      </w:r>
      <w:r w:rsidRPr="008D7A52">
        <w:rPr>
          <w:lang w:val="en-GB"/>
        </w:rPr>
        <w:t xml:space="preserve">with standard deviation of </w:t>
      </w:r>
      <w:r w:rsidRPr="008D7A52">
        <w:rPr>
          <w:rFonts w:ascii="Calibri" w:hAnsi="Calibri" w:cs="Calibri"/>
          <w:sz w:val="22"/>
          <w:szCs w:val="22"/>
          <w:lang w:val="en-GB"/>
        </w:rPr>
        <w:t xml:space="preserve">6.962 </w:t>
      </w:r>
      <w:r w:rsidRPr="008D7A52">
        <w:rPr>
          <w:lang w:val="en-GB"/>
        </w:rPr>
        <w:t xml:space="preserve">and this indicate that market value added on the average for the firms is positive. The standard deviation value shows that there is moderate variability in the rate of value added across the sampled firms while the standard error of mean implied that the sample mean </w:t>
      </w:r>
      <w:proofErr w:type="gramStart"/>
      <w:r w:rsidRPr="008D7A52">
        <w:rPr>
          <w:lang w:val="en-GB"/>
        </w:rPr>
        <w:t>is a reflection of</w:t>
      </w:r>
      <w:proofErr w:type="gramEnd"/>
      <w:r w:rsidRPr="008D7A52">
        <w:rPr>
          <w:lang w:val="en-GB"/>
        </w:rPr>
        <w:t xml:space="preserve"> the actual population having a small value close to zero (0) indicating 0.0378. Firms with the value added has </w:t>
      </w:r>
      <w:r w:rsidRPr="008D7A52">
        <w:rPr>
          <w:rFonts w:ascii="Calibri" w:hAnsi="Calibri" w:cs="Calibri"/>
          <w:sz w:val="22"/>
          <w:szCs w:val="22"/>
          <w:lang w:val="en-GB"/>
        </w:rPr>
        <w:t xml:space="preserve">-8.905 </w:t>
      </w:r>
      <w:r w:rsidRPr="008D7A52">
        <w:rPr>
          <w:lang w:val="en-GB"/>
        </w:rPr>
        <w:t xml:space="preserve">while the maximum market value added recorded is </w:t>
      </w:r>
      <w:r w:rsidRPr="008D7A52">
        <w:rPr>
          <w:rFonts w:ascii="Calibri" w:hAnsi="Calibri" w:cs="Calibri"/>
          <w:sz w:val="22"/>
          <w:szCs w:val="22"/>
          <w:lang w:val="en-GB"/>
        </w:rPr>
        <w:t xml:space="preserve">13.008 </w:t>
      </w:r>
      <w:r w:rsidRPr="008D7A52">
        <w:rPr>
          <w:lang w:val="en-GB"/>
        </w:rPr>
        <w:t xml:space="preserve">which imply market value added is positive for some firms.  The total sum of market value added is </w:t>
      </w:r>
      <w:r w:rsidRPr="008D7A52">
        <w:rPr>
          <w:rFonts w:ascii="Calibri" w:hAnsi="Calibri" w:cs="Calibri"/>
          <w:sz w:val="22"/>
          <w:szCs w:val="22"/>
          <w:lang w:val="en-GB"/>
        </w:rPr>
        <w:t xml:space="preserve">1526.308 </w:t>
      </w:r>
      <w:r w:rsidRPr="008D7A52">
        <w:rPr>
          <w:lang w:val="en-GB"/>
        </w:rPr>
        <w:t xml:space="preserve">and the data is negatively skewed and have normal distribution. </w:t>
      </w:r>
    </w:p>
    <w:p w14:paraId="4F83E0FF" w14:textId="2B44BB3B" w:rsidR="001C4D36" w:rsidRPr="008D7A52" w:rsidRDefault="003F70A4" w:rsidP="001C4D36">
      <w:pPr>
        <w:pStyle w:val="root-block-node"/>
        <w:spacing w:before="240" w:beforeAutospacing="0" w:after="0" w:afterAutospacing="0"/>
        <w:ind w:firstLine="720"/>
        <w:jc w:val="both"/>
        <w:rPr>
          <w:lang w:val="en-GB"/>
        </w:rPr>
      </w:pPr>
      <w:r w:rsidRPr="008D7A52">
        <w:rPr>
          <w:lang w:val="en-GB"/>
        </w:rPr>
        <w:t xml:space="preserve">From Table 2, it is observed that investment in renewable energy (INRE) for sampled firms on the average is </w:t>
      </w:r>
      <w:r w:rsidRPr="008D7A52">
        <w:rPr>
          <w:rFonts w:ascii="Calibri" w:hAnsi="Calibri" w:cs="Calibri"/>
          <w:sz w:val="22"/>
          <w:szCs w:val="22"/>
          <w:lang w:val="en-GB"/>
        </w:rPr>
        <w:t xml:space="preserve">5.276 </w:t>
      </w:r>
      <w:r w:rsidRPr="008D7A52">
        <w:rPr>
          <w:lang w:val="en-GB"/>
        </w:rPr>
        <w:t xml:space="preserve">with standard deviation of </w:t>
      </w:r>
      <w:r w:rsidRPr="008D7A52">
        <w:rPr>
          <w:rFonts w:ascii="Calibri" w:hAnsi="Calibri" w:cs="Calibri"/>
          <w:sz w:val="22"/>
          <w:szCs w:val="22"/>
          <w:lang w:val="en-GB"/>
        </w:rPr>
        <w:t xml:space="preserve">1.721. </w:t>
      </w:r>
      <w:r w:rsidRPr="008D7A52">
        <w:rPr>
          <w:lang w:val="en-GB"/>
        </w:rPr>
        <w:t xml:space="preserve">The standard deviation value shows that there is high variability in the level of investment in renewable energy across the sampled firms while the standard error of mean implied that the sample mean </w:t>
      </w:r>
      <w:proofErr w:type="gramStart"/>
      <w:r w:rsidRPr="008D7A52">
        <w:rPr>
          <w:lang w:val="en-GB"/>
        </w:rPr>
        <w:t>is a reflection of</w:t>
      </w:r>
      <w:proofErr w:type="gramEnd"/>
      <w:r w:rsidRPr="008D7A52">
        <w:rPr>
          <w:lang w:val="en-GB"/>
        </w:rPr>
        <w:t xml:space="preserve"> the actual population having a small value compared to the mean showing 0.093. Firm with the least that investment in renewable energy (INRE) has 0 while the firm with the maximum investment in renewable energy is 8.601 and the total sum of investment in renewable energy by all the firms sampled is 1793.762. The data is negatively skewed and abnormally distributed. </w:t>
      </w:r>
      <w:r w:rsidR="00A62F17" w:rsidRPr="008D7A52">
        <w:rPr>
          <w:lang w:val="en-GB"/>
        </w:rPr>
        <w:t>Furthermore,</w:t>
      </w:r>
      <w:r w:rsidRPr="008D7A52">
        <w:rPr>
          <w:lang w:val="en-GB"/>
        </w:rPr>
        <w:t xml:space="preserve"> on Table 3, it is observed that expenditure on pollution control (EXPC) of </w:t>
      </w:r>
      <w:r w:rsidR="00F50177" w:rsidRPr="008D7A52">
        <w:rPr>
          <w:lang w:val="en-GB"/>
        </w:rPr>
        <w:t>firms</w:t>
      </w:r>
      <w:r w:rsidRPr="008D7A52">
        <w:rPr>
          <w:lang w:val="en-GB"/>
        </w:rPr>
        <w:t xml:space="preserve"> sampled firms on the average is 1.876 with standard deviation of 2.340. The standard deviation value shows that there is moderate variability in the expenditure on pollution control level across the sampled firms while the standard error of mean implied that the sample mean </w:t>
      </w:r>
      <w:proofErr w:type="gramStart"/>
      <w:r w:rsidRPr="008D7A52">
        <w:rPr>
          <w:lang w:val="en-GB"/>
        </w:rPr>
        <w:t>is a reflection of</w:t>
      </w:r>
      <w:proofErr w:type="gramEnd"/>
      <w:r w:rsidRPr="008D7A52">
        <w:rPr>
          <w:lang w:val="en-GB"/>
        </w:rPr>
        <w:t xml:space="preserve"> the actual population having a small value compared to the mean 0.127. Firm with the least expenditure on pollution control has 0 while the maximum expenditure on pollution </w:t>
      </w:r>
      <w:r w:rsidR="00F50177" w:rsidRPr="008D7A52">
        <w:rPr>
          <w:lang w:val="en-GB"/>
        </w:rPr>
        <w:t>control by</w:t>
      </w:r>
      <w:r w:rsidRPr="008D7A52">
        <w:rPr>
          <w:lang w:val="en-GB"/>
        </w:rPr>
        <w:t xml:space="preserve"> the firms is 6.692 and the total sum of expenditure on pollution control by all the firms is over 637.824. The data is positively skewed and normally distributed showing kurtosis value of </w:t>
      </w:r>
      <w:r w:rsidRPr="008D7A52">
        <w:rPr>
          <w:rFonts w:ascii="Calibri" w:hAnsi="Calibri" w:cs="Calibri"/>
          <w:sz w:val="22"/>
          <w:szCs w:val="22"/>
          <w:lang w:val="en-GB"/>
        </w:rPr>
        <w:t>1.371</w:t>
      </w:r>
      <w:r w:rsidRPr="008D7A52">
        <w:rPr>
          <w:lang w:val="en-GB"/>
        </w:rPr>
        <w:t xml:space="preserve">. </w:t>
      </w:r>
    </w:p>
    <w:p w14:paraId="53354DA2" w14:textId="2EE3703E" w:rsidR="003F70A4" w:rsidRDefault="00F50177" w:rsidP="001C4D36">
      <w:pPr>
        <w:pStyle w:val="root-block-node"/>
        <w:spacing w:before="240" w:beforeAutospacing="0" w:after="0" w:afterAutospacing="0"/>
        <w:ind w:firstLine="720"/>
        <w:jc w:val="both"/>
        <w:rPr>
          <w:lang w:val="en-GB"/>
        </w:rPr>
      </w:pPr>
      <w:r w:rsidRPr="008D7A52">
        <w:rPr>
          <w:lang w:val="en-GB"/>
        </w:rPr>
        <w:t>Likewise,</w:t>
      </w:r>
      <w:r w:rsidR="003F70A4" w:rsidRPr="008D7A52">
        <w:rPr>
          <w:lang w:val="en-GB"/>
        </w:rPr>
        <w:t xml:space="preserve"> from table 3, it is revealed that green research and development expenditure (</w:t>
      </w:r>
      <w:r w:rsidR="0097713D" w:rsidRPr="008D7A52">
        <w:rPr>
          <w:lang w:val="en-GB"/>
        </w:rPr>
        <w:t>GRDE) on</w:t>
      </w:r>
      <w:r w:rsidR="003F70A4" w:rsidRPr="008D7A52">
        <w:rPr>
          <w:lang w:val="en-GB"/>
        </w:rPr>
        <w:t xml:space="preserve"> the average is 4.460 with standard deviation of 2.115 and this imply that many of the firms invest in green research and the variability of green research and development expenditure across the firm is moderate. The minimum green research and development expenditure of the firms is 0 and the maximum is 7.940, the total sum of green research and development expenditure across the sampled firms is 1516.266. Data for the variable is </w:t>
      </w:r>
      <w:r w:rsidR="003F70A4" w:rsidRPr="008D7A52">
        <w:rPr>
          <w:lang w:val="en-GB"/>
        </w:rPr>
        <w:lastRenderedPageBreak/>
        <w:t xml:space="preserve">negatively skewed and abnormally distributed. Lastly on Table 3, it is shown that environmental compliance cost (ECC) for sampled firms on the average is 0.332 with standard deviation of 1.207. The standard deviation value shows that there is high variability in the level of environmental compliance cost across the sampled firms while the standard error of mean implied that the sample mean </w:t>
      </w:r>
      <w:proofErr w:type="gramStart"/>
      <w:r w:rsidR="003F70A4" w:rsidRPr="008D7A52">
        <w:rPr>
          <w:lang w:val="en-GB"/>
        </w:rPr>
        <w:t>is a reflection of</w:t>
      </w:r>
      <w:proofErr w:type="gramEnd"/>
      <w:r w:rsidR="003F70A4" w:rsidRPr="008D7A52">
        <w:rPr>
          <w:lang w:val="en-GB"/>
        </w:rPr>
        <w:t xml:space="preserve"> the actual population having a small value compared to the mean 0.065. Firms with the least compliance cost has 0 while the maximum compliance cost is 6.446 and has the total sum of 112.921. The data is positively skewed and abnormally distributed showing kurtosis value of 15.193.</w:t>
      </w:r>
    </w:p>
    <w:p w14:paraId="3EF01F29" w14:textId="77777777" w:rsidR="003F70A4" w:rsidRPr="008D7A52" w:rsidRDefault="003F70A4" w:rsidP="003F70A4">
      <w:pPr>
        <w:pStyle w:val="root-block-node"/>
        <w:tabs>
          <w:tab w:val="left" w:pos="5820"/>
        </w:tabs>
        <w:spacing w:before="240" w:beforeAutospacing="0" w:after="0" w:afterAutospacing="0" w:line="360" w:lineRule="auto"/>
        <w:jc w:val="both"/>
        <w:rPr>
          <w:sz w:val="6"/>
          <w:lang w:val="en-GB"/>
        </w:rPr>
      </w:pPr>
    </w:p>
    <w:p w14:paraId="0968ED03" w14:textId="77777777" w:rsidR="003F70A4" w:rsidRDefault="003F70A4" w:rsidP="003F70A4">
      <w:pPr>
        <w:pStyle w:val="root-block-node"/>
        <w:spacing w:before="0" w:beforeAutospacing="0" w:after="0" w:afterAutospacing="0" w:line="480" w:lineRule="auto"/>
        <w:jc w:val="both"/>
        <w:rPr>
          <w:b/>
          <w:lang w:val="en-GB"/>
        </w:rPr>
      </w:pPr>
      <w:r w:rsidRPr="008D7A52">
        <w:rPr>
          <w:b/>
          <w:lang w:val="en-GB"/>
        </w:rPr>
        <w:t xml:space="preserve">4.2 </w:t>
      </w:r>
      <w:r w:rsidRPr="008D7A52">
        <w:rPr>
          <w:b/>
          <w:lang w:val="en-GB"/>
        </w:rPr>
        <w:tab/>
        <w:t xml:space="preserve">Correlation Analysis </w:t>
      </w:r>
    </w:p>
    <w:p w14:paraId="26885C92" w14:textId="77777777" w:rsidR="000752C1" w:rsidRPr="008D7A52" w:rsidRDefault="000752C1" w:rsidP="002A71CD">
      <w:pPr>
        <w:pStyle w:val="root-block-node"/>
        <w:spacing w:before="0" w:beforeAutospacing="0" w:after="0" w:afterAutospacing="0" w:line="480" w:lineRule="auto"/>
        <w:jc w:val="both"/>
        <w:rPr>
          <w:b/>
          <w:lang w:val="en-GB"/>
        </w:rPr>
      </w:pPr>
      <w:r w:rsidRPr="008D7A52">
        <w:rPr>
          <w:b/>
          <w:lang w:val="en-GB"/>
        </w:rPr>
        <w:t>Table 4:  Correlation Analysis of Study Variables</w:t>
      </w:r>
    </w:p>
    <w:tbl>
      <w:tblPr>
        <w:tblW w:w="7929" w:type="dxa"/>
        <w:tblBorders>
          <w:top w:val="single" w:sz="4" w:space="0" w:color="auto"/>
        </w:tblBorders>
        <w:tblLook w:val="04A0" w:firstRow="1" w:lastRow="0" w:firstColumn="1" w:lastColumn="0" w:noHBand="0" w:noVBand="1"/>
      </w:tblPr>
      <w:tblGrid>
        <w:gridCol w:w="1172"/>
        <w:gridCol w:w="1486"/>
        <w:gridCol w:w="1650"/>
        <w:gridCol w:w="1092"/>
        <w:gridCol w:w="1538"/>
        <w:gridCol w:w="991"/>
      </w:tblGrid>
      <w:tr w:rsidR="000752C1" w:rsidRPr="008D7A52" w14:paraId="293C7408" w14:textId="77777777" w:rsidTr="00C478F6">
        <w:trPr>
          <w:trHeight w:val="377"/>
        </w:trPr>
        <w:tc>
          <w:tcPr>
            <w:tcW w:w="1172" w:type="dxa"/>
            <w:tcBorders>
              <w:top w:val="single" w:sz="4" w:space="0" w:color="auto"/>
              <w:bottom w:val="single" w:sz="4" w:space="0" w:color="auto"/>
            </w:tcBorders>
            <w:noWrap/>
            <w:vAlign w:val="bottom"/>
            <w:hideMark/>
          </w:tcPr>
          <w:p w14:paraId="58540F80" w14:textId="77777777" w:rsidR="000752C1" w:rsidRPr="008D7A52" w:rsidRDefault="000752C1" w:rsidP="00C478F6">
            <w:r w:rsidRPr="008D7A52">
              <w:t>Variables</w:t>
            </w:r>
          </w:p>
        </w:tc>
        <w:tc>
          <w:tcPr>
            <w:tcW w:w="1486" w:type="dxa"/>
            <w:tcBorders>
              <w:top w:val="single" w:sz="4" w:space="0" w:color="auto"/>
              <w:bottom w:val="single" w:sz="4" w:space="0" w:color="auto"/>
            </w:tcBorders>
            <w:noWrap/>
            <w:hideMark/>
          </w:tcPr>
          <w:p w14:paraId="2BE37FC3" w14:textId="77777777" w:rsidR="000752C1" w:rsidRPr="008D7A52" w:rsidRDefault="000752C1" w:rsidP="00C478F6">
            <w:r w:rsidRPr="008D7A52">
              <w:t>MVA</w:t>
            </w:r>
          </w:p>
        </w:tc>
        <w:tc>
          <w:tcPr>
            <w:tcW w:w="1650" w:type="dxa"/>
            <w:tcBorders>
              <w:top w:val="single" w:sz="4" w:space="0" w:color="auto"/>
              <w:bottom w:val="single" w:sz="4" w:space="0" w:color="auto"/>
            </w:tcBorders>
            <w:noWrap/>
            <w:hideMark/>
          </w:tcPr>
          <w:p w14:paraId="51A922A5" w14:textId="77777777" w:rsidR="000752C1" w:rsidRPr="008D7A52" w:rsidRDefault="000752C1" w:rsidP="00C478F6">
            <w:r w:rsidRPr="008D7A52">
              <w:t>INRE</w:t>
            </w:r>
          </w:p>
        </w:tc>
        <w:tc>
          <w:tcPr>
            <w:tcW w:w="1092" w:type="dxa"/>
            <w:tcBorders>
              <w:top w:val="single" w:sz="4" w:space="0" w:color="auto"/>
              <w:bottom w:val="single" w:sz="4" w:space="0" w:color="auto"/>
            </w:tcBorders>
            <w:noWrap/>
            <w:hideMark/>
          </w:tcPr>
          <w:p w14:paraId="60A306BB" w14:textId="77777777" w:rsidR="000752C1" w:rsidRPr="008D7A52" w:rsidRDefault="000752C1" w:rsidP="00C478F6">
            <w:r w:rsidRPr="008D7A52">
              <w:t>EXPC</w:t>
            </w:r>
          </w:p>
        </w:tc>
        <w:tc>
          <w:tcPr>
            <w:tcW w:w="1538" w:type="dxa"/>
            <w:tcBorders>
              <w:top w:val="single" w:sz="4" w:space="0" w:color="auto"/>
              <w:bottom w:val="single" w:sz="4" w:space="0" w:color="auto"/>
            </w:tcBorders>
            <w:noWrap/>
            <w:hideMark/>
          </w:tcPr>
          <w:p w14:paraId="69461843" w14:textId="77777777" w:rsidR="000752C1" w:rsidRPr="008D7A52" w:rsidRDefault="000752C1" w:rsidP="00C478F6">
            <w:r w:rsidRPr="008D7A52">
              <w:t>GRDE</w:t>
            </w:r>
          </w:p>
        </w:tc>
        <w:tc>
          <w:tcPr>
            <w:tcW w:w="991" w:type="dxa"/>
            <w:tcBorders>
              <w:top w:val="single" w:sz="4" w:space="0" w:color="auto"/>
              <w:bottom w:val="single" w:sz="4" w:space="0" w:color="auto"/>
            </w:tcBorders>
            <w:noWrap/>
            <w:hideMark/>
          </w:tcPr>
          <w:p w14:paraId="411DA47F" w14:textId="77777777" w:rsidR="000752C1" w:rsidRPr="008D7A52" w:rsidRDefault="000752C1" w:rsidP="00C478F6">
            <w:r w:rsidRPr="008D7A52">
              <w:t>ECCC</w:t>
            </w:r>
          </w:p>
        </w:tc>
      </w:tr>
      <w:tr w:rsidR="000752C1" w:rsidRPr="008D7A52" w14:paraId="39FCDACE" w14:textId="77777777" w:rsidTr="00C478F6">
        <w:trPr>
          <w:trHeight w:val="377"/>
        </w:trPr>
        <w:tc>
          <w:tcPr>
            <w:tcW w:w="1172" w:type="dxa"/>
            <w:tcBorders>
              <w:top w:val="single" w:sz="4" w:space="0" w:color="auto"/>
            </w:tcBorders>
            <w:noWrap/>
            <w:vAlign w:val="bottom"/>
            <w:hideMark/>
          </w:tcPr>
          <w:p w14:paraId="0F3C0CDC" w14:textId="77777777" w:rsidR="000752C1" w:rsidRPr="008D7A52" w:rsidRDefault="000752C1" w:rsidP="00C478F6">
            <w:pPr>
              <w:jc w:val="both"/>
            </w:pPr>
            <w:r w:rsidRPr="008D7A52">
              <w:t>MVA</w:t>
            </w:r>
          </w:p>
        </w:tc>
        <w:tc>
          <w:tcPr>
            <w:tcW w:w="1486" w:type="dxa"/>
            <w:tcBorders>
              <w:top w:val="single" w:sz="4" w:space="0" w:color="auto"/>
            </w:tcBorders>
            <w:noWrap/>
            <w:hideMark/>
          </w:tcPr>
          <w:p w14:paraId="0DC5FF02" w14:textId="77777777" w:rsidR="000752C1" w:rsidRPr="008D7A52" w:rsidRDefault="000752C1" w:rsidP="00C478F6">
            <w:r w:rsidRPr="008D7A52">
              <w:t>1.0000</w:t>
            </w:r>
          </w:p>
        </w:tc>
        <w:tc>
          <w:tcPr>
            <w:tcW w:w="1650" w:type="dxa"/>
            <w:tcBorders>
              <w:top w:val="single" w:sz="4" w:space="0" w:color="auto"/>
            </w:tcBorders>
            <w:noWrap/>
            <w:vAlign w:val="bottom"/>
            <w:hideMark/>
          </w:tcPr>
          <w:p w14:paraId="7FD4B435" w14:textId="77777777" w:rsidR="000752C1" w:rsidRPr="008D7A52" w:rsidRDefault="000752C1" w:rsidP="00C478F6">
            <w:pPr>
              <w:jc w:val="center"/>
            </w:pPr>
          </w:p>
        </w:tc>
        <w:tc>
          <w:tcPr>
            <w:tcW w:w="1092" w:type="dxa"/>
            <w:tcBorders>
              <w:top w:val="single" w:sz="4" w:space="0" w:color="auto"/>
            </w:tcBorders>
            <w:noWrap/>
            <w:vAlign w:val="bottom"/>
            <w:hideMark/>
          </w:tcPr>
          <w:p w14:paraId="1E125635" w14:textId="77777777" w:rsidR="000752C1" w:rsidRPr="008D7A52" w:rsidRDefault="000752C1" w:rsidP="00C478F6">
            <w:pPr>
              <w:jc w:val="center"/>
            </w:pPr>
          </w:p>
        </w:tc>
        <w:tc>
          <w:tcPr>
            <w:tcW w:w="1538" w:type="dxa"/>
            <w:tcBorders>
              <w:top w:val="single" w:sz="4" w:space="0" w:color="auto"/>
            </w:tcBorders>
            <w:noWrap/>
            <w:vAlign w:val="bottom"/>
            <w:hideMark/>
          </w:tcPr>
          <w:p w14:paraId="4081F9F5" w14:textId="77777777" w:rsidR="000752C1" w:rsidRPr="008D7A52" w:rsidRDefault="000752C1" w:rsidP="00C478F6">
            <w:pPr>
              <w:jc w:val="center"/>
            </w:pPr>
          </w:p>
        </w:tc>
        <w:tc>
          <w:tcPr>
            <w:tcW w:w="991" w:type="dxa"/>
            <w:tcBorders>
              <w:top w:val="single" w:sz="4" w:space="0" w:color="auto"/>
            </w:tcBorders>
            <w:noWrap/>
            <w:vAlign w:val="bottom"/>
            <w:hideMark/>
          </w:tcPr>
          <w:p w14:paraId="555F0983" w14:textId="77777777" w:rsidR="000752C1" w:rsidRPr="008D7A52" w:rsidRDefault="000752C1" w:rsidP="00C478F6">
            <w:pPr>
              <w:jc w:val="center"/>
            </w:pPr>
          </w:p>
        </w:tc>
      </w:tr>
      <w:tr w:rsidR="000752C1" w:rsidRPr="008D7A52" w14:paraId="6059724F" w14:textId="77777777" w:rsidTr="00C478F6">
        <w:trPr>
          <w:trHeight w:val="377"/>
        </w:trPr>
        <w:tc>
          <w:tcPr>
            <w:tcW w:w="1172" w:type="dxa"/>
            <w:noWrap/>
            <w:hideMark/>
          </w:tcPr>
          <w:p w14:paraId="3462E01C" w14:textId="77777777" w:rsidR="000752C1" w:rsidRPr="008D7A52" w:rsidRDefault="000752C1" w:rsidP="00C478F6">
            <w:r w:rsidRPr="008D7A52">
              <w:t>INRE</w:t>
            </w:r>
          </w:p>
        </w:tc>
        <w:tc>
          <w:tcPr>
            <w:tcW w:w="1486" w:type="dxa"/>
            <w:noWrap/>
            <w:hideMark/>
          </w:tcPr>
          <w:p w14:paraId="503C72C1" w14:textId="77777777" w:rsidR="000752C1" w:rsidRPr="008D7A52" w:rsidRDefault="000752C1" w:rsidP="00C478F6">
            <w:r w:rsidRPr="008D7A52">
              <w:t>-0.0130</w:t>
            </w:r>
          </w:p>
          <w:p w14:paraId="3A0B351F" w14:textId="77777777" w:rsidR="000752C1" w:rsidRPr="008D7A52" w:rsidRDefault="000752C1" w:rsidP="00C478F6">
            <w:r w:rsidRPr="008D7A52">
              <w:t>(0.8118)</w:t>
            </w:r>
          </w:p>
        </w:tc>
        <w:tc>
          <w:tcPr>
            <w:tcW w:w="1650" w:type="dxa"/>
            <w:noWrap/>
            <w:hideMark/>
          </w:tcPr>
          <w:p w14:paraId="5B01CC63" w14:textId="77777777" w:rsidR="000752C1" w:rsidRPr="008D7A52" w:rsidRDefault="000752C1" w:rsidP="00C478F6">
            <w:r w:rsidRPr="008D7A52">
              <w:t xml:space="preserve">1.0000 </w:t>
            </w:r>
          </w:p>
        </w:tc>
        <w:tc>
          <w:tcPr>
            <w:tcW w:w="1092" w:type="dxa"/>
            <w:noWrap/>
            <w:hideMark/>
          </w:tcPr>
          <w:p w14:paraId="6F0AE1E8" w14:textId="77777777" w:rsidR="000752C1" w:rsidRPr="008D7A52" w:rsidRDefault="000752C1" w:rsidP="00C478F6"/>
        </w:tc>
        <w:tc>
          <w:tcPr>
            <w:tcW w:w="1538" w:type="dxa"/>
            <w:noWrap/>
            <w:hideMark/>
          </w:tcPr>
          <w:p w14:paraId="0F89695C" w14:textId="77777777" w:rsidR="000752C1" w:rsidRPr="008D7A52" w:rsidRDefault="000752C1" w:rsidP="00C478F6"/>
        </w:tc>
        <w:tc>
          <w:tcPr>
            <w:tcW w:w="991" w:type="dxa"/>
            <w:noWrap/>
            <w:hideMark/>
          </w:tcPr>
          <w:p w14:paraId="259BAD70" w14:textId="77777777" w:rsidR="000752C1" w:rsidRPr="008D7A52" w:rsidRDefault="000752C1" w:rsidP="00C478F6"/>
        </w:tc>
      </w:tr>
      <w:tr w:rsidR="000752C1" w:rsidRPr="008D7A52" w14:paraId="3060C2CF" w14:textId="77777777" w:rsidTr="00C478F6">
        <w:trPr>
          <w:trHeight w:val="377"/>
        </w:trPr>
        <w:tc>
          <w:tcPr>
            <w:tcW w:w="1172" w:type="dxa"/>
            <w:noWrap/>
            <w:vAlign w:val="bottom"/>
            <w:hideMark/>
          </w:tcPr>
          <w:p w14:paraId="62832B9F" w14:textId="77777777" w:rsidR="000752C1" w:rsidRPr="008D7A52" w:rsidRDefault="000752C1" w:rsidP="00C478F6">
            <w:pPr>
              <w:jc w:val="both"/>
            </w:pPr>
            <w:r w:rsidRPr="008D7A52">
              <w:t>EXPC</w:t>
            </w:r>
          </w:p>
        </w:tc>
        <w:tc>
          <w:tcPr>
            <w:tcW w:w="1486" w:type="dxa"/>
            <w:noWrap/>
            <w:hideMark/>
          </w:tcPr>
          <w:p w14:paraId="5D2D5451" w14:textId="77777777" w:rsidR="000752C1" w:rsidRPr="008D7A52" w:rsidRDefault="000752C1" w:rsidP="00C478F6">
            <w:r w:rsidRPr="008D7A52">
              <w:t xml:space="preserve">0.1275* </w:t>
            </w:r>
            <w:proofErr w:type="gramStart"/>
            <w:r w:rsidRPr="008D7A52">
              <w:t xml:space="preserve">   (</w:t>
            </w:r>
            <w:proofErr w:type="gramEnd"/>
            <w:r w:rsidRPr="008D7A52">
              <w:t>0.0187)</w:t>
            </w:r>
          </w:p>
        </w:tc>
        <w:tc>
          <w:tcPr>
            <w:tcW w:w="1650" w:type="dxa"/>
            <w:noWrap/>
            <w:hideMark/>
          </w:tcPr>
          <w:p w14:paraId="2F08944C" w14:textId="77777777" w:rsidR="000752C1" w:rsidRPr="008D7A52" w:rsidRDefault="000752C1" w:rsidP="00C478F6">
            <w:r w:rsidRPr="008D7A52">
              <w:t>-0.2490* (0.0000)</w:t>
            </w:r>
          </w:p>
        </w:tc>
        <w:tc>
          <w:tcPr>
            <w:tcW w:w="1092" w:type="dxa"/>
            <w:noWrap/>
            <w:hideMark/>
          </w:tcPr>
          <w:p w14:paraId="772DFE86" w14:textId="77777777" w:rsidR="000752C1" w:rsidRPr="008D7A52" w:rsidRDefault="000752C1" w:rsidP="00C478F6">
            <w:r w:rsidRPr="008D7A52">
              <w:t>1.0000</w:t>
            </w:r>
          </w:p>
        </w:tc>
        <w:tc>
          <w:tcPr>
            <w:tcW w:w="1538" w:type="dxa"/>
            <w:noWrap/>
            <w:hideMark/>
          </w:tcPr>
          <w:p w14:paraId="3A8A4F7E" w14:textId="77777777" w:rsidR="000752C1" w:rsidRPr="008D7A52" w:rsidRDefault="000752C1" w:rsidP="00C478F6"/>
        </w:tc>
        <w:tc>
          <w:tcPr>
            <w:tcW w:w="991" w:type="dxa"/>
            <w:noWrap/>
            <w:hideMark/>
          </w:tcPr>
          <w:p w14:paraId="67187581" w14:textId="77777777" w:rsidR="000752C1" w:rsidRPr="008D7A52" w:rsidRDefault="000752C1" w:rsidP="00C478F6"/>
        </w:tc>
      </w:tr>
      <w:tr w:rsidR="000752C1" w:rsidRPr="008D7A52" w14:paraId="0618E03C" w14:textId="77777777" w:rsidTr="00C478F6">
        <w:trPr>
          <w:trHeight w:val="377"/>
        </w:trPr>
        <w:tc>
          <w:tcPr>
            <w:tcW w:w="1172" w:type="dxa"/>
            <w:tcBorders>
              <w:bottom w:val="nil"/>
            </w:tcBorders>
            <w:noWrap/>
            <w:vAlign w:val="bottom"/>
            <w:hideMark/>
          </w:tcPr>
          <w:p w14:paraId="0B1E5D17" w14:textId="77777777" w:rsidR="000752C1" w:rsidRPr="008D7A52" w:rsidRDefault="000752C1" w:rsidP="00C478F6">
            <w:pPr>
              <w:jc w:val="both"/>
            </w:pPr>
            <w:r w:rsidRPr="008D7A52">
              <w:t>GRDE</w:t>
            </w:r>
          </w:p>
        </w:tc>
        <w:tc>
          <w:tcPr>
            <w:tcW w:w="1486" w:type="dxa"/>
            <w:tcBorders>
              <w:bottom w:val="nil"/>
            </w:tcBorders>
            <w:noWrap/>
            <w:hideMark/>
          </w:tcPr>
          <w:p w14:paraId="26E5DF53" w14:textId="77777777" w:rsidR="000752C1" w:rsidRPr="008D7A52" w:rsidRDefault="000752C1" w:rsidP="00C478F6">
            <w:r w:rsidRPr="008D7A52">
              <w:t>-0.1333*</w:t>
            </w:r>
          </w:p>
          <w:p w14:paraId="5BB52DD2" w14:textId="77777777" w:rsidR="000752C1" w:rsidRPr="008D7A52" w:rsidRDefault="000752C1" w:rsidP="00C478F6">
            <w:r w:rsidRPr="008D7A52">
              <w:t>(0.0139)</w:t>
            </w:r>
          </w:p>
        </w:tc>
        <w:tc>
          <w:tcPr>
            <w:tcW w:w="1650" w:type="dxa"/>
            <w:tcBorders>
              <w:bottom w:val="nil"/>
            </w:tcBorders>
            <w:noWrap/>
            <w:hideMark/>
          </w:tcPr>
          <w:p w14:paraId="50ABB3BF" w14:textId="77777777" w:rsidR="000752C1" w:rsidRPr="008D7A52" w:rsidRDefault="000752C1" w:rsidP="00C478F6">
            <w:r w:rsidRPr="008D7A52">
              <w:t>0.3570*</w:t>
            </w:r>
          </w:p>
          <w:p w14:paraId="661B73C9" w14:textId="77777777" w:rsidR="000752C1" w:rsidRPr="008D7A52" w:rsidRDefault="000752C1" w:rsidP="00C478F6">
            <w:r w:rsidRPr="008D7A52">
              <w:t>(0.0000)</w:t>
            </w:r>
          </w:p>
        </w:tc>
        <w:tc>
          <w:tcPr>
            <w:tcW w:w="1092" w:type="dxa"/>
            <w:tcBorders>
              <w:bottom w:val="nil"/>
            </w:tcBorders>
            <w:noWrap/>
            <w:hideMark/>
          </w:tcPr>
          <w:p w14:paraId="4635D836" w14:textId="77777777" w:rsidR="000752C1" w:rsidRPr="008D7A52" w:rsidRDefault="000752C1" w:rsidP="00C478F6">
            <w:r w:rsidRPr="008D7A52">
              <w:t xml:space="preserve">-0.1201* </w:t>
            </w:r>
          </w:p>
          <w:p w14:paraId="1AB46291" w14:textId="77777777" w:rsidR="000752C1" w:rsidRPr="008D7A52" w:rsidRDefault="000752C1" w:rsidP="00C478F6">
            <w:r w:rsidRPr="008D7A52">
              <w:t>(0.0268)</w:t>
            </w:r>
          </w:p>
        </w:tc>
        <w:tc>
          <w:tcPr>
            <w:tcW w:w="1538" w:type="dxa"/>
            <w:tcBorders>
              <w:bottom w:val="nil"/>
            </w:tcBorders>
            <w:noWrap/>
            <w:hideMark/>
          </w:tcPr>
          <w:p w14:paraId="15360B14" w14:textId="77777777" w:rsidR="000752C1" w:rsidRPr="008D7A52" w:rsidRDefault="000752C1" w:rsidP="00C478F6">
            <w:r w:rsidRPr="008D7A52">
              <w:t>1.0000</w:t>
            </w:r>
          </w:p>
        </w:tc>
        <w:tc>
          <w:tcPr>
            <w:tcW w:w="991" w:type="dxa"/>
            <w:tcBorders>
              <w:bottom w:val="nil"/>
            </w:tcBorders>
            <w:noWrap/>
            <w:hideMark/>
          </w:tcPr>
          <w:p w14:paraId="5553ACCC" w14:textId="77777777" w:rsidR="000752C1" w:rsidRPr="008D7A52" w:rsidRDefault="000752C1" w:rsidP="00C478F6"/>
        </w:tc>
      </w:tr>
      <w:tr w:rsidR="000752C1" w:rsidRPr="008D7A52" w14:paraId="11250E72" w14:textId="77777777" w:rsidTr="00C478F6">
        <w:trPr>
          <w:trHeight w:val="377"/>
        </w:trPr>
        <w:tc>
          <w:tcPr>
            <w:tcW w:w="1172" w:type="dxa"/>
            <w:tcBorders>
              <w:top w:val="nil"/>
              <w:bottom w:val="single" w:sz="4" w:space="0" w:color="auto"/>
            </w:tcBorders>
            <w:noWrap/>
            <w:vAlign w:val="bottom"/>
            <w:hideMark/>
          </w:tcPr>
          <w:p w14:paraId="035F1446" w14:textId="77777777" w:rsidR="000752C1" w:rsidRPr="008D7A52" w:rsidRDefault="000752C1" w:rsidP="00C478F6">
            <w:pPr>
              <w:jc w:val="both"/>
            </w:pPr>
            <w:r w:rsidRPr="008D7A52">
              <w:t>ECCC</w:t>
            </w:r>
          </w:p>
        </w:tc>
        <w:tc>
          <w:tcPr>
            <w:tcW w:w="1486" w:type="dxa"/>
            <w:tcBorders>
              <w:top w:val="nil"/>
              <w:bottom w:val="single" w:sz="4" w:space="0" w:color="auto"/>
            </w:tcBorders>
            <w:noWrap/>
            <w:vAlign w:val="bottom"/>
            <w:hideMark/>
          </w:tcPr>
          <w:p w14:paraId="719976ED" w14:textId="77777777" w:rsidR="000752C1" w:rsidRPr="008D7A52" w:rsidRDefault="000752C1" w:rsidP="00C478F6">
            <w:r w:rsidRPr="008D7A52">
              <w:t>-0.2141* (0.0001)</w:t>
            </w:r>
          </w:p>
        </w:tc>
        <w:tc>
          <w:tcPr>
            <w:tcW w:w="1650" w:type="dxa"/>
            <w:tcBorders>
              <w:top w:val="nil"/>
              <w:bottom w:val="single" w:sz="4" w:space="0" w:color="auto"/>
            </w:tcBorders>
            <w:noWrap/>
            <w:vAlign w:val="bottom"/>
            <w:hideMark/>
          </w:tcPr>
          <w:p w14:paraId="27745677" w14:textId="77777777" w:rsidR="000752C1" w:rsidRPr="008D7A52" w:rsidRDefault="000752C1" w:rsidP="00C478F6">
            <w:r w:rsidRPr="008D7A52">
              <w:t>-0.1177* (0.0301)</w:t>
            </w:r>
          </w:p>
        </w:tc>
        <w:tc>
          <w:tcPr>
            <w:tcW w:w="1092" w:type="dxa"/>
            <w:tcBorders>
              <w:top w:val="nil"/>
              <w:bottom w:val="single" w:sz="4" w:space="0" w:color="auto"/>
            </w:tcBorders>
            <w:noWrap/>
            <w:vAlign w:val="bottom"/>
            <w:hideMark/>
          </w:tcPr>
          <w:p w14:paraId="3525CA27" w14:textId="77777777" w:rsidR="000752C1" w:rsidRPr="008D7A52" w:rsidRDefault="000752C1" w:rsidP="00C478F6">
            <w:r w:rsidRPr="008D7A52">
              <w:t>-0.0751</w:t>
            </w:r>
          </w:p>
          <w:p w14:paraId="05C9197B" w14:textId="77777777" w:rsidR="000752C1" w:rsidRPr="008D7A52" w:rsidRDefault="000752C1" w:rsidP="00C478F6">
            <w:r w:rsidRPr="008D7A52">
              <w:t>0.1670</w:t>
            </w:r>
          </w:p>
        </w:tc>
        <w:tc>
          <w:tcPr>
            <w:tcW w:w="1538" w:type="dxa"/>
            <w:tcBorders>
              <w:top w:val="nil"/>
              <w:bottom w:val="single" w:sz="4" w:space="0" w:color="auto"/>
            </w:tcBorders>
            <w:noWrap/>
            <w:vAlign w:val="bottom"/>
            <w:hideMark/>
          </w:tcPr>
          <w:p w14:paraId="0EE338F6" w14:textId="77777777" w:rsidR="000752C1" w:rsidRPr="008D7A52" w:rsidRDefault="000752C1" w:rsidP="00C478F6">
            <w:r w:rsidRPr="008D7A52">
              <w:t>0.1193* (0.0278)</w:t>
            </w:r>
          </w:p>
        </w:tc>
        <w:tc>
          <w:tcPr>
            <w:tcW w:w="991" w:type="dxa"/>
            <w:tcBorders>
              <w:top w:val="nil"/>
              <w:bottom w:val="single" w:sz="4" w:space="0" w:color="auto"/>
            </w:tcBorders>
            <w:noWrap/>
            <w:vAlign w:val="bottom"/>
            <w:hideMark/>
          </w:tcPr>
          <w:p w14:paraId="3E0CEE77" w14:textId="77777777" w:rsidR="000752C1" w:rsidRPr="008D7A52" w:rsidRDefault="000752C1" w:rsidP="00C478F6">
            <w:pPr>
              <w:jc w:val="center"/>
            </w:pPr>
            <w:r w:rsidRPr="008D7A52">
              <w:t>1.0000</w:t>
            </w:r>
          </w:p>
        </w:tc>
      </w:tr>
    </w:tbl>
    <w:p w14:paraId="55A7DC44" w14:textId="77777777" w:rsidR="000752C1" w:rsidRPr="008D7A52" w:rsidRDefault="000752C1" w:rsidP="000752C1">
      <w:pPr>
        <w:spacing w:line="360" w:lineRule="auto"/>
        <w:jc w:val="both"/>
        <w:rPr>
          <w:b/>
        </w:rPr>
      </w:pPr>
      <w:r w:rsidRPr="008D7A52">
        <w:rPr>
          <w:b/>
        </w:rPr>
        <w:t>Source: Researchers’ Computation (2025)</w:t>
      </w:r>
    </w:p>
    <w:p w14:paraId="19592F75" w14:textId="0FEE324A" w:rsidR="003F70A4" w:rsidRDefault="003F70A4" w:rsidP="001C4D36">
      <w:pPr>
        <w:ind w:firstLine="720"/>
        <w:jc w:val="both"/>
      </w:pPr>
      <w:r w:rsidRPr="008D7A52">
        <w:t xml:space="preserve">Table 4 shows the results of a pairwise correlation coefficient test to determine the linear relationship between environmental sustainability investment and value creation of non-financial firms. The data revealed an inverse and insignificant relationship between Market value added (MVA) and investment in non-renewable energy (INRE), as evidenced by the coefficient value -0.0130 and probability of 0.8118. Furthermore, it is demonstrated that, for </w:t>
      </w:r>
      <w:r w:rsidR="00A62F17" w:rsidRPr="008D7A52">
        <w:t>firms’</w:t>
      </w:r>
      <w:r w:rsidRPr="008D7A52">
        <w:t xml:space="preserve"> expenditure on pollution control (EXPC) has a positive and significant correlation with market value added (MVA), having coefficient value of 0.1275* indicating an increase in pollution control cost will results to 12.75 percent increase in the growth of firms. Furthermore, Table 4 shows an inverse linear association between listed firms green research and development expenditure (GRDE) and their value creation. The results </w:t>
      </w:r>
      <w:r w:rsidR="00A62F17" w:rsidRPr="008D7A52">
        <w:t>are</w:t>
      </w:r>
      <w:r w:rsidRPr="008D7A52">
        <w:t xml:space="preserve"> evidenced with a coefficient of -0.1333* and p-value of 0.0139. The same goes for the relationship between environmental compliance cost (ECC) and market value added having coefficient value of -0.2141 and p-value of 0.0001. The overall implication of </w:t>
      </w:r>
      <w:r w:rsidR="00452A32" w:rsidRPr="008D7A52">
        <w:t>this relationship</w:t>
      </w:r>
      <w:r w:rsidRPr="008D7A52">
        <w:t xml:space="preserve"> is that investment in environmental sustainability is not yet yielding positive returns for Nigerian firms except for the cost that address pollution control. Nigeria expanding to mandatory investments will expose to the investors rudiments that will make them create value in sustainability effort. </w:t>
      </w:r>
    </w:p>
    <w:p w14:paraId="46A06227" w14:textId="77777777" w:rsidR="008C359D" w:rsidRDefault="008C359D" w:rsidP="001C4D36">
      <w:pPr>
        <w:ind w:firstLine="720"/>
        <w:jc w:val="both"/>
      </w:pPr>
    </w:p>
    <w:p w14:paraId="33B2A192" w14:textId="77777777" w:rsidR="008C359D" w:rsidRDefault="008C359D" w:rsidP="001C4D36">
      <w:pPr>
        <w:ind w:firstLine="720"/>
        <w:jc w:val="both"/>
      </w:pPr>
    </w:p>
    <w:p w14:paraId="5B68DDAA" w14:textId="77777777" w:rsidR="001306CA" w:rsidRDefault="001306CA" w:rsidP="001C4D36">
      <w:pPr>
        <w:ind w:firstLine="720"/>
        <w:jc w:val="both"/>
      </w:pPr>
    </w:p>
    <w:p w14:paraId="31DC6E92" w14:textId="77777777" w:rsidR="008C359D" w:rsidRDefault="008C359D" w:rsidP="001C4D36">
      <w:pPr>
        <w:ind w:firstLine="720"/>
        <w:jc w:val="both"/>
      </w:pPr>
    </w:p>
    <w:p w14:paraId="13BBF8E5" w14:textId="77777777" w:rsidR="008C359D" w:rsidRDefault="008C359D" w:rsidP="001C4D36">
      <w:pPr>
        <w:ind w:firstLine="720"/>
        <w:jc w:val="both"/>
      </w:pPr>
    </w:p>
    <w:p w14:paraId="45BC788C" w14:textId="77777777" w:rsidR="008C359D" w:rsidRDefault="008C359D" w:rsidP="001C4D36">
      <w:pPr>
        <w:ind w:firstLine="720"/>
        <w:jc w:val="both"/>
      </w:pPr>
    </w:p>
    <w:p w14:paraId="69C69D56" w14:textId="77777777" w:rsidR="008C359D" w:rsidRDefault="008C359D" w:rsidP="001C4D36">
      <w:pPr>
        <w:ind w:firstLine="720"/>
        <w:jc w:val="both"/>
      </w:pPr>
    </w:p>
    <w:p w14:paraId="1871585F" w14:textId="77777777" w:rsidR="008C359D" w:rsidRDefault="008C359D" w:rsidP="001C4D36">
      <w:pPr>
        <w:ind w:firstLine="720"/>
        <w:jc w:val="both"/>
      </w:pPr>
    </w:p>
    <w:p w14:paraId="7BD5D649" w14:textId="77777777" w:rsidR="008C359D" w:rsidRPr="008D7A52" w:rsidRDefault="008C359D" w:rsidP="001C4D36">
      <w:pPr>
        <w:ind w:firstLine="720"/>
        <w:jc w:val="both"/>
      </w:pPr>
    </w:p>
    <w:p w14:paraId="7F0A668E" w14:textId="77777777" w:rsidR="001C4D36" w:rsidRPr="008D7A52" w:rsidRDefault="001C4D36" w:rsidP="001C4D36">
      <w:pPr>
        <w:ind w:firstLine="720"/>
        <w:jc w:val="both"/>
      </w:pPr>
    </w:p>
    <w:p w14:paraId="43D6974E" w14:textId="3C012065" w:rsidR="003F70A4" w:rsidRPr="008D7A52" w:rsidRDefault="003F70A4" w:rsidP="003F70A4">
      <w:pPr>
        <w:jc w:val="both"/>
        <w:rPr>
          <w:b/>
        </w:rPr>
      </w:pPr>
      <w:r w:rsidRPr="008D7A52">
        <w:rPr>
          <w:b/>
        </w:rPr>
        <w:lastRenderedPageBreak/>
        <w:t>4.3</w:t>
      </w:r>
      <w:r w:rsidRPr="008D7A52">
        <w:t xml:space="preserve"> </w:t>
      </w:r>
      <w:r w:rsidRPr="008D7A52">
        <w:tab/>
      </w:r>
      <w:r w:rsidR="001C4D36" w:rsidRPr="008D7A52">
        <w:rPr>
          <w:b/>
          <w:bCs/>
        </w:rPr>
        <w:t>Test of Variables</w:t>
      </w:r>
    </w:p>
    <w:p w14:paraId="5EC50EA7" w14:textId="77777777" w:rsidR="001C4D36" w:rsidRPr="008D7A52" w:rsidRDefault="001C4D36" w:rsidP="003F70A4">
      <w:pPr>
        <w:jc w:val="both"/>
        <w:rPr>
          <w:b/>
        </w:rPr>
      </w:pPr>
    </w:p>
    <w:p w14:paraId="1A775A17" w14:textId="10B08403" w:rsidR="003F70A4" w:rsidRDefault="003F70A4" w:rsidP="003F70A4">
      <w:pPr>
        <w:jc w:val="both"/>
        <w:rPr>
          <w:b/>
        </w:rPr>
      </w:pPr>
      <w:r w:rsidRPr="008D7A52">
        <w:rPr>
          <w:b/>
        </w:rPr>
        <w:t>4.3.1</w:t>
      </w:r>
      <w:r w:rsidRPr="008D7A52">
        <w:t xml:space="preserve"> </w:t>
      </w:r>
      <w:r w:rsidRPr="008D7A52">
        <w:tab/>
      </w:r>
      <w:r w:rsidRPr="008D7A52">
        <w:rPr>
          <w:b/>
        </w:rPr>
        <w:t>Pre-Estimation Tests</w:t>
      </w:r>
    </w:p>
    <w:p w14:paraId="26AAA01F" w14:textId="77777777" w:rsidR="007B022A" w:rsidRDefault="007B022A" w:rsidP="003F70A4">
      <w:pPr>
        <w:jc w:val="both"/>
        <w:rPr>
          <w:b/>
        </w:rPr>
      </w:pPr>
    </w:p>
    <w:tbl>
      <w:tblPr>
        <w:tblStyle w:val="TableGrid"/>
        <w:tblpPr w:leftFromText="180" w:rightFromText="180" w:vertAnchor="text" w:horzAnchor="margin" w:tblpY="401"/>
        <w:tblW w:w="7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50"/>
        <w:gridCol w:w="1710"/>
      </w:tblGrid>
      <w:tr w:rsidR="007B022A" w:rsidRPr="008D7A52" w14:paraId="0BD15C42" w14:textId="77777777" w:rsidTr="00C478F6">
        <w:tc>
          <w:tcPr>
            <w:tcW w:w="3510" w:type="dxa"/>
            <w:tcBorders>
              <w:bottom w:val="nil"/>
            </w:tcBorders>
            <w:hideMark/>
          </w:tcPr>
          <w:p w14:paraId="4FCBB7A1" w14:textId="77777777" w:rsidR="007B022A" w:rsidRPr="008D7A52" w:rsidRDefault="007B022A" w:rsidP="00C478F6">
            <w:r w:rsidRPr="008D7A52">
              <w:t>Variable</w:t>
            </w:r>
          </w:p>
        </w:tc>
        <w:tc>
          <w:tcPr>
            <w:tcW w:w="3960" w:type="dxa"/>
            <w:gridSpan w:val="2"/>
            <w:tcBorders>
              <w:bottom w:val="nil"/>
            </w:tcBorders>
            <w:hideMark/>
          </w:tcPr>
          <w:p w14:paraId="55507CD2" w14:textId="77777777" w:rsidR="007B022A" w:rsidRPr="008D7A52" w:rsidRDefault="007B022A" w:rsidP="00C478F6">
            <w:r w:rsidRPr="008D7A52">
              <w:t>Levin-Lin-Chu unit-root test</w:t>
            </w:r>
          </w:p>
        </w:tc>
      </w:tr>
      <w:tr w:rsidR="007B022A" w:rsidRPr="008D7A52" w14:paraId="4A0C666A" w14:textId="77777777" w:rsidTr="00C478F6">
        <w:tc>
          <w:tcPr>
            <w:tcW w:w="3510" w:type="dxa"/>
            <w:tcBorders>
              <w:top w:val="nil"/>
              <w:bottom w:val="single" w:sz="4" w:space="0" w:color="auto"/>
            </w:tcBorders>
          </w:tcPr>
          <w:p w14:paraId="79CD0CE4" w14:textId="77777777" w:rsidR="007B022A" w:rsidRPr="008D7A52" w:rsidRDefault="007B022A" w:rsidP="00C478F6"/>
        </w:tc>
        <w:tc>
          <w:tcPr>
            <w:tcW w:w="2250" w:type="dxa"/>
            <w:tcBorders>
              <w:top w:val="nil"/>
              <w:bottom w:val="single" w:sz="4" w:space="0" w:color="auto"/>
            </w:tcBorders>
            <w:hideMark/>
          </w:tcPr>
          <w:p w14:paraId="4A747A84" w14:textId="77777777" w:rsidR="007B022A" w:rsidRPr="008D7A52" w:rsidRDefault="007B022A" w:rsidP="00C478F6">
            <w:r w:rsidRPr="008D7A52">
              <w:t>statistics</w:t>
            </w:r>
          </w:p>
        </w:tc>
        <w:tc>
          <w:tcPr>
            <w:tcW w:w="1710" w:type="dxa"/>
            <w:tcBorders>
              <w:top w:val="nil"/>
              <w:bottom w:val="single" w:sz="4" w:space="0" w:color="auto"/>
            </w:tcBorders>
            <w:hideMark/>
          </w:tcPr>
          <w:p w14:paraId="718D052C" w14:textId="77777777" w:rsidR="007B022A" w:rsidRPr="008D7A52" w:rsidRDefault="007B022A" w:rsidP="00C478F6">
            <w:r w:rsidRPr="008D7A52">
              <w:t>P-value</w:t>
            </w:r>
          </w:p>
        </w:tc>
      </w:tr>
      <w:tr w:rsidR="007B022A" w:rsidRPr="008D7A52" w14:paraId="6221FEA3" w14:textId="77777777" w:rsidTr="00C478F6">
        <w:tc>
          <w:tcPr>
            <w:tcW w:w="3510" w:type="dxa"/>
            <w:tcBorders>
              <w:top w:val="single" w:sz="4" w:space="0" w:color="auto"/>
            </w:tcBorders>
          </w:tcPr>
          <w:p w14:paraId="58C1CD0B" w14:textId="77777777" w:rsidR="007B022A" w:rsidRPr="008D7A52" w:rsidRDefault="007B022A" w:rsidP="00C478F6">
            <w:r w:rsidRPr="008D7A52">
              <w:t>MVA</w:t>
            </w:r>
          </w:p>
        </w:tc>
        <w:tc>
          <w:tcPr>
            <w:tcW w:w="2250" w:type="dxa"/>
            <w:tcBorders>
              <w:top w:val="single" w:sz="4" w:space="0" w:color="auto"/>
            </w:tcBorders>
          </w:tcPr>
          <w:p w14:paraId="1DE4055A" w14:textId="77777777" w:rsidR="007B022A" w:rsidRPr="008D7A52" w:rsidRDefault="007B022A" w:rsidP="00C478F6">
            <w:r w:rsidRPr="008D7A52">
              <w:t xml:space="preserve">-5.3096  </w:t>
            </w:r>
          </w:p>
        </w:tc>
        <w:tc>
          <w:tcPr>
            <w:tcW w:w="1710" w:type="dxa"/>
            <w:tcBorders>
              <w:top w:val="single" w:sz="4" w:space="0" w:color="auto"/>
            </w:tcBorders>
          </w:tcPr>
          <w:p w14:paraId="4FAE05D1" w14:textId="77777777" w:rsidR="007B022A" w:rsidRPr="008D7A52" w:rsidRDefault="007B022A" w:rsidP="00C478F6">
            <w:r w:rsidRPr="008D7A52">
              <w:t>0.0000</w:t>
            </w:r>
          </w:p>
        </w:tc>
      </w:tr>
      <w:tr w:rsidR="007B022A" w:rsidRPr="008D7A52" w14:paraId="6AFB8EF0" w14:textId="77777777" w:rsidTr="00C478F6">
        <w:tc>
          <w:tcPr>
            <w:tcW w:w="3510" w:type="dxa"/>
          </w:tcPr>
          <w:p w14:paraId="4D3299A4" w14:textId="77777777" w:rsidR="007B022A" w:rsidRPr="008D7A52" w:rsidRDefault="007B022A" w:rsidP="00C478F6">
            <w:r w:rsidRPr="008D7A52">
              <w:t>INRE</w:t>
            </w:r>
          </w:p>
        </w:tc>
        <w:tc>
          <w:tcPr>
            <w:tcW w:w="2250" w:type="dxa"/>
          </w:tcPr>
          <w:p w14:paraId="293D0E08" w14:textId="77777777" w:rsidR="007B022A" w:rsidRPr="008D7A52" w:rsidRDefault="007B022A" w:rsidP="00C478F6">
            <w:r w:rsidRPr="008D7A52">
              <w:t>-2.3597</w:t>
            </w:r>
          </w:p>
        </w:tc>
        <w:tc>
          <w:tcPr>
            <w:tcW w:w="1710" w:type="dxa"/>
          </w:tcPr>
          <w:p w14:paraId="26502080" w14:textId="77777777" w:rsidR="007B022A" w:rsidRPr="008D7A52" w:rsidRDefault="007B022A" w:rsidP="00C478F6">
            <w:r w:rsidRPr="008D7A52">
              <w:t>0.0091</w:t>
            </w:r>
          </w:p>
        </w:tc>
      </w:tr>
      <w:tr w:rsidR="007B022A" w:rsidRPr="008D7A52" w14:paraId="3E2CF687" w14:textId="77777777" w:rsidTr="00C478F6">
        <w:tc>
          <w:tcPr>
            <w:tcW w:w="3510" w:type="dxa"/>
          </w:tcPr>
          <w:p w14:paraId="4FA76F1E" w14:textId="77777777" w:rsidR="007B022A" w:rsidRPr="008D7A52" w:rsidRDefault="007B022A" w:rsidP="00C478F6">
            <w:r w:rsidRPr="008D7A52">
              <w:t>EXPC</w:t>
            </w:r>
          </w:p>
        </w:tc>
        <w:tc>
          <w:tcPr>
            <w:tcW w:w="2250" w:type="dxa"/>
          </w:tcPr>
          <w:p w14:paraId="655EBB52" w14:textId="77777777" w:rsidR="007B022A" w:rsidRPr="008D7A52" w:rsidRDefault="007B022A" w:rsidP="00C478F6">
            <w:r w:rsidRPr="008D7A52">
              <w:t>-5.4389</w:t>
            </w:r>
          </w:p>
        </w:tc>
        <w:tc>
          <w:tcPr>
            <w:tcW w:w="1710" w:type="dxa"/>
          </w:tcPr>
          <w:p w14:paraId="7E45286E" w14:textId="77777777" w:rsidR="007B022A" w:rsidRPr="008D7A52" w:rsidRDefault="007B022A" w:rsidP="00C478F6">
            <w:r w:rsidRPr="008D7A52">
              <w:t>0.0000</w:t>
            </w:r>
          </w:p>
        </w:tc>
      </w:tr>
      <w:tr w:rsidR="007B022A" w:rsidRPr="008D7A52" w14:paraId="56F4CE08" w14:textId="77777777" w:rsidTr="00C478F6">
        <w:tc>
          <w:tcPr>
            <w:tcW w:w="3510" w:type="dxa"/>
          </w:tcPr>
          <w:p w14:paraId="5DFA688A" w14:textId="77777777" w:rsidR="007B022A" w:rsidRPr="008D7A52" w:rsidRDefault="007B022A" w:rsidP="00C478F6">
            <w:r w:rsidRPr="008D7A52">
              <w:t>GRDE</w:t>
            </w:r>
          </w:p>
        </w:tc>
        <w:tc>
          <w:tcPr>
            <w:tcW w:w="2250" w:type="dxa"/>
          </w:tcPr>
          <w:p w14:paraId="6A896B9E" w14:textId="77777777" w:rsidR="007B022A" w:rsidRPr="008D7A52" w:rsidRDefault="007B022A" w:rsidP="00C478F6">
            <w:r w:rsidRPr="008D7A52">
              <w:t>-2.2172</w:t>
            </w:r>
          </w:p>
        </w:tc>
        <w:tc>
          <w:tcPr>
            <w:tcW w:w="1710" w:type="dxa"/>
          </w:tcPr>
          <w:p w14:paraId="34F28569" w14:textId="77777777" w:rsidR="007B022A" w:rsidRPr="008D7A52" w:rsidRDefault="007B022A" w:rsidP="00C478F6">
            <w:r w:rsidRPr="008D7A52">
              <w:t>0.0133</w:t>
            </w:r>
          </w:p>
        </w:tc>
      </w:tr>
      <w:tr w:rsidR="007B022A" w:rsidRPr="008D7A52" w14:paraId="057C208F" w14:textId="77777777" w:rsidTr="00C478F6">
        <w:tc>
          <w:tcPr>
            <w:tcW w:w="3510" w:type="dxa"/>
          </w:tcPr>
          <w:p w14:paraId="0890EE4A" w14:textId="77777777" w:rsidR="007B022A" w:rsidRPr="008D7A52" w:rsidRDefault="007B022A" w:rsidP="00C478F6">
            <w:r w:rsidRPr="008D7A52">
              <w:t>ECCC</w:t>
            </w:r>
          </w:p>
        </w:tc>
        <w:tc>
          <w:tcPr>
            <w:tcW w:w="2250" w:type="dxa"/>
          </w:tcPr>
          <w:p w14:paraId="3B123725" w14:textId="77777777" w:rsidR="007B022A" w:rsidRPr="008D7A52" w:rsidRDefault="007B022A" w:rsidP="00C478F6">
            <w:r w:rsidRPr="008D7A52">
              <w:t>-2.1161</w:t>
            </w:r>
          </w:p>
        </w:tc>
        <w:tc>
          <w:tcPr>
            <w:tcW w:w="1710" w:type="dxa"/>
          </w:tcPr>
          <w:p w14:paraId="44DA4B00" w14:textId="77777777" w:rsidR="007B022A" w:rsidRPr="008D7A52" w:rsidRDefault="007B022A" w:rsidP="00C478F6">
            <w:r w:rsidRPr="008D7A52">
              <w:t>0.0172</w:t>
            </w:r>
          </w:p>
        </w:tc>
      </w:tr>
    </w:tbl>
    <w:p w14:paraId="3EDCD60A" w14:textId="77777777" w:rsidR="007B022A" w:rsidRPr="008D7A52" w:rsidRDefault="007B022A" w:rsidP="007B022A">
      <w:pPr>
        <w:rPr>
          <w:b/>
        </w:rPr>
      </w:pPr>
      <w:r w:rsidRPr="008D7A52">
        <w:rPr>
          <w:b/>
        </w:rPr>
        <w:t>Table 5: Panel Unit Root Test</w:t>
      </w:r>
    </w:p>
    <w:p w14:paraId="57E10393" w14:textId="77777777" w:rsidR="007B022A" w:rsidRPr="008D7A52" w:rsidRDefault="007B022A" w:rsidP="003F70A4">
      <w:pPr>
        <w:jc w:val="both"/>
        <w:rPr>
          <w:b/>
        </w:rPr>
      </w:pPr>
    </w:p>
    <w:p w14:paraId="6A16C307" w14:textId="77777777" w:rsidR="001C4D36" w:rsidRPr="008D7A52" w:rsidRDefault="001C4D36" w:rsidP="003F70A4">
      <w:pPr>
        <w:jc w:val="both"/>
        <w:rPr>
          <w:b/>
        </w:rPr>
      </w:pPr>
    </w:p>
    <w:p w14:paraId="5C58636B" w14:textId="77777777" w:rsidR="007B022A" w:rsidRDefault="007B022A" w:rsidP="003F70A4">
      <w:pPr>
        <w:ind w:firstLine="720"/>
        <w:rPr>
          <w:rFonts w:eastAsia="Calibri"/>
          <w:b/>
        </w:rPr>
      </w:pPr>
    </w:p>
    <w:p w14:paraId="61B9BE3B" w14:textId="77777777" w:rsidR="007B022A" w:rsidRDefault="007B022A" w:rsidP="003F70A4">
      <w:pPr>
        <w:ind w:firstLine="720"/>
        <w:rPr>
          <w:rFonts w:eastAsia="Calibri"/>
          <w:b/>
        </w:rPr>
      </w:pPr>
    </w:p>
    <w:p w14:paraId="4A2C7527" w14:textId="77777777" w:rsidR="007B022A" w:rsidRDefault="007B022A" w:rsidP="003F70A4">
      <w:pPr>
        <w:ind w:firstLine="720"/>
        <w:rPr>
          <w:rFonts w:eastAsia="Calibri"/>
          <w:b/>
        </w:rPr>
      </w:pPr>
    </w:p>
    <w:p w14:paraId="0F2B40D2" w14:textId="77777777" w:rsidR="007B022A" w:rsidRDefault="007B022A" w:rsidP="003F70A4">
      <w:pPr>
        <w:ind w:firstLine="720"/>
        <w:rPr>
          <w:rFonts w:eastAsia="Calibri"/>
          <w:b/>
        </w:rPr>
      </w:pPr>
    </w:p>
    <w:p w14:paraId="1E6E5FA8" w14:textId="77777777" w:rsidR="007B022A" w:rsidRDefault="007B022A" w:rsidP="003F70A4">
      <w:pPr>
        <w:ind w:firstLine="720"/>
        <w:rPr>
          <w:rFonts w:eastAsia="Calibri"/>
          <w:b/>
        </w:rPr>
      </w:pPr>
    </w:p>
    <w:p w14:paraId="59783DB1" w14:textId="77777777" w:rsidR="007B022A" w:rsidRDefault="007B022A" w:rsidP="003F70A4">
      <w:pPr>
        <w:ind w:firstLine="720"/>
        <w:rPr>
          <w:rFonts w:eastAsia="Calibri"/>
          <w:b/>
        </w:rPr>
      </w:pPr>
    </w:p>
    <w:p w14:paraId="34D5E174" w14:textId="18A840BE" w:rsidR="007B022A" w:rsidRDefault="00CC76A1" w:rsidP="00CC76A1">
      <w:pPr>
        <w:spacing w:line="480" w:lineRule="auto"/>
        <w:rPr>
          <w:rFonts w:eastAsia="Calibri"/>
          <w:b/>
        </w:rPr>
      </w:pPr>
      <w:r w:rsidRPr="008D7A52">
        <w:rPr>
          <w:b/>
        </w:rPr>
        <w:t>Source: Author’s Computations (2025)</w:t>
      </w:r>
    </w:p>
    <w:p w14:paraId="6022FE63" w14:textId="77777777" w:rsidR="003F70A4" w:rsidRPr="008D7A52" w:rsidRDefault="003F70A4" w:rsidP="00CC76A1">
      <w:pPr>
        <w:ind w:firstLine="720"/>
        <w:jc w:val="both"/>
        <w:rPr>
          <w:rFonts w:eastAsia="Calibri"/>
        </w:rPr>
      </w:pPr>
      <w:r w:rsidRPr="008D7A52">
        <w:rPr>
          <w:rFonts w:eastAsia="Calibri"/>
        </w:rPr>
        <w:t xml:space="preserve">Panel variables have the tendency of been </w:t>
      </w:r>
      <w:proofErr w:type="gramStart"/>
      <w:r w:rsidRPr="008D7A52">
        <w:rPr>
          <w:rFonts w:eastAsia="Calibri"/>
        </w:rPr>
        <w:t>non stationary</w:t>
      </w:r>
      <w:proofErr w:type="gramEnd"/>
      <w:r w:rsidRPr="008D7A52">
        <w:rPr>
          <w:rFonts w:eastAsia="Calibri"/>
        </w:rPr>
        <w:t xml:space="preserve"> at level which may likely affect the parameter stability and consistency of the model. However, </w:t>
      </w:r>
      <w:proofErr w:type="gramStart"/>
      <w:r w:rsidRPr="008D7A52">
        <w:rPr>
          <w:rFonts w:eastAsia="Calibri"/>
        </w:rPr>
        <w:t>in order to</w:t>
      </w:r>
      <w:proofErr w:type="gramEnd"/>
      <w:r w:rsidRPr="008D7A52">
        <w:rPr>
          <w:rFonts w:eastAsia="Calibri"/>
        </w:rPr>
        <w:t xml:space="preserve"> identify the stationary conditions of the variables, the study uses </w:t>
      </w:r>
      <w:r w:rsidRPr="008D7A52">
        <w:t>Levin-Lin-Chu unit-root test</w:t>
      </w:r>
      <w:r w:rsidRPr="008D7A52">
        <w:rPr>
          <w:rFonts w:eastAsia="Calibri"/>
        </w:rPr>
        <w:t xml:space="preserve">. The null hypothesis assumption of the unit root test is that all panels contain unit roots while the alternate hypothesis implies that some panels are stationary. The results of unit root tests were displayed in Table 5.  It shows that all the variables are integrated of order zero that is 1(0) </w:t>
      </w:r>
      <w:r w:rsidRPr="008D7A52">
        <w:rPr>
          <w:shd w:val="clear" w:color="auto" w:fill="FFFFFF"/>
        </w:rPr>
        <w:t>which is significant at 5 percent level of significance. Therefore, we reject the null hypothesis and conclude that the series is stationary</w:t>
      </w:r>
      <w:r w:rsidRPr="008D7A52">
        <w:rPr>
          <w:rFonts w:eastAsia="Calibri"/>
        </w:rPr>
        <w:t xml:space="preserve">. Therefore, it is not necessary to conduct the co-integration test </w:t>
      </w:r>
      <w:proofErr w:type="gramStart"/>
      <w:r w:rsidRPr="008D7A52">
        <w:rPr>
          <w:rFonts w:eastAsia="Calibri"/>
        </w:rPr>
        <w:t>in order to</w:t>
      </w:r>
      <w:proofErr w:type="gramEnd"/>
      <w:r w:rsidRPr="008D7A52">
        <w:rPr>
          <w:rFonts w:eastAsia="Calibri"/>
        </w:rPr>
        <w:t xml:space="preserve"> determine the long run relationship among the variables. The panel least square </w:t>
      </w:r>
      <w:proofErr w:type="gramStart"/>
      <w:r w:rsidRPr="008D7A52">
        <w:rPr>
          <w:rFonts w:eastAsia="Calibri"/>
        </w:rPr>
        <w:t>is capable of estimating</w:t>
      </w:r>
      <w:proofErr w:type="gramEnd"/>
      <w:r w:rsidRPr="008D7A52">
        <w:rPr>
          <w:rFonts w:eastAsia="Calibri"/>
        </w:rPr>
        <w:t xml:space="preserve"> an efficient model and that is less spurious. </w:t>
      </w:r>
    </w:p>
    <w:p w14:paraId="50812FC4" w14:textId="77777777" w:rsidR="003D2579" w:rsidRDefault="003D2579" w:rsidP="00CC76A1">
      <w:pPr>
        <w:rPr>
          <w:b/>
        </w:rPr>
      </w:pPr>
    </w:p>
    <w:p w14:paraId="30DB8489" w14:textId="42D06A0C" w:rsidR="003F70A4" w:rsidRDefault="003F70A4" w:rsidP="00CC76A1">
      <w:pPr>
        <w:rPr>
          <w:b/>
        </w:rPr>
      </w:pPr>
      <w:r w:rsidRPr="008D7A52">
        <w:rPr>
          <w:b/>
        </w:rPr>
        <w:t xml:space="preserve"> 4.3.2</w:t>
      </w:r>
      <w:r w:rsidRPr="008D7A52">
        <w:t xml:space="preserve"> </w:t>
      </w:r>
      <w:r w:rsidRPr="008D7A52">
        <w:tab/>
      </w:r>
      <w:r w:rsidRPr="008D7A52">
        <w:rPr>
          <w:b/>
        </w:rPr>
        <w:t>Post-Estimation Tests</w:t>
      </w:r>
    </w:p>
    <w:p w14:paraId="07358055" w14:textId="3ADD5287" w:rsidR="00F167A9" w:rsidRPr="008D7A52" w:rsidRDefault="00F167A9" w:rsidP="00133BEB">
      <w:pPr>
        <w:spacing w:line="480" w:lineRule="auto"/>
        <w:jc w:val="both"/>
        <w:rPr>
          <w:b/>
        </w:rPr>
      </w:pPr>
      <w:r w:rsidRPr="008D7A52">
        <w:rPr>
          <w:b/>
        </w:rPr>
        <w:t>Table 6: Summary of Post Estimation Test Results</w:t>
      </w:r>
    </w:p>
    <w:tbl>
      <w:tblPr>
        <w:tblW w:w="9265" w:type="dxa"/>
        <w:tblInd w:w="-5" w:type="dxa"/>
        <w:tblBorders>
          <w:top w:val="single" w:sz="4" w:space="0" w:color="auto"/>
          <w:bottom w:val="single" w:sz="4" w:space="0" w:color="auto"/>
        </w:tblBorders>
        <w:tblLook w:val="04A0" w:firstRow="1" w:lastRow="0" w:firstColumn="1" w:lastColumn="0" w:noHBand="0" w:noVBand="1"/>
      </w:tblPr>
      <w:tblGrid>
        <w:gridCol w:w="6030"/>
        <w:gridCol w:w="1710"/>
        <w:gridCol w:w="1525"/>
      </w:tblGrid>
      <w:tr w:rsidR="00F167A9" w:rsidRPr="00F167A9" w14:paraId="5FD902FE" w14:textId="77777777" w:rsidTr="00C478F6">
        <w:tc>
          <w:tcPr>
            <w:tcW w:w="9265" w:type="dxa"/>
            <w:gridSpan w:val="3"/>
            <w:tcBorders>
              <w:top w:val="single" w:sz="4" w:space="0" w:color="auto"/>
              <w:bottom w:val="single" w:sz="4" w:space="0" w:color="auto"/>
            </w:tcBorders>
          </w:tcPr>
          <w:p w14:paraId="2A88DED3" w14:textId="77777777" w:rsidR="00F167A9" w:rsidRPr="00F167A9" w:rsidRDefault="00F167A9" w:rsidP="00C478F6">
            <w:pPr>
              <w:jc w:val="both"/>
              <w:rPr>
                <w:b/>
                <w:sz w:val="22"/>
                <w:szCs w:val="22"/>
              </w:rPr>
            </w:pPr>
            <w:r w:rsidRPr="00F167A9">
              <w:rPr>
                <w:b/>
                <w:sz w:val="22"/>
                <w:szCs w:val="22"/>
              </w:rPr>
              <w:t>Ramsey RESET test</w:t>
            </w:r>
          </w:p>
        </w:tc>
      </w:tr>
      <w:tr w:rsidR="00F167A9" w:rsidRPr="00F167A9" w14:paraId="1A062526" w14:textId="77777777" w:rsidTr="00C478F6">
        <w:tc>
          <w:tcPr>
            <w:tcW w:w="6030" w:type="dxa"/>
            <w:tcBorders>
              <w:top w:val="single" w:sz="4" w:space="0" w:color="auto"/>
            </w:tcBorders>
          </w:tcPr>
          <w:p w14:paraId="2354A8E9" w14:textId="77777777" w:rsidR="00F167A9" w:rsidRPr="00F167A9" w:rsidRDefault="00F167A9" w:rsidP="00C478F6">
            <w:pPr>
              <w:jc w:val="both"/>
              <w:rPr>
                <w:sz w:val="22"/>
                <w:szCs w:val="22"/>
              </w:rPr>
            </w:pPr>
            <w:r w:rsidRPr="00F167A9">
              <w:rPr>
                <w:sz w:val="22"/>
                <w:szCs w:val="22"/>
              </w:rPr>
              <w:t>Null Hypothesis</w:t>
            </w:r>
          </w:p>
        </w:tc>
        <w:tc>
          <w:tcPr>
            <w:tcW w:w="1710" w:type="dxa"/>
            <w:tcBorders>
              <w:top w:val="single" w:sz="4" w:space="0" w:color="auto"/>
            </w:tcBorders>
          </w:tcPr>
          <w:p w14:paraId="01E0B5EF" w14:textId="77777777" w:rsidR="00F167A9" w:rsidRPr="00F167A9" w:rsidRDefault="00F167A9" w:rsidP="00C478F6">
            <w:pPr>
              <w:jc w:val="both"/>
              <w:rPr>
                <w:sz w:val="22"/>
                <w:szCs w:val="22"/>
              </w:rPr>
            </w:pPr>
            <w:r w:rsidRPr="00F167A9">
              <w:rPr>
                <w:sz w:val="22"/>
                <w:szCs w:val="22"/>
              </w:rPr>
              <w:t>F-Statistics</w:t>
            </w:r>
          </w:p>
        </w:tc>
        <w:tc>
          <w:tcPr>
            <w:tcW w:w="1525" w:type="dxa"/>
            <w:tcBorders>
              <w:top w:val="single" w:sz="4" w:space="0" w:color="auto"/>
            </w:tcBorders>
          </w:tcPr>
          <w:p w14:paraId="24B049A6" w14:textId="77777777" w:rsidR="00F167A9" w:rsidRPr="00F167A9" w:rsidRDefault="00F167A9" w:rsidP="00C478F6">
            <w:pPr>
              <w:jc w:val="both"/>
              <w:rPr>
                <w:sz w:val="22"/>
                <w:szCs w:val="22"/>
              </w:rPr>
            </w:pPr>
            <w:r w:rsidRPr="00F167A9">
              <w:rPr>
                <w:sz w:val="22"/>
                <w:szCs w:val="22"/>
              </w:rPr>
              <w:t>Probability</w:t>
            </w:r>
          </w:p>
        </w:tc>
      </w:tr>
      <w:tr w:rsidR="00F167A9" w:rsidRPr="00F167A9" w14:paraId="4A78DFFC" w14:textId="77777777" w:rsidTr="00C478F6">
        <w:tc>
          <w:tcPr>
            <w:tcW w:w="6030" w:type="dxa"/>
          </w:tcPr>
          <w:p w14:paraId="78CBE3FD" w14:textId="77777777" w:rsidR="00F167A9" w:rsidRPr="00F167A9" w:rsidRDefault="00F167A9" w:rsidP="00C478F6">
            <w:pPr>
              <w:jc w:val="both"/>
              <w:rPr>
                <w:sz w:val="22"/>
                <w:szCs w:val="22"/>
              </w:rPr>
            </w:pPr>
            <w:r w:rsidRPr="00F167A9">
              <w:rPr>
                <w:sz w:val="22"/>
                <w:szCs w:val="22"/>
              </w:rPr>
              <w:t xml:space="preserve"> Ho:  model has no omitted </w:t>
            </w:r>
            <w:proofErr w:type="gramStart"/>
            <w:r w:rsidRPr="00F167A9">
              <w:rPr>
                <w:sz w:val="22"/>
                <w:szCs w:val="22"/>
              </w:rPr>
              <w:t>variables  (</w:t>
            </w:r>
            <w:proofErr w:type="gramEnd"/>
            <w:r w:rsidRPr="00F167A9">
              <w:rPr>
                <w:sz w:val="22"/>
                <w:szCs w:val="22"/>
              </w:rPr>
              <w:t>P&gt;0.05)</w:t>
            </w:r>
          </w:p>
        </w:tc>
        <w:tc>
          <w:tcPr>
            <w:tcW w:w="1710" w:type="dxa"/>
          </w:tcPr>
          <w:p w14:paraId="40F66229" w14:textId="77777777" w:rsidR="00F167A9" w:rsidRPr="00F167A9" w:rsidRDefault="00F167A9" w:rsidP="00C478F6">
            <w:pPr>
              <w:jc w:val="both"/>
              <w:rPr>
                <w:sz w:val="22"/>
                <w:szCs w:val="22"/>
              </w:rPr>
            </w:pPr>
            <w:r w:rsidRPr="00F167A9">
              <w:rPr>
                <w:sz w:val="22"/>
                <w:szCs w:val="22"/>
              </w:rPr>
              <w:t>2.03</w:t>
            </w:r>
          </w:p>
        </w:tc>
        <w:tc>
          <w:tcPr>
            <w:tcW w:w="1525" w:type="dxa"/>
          </w:tcPr>
          <w:p w14:paraId="4720A579" w14:textId="77777777" w:rsidR="00F167A9" w:rsidRPr="00F167A9" w:rsidRDefault="00F167A9" w:rsidP="00C478F6">
            <w:pPr>
              <w:jc w:val="both"/>
              <w:rPr>
                <w:sz w:val="22"/>
                <w:szCs w:val="22"/>
              </w:rPr>
            </w:pPr>
            <w:r w:rsidRPr="00F167A9">
              <w:rPr>
                <w:sz w:val="22"/>
                <w:szCs w:val="22"/>
              </w:rPr>
              <w:t>0.1097</w:t>
            </w:r>
          </w:p>
        </w:tc>
      </w:tr>
      <w:tr w:rsidR="00F167A9" w:rsidRPr="00F167A9" w14:paraId="14C459BF" w14:textId="77777777" w:rsidTr="00C478F6">
        <w:tc>
          <w:tcPr>
            <w:tcW w:w="9265" w:type="dxa"/>
            <w:gridSpan w:val="3"/>
          </w:tcPr>
          <w:p w14:paraId="1A3595E6" w14:textId="77777777" w:rsidR="00F167A9" w:rsidRPr="00F167A9" w:rsidRDefault="00F167A9" w:rsidP="00C478F6">
            <w:pPr>
              <w:jc w:val="both"/>
              <w:rPr>
                <w:b/>
                <w:sz w:val="22"/>
                <w:szCs w:val="22"/>
              </w:rPr>
            </w:pPr>
            <w:r w:rsidRPr="00F167A9">
              <w:rPr>
                <w:b/>
                <w:sz w:val="22"/>
                <w:szCs w:val="22"/>
              </w:rPr>
              <w:t>Tolerance and VIF Value</w:t>
            </w:r>
          </w:p>
        </w:tc>
      </w:tr>
      <w:tr w:rsidR="00F167A9" w:rsidRPr="00F167A9" w14:paraId="11278DC2" w14:textId="77777777" w:rsidTr="00C478F6">
        <w:tc>
          <w:tcPr>
            <w:tcW w:w="6030" w:type="dxa"/>
          </w:tcPr>
          <w:p w14:paraId="4BB3A8E9" w14:textId="77777777" w:rsidR="00F167A9" w:rsidRPr="00F167A9" w:rsidRDefault="00F167A9" w:rsidP="00C478F6">
            <w:pPr>
              <w:jc w:val="both"/>
              <w:rPr>
                <w:sz w:val="22"/>
                <w:szCs w:val="22"/>
              </w:rPr>
            </w:pPr>
            <w:r w:rsidRPr="00F167A9">
              <w:rPr>
                <w:sz w:val="22"/>
                <w:szCs w:val="22"/>
              </w:rPr>
              <w:t>Null Hypothesis</w:t>
            </w:r>
          </w:p>
        </w:tc>
        <w:tc>
          <w:tcPr>
            <w:tcW w:w="1710" w:type="dxa"/>
          </w:tcPr>
          <w:p w14:paraId="4663D925" w14:textId="77777777" w:rsidR="00F167A9" w:rsidRPr="00F167A9" w:rsidRDefault="00F167A9" w:rsidP="00C478F6">
            <w:pPr>
              <w:jc w:val="both"/>
              <w:rPr>
                <w:sz w:val="22"/>
                <w:szCs w:val="22"/>
              </w:rPr>
            </w:pPr>
            <w:r w:rsidRPr="00F167A9">
              <w:rPr>
                <w:sz w:val="22"/>
                <w:szCs w:val="22"/>
              </w:rPr>
              <w:t>VIF</w:t>
            </w:r>
          </w:p>
        </w:tc>
        <w:tc>
          <w:tcPr>
            <w:tcW w:w="1525" w:type="dxa"/>
          </w:tcPr>
          <w:p w14:paraId="7F8E4CDC" w14:textId="77777777" w:rsidR="00F167A9" w:rsidRPr="00F167A9" w:rsidRDefault="00F167A9" w:rsidP="00C478F6">
            <w:pPr>
              <w:jc w:val="both"/>
              <w:rPr>
                <w:sz w:val="22"/>
                <w:szCs w:val="22"/>
              </w:rPr>
            </w:pPr>
            <w:r w:rsidRPr="00F167A9">
              <w:rPr>
                <w:sz w:val="22"/>
                <w:szCs w:val="22"/>
              </w:rPr>
              <w:t>Mean VIF</w:t>
            </w:r>
          </w:p>
        </w:tc>
      </w:tr>
      <w:tr w:rsidR="00F167A9" w:rsidRPr="00F167A9" w14:paraId="756E3ADC" w14:textId="77777777" w:rsidTr="00C478F6">
        <w:tc>
          <w:tcPr>
            <w:tcW w:w="6030" w:type="dxa"/>
          </w:tcPr>
          <w:p w14:paraId="35760C71" w14:textId="77777777" w:rsidR="00F167A9" w:rsidRPr="00F167A9" w:rsidRDefault="00F167A9" w:rsidP="00C478F6">
            <w:pPr>
              <w:jc w:val="both"/>
              <w:rPr>
                <w:sz w:val="22"/>
                <w:szCs w:val="22"/>
              </w:rPr>
            </w:pPr>
            <w:r w:rsidRPr="00F167A9">
              <w:rPr>
                <w:sz w:val="22"/>
                <w:szCs w:val="22"/>
              </w:rPr>
              <w:t>There is no multicollinearity among the variables</w:t>
            </w:r>
            <w:proofErr w:type="gramStart"/>
            <w:r w:rsidRPr="00F167A9">
              <w:rPr>
                <w:sz w:val="22"/>
                <w:szCs w:val="22"/>
              </w:rPr>
              <w:t xml:space="preserve">   (</w:t>
            </w:r>
            <w:proofErr w:type="gramEnd"/>
            <w:r w:rsidRPr="00F167A9">
              <w:rPr>
                <w:sz w:val="22"/>
                <w:szCs w:val="22"/>
              </w:rPr>
              <w:t>1/VIF &gt;0.10)</w:t>
            </w:r>
          </w:p>
        </w:tc>
        <w:tc>
          <w:tcPr>
            <w:tcW w:w="1710" w:type="dxa"/>
          </w:tcPr>
          <w:p w14:paraId="0CC8110A" w14:textId="77777777" w:rsidR="00F167A9" w:rsidRPr="00F167A9" w:rsidRDefault="00F167A9" w:rsidP="00C478F6">
            <w:pPr>
              <w:jc w:val="both"/>
              <w:rPr>
                <w:sz w:val="22"/>
                <w:szCs w:val="22"/>
              </w:rPr>
            </w:pPr>
            <w:r w:rsidRPr="00F167A9">
              <w:rPr>
                <w:sz w:val="22"/>
                <w:szCs w:val="22"/>
              </w:rPr>
              <w:t xml:space="preserve">- </w:t>
            </w:r>
          </w:p>
        </w:tc>
        <w:tc>
          <w:tcPr>
            <w:tcW w:w="1525" w:type="dxa"/>
          </w:tcPr>
          <w:p w14:paraId="724252C5" w14:textId="77777777" w:rsidR="00F167A9" w:rsidRPr="00F167A9" w:rsidRDefault="00F167A9" w:rsidP="00C478F6">
            <w:pPr>
              <w:jc w:val="both"/>
              <w:rPr>
                <w:sz w:val="22"/>
                <w:szCs w:val="22"/>
              </w:rPr>
            </w:pPr>
            <w:r w:rsidRPr="00F167A9">
              <w:rPr>
                <w:sz w:val="22"/>
                <w:szCs w:val="22"/>
              </w:rPr>
              <w:t>1.06</w:t>
            </w:r>
          </w:p>
        </w:tc>
      </w:tr>
      <w:tr w:rsidR="00F167A9" w:rsidRPr="00F167A9" w14:paraId="28933822" w14:textId="77777777" w:rsidTr="00C478F6">
        <w:tc>
          <w:tcPr>
            <w:tcW w:w="9265" w:type="dxa"/>
            <w:gridSpan w:val="3"/>
          </w:tcPr>
          <w:p w14:paraId="20D50E53" w14:textId="77777777" w:rsidR="00F167A9" w:rsidRPr="00F167A9" w:rsidRDefault="00F167A9" w:rsidP="00C478F6">
            <w:pPr>
              <w:jc w:val="both"/>
              <w:rPr>
                <w:b/>
                <w:sz w:val="22"/>
                <w:szCs w:val="22"/>
              </w:rPr>
            </w:pPr>
            <w:r w:rsidRPr="00F167A9">
              <w:rPr>
                <w:b/>
                <w:sz w:val="22"/>
                <w:szCs w:val="22"/>
              </w:rPr>
              <w:t>Breusch-Pagan / Cook-Weisberg test for Heteroscedasticity</w:t>
            </w:r>
          </w:p>
        </w:tc>
      </w:tr>
      <w:tr w:rsidR="00F167A9" w:rsidRPr="00F167A9" w14:paraId="14C54EC3" w14:textId="77777777" w:rsidTr="00C478F6">
        <w:tc>
          <w:tcPr>
            <w:tcW w:w="6030" w:type="dxa"/>
          </w:tcPr>
          <w:p w14:paraId="32DD29BF" w14:textId="77777777" w:rsidR="00F167A9" w:rsidRPr="00F167A9" w:rsidRDefault="00F167A9" w:rsidP="00C478F6">
            <w:pPr>
              <w:jc w:val="both"/>
              <w:rPr>
                <w:sz w:val="22"/>
                <w:szCs w:val="22"/>
              </w:rPr>
            </w:pPr>
            <w:r w:rsidRPr="00F167A9">
              <w:rPr>
                <w:sz w:val="22"/>
                <w:szCs w:val="22"/>
              </w:rPr>
              <w:t>Null Hypothesis</w:t>
            </w:r>
          </w:p>
        </w:tc>
        <w:tc>
          <w:tcPr>
            <w:tcW w:w="1710" w:type="dxa"/>
          </w:tcPr>
          <w:p w14:paraId="69976378" w14:textId="77777777" w:rsidR="00F167A9" w:rsidRPr="00F167A9" w:rsidRDefault="00F167A9" w:rsidP="00C478F6">
            <w:pPr>
              <w:jc w:val="both"/>
              <w:rPr>
                <w:sz w:val="22"/>
                <w:szCs w:val="22"/>
              </w:rPr>
            </w:pPr>
            <w:r w:rsidRPr="00F167A9">
              <w:rPr>
                <w:sz w:val="22"/>
                <w:szCs w:val="22"/>
              </w:rPr>
              <w:t>Chi2 Statistics</w:t>
            </w:r>
          </w:p>
        </w:tc>
        <w:tc>
          <w:tcPr>
            <w:tcW w:w="1525" w:type="dxa"/>
          </w:tcPr>
          <w:p w14:paraId="6FCFDFB0" w14:textId="77777777" w:rsidR="00F167A9" w:rsidRPr="00F167A9" w:rsidRDefault="00F167A9" w:rsidP="00C478F6">
            <w:pPr>
              <w:jc w:val="both"/>
              <w:rPr>
                <w:sz w:val="22"/>
                <w:szCs w:val="22"/>
              </w:rPr>
            </w:pPr>
            <w:r w:rsidRPr="00F167A9">
              <w:rPr>
                <w:sz w:val="22"/>
                <w:szCs w:val="22"/>
              </w:rPr>
              <w:t>Probability</w:t>
            </w:r>
          </w:p>
        </w:tc>
      </w:tr>
      <w:tr w:rsidR="00F167A9" w:rsidRPr="00F167A9" w14:paraId="4F4AF6AA" w14:textId="77777777" w:rsidTr="00C478F6">
        <w:tc>
          <w:tcPr>
            <w:tcW w:w="6030" w:type="dxa"/>
          </w:tcPr>
          <w:p w14:paraId="706B5100" w14:textId="77777777" w:rsidR="00F167A9" w:rsidRPr="00F167A9" w:rsidRDefault="00F167A9" w:rsidP="00C478F6">
            <w:pPr>
              <w:jc w:val="both"/>
              <w:rPr>
                <w:sz w:val="22"/>
                <w:szCs w:val="22"/>
              </w:rPr>
            </w:pPr>
            <w:r w:rsidRPr="00F167A9">
              <w:rPr>
                <w:sz w:val="22"/>
                <w:szCs w:val="22"/>
              </w:rPr>
              <w:t xml:space="preserve">Constant variance across the </w:t>
            </w:r>
            <w:proofErr w:type="gramStart"/>
            <w:r w:rsidRPr="00F167A9">
              <w:rPr>
                <w:sz w:val="22"/>
                <w:szCs w:val="22"/>
              </w:rPr>
              <w:t>variables</w:t>
            </w:r>
            <w:proofErr w:type="gramEnd"/>
            <w:r w:rsidRPr="00F167A9">
              <w:rPr>
                <w:sz w:val="22"/>
                <w:szCs w:val="22"/>
              </w:rPr>
              <w:t xml:space="preserve"> residuals (P&gt;0.05)</w:t>
            </w:r>
          </w:p>
        </w:tc>
        <w:tc>
          <w:tcPr>
            <w:tcW w:w="1710" w:type="dxa"/>
          </w:tcPr>
          <w:p w14:paraId="600F55C0" w14:textId="77777777" w:rsidR="00F167A9" w:rsidRPr="00F167A9" w:rsidRDefault="00F167A9" w:rsidP="00C478F6">
            <w:pPr>
              <w:jc w:val="both"/>
              <w:rPr>
                <w:sz w:val="22"/>
                <w:szCs w:val="22"/>
              </w:rPr>
            </w:pPr>
            <w:r w:rsidRPr="00F167A9">
              <w:rPr>
                <w:sz w:val="22"/>
                <w:szCs w:val="22"/>
              </w:rPr>
              <w:t>0.03</w:t>
            </w:r>
          </w:p>
        </w:tc>
        <w:tc>
          <w:tcPr>
            <w:tcW w:w="1525" w:type="dxa"/>
          </w:tcPr>
          <w:p w14:paraId="47597E31" w14:textId="77777777" w:rsidR="00F167A9" w:rsidRPr="00F167A9" w:rsidRDefault="00F167A9" w:rsidP="00C478F6">
            <w:pPr>
              <w:jc w:val="both"/>
              <w:rPr>
                <w:sz w:val="22"/>
                <w:szCs w:val="22"/>
              </w:rPr>
            </w:pPr>
            <w:r w:rsidRPr="00F167A9">
              <w:rPr>
                <w:sz w:val="22"/>
                <w:szCs w:val="22"/>
              </w:rPr>
              <w:t>0.8575</w:t>
            </w:r>
          </w:p>
        </w:tc>
      </w:tr>
      <w:tr w:rsidR="00F167A9" w:rsidRPr="00F167A9" w14:paraId="4E4DB00F" w14:textId="77777777" w:rsidTr="00C478F6">
        <w:tc>
          <w:tcPr>
            <w:tcW w:w="9265" w:type="dxa"/>
            <w:gridSpan w:val="3"/>
          </w:tcPr>
          <w:p w14:paraId="09E5C1EF" w14:textId="77777777" w:rsidR="00F167A9" w:rsidRPr="00F167A9" w:rsidRDefault="00F167A9" w:rsidP="00C478F6">
            <w:pPr>
              <w:jc w:val="both"/>
              <w:rPr>
                <w:b/>
                <w:sz w:val="22"/>
                <w:szCs w:val="22"/>
              </w:rPr>
            </w:pPr>
            <w:r w:rsidRPr="00F167A9">
              <w:rPr>
                <w:b/>
                <w:sz w:val="22"/>
                <w:szCs w:val="22"/>
              </w:rPr>
              <w:t>Wooldridge test for autocorrelation</w:t>
            </w:r>
          </w:p>
        </w:tc>
      </w:tr>
      <w:tr w:rsidR="00F167A9" w:rsidRPr="00F167A9" w14:paraId="6B80B540" w14:textId="77777777" w:rsidTr="00C478F6">
        <w:tc>
          <w:tcPr>
            <w:tcW w:w="6030" w:type="dxa"/>
          </w:tcPr>
          <w:p w14:paraId="15681F2C" w14:textId="77777777" w:rsidR="00F167A9" w:rsidRPr="00F167A9" w:rsidRDefault="00F167A9" w:rsidP="00C478F6">
            <w:pPr>
              <w:jc w:val="both"/>
              <w:rPr>
                <w:sz w:val="22"/>
                <w:szCs w:val="22"/>
              </w:rPr>
            </w:pPr>
            <w:r w:rsidRPr="00F167A9">
              <w:rPr>
                <w:sz w:val="22"/>
                <w:szCs w:val="22"/>
              </w:rPr>
              <w:t>Null Hypothesis</w:t>
            </w:r>
          </w:p>
        </w:tc>
        <w:tc>
          <w:tcPr>
            <w:tcW w:w="1710" w:type="dxa"/>
          </w:tcPr>
          <w:p w14:paraId="568087CA" w14:textId="77777777" w:rsidR="00F167A9" w:rsidRPr="00F167A9" w:rsidRDefault="00F167A9" w:rsidP="00C478F6">
            <w:pPr>
              <w:jc w:val="both"/>
              <w:rPr>
                <w:sz w:val="22"/>
                <w:szCs w:val="22"/>
              </w:rPr>
            </w:pPr>
            <w:r w:rsidRPr="00F167A9">
              <w:rPr>
                <w:sz w:val="22"/>
                <w:szCs w:val="22"/>
              </w:rPr>
              <w:t>F-Statistics</w:t>
            </w:r>
          </w:p>
        </w:tc>
        <w:tc>
          <w:tcPr>
            <w:tcW w:w="1525" w:type="dxa"/>
          </w:tcPr>
          <w:p w14:paraId="1BE6420D" w14:textId="77777777" w:rsidR="00F167A9" w:rsidRPr="00F167A9" w:rsidRDefault="00F167A9" w:rsidP="00C478F6">
            <w:pPr>
              <w:jc w:val="both"/>
              <w:rPr>
                <w:sz w:val="22"/>
                <w:szCs w:val="22"/>
              </w:rPr>
            </w:pPr>
            <w:r w:rsidRPr="00F167A9">
              <w:rPr>
                <w:sz w:val="22"/>
                <w:szCs w:val="22"/>
              </w:rPr>
              <w:t>Probability</w:t>
            </w:r>
          </w:p>
        </w:tc>
      </w:tr>
      <w:tr w:rsidR="00F167A9" w:rsidRPr="00F167A9" w14:paraId="417E6DEA" w14:textId="77777777" w:rsidTr="00C478F6">
        <w:tc>
          <w:tcPr>
            <w:tcW w:w="6030" w:type="dxa"/>
          </w:tcPr>
          <w:p w14:paraId="43B651DC" w14:textId="77777777" w:rsidR="00F167A9" w:rsidRPr="00F167A9" w:rsidRDefault="00F167A9" w:rsidP="00C478F6">
            <w:pPr>
              <w:jc w:val="both"/>
              <w:rPr>
                <w:sz w:val="22"/>
                <w:szCs w:val="22"/>
              </w:rPr>
            </w:pPr>
            <w:r w:rsidRPr="00F167A9">
              <w:rPr>
                <w:sz w:val="22"/>
                <w:szCs w:val="22"/>
              </w:rPr>
              <w:t xml:space="preserve"> No first-order autocorrelation (P&gt;0.05)</w:t>
            </w:r>
          </w:p>
        </w:tc>
        <w:tc>
          <w:tcPr>
            <w:tcW w:w="1710" w:type="dxa"/>
          </w:tcPr>
          <w:p w14:paraId="446F3745" w14:textId="77777777" w:rsidR="00F167A9" w:rsidRPr="00F167A9" w:rsidRDefault="00F167A9" w:rsidP="00C478F6">
            <w:pPr>
              <w:jc w:val="both"/>
              <w:rPr>
                <w:sz w:val="22"/>
                <w:szCs w:val="22"/>
              </w:rPr>
            </w:pPr>
            <w:r w:rsidRPr="00F167A9">
              <w:rPr>
                <w:sz w:val="22"/>
                <w:szCs w:val="22"/>
              </w:rPr>
              <w:t>16.100</w:t>
            </w:r>
          </w:p>
        </w:tc>
        <w:tc>
          <w:tcPr>
            <w:tcW w:w="1525" w:type="dxa"/>
          </w:tcPr>
          <w:p w14:paraId="79A81D71" w14:textId="77777777" w:rsidR="00F167A9" w:rsidRPr="00F167A9" w:rsidRDefault="00F167A9" w:rsidP="00C478F6">
            <w:pPr>
              <w:rPr>
                <w:sz w:val="22"/>
                <w:szCs w:val="22"/>
              </w:rPr>
            </w:pPr>
            <w:r w:rsidRPr="00F167A9">
              <w:rPr>
                <w:sz w:val="22"/>
                <w:szCs w:val="22"/>
              </w:rPr>
              <w:t>0.0003</w:t>
            </w:r>
          </w:p>
        </w:tc>
      </w:tr>
      <w:tr w:rsidR="00F167A9" w:rsidRPr="00F167A9" w14:paraId="2C75BFDF" w14:textId="77777777" w:rsidTr="00C478F6">
        <w:tc>
          <w:tcPr>
            <w:tcW w:w="9265" w:type="dxa"/>
            <w:gridSpan w:val="3"/>
          </w:tcPr>
          <w:p w14:paraId="2A4B7935" w14:textId="77777777" w:rsidR="00F167A9" w:rsidRPr="00F167A9" w:rsidRDefault="00F167A9" w:rsidP="00C478F6">
            <w:pPr>
              <w:jc w:val="both"/>
              <w:rPr>
                <w:b/>
                <w:sz w:val="22"/>
                <w:szCs w:val="22"/>
              </w:rPr>
            </w:pPr>
            <w:proofErr w:type="spellStart"/>
            <w:r w:rsidRPr="00F167A9">
              <w:rPr>
                <w:b/>
                <w:sz w:val="22"/>
                <w:szCs w:val="22"/>
              </w:rPr>
              <w:t>Pesaran's</w:t>
            </w:r>
            <w:proofErr w:type="spellEnd"/>
            <w:r w:rsidRPr="00F167A9">
              <w:rPr>
                <w:b/>
                <w:sz w:val="22"/>
                <w:szCs w:val="22"/>
              </w:rPr>
              <w:t xml:space="preserve"> test of </w:t>
            </w:r>
            <w:proofErr w:type="gramStart"/>
            <w:r w:rsidRPr="00F167A9">
              <w:rPr>
                <w:b/>
                <w:sz w:val="22"/>
                <w:szCs w:val="22"/>
              </w:rPr>
              <w:t>cross sectional</w:t>
            </w:r>
            <w:proofErr w:type="gramEnd"/>
            <w:r w:rsidRPr="00F167A9">
              <w:rPr>
                <w:b/>
                <w:sz w:val="22"/>
                <w:szCs w:val="22"/>
              </w:rPr>
              <w:t xml:space="preserve"> independence</w:t>
            </w:r>
          </w:p>
        </w:tc>
      </w:tr>
      <w:tr w:rsidR="00F167A9" w:rsidRPr="00F167A9" w14:paraId="07DD4430" w14:textId="77777777" w:rsidTr="00C478F6">
        <w:tc>
          <w:tcPr>
            <w:tcW w:w="6030" w:type="dxa"/>
          </w:tcPr>
          <w:p w14:paraId="3C4E8AC7" w14:textId="77777777" w:rsidR="00F167A9" w:rsidRPr="00F167A9" w:rsidRDefault="00F167A9" w:rsidP="00C478F6">
            <w:pPr>
              <w:jc w:val="both"/>
              <w:rPr>
                <w:sz w:val="22"/>
                <w:szCs w:val="22"/>
              </w:rPr>
            </w:pPr>
            <w:r w:rsidRPr="00F167A9">
              <w:rPr>
                <w:sz w:val="22"/>
                <w:szCs w:val="22"/>
              </w:rPr>
              <w:t>Null Hypothesis</w:t>
            </w:r>
          </w:p>
        </w:tc>
        <w:tc>
          <w:tcPr>
            <w:tcW w:w="1710" w:type="dxa"/>
          </w:tcPr>
          <w:p w14:paraId="2C2EDA0C" w14:textId="77777777" w:rsidR="00F167A9" w:rsidRPr="00F167A9" w:rsidRDefault="00F167A9" w:rsidP="00C478F6">
            <w:pPr>
              <w:jc w:val="both"/>
              <w:rPr>
                <w:sz w:val="22"/>
                <w:szCs w:val="22"/>
              </w:rPr>
            </w:pPr>
            <w:r w:rsidRPr="00F167A9">
              <w:rPr>
                <w:sz w:val="22"/>
                <w:szCs w:val="22"/>
              </w:rPr>
              <w:t>Statistics</w:t>
            </w:r>
          </w:p>
        </w:tc>
        <w:tc>
          <w:tcPr>
            <w:tcW w:w="1525" w:type="dxa"/>
          </w:tcPr>
          <w:p w14:paraId="1C6FCB77" w14:textId="77777777" w:rsidR="00F167A9" w:rsidRPr="00F167A9" w:rsidRDefault="00F167A9" w:rsidP="00C478F6">
            <w:pPr>
              <w:jc w:val="both"/>
              <w:rPr>
                <w:sz w:val="22"/>
                <w:szCs w:val="22"/>
              </w:rPr>
            </w:pPr>
            <w:r w:rsidRPr="00F167A9">
              <w:rPr>
                <w:sz w:val="22"/>
                <w:szCs w:val="22"/>
              </w:rPr>
              <w:t>Probability</w:t>
            </w:r>
          </w:p>
        </w:tc>
      </w:tr>
      <w:tr w:rsidR="00F167A9" w:rsidRPr="00F167A9" w14:paraId="256E2220" w14:textId="77777777" w:rsidTr="00C478F6">
        <w:tc>
          <w:tcPr>
            <w:tcW w:w="6030" w:type="dxa"/>
          </w:tcPr>
          <w:p w14:paraId="4E8DA281" w14:textId="77777777" w:rsidR="00F167A9" w:rsidRPr="00F167A9" w:rsidRDefault="00F167A9" w:rsidP="00C478F6">
            <w:pPr>
              <w:jc w:val="both"/>
              <w:rPr>
                <w:sz w:val="22"/>
                <w:szCs w:val="22"/>
              </w:rPr>
            </w:pPr>
            <w:r w:rsidRPr="00F167A9">
              <w:rPr>
                <w:sz w:val="22"/>
                <w:szCs w:val="22"/>
              </w:rPr>
              <w:t>There is no cross-sectional dependence (P&gt;0.05)</w:t>
            </w:r>
          </w:p>
        </w:tc>
        <w:tc>
          <w:tcPr>
            <w:tcW w:w="1710" w:type="dxa"/>
          </w:tcPr>
          <w:p w14:paraId="2AA00A21" w14:textId="77777777" w:rsidR="00F167A9" w:rsidRPr="00F167A9" w:rsidRDefault="00F167A9" w:rsidP="00C478F6">
            <w:pPr>
              <w:jc w:val="both"/>
              <w:rPr>
                <w:sz w:val="22"/>
                <w:szCs w:val="22"/>
              </w:rPr>
            </w:pPr>
            <w:r w:rsidRPr="00F167A9">
              <w:rPr>
                <w:sz w:val="22"/>
                <w:szCs w:val="22"/>
              </w:rPr>
              <w:t>2.187,</w:t>
            </w:r>
          </w:p>
        </w:tc>
        <w:tc>
          <w:tcPr>
            <w:tcW w:w="1525" w:type="dxa"/>
          </w:tcPr>
          <w:p w14:paraId="58B1509B" w14:textId="77777777" w:rsidR="00F167A9" w:rsidRPr="00F167A9" w:rsidRDefault="00F167A9" w:rsidP="00C478F6">
            <w:pPr>
              <w:jc w:val="both"/>
              <w:rPr>
                <w:sz w:val="22"/>
                <w:szCs w:val="22"/>
              </w:rPr>
            </w:pPr>
            <w:r w:rsidRPr="00F167A9">
              <w:rPr>
                <w:sz w:val="22"/>
                <w:szCs w:val="22"/>
              </w:rPr>
              <w:t>0.0287</w:t>
            </w:r>
          </w:p>
        </w:tc>
      </w:tr>
      <w:tr w:rsidR="00F167A9" w:rsidRPr="00F167A9" w14:paraId="1EEBD1AA" w14:textId="77777777" w:rsidTr="00C478F6">
        <w:tc>
          <w:tcPr>
            <w:tcW w:w="9265" w:type="dxa"/>
            <w:gridSpan w:val="3"/>
          </w:tcPr>
          <w:p w14:paraId="0D1FFAF9" w14:textId="77777777" w:rsidR="00F167A9" w:rsidRPr="00F167A9" w:rsidRDefault="00F167A9" w:rsidP="00C478F6">
            <w:pPr>
              <w:jc w:val="both"/>
              <w:rPr>
                <w:b/>
                <w:sz w:val="22"/>
                <w:szCs w:val="22"/>
              </w:rPr>
            </w:pPr>
            <w:r w:rsidRPr="00F167A9">
              <w:rPr>
                <w:b/>
                <w:sz w:val="22"/>
                <w:szCs w:val="22"/>
              </w:rPr>
              <w:t>Hausman Test</w:t>
            </w:r>
          </w:p>
        </w:tc>
      </w:tr>
      <w:tr w:rsidR="00F167A9" w:rsidRPr="00F167A9" w14:paraId="65812BDC" w14:textId="77777777" w:rsidTr="00C478F6">
        <w:trPr>
          <w:trHeight w:val="395"/>
        </w:trPr>
        <w:tc>
          <w:tcPr>
            <w:tcW w:w="6030" w:type="dxa"/>
          </w:tcPr>
          <w:p w14:paraId="57D72ADE" w14:textId="77777777" w:rsidR="00F167A9" w:rsidRPr="00F167A9" w:rsidRDefault="00F167A9" w:rsidP="00C478F6">
            <w:pPr>
              <w:jc w:val="both"/>
              <w:rPr>
                <w:sz w:val="22"/>
                <w:szCs w:val="22"/>
              </w:rPr>
            </w:pPr>
            <w:r w:rsidRPr="00F167A9">
              <w:rPr>
                <w:sz w:val="22"/>
                <w:szCs w:val="22"/>
              </w:rPr>
              <w:t xml:space="preserve">Null Hypothesis </w:t>
            </w:r>
          </w:p>
        </w:tc>
        <w:tc>
          <w:tcPr>
            <w:tcW w:w="1710" w:type="dxa"/>
          </w:tcPr>
          <w:p w14:paraId="749464C1" w14:textId="77777777" w:rsidR="00F167A9" w:rsidRPr="00F167A9" w:rsidRDefault="00F167A9" w:rsidP="00C478F6">
            <w:pPr>
              <w:jc w:val="both"/>
              <w:rPr>
                <w:sz w:val="22"/>
                <w:szCs w:val="22"/>
              </w:rPr>
            </w:pPr>
            <w:r w:rsidRPr="00F167A9">
              <w:rPr>
                <w:sz w:val="22"/>
                <w:szCs w:val="22"/>
              </w:rPr>
              <w:t>Statistics</w:t>
            </w:r>
          </w:p>
        </w:tc>
        <w:tc>
          <w:tcPr>
            <w:tcW w:w="1525" w:type="dxa"/>
          </w:tcPr>
          <w:p w14:paraId="7BEA45B5" w14:textId="77777777" w:rsidR="00F167A9" w:rsidRPr="00F167A9" w:rsidRDefault="00F167A9" w:rsidP="00C478F6">
            <w:pPr>
              <w:jc w:val="both"/>
              <w:rPr>
                <w:sz w:val="22"/>
                <w:szCs w:val="22"/>
              </w:rPr>
            </w:pPr>
            <w:r w:rsidRPr="00F167A9">
              <w:rPr>
                <w:sz w:val="22"/>
                <w:szCs w:val="22"/>
              </w:rPr>
              <w:t>Probability</w:t>
            </w:r>
          </w:p>
        </w:tc>
      </w:tr>
      <w:tr w:rsidR="00F167A9" w:rsidRPr="00F167A9" w14:paraId="4B32F4E7" w14:textId="77777777" w:rsidTr="00C478F6">
        <w:tc>
          <w:tcPr>
            <w:tcW w:w="6030" w:type="dxa"/>
          </w:tcPr>
          <w:p w14:paraId="277C818C" w14:textId="77777777" w:rsidR="00F167A9" w:rsidRPr="00F167A9" w:rsidRDefault="00F167A9" w:rsidP="00C478F6">
            <w:pPr>
              <w:jc w:val="both"/>
              <w:rPr>
                <w:sz w:val="22"/>
                <w:szCs w:val="22"/>
              </w:rPr>
            </w:pPr>
            <w:r w:rsidRPr="00F167A9">
              <w:rPr>
                <w:sz w:val="22"/>
                <w:szCs w:val="22"/>
              </w:rPr>
              <w:t>Difference in coefficients not systematic (P&gt;0.05)</w:t>
            </w:r>
          </w:p>
        </w:tc>
        <w:tc>
          <w:tcPr>
            <w:tcW w:w="1710" w:type="dxa"/>
          </w:tcPr>
          <w:p w14:paraId="6E829D8A" w14:textId="77777777" w:rsidR="00F167A9" w:rsidRPr="00F167A9" w:rsidRDefault="00F167A9" w:rsidP="00C478F6">
            <w:pPr>
              <w:jc w:val="both"/>
              <w:rPr>
                <w:sz w:val="22"/>
                <w:szCs w:val="22"/>
              </w:rPr>
            </w:pPr>
            <w:r w:rsidRPr="00F167A9">
              <w:rPr>
                <w:sz w:val="22"/>
                <w:szCs w:val="22"/>
              </w:rPr>
              <w:t>3.51</w:t>
            </w:r>
          </w:p>
        </w:tc>
        <w:tc>
          <w:tcPr>
            <w:tcW w:w="1525" w:type="dxa"/>
          </w:tcPr>
          <w:p w14:paraId="23E2B47D" w14:textId="77777777" w:rsidR="00F167A9" w:rsidRPr="00F167A9" w:rsidRDefault="00F167A9" w:rsidP="00C478F6">
            <w:pPr>
              <w:jc w:val="both"/>
              <w:rPr>
                <w:sz w:val="22"/>
                <w:szCs w:val="22"/>
              </w:rPr>
            </w:pPr>
            <w:r w:rsidRPr="00F167A9">
              <w:rPr>
                <w:sz w:val="22"/>
                <w:szCs w:val="22"/>
              </w:rPr>
              <w:t>0.4759</w:t>
            </w:r>
          </w:p>
        </w:tc>
      </w:tr>
      <w:tr w:rsidR="00F167A9" w:rsidRPr="00F167A9" w14:paraId="3DAA8277" w14:textId="77777777" w:rsidTr="00C478F6">
        <w:tc>
          <w:tcPr>
            <w:tcW w:w="9265" w:type="dxa"/>
            <w:gridSpan w:val="3"/>
          </w:tcPr>
          <w:p w14:paraId="7CEA256B" w14:textId="77777777" w:rsidR="00F167A9" w:rsidRPr="00F167A9" w:rsidRDefault="00F167A9" w:rsidP="00C478F6">
            <w:pPr>
              <w:pStyle w:val="NoSpacing"/>
              <w:jc w:val="both"/>
              <w:rPr>
                <w:rFonts w:ascii="Times New Roman" w:hAnsi="Times New Roman"/>
                <w:b/>
                <w:lang w:val="en-GB"/>
              </w:rPr>
            </w:pPr>
            <w:r w:rsidRPr="00F167A9">
              <w:rPr>
                <w:rFonts w:ascii="Times New Roman" w:hAnsi="Times New Roman"/>
                <w:b/>
                <w:lang w:val="en-GB"/>
              </w:rPr>
              <w:t>Breusch and</w:t>
            </w:r>
            <w:r w:rsidRPr="00F167A9">
              <w:rPr>
                <w:rFonts w:ascii="Times New Roman" w:hAnsi="Times New Roman"/>
                <w:b/>
                <w:lang w:val="en-GB"/>
              </w:rPr>
              <w:tab/>
              <w:t>Pagan</w:t>
            </w:r>
            <w:r w:rsidRPr="00F167A9">
              <w:rPr>
                <w:rFonts w:ascii="Times New Roman" w:hAnsi="Times New Roman"/>
                <w:b/>
                <w:lang w:val="en-GB"/>
              </w:rPr>
              <w:tab/>
            </w:r>
            <w:proofErr w:type="spellStart"/>
            <w:r w:rsidRPr="00F167A9">
              <w:rPr>
                <w:rFonts w:ascii="Times New Roman" w:hAnsi="Times New Roman"/>
                <w:b/>
                <w:lang w:val="en-GB"/>
              </w:rPr>
              <w:t>Lagrangian</w:t>
            </w:r>
            <w:proofErr w:type="spellEnd"/>
            <w:r w:rsidRPr="00F167A9">
              <w:rPr>
                <w:rFonts w:ascii="Times New Roman" w:hAnsi="Times New Roman"/>
                <w:b/>
                <w:lang w:val="en-GB"/>
              </w:rPr>
              <w:tab/>
              <w:t>multiplier</w:t>
            </w:r>
            <w:r w:rsidRPr="00F167A9">
              <w:rPr>
                <w:rFonts w:ascii="Times New Roman" w:hAnsi="Times New Roman"/>
                <w:b/>
                <w:lang w:val="en-GB"/>
              </w:rPr>
              <w:tab/>
              <w:t>test</w:t>
            </w:r>
            <w:r w:rsidRPr="00F167A9">
              <w:rPr>
                <w:rFonts w:ascii="Times New Roman" w:hAnsi="Times New Roman"/>
                <w:b/>
                <w:lang w:val="en-GB"/>
              </w:rPr>
              <w:tab/>
              <w:t>for</w:t>
            </w:r>
            <w:r w:rsidRPr="00F167A9">
              <w:rPr>
                <w:rFonts w:ascii="Times New Roman" w:hAnsi="Times New Roman"/>
                <w:b/>
                <w:lang w:val="en-GB"/>
              </w:rPr>
              <w:tab/>
              <w:t>random</w:t>
            </w:r>
            <w:r w:rsidRPr="00F167A9">
              <w:rPr>
                <w:rFonts w:ascii="Times New Roman" w:hAnsi="Times New Roman"/>
                <w:b/>
                <w:lang w:val="en-GB"/>
              </w:rPr>
              <w:tab/>
              <w:t>effects</w:t>
            </w:r>
          </w:p>
        </w:tc>
      </w:tr>
      <w:tr w:rsidR="00F167A9" w:rsidRPr="00F167A9" w14:paraId="0D2A26BE" w14:textId="77777777" w:rsidTr="00C478F6">
        <w:tc>
          <w:tcPr>
            <w:tcW w:w="6030" w:type="dxa"/>
          </w:tcPr>
          <w:p w14:paraId="515BEE2A" w14:textId="77777777" w:rsidR="00F167A9" w:rsidRPr="00F167A9" w:rsidRDefault="00F167A9" w:rsidP="00C478F6">
            <w:pPr>
              <w:jc w:val="both"/>
              <w:rPr>
                <w:sz w:val="22"/>
                <w:szCs w:val="22"/>
              </w:rPr>
            </w:pPr>
            <w:r w:rsidRPr="00F167A9">
              <w:rPr>
                <w:sz w:val="22"/>
                <w:szCs w:val="22"/>
              </w:rPr>
              <w:t xml:space="preserve">Null Hypothesis </w:t>
            </w:r>
          </w:p>
        </w:tc>
        <w:tc>
          <w:tcPr>
            <w:tcW w:w="1710" w:type="dxa"/>
          </w:tcPr>
          <w:p w14:paraId="4ECCA06B" w14:textId="77777777" w:rsidR="00F167A9" w:rsidRPr="00F167A9" w:rsidRDefault="00F167A9" w:rsidP="00C478F6">
            <w:pPr>
              <w:jc w:val="both"/>
              <w:rPr>
                <w:sz w:val="22"/>
                <w:szCs w:val="22"/>
              </w:rPr>
            </w:pPr>
            <w:r w:rsidRPr="00F167A9">
              <w:rPr>
                <w:sz w:val="22"/>
                <w:szCs w:val="22"/>
              </w:rPr>
              <w:t>Statistics</w:t>
            </w:r>
          </w:p>
        </w:tc>
        <w:tc>
          <w:tcPr>
            <w:tcW w:w="1525" w:type="dxa"/>
          </w:tcPr>
          <w:p w14:paraId="1B32F693" w14:textId="77777777" w:rsidR="00F167A9" w:rsidRPr="00F167A9" w:rsidRDefault="00F167A9" w:rsidP="00C478F6">
            <w:pPr>
              <w:jc w:val="both"/>
              <w:rPr>
                <w:sz w:val="22"/>
                <w:szCs w:val="22"/>
              </w:rPr>
            </w:pPr>
            <w:r w:rsidRPr="00F167A9">
              <w:rPr>
                <w:sz w:val="22"/>
                <w:szCs w:val="22"/>
              </w:rPr>
              <w:t>Probability</w:t>
            </w:r>
          </w:p>
        </w:tc>
      </w:tr>
      <w:tr w:rsidR="00F167A9" w:rsidRPr="00F167A9" w14:paraId="3E90C8A7" w14:textId="77777777" w:rsidTr="00C478F6">
        <w:tc>
          <w:tcPr>
            <w:tcW w:w="6030" w:type="dxa"/>
          </w:tcPr>
          <w:p w14:paraId="251D097D" w14:textId="77777777" w:rsidR="00F167A9" w:rsidRPr="00F167A9" w:rsidRDefault="00F167A9" w:rsidP="00C478F6">
            <w:pPr>
              <w:jc w:val="both"/>
              <w:rPr>
                <w:sz w:val="22"/>
                <w:szCs w:val="22"/>
              </w:rPr>
            </w:pPr>
            <w:r w:rsidRPr="00F167A9">
              <w:rPr>
                <w:sz w:val="22"/>
                <w:szCs w:val="22"/>
              </w:rPr>
              <w:t>Difference in coefficients not systematic (P&lt;0.05)</w:t>
            </w:r>
          </w:p>
        </w:tc>
        <w:tc>
          <w:tcPr>
            <w:tcW w:w="1710" w:type="dxa"/>
          </w:tcPr>
          <w:p w14:paraId="6601B84E" w14:textId="77777777" w:rsidR="00F167A9" w:rsidRPr="00F167A9" w:rsidRDefault="00F167A9" w:rsidP="00C478F6">
            <w:pPr>
              <w:jc w:val="both"/>
              <w:rPr>
                <w:sz w:val="22"/>
                <w:szCs w:val="22"/>
              </w:rPr>
            </w:pPr>
            <w:r w:rsidRPr="00F167A9">
              <w:rPr>
                <w:sz w:val="22"/>
                <w:szCs w:val="22"/>
              </w:rPr>
              <w:t>508.30</w:t>
            </w:r>
          </w:p>
        </w:tc>
        <w:tc>
          <w:tcPr>
            <w:tcW w:w="1525" w:type="dxa"/>
          </w:tcPr>
          <w:p w14:paraId="6B087581" w14:textId="77777777" w:rsidR="00F167A9" w:rsidRPr="00F167A9" w:rsidRDefault="00F167A9" w:rsidP="00C478F6">
            <w:pPr>
              <w:jc w:val="both"/>
              <w:rPr>
                <w:sz w:val="22"/>
                <w:szCs w:val="22"/>
              </w:rPr>
            </w:pPr>
            <w:r w:rsidRPr="00F167A9">
              <w:rPr>
                <w:sz w:val="22"/>
                <w:szCs w:val="22"/>
              </w:rPr>
              <w:t>0.0000</w:t>
            </w:r>
          </w:p>
        </w:tc>
      </w:tr>
    </w:tbl>
    <w:p w14:paraId="536E92FF" w14:textId="53E31FC2" w:rsidR="00F167A9" w:rsidRPr="008D7A52" w:rsidRDefault="00F167A9" w:rsidP="00F167A9">
      <w:pPr>
        <w:spacing w:line="480" w:lineRule="auto"/>
        <w:jc w:val="both"/>
        <w:rPr>
          <w:b/>
        </w:rPr>
      </w:pPr>
      <w:r w:rsidRPr="008D7A52">
        <w:rPr>
          <w:b/>
        </w:rPr>
        <w:t>Researcher’s Computation (2025)</w:t>
      </w:r>
    </w:p>
    <w:p w14:paraId="70783BE8" w14:textId="5C5ACE2A" w:rsidR="003F70A4" w:rsidRPr="008D7A52" w:rsidRDefault="003F70A4" w:rsidP="001C4D36">
      <w:pPr>
        <w:ind w:firstLine="720"/>
        <w:jc w:val="both"/>
      </w:pPr>
      <w:r w:rsidRPr="008D7A52">
        <w:lastRenderedPageBreak/>
        <w:t xml:space="preserve">Error test for model specification is conducted using Ramsey RESET test. The results </w:t>
      </w:r>
      <w:r w:rsidR="00A62F17" w:rsidRPr="008D7A52">
        <w:t>show</w:t>
      </w:r>
      <w:r w:rsidRPr="008D7A52">
        <w:t xml:space="preserve"> probability of 0.1097 and this indicate that the model has no omitted variable bias and misspecification. The heteroscedasticity test was conducted to check the validity of homoscedasticity assumption that variance in the residuals </w:t>
      </w:r>
      <w:r w:rsidR="00F50177" w:rsidRPr="008D7A52">
        <w:t>is</w:t>
      </w:r>
      <w:r w:rsidRPr="008D7A52">
        <w:t xml:space="preserve"> constant. Heteroscedasticity test was conducted using Breusch-Pagan/Cook-Weisberg test and the result is presented in Table 6. Data for the study revealed there is absence of heteroscedasticity given the probability value of 0.8575 which is higher than 0.05. Likewise, variables for the study </w:t>
      </w:r>
      <w:r w:rsidR="00F50177" w:rsidRPr="008D7A52">
        <w:t>are</w:t>
      </w:r>
      <w:r w:rsidRPr="008D7A52">
        <w:t xml:space="preserve"> also tested for </w:t>
      </w:r>
      <w:proofErr w:type="gramStart"/>
      <w:r w:rsidRPr="008D7A52">
        <w:t>auto-correlation</w:t>
      </w:r>
      <w:proofErr w:type="gramEnd"/>
      <w:r w:rsidRPr="008D7A52">
        <w:t xml:space="preserve"> using Wooldridge test for autocorrelation in panel data. Autocorrelation depicts how closely variable values are correlated across time. The result is presented in Table </w:t>
      </w:r>
      <w:r w:rsidR="00452A32" w:rsidRPr="008D7A52">
        <w:t>6,</w:t>
      </w:r>
      <w:r w:rsidRPr="008D7A52">
        <w:t xml:space="preserve"> and it shows the probability of 0.0003 which is significant indicating that there is problem of </w:t>
      </w:r>
      <w:proofErr w:type="gramStart"/>
      <w:r w:rsidRPr="008D7A52">
        <w:t>auto-correlation</w:t>
      </w:r>
      <w:proofErr w:type="gramEnd"/>
      <w:r w:rsidRPr="008D7A52">
        <w:t xml:space="preserve"> hence the null hypothesis that there is no first-order correlation is accepted.</w:t>
      </w:r>
    </w:p>
    <w:p w14:paraId="4F9F1FB4" w14:textId="01191EB8" w:rsidR="003F70A4" w:rsidRPr="008D7A52" w:rsidRDefault="003F70A4" w:rsidP="00C00C54">
      <w:pPr>
        <w:ind w:firstLine="630"/>
        <w:jc w:val="both"/>
      </w:pPr>
      <w:r w:rsidRPr="008D7A52">
        <w:t xml:space="preserve">Furthermore, the cross-sectional dependence test is carried </w:t>
      </w:r>
      <w:r w:rsidR="009C1A63" w:rsidRPr="008D7A52">
        <w:t>out,</w:t>
      </w:r>
      <w:r w:rsidRPr="008D7A52">
        <w:t xml:space="preserve"> and the result is presented in Table 6. The result </w:t>
      </w:r>
      <w:r w:rsidR="00A97548" w:rsidRPr="008D7A52">
        <w:t>indicates</w:t>
      </w:r>
      <w:r w:rsidRPr="008D7A52">
        <w:t xml:space="preserve"> that null hypothesis which implied there is cross-sectional dependence is accepted as the statistics shows 2.187 with probability value indicated 0.0287 Hence, there is sufficient evidence to conclude that environmental sustainability investment under fixed-effect condition does exhibits cross-sectional dependence. However, the observed estimation problem of serial autocorrelation and cross-sectional dependence is to be corrected using panels corrected standard errors (PSCE) with the option that the standard error is independent- corrected. The Hausman test was also conducted to specify the appropriate model between fixed-effect model and random effect model and the result favoured the random effect model as the probability shows 0.4759 implying that difference in coefficient is not systematic. The appropriate model between random effect and polled OLS regression examined using Breusch and Pagan </w:t>
      </w:r>
      <w:proofErr w:type="spellStart"/>
      <w:r w:rsidRPr="008D7A52">
        <w:t>Lagrangian</w:t>
      </w:r>
      <w:proofErr w:type="spellEnd"/>
      <w:r w:rsidRPr="008D7A52">
        <w:t xml:space="preserve"> multiplier test for random effects and the result shows that random effect is most appropriate as the probability is significant showing p-value of 0.0000 supporting the null hypothesis. </w:t>
      </w:r>
    </w:p>
    <w:p w14:paraId="30686C14" w14:textId="77777777" w:rsidR="003F70A4" w:rsidRPr="008D7A52" w:rsidRDefault="003F70A4" w:rsidP="003F70A4">
      <w:pPr>
        <w:jc w:val="both"/>
      </w:pPr>
    </w:p>
    <w:p w14:paraId="43892F8C" w14:textId="77777777" w:rsidR="003F70A4" w:rsidRPr="008D7A52" w:rsidRDefault="003F70A4" w:rsidP="003F70A4">
      <w:pPr>
        <w:autoSpaceDE w:val="0"/>
        <w:autoSpaceDN w:val="0"/>
        <w:adjustRightInd w:val="0"/>
        <w:spacing w:line="480" w:lineRule="auto"/>
        <w:jc w:val="both"/>
      </w:pPr>
      <w:r w:rsidRPr="008D7A52">
        <w:rPr>
          <w:b/>
        </w:rPr>
        <w:t>4.4.1</w:t>
      </w:r>
      <w:r w:rsidRPr="008D7A52">
        <w:tab/>
      </w:r>
      <w:r w:rsidRPr="008D7A52">
        <w:rPr>
          <w:b/>
        </w:rPr>
        <w:t>Environmental Sustainability Investment and Value Creation</w:t>
      </w:r>
    </w:p>
    <w:p w14:paraId="00F1F3C4" w14:textId="77777777" w:rsidR="003F70A4" w:rsidRPr="008D7A52" w:rsidRDefault="003F70A4" w:rsidP="00C00C54">
      <w:pPr>
        <w:autoSpaceDE w:val="0"/>
        <w:autoSpaceDN w:val="0"/>
        <w:adjustRightInd w:val="0"/>
        <w:ind w:firstLine="720"/>
        <w:jc w:val="both"/>
      </w:pPr>
      <w:r w:rsidRPr="008D7A52">
        <w:t>The model specification test revealed that random effect model is more appropriate for interpretation. However, in order to correct statistical problem of serial autocorrelation and auto correlation that made the model negate the assumption of linear regression, th</w:t>
      </w:r>
      <w:r w:rsidRPr="008D7A52">
        <w:rPr>
          <w:bCs/>
        </w:rPr>
        <w:t xml:space="preserve">e effect of </w:t>
      </w:r>
      <w:r w:rsidRPr="008D7A52">
        <w:t xml:space="preserve">environmental sustainability investment proxied by Investment in Renewable Energy, Environmental Certification and Compliance Cost (ECCC), Expenditure on Pollution Control (EXPC) and Green Research and Development Expenditure (GRDE) is inferred from the result of Praise-Winsten regression.  This is a panel corrected standard error regression computed after correcting observed statistical problems identified in the pre and post estimation tests. Probability value and the Z-statistics is used as the indices of interpretation for the linear relationship. The overall result shows that investment in environmental sustainability have significant effect on value creation and this is evidenced by the Wald chi2 which is significant and this imply that the model analysed is significant at 5 percent. The variance that can be caused in value creation by environmental sustainability investment is 7 percent. </w:t>
      </w:r>
    </w:p>
    <w:p w14:paraId="5D215AE0" w14:textId="77777777" w:rsidR="003F70A4" w:rsidRPr="008D7A52" w:rsidRDefault="003F70A4" w:rsidP="003F70A4">
      <w:pPr>
        <w:autoSpaceDE w:val="0"/>
        <w:autoSpaceDN w:val="0"/>
        <w:adjustRightInd w:val="0"/>
        <w:jc w:val="both"/>
        <w:rPr>
          <w:sz w:val="10"/>
        </w:rPr>
      </w:pPr>
    </w:p>
    <w:p w14:paraId="63A837D0" w14:textId="71987F4F" w:rsidR="003F70A4" w:rsidRPr="008D7A52" w:rsidRDefault="003F70A4" w:rsidP="00C00C54">
      <w:pPr>
        <w:autoSpaceDE w:val="0"/>
        <w:autoSpaceDN w:val="0"/>
        <w:adjustRightInd w:val="0"/>
        <w:ind w:firstLine="720"/>
        <w:jc w:val="both"/>
      </w:pPr>
      <w:r w:rsidRPr="008D7A52">
        <w:t xml:space="preserve">The regression result shows that investment in renewable (INRE) have positive but insignificant effect on value creation as measured by market value added (MVA) having z-statistics of 0.45 and probability of 0.655. The implication of the result is that renewable energy investments </w:t>
      </w:r>
      <w:proofErr w:type="gramStart"/>
      <w:r w:rsidRPr="008D7A52">
        <w:t>is capable of influencing</w:t>
      </w:r>
      <w:proofErr w:type="gramEnd"/>
      <w:r w:rsidRPr="008D7A52">
        <w:t xml:space="preserve"> the value creation of firms because it will address energy problem and enhance security and make the companies meet climate goals as designed by the </w:t>
      </w:r>
      <w:r w:rsidR="00A62F17" w:rsidRPr="008D7A52">
        <w:t>United Nations</w:t>
      </w:r>
      <w:r w:rsidRPr="008D7A52">
        <w:t xml:space="preserve">. However, the effect is not significant because the companies does not make such investment a compulsion because the regulatory framework for environmental sustainability in Nigeria is still at developmental stage. The result presented on Table 7 shows that expenditure on pollution control (EXPC) have z-statistics </w:t>
      </w:r>
      <w:r w:rsidR="00093B51" w:rsidRPr="008D7A52">
        <w:t>of 1.98</w:t>
      </w:r>
      <w:r w:rsidRPr="008D7A52">
        <w:t xml:space="preserve"> and P-value of 0.048 and this indicate positive and significant effect on market value added (MVA). This indicates when </w:t>
      </w:r>
      <w:r w:rsidRPr="008D7A52">
        <w:lastRenderedPageBreak/>
        <w:t xml:space="preserve">there </w:t>
      </w:r>
      <w:r w:rsidR="00A62F17" w:rsidRPr="008D7A52">
        <w:t>are</w:t>
      </w:r>
      <w:r w:rsidRPr="008D7A52">
        <w:t xml:space="preserve"> enough resources to direct towards pollution control, it will enable the company to restore biodiversity and improve environmental state and well-being of the host community. And such investments will significantly attract the benefit of legitimacy and support from business stakeholders that will guarantee the company value being increased. </w:t>
      </w:r>
    </w:p>
    <w:p w14:paraId="47721635" w14:textId="77777777" w:rsidR="003F70A4" w:rsidRPr="008D7A52" w:rsidRDefault="003F70A4" w:rsidP="003F70A4">
      <w:pPr>
        <w:autoSpaceDE w:val="0"/>
        <w:autoSpaceDN w:val="0"/>
        <w:adjustRightInd w:val="0"/>
        <w:jc w:val="both"/>
        <w:rPr>
          <w:sz w:val="6"/>
        </w:rPr>
      </w:pPr>
    </w:p>
    <w:p w14:paraId="7ECABB74" w14:textId="03D288AB" w:rsidR="003F70A4" w:rsidRPr="008D7A52" w:rsidRDefault="003F70A4" w:rsidP="00C00C54">
      <w:pPr>
        <w:autoSpaceDE w:val="0"/>
        <w:autoSpaceDN w:val="0"/>
        <w:adjustRightInd w:val="0"/>
        <w:ind w:firstLine="720"/>
        <w:jc w:val="both"/>
      </w:pPr>
      <w:r w:rsidRPr="008D7A52">
        <w:t>Furthermore</w:t>
      </w:r>
      <w:r w:rsidR="00C00C54" w:rsidRPr="008D7A52">
        <w:t>,</w:t>
      </w:r>
      <w:r w:rsidRPr="008D7A52">
        <w:t xml:space="preserve"> on Table 7, it is shown that green research and development expenditure (GRDE) has positive but insignificant effect on market value added (MVA) of firms and this is evidenced by z-statistics of 0.53 and probability value of 0.599. This may be an implication that the innovations cost of the company may have reduce energy consumption, lower carbon emissions and improve eco-friendly production but the investment has not </w:t>
      </w:r>
      <w:r w:rsidR="00A62F17" w:rsidRPr="008D7A52">
        <w:t>made</w:t>
      </w:r>
      <w:r w:rsidRPr="008D7A52">
        <w:t xml:space="preserve"> enough significant impact enough to create significant value creation outcome. Many of the product and service of the company still has high environmental impact and until the research and development cost reduce environmental impact of products drastically, the value creation outcome might remain insignificant. Lastly on Table 7, it is shown that environmental compliance cost (ECC) has negative and significant effect on the market value added of firms in Nigeria. This is evidenced by z-statistics of -5.21 and probability value of 0.000. This imply that the company’s expenses on regulatory compliance diminishes the resources available to create wealth for the shareholders as the compliance cost being a deterrent will result to substantial financial burden for the firm. The effect is significant because annual expenditure on meeting up with regulation in case of fines and penalties will diminish the value of the firms if it increases. </w:t>
      </w:r>
    </w:p>
    <w:p w14:paraId="5931273F" w14:textId="3C5B28B6" w:rsidR="000B1FE7" w:rsidRPr="00786668" w:rsidRDefault="000B1FE7" w:rsidP="00C00C54">
      <w:pPr>
        <w:spacing w:after="240"/>
        <w:ind w:firstLine="720"/>
        <w:jc w:val="both"/>
        <w:rPr>
          <w:sz w:val="2"/>
          <w:szCs w:val="2"/>
          <w:shd w:val="clear" w:color="auto" w:fill="FFFFFF"/>
        </w:rPr>
      </w:pPr>
    </w:p>
    <w:p w14:paraId="428646EE" w14:textId="1B2E459C" w:rsidR="003F70A4" w:rsidRPr="008D7A52" w:rsidRDefault="003F70A4" w:rsidP="00C00C54">
      <w:pPr>
        <w:spacing w:after="240"/>
        <w:ind w:firstLine="720"/>
        <w:jc w:val="both"/>
      </w:pPr>
      <w:r w:rsidRPr="008D7A52">
        <w:rPr>
          <w:shd w:val="clear" w:color="auto" w:fill="FFFFFF"/>
        </w:rPr>
        <w:t xml:space="preserve">The findings of the study </w:t>
      </w:r>
      <w:r w:rsidR="00A62F17" w:rsidRPr="008D7A52">
        <w:rPr>
          <w:shd w:val="clear" w:color="auto" w:fill="FFFFFF"/>
        </w:rPr>
        <w:t>corroborate</w:t>
      </w:r>
      <w:r w:rsidRPr="008D7A52">
        <w:rPr>
          <w:shd w:val="clear" w:color="auto" w:fill="FFFFFF"/>
        </w:rPr>
        <w:t xml:space="preserve"> the results of similar studies such as </w:t>
      </w:r>
      <w:r w:rsidRPr="008D7A52">
        <w:t xml:space="preserve">Munyua and Ochieng (2021) which investigated the impact of environmental certification and compliance costs on value creation among Kenyan firms as they found a negative correlation between environmental certification &amp; compliance costs and market value. It likewise </w:t>
      </w:r>
      <w:r w:rsidR="00A62F17" w:rsidRPr="008D7A52">
        <w:t>supports</w:t>
      </w:r>
      <w:r w:rsidRPr="008D7A52">
        <w:t xml:space="preserve"> the result of Patel and Kumar (2022) conducted a longitudinal study to evaluate the impact of green research and development (R&amp;D) on value creation in Indian firms and the findings revealed that investments in green R&amp;D significantly enhanced innovation and competitive advantage, leading to positive value creation. The study findings also </w:t>
      </w:r>
      <w:r w:rsidR="00A62F17" w:rsidRPr="008D7A52">
        <w:t>align</w:t>
      </w:r>
      <w:r w:rsidRPr="008D7A52">
        <w:t xml:space="preserve"> with the result of Juma and Odhiambo (2022) which investigated the effect of pollution control expenditure on value creation in Tanzanian firms. The study revealed that firms investing heavily in pollution control measures not only achieved cost savings but also enhanced their brand value, which positively influenced their market value. It equally </w:t>
      </w:r>
      <w:r w:rsidR="00A62F17" w:rsidRPr="008D7A52">
        <w:t>supports</w:t>
      </w:r>
      <w:r w:rsidRPr="008D7A52">
        <w:t xml:space="preserve"> the findings of Jones and Clark (2023) which revealed that pollution control expenditures led to significant reductions in operational costs and increased profitability, which positively influenced market value </w:t>
      </w:r>
    </w:p>
    <w:p w14:paraId="345BE09E" w14:textId="6E6CB79D" w:rsidR="003F70A4" w:rsidRDefault="00C00C54" w:rsidP="003F70A4">
      <w:pPr>
        <w:tabs>
          <w:tab w:val="left" w:pos="0"/>
        </w:tabs>
        <w:jc w:val="both"/>
      </w:pPr>
      <w:r w:rsidRPr="008D7A52">
        <w:tab/>
      </w:r>
      <w:r w:rsidR="003F70A4" w:rsidRPr="008D7A52">
        <w:t xml:space="preserve">More so, it </w:t>
      </w:r>
      <w:r w:rsidRPr="008D7A52">
        <w:t>contradicts</w:t>
      </w:r>
      <w:r w:rsidR="003F70A4" w:rsidRPr="008D7A52">
        <w:t xml:space="preserve"> the findings of</w:t>
      </w:r>
      <w:r w:rsidR="003F70A4" w:rsidRPr="008D7A52">
        <w:rPr>
          <w:b/>
        </w:rPr>
        <w:t xml:space="preserve"> </w:t>
      </w:r>
      <w:r w:rsidR="003F70A4" w:rsidRPr="008D7A52">
        <w:t xml:space="preserve">Banda and Komba (2022) which found out that there is no significant relationship between pollution control expenditure and value creation of firms in Malawi. </w:t>
      </w:r>
      <w:r w:rsidR="003F70A4" w:rsidRPr="008D7A52">
        <w:rPr>
          <w:rFonts w:eastAsia="SimSun"/>
          <w:iCs/>
          <w:lang w:eastAsia="zh-CN"/>
        </w:rPr>
        <w:t xml:space="preserve">More so, the result of </w:t>
      </w:r>
      <w:r w:rsidR="003F70A4" w:rsidRPr="008D7A52">
        <w:t>Moyo and Khumalo (2023) negates the findings of the study as it submitted that the regression analysis revealed that firms investing in renewable energy saw significant reductions in energy costs and achieved long-term operational efficiencies, which led to higher market valuation and improved financial performance</w:t>
      </w:r>
    </w:p>
    <w:p w14:paraId="4138E52A" w14:textId="77777777" w:rsidR="008C359D" w:rsidRDefault="008C359D" w:rsidP="003F70A4">
      <w:pPr>
        <w:tabs>
          <w:tab w:val="left" w:pos="0"/>
        </w:tabs>
        <w:jc w:val="both"/>
      </w:pPr>
    </w:p>
    <w:p w14:paraId="5BACDE54" w14:textId="77777777" w:rsidR="008C359D" w:rsidRDefault="008C359D" w:rsidP="003F70A4">
      <w:pPr>
        <w:tabs>
          <w:tab w:val="left" w:pos="0"/>
        </w:tabs>
        <w:jc w:val="both"/>
      </w:pPr>
    </w:p>
    <w:p w14:paraId="78953BD6" w14:textId="77777777" w:rsidR="008C359D" w:rsidRDefault="008C359D" w:rsidP="003F70A4">
      <w:pPr>
        <w:tabs>
          <w:tab w:val="left" w:pos="0"/>
        </w:tabs>
        <w:jc w:val="both"/>
      </w:pPr>
    </w:p>
    <w:p w14:paraId="09AB376C" w14:textId="77777777" w:rsidR="008C359D" w:rsidRDefault="008C359D" w:rsidP="003F70A4">
      <w:pPr>
        <w:tabs>
          <w:tab w:val="left" w:pos="0"/>
        </w:tabs>
        <w:jc w:val="both"/>
      </w:pPr>
    </w:p>
    <w:p w14:paraId="44C89179" w14:textId="77777777" w:rsidR="008C359D" w:rsidRDefault="008C359D" w:rsidP="003F70A4">
      <w:pPr>
        <w:tabs>
          <w:tab w:val="left" w:pos="0"/>
        </w:tabs>
        <w:jc w:val="both"/>
      </w:pPr>
    </w:p>
    <w:p w14:paraId="515255FF" w14:textId="77777777" w:rsidR="008C359D" w:rsidRDefault="008C359D" w:rsidP="003F70A4">
      <w:pPr>
        <w:tabs>
          <w:tab w:val="left" w:pos="0"/>
        </w:tabs>
        <w:jc w:val="both"/>
      </w:pPr>
    </w:p>
    <w:p w14:paraId="212C2791" w14:textId="77777777" w:rsidR="008C359D" w:rsidRDefault="008C359D" w:rsidP="003F70A4">
      <w:pPr>
        <w:tabs>
          <w:tab w:val="left" w:pos="0"/>
        </w:tabs>
        <w:jc w:val="both"/>
      </w:pPr>
    </w:p>
    <w:p w14:paraId="55746441" w14:textId="77777777" w:rsidR="008C359D" w:rsidRDefault="008C359D" w:rsidP="003F70A4">
      <w:pPr>
        <w:tabs>
          <w:tab w:val="left" w:pos="0"/>
        </w:tabs>
        <w:jc w:val="both"/>
      </w:pPr>
    </w:p>
    <w:p w14:paraId="70D39D36" w14:textId="77777777" w:rsidR="008C359D" w:rsidRPr="008D7A52" w:rsidRDefault="008C359D" w:rsidP="003F70A4">
      <w:pPr>
        <w:tabs>
          <w:tab w:val="left" w:pos="0"/>
        </w:tabs>
        <w:jc w:val="both"/>
      </w:pPr>
    </w:p>
    <w:p w14:paraId="25A71722" w14:textId="77777777" w:rsidR="00C00C54" w:rsidRPr="008D7A52" w:rsidRDefault="00C00C54" w:rsidP="003F70A4">
      <w:pPr>
        <w:tabs>
          <w:tab w:val="left" w:pos="0"/>
        </w:tabs>
        <w:jc w:val="both"/>
      </w:pPr>
    </w:p>
    <w:p w14:paraId="43C4E42A" w14:textId="2CDE0474" w:rsidR="003F70A4" w:rsidRPr="008D7A52" w:rsidRDefault="003F70A4" w:rsidP="003F70A4">
      <w:pPr>
        <w:pStyle w:val="root-block-node"/>
        <w:spacing w:before="0" w:beforeAutospacing="0" w:after="0" w:afterAutospacing="0" w:line="480" w:lineRule="auto"/>
        <w:ind w:firstLine="720"/>
        <w:jc w:val="both"/>
        <w:rPr>
          <w:b/>
          <w:lang w:val="en-GB"/>
        </w:rPr>
      </w:pPr>
      <w:r w:rsidRPr="008D7A52">
        <w:rPr>
          <w:b/>
          <w:lang w:val="en-GB"/>
        </w:rPr>
        <w:lastRenderedPageBreak/>
        <w:t xml:space="preserve">Table </w:t>
      </w:r>
      <w:r w:rsidR="00152F20" w:rsidRPr="008D7A52">
        <w:rPr>
          <w:b/>
          <w:lang w:val="en-GB"/>
        </w:rPr>
        <w:t>7</w:t>
      </w:r>
      <w:r w:rsidRPr="008D7A52">
        <w:rPr>
          <w:b/>
          <w:lang w:val="en-GB"/>
        </w:rPr>
        <w:t>: Panels Corrected Standard Errors Regression</w:t>
      </w:r>
    </w:p>
    <w:tbl>
      <w:tblPr>
        <w:tblW w:w="7986" w:type="dxa"/>
        <w:tblBorders>
          <w:top w:val="single" w:sz="4" w:space="0" w:color="auto"/>
          <w:bottom w:val="single" w:sz="4" w:space="0" w:color="auto"/>
        </w:tblBorders>
        <w:tblLook w:val="04A0" w:firstRow="1" w:lastRow="0" w:firstColumn="1" w:lastColumn="0" w:noHBand="0" w:noVBand="1"/>
      </w:tblPr>
      <w:tblGrid>
        <w:gridCol w:w="1968"/>
        <w:gridCol w:w="1383"/>
        <w:gridCol w:w="2218"/>
        <w:gridCol w:w="1034"/>
        <w:gridCol w:w="1383"/>
      </w:tblGrid>
      <w:tr w:rsidR="008D7A52" w:rsidRPr="008D7A52" w14:paraId="0DBC96C5" w14:textId="77777777" w:rsidTr="00C00C54">
        <w:trPr>
          <w:trHeight w:val="312"/>
        </w:trPr>
        <w:tc>
          <w:tcPr>
            <w:tcW w:w="1968" w:type="dxa"/>
            <w:tcBorders>
              <w:top w:val="single" w:sz="4" w:space="0" w:color="auto"/>
              <w:bottom w:val="single" w:sz="4" w:space="0" w:color="auto"/>
            </w:tcBorders>
            <w:noWrap/>
            <w:vAlign w:val="bottom"/>
            <w:hideMark/>
          </w:tcPr>
          <w:p w14:paraId="66267E6F" w14:textId="77777777" w:rsidR="003F70A4" w:rsidRPr="008D7A52" w:rsidRDefault="003F70A4" w:rsidP="006F10A3">
            <w:pPr>
              <w:jc w:val="center"/>
              <w:rPr>
                <w:b/>
              </w:rPr>
            </w:pPr>
            <w:r w:rsidRPr="008D7A52">
              <w:rPr>
                <w:b/>
              </w:rPr>
              <w:t>MVA</w:t>
            </w:r>
          </w:p>
          <w:p w14:paraId="7938F6DB" w14:textId="77777777" w:rsidR="006F10A3" w:rsidRPr="008D7A52" w:rsidRDefault="006F10A3" w:rsidP="006F10A3">
            <w:pPr>
              <w:jc w:val="center"/>
              <w:rPr>
                <w:b/>
              </w:rPr>
            </w:pPr>
          </w:p>
          <w:p w14:paraId="73720622" w14:textId="77777777" w:rsidR="006F10A3" w:rsidRPr="008D7A52" w:rsidRDefault="006F10A3" w:rsidP="006F10A3">
            <w:pPr>
              <w:jc w:val="center"/>
              <w:rPr>
                <w:b/>
              </w:rPr>
            </w:pPr>
          </w:p>
        </w:tc>
        <w:tc>
          <w:tcPr>
            <w:tcW w:w="1383" w:type="dxa"/>
            <w:tcBorders>
              <w:top w:val="single" w:sz="4" w:space="0" w:color="auto"/>
              <w:bottom w:val="single" w:sz="4" w:space="0" w:color="auto"/>
            </w:tcBorders>
            <w:noWrap/>
            <w:vAlign w:val="bottom"/>
            <w:hideMark/>
          </w:tcPr>
          <w:p w14:paraId="78622F40" w14:textId="77777777" w:rsidR="003F70A4" w:rsidRPr="008D7A52" w:rsidRDefault="003F70A4" w:rsidP="006F10A3">
            <w:pPr>
              <w:jc w:val="center"/>
              <w:rPr>
                <w:b/>
              </w:rPr>
            </w:pPr>
            <w:r w:rsidRPr="008D7A52">
              <w:rPr>
                <w:b/>
              </w:rPr>
              <w:t>Coeff.</w:t>
            </w:r>
          </w:p>
        </w:tc>
        <w:tc>
          <w:tcPr>
            <w:tcW w:w="2218" w:type="dxa"/>
            <w:tcBorders>
              <w:top w:val="single" w:sz="4" w:space="0" w:color="auto"/>
              <w:bottom w:val="single" w:sz="4" w:space="0" w:color="auto"/>
            </w:tcBorders>
            <w:noWrap/>
            <w:vAlign w:val="bottom"/>
            <w:hideMark/>
          </w:tcPr>
          <w:p w14:paraId="69BB8F7A" w14:textId="7F4F2AF6" w:rsidR="003F70A4" w:rsidRPr="008D7A52" w:rsidRDefault="003F70A4" w:rsidP="006F10A3">
            <w:pPr>
              <w:jc w:val="center"/>
              <w:rPr>
                <w:b/>
              </w:rPr>
            </w:pPr>
            <w:proofErr w:type="spellStart"/>
            <w:r w:rsidRPr="008D7A52">
              <w:rPr>
                <w:b/>
              </w:rPr>
              <w:t>Indep</w:t>
            </w:r>
            <w:proofErr w:type="spellEnd"/>
            <w:r w:rsidRPr="008D7A52">
              <w:rPr>
                <w:b/>
              </w:rPr>
              <w:t>-corrected</w:t>
            </w:r>
          </w:p>
          <w:p w14:paraId="5B7C2471" w14:textId="77777777" w:rsidR="003F70A4" w:rsidRPr="008D7A52" w:rsidRDefault="003F70A4" w:rsidP="006F10A3">
            <w:pPr>
              <w:jc w:val="center"/>
              <w:rPr>
                <w:b/>
              </w:rPr>
            </w:pPr>
            <w:proofErr w:type="spellStart"/>
            <w:r w:rsidRPr="008D7A52">
              <w:rPr>
                <w:b/>
              </w:rPr>
              <w:t>Std.Err</w:t>
            </w:r>
            <w:proofErr w:type="spellEnd"/>
          </w:p>
        </w:tc>
        <w:tc>
          <w:tcPr>
            <w:tcW w:w="1034" w:type="dxa"/>
            <w:tcBorders>
              <w:top w:val="single" w:sz="4" w:space="0" w:color="auto"/>
              <w:bottom w:val="single" w:sz="4" w:space="0" w:color="auto"/>
            </w:tcBorders>
            <w:noWrap/>
            <w:vAlign w:val="bottom"/>
            <w:hideMark/>
          </w:tcPr>
          <w:p w14:paraId="448EFD2F" w14:textId="77777777" w:rsidR="003F70A4" w:rsidRPr="008D7A52" w:rsidRDefault="003F70A4" w:rsidP="006F10A3">
            <w:pPr>
              <w:jc w:val="center"/>
              <w:rPr>
                <w:b/>
              </w:rPr>
            </w:pPr>
            <w:r w:rsidRPr="008D7A52">
              <w:rPr>
                <w:b/>
              </w:rPr>
              <w:t>z</w:t>
            </w:r>
          </w:p>
        </w:tc>
        <w:tc>
          <w:tcPr>
            <w:tcW w:w="1383" w:type="dxa"/>
            <w:tcBorders>
              <w:top w:val="single" w:sz="4" w:space="0" w:color="auto"/>
              <w:bottom w:val="single" w:sz="4" w:space="0" w:color="auto"/>
            </w:tcBorders>
            <w:noWrap/>
            <w:vAlign w:val="bottom"/>
            <w:hideMark/>
          </w:tcPr>
          <w:p w14:paraId="3C93D0C3" w14:textId="77777777" w:rsidR="003F70A4" w:rsidRPr="008D7A52" w:rsidRDefault="003F70A4" w:rsidP="006F10A3">
            <w:pPr>
              <w:jc w:val="center"/>
              <w:rPr>
                <w:b/>
              </w:rPr>
            </w:pPr>
            <w:r w:rsidRPr="008D7A52">
              <w:rPr>
                <w:b/>
              </w:rPr>
              <w:t>P&gt;|z|</w:t>
            </w:r>
          </w:p>
        </w:tc>
      </w:tr>
      <w:tr w:rsidR="008D7A52" w:rsidRPr="008D7A52" w14:paraId="01EEF2AF" w14:textId="77777777" w:rsidTr="00C00C54">
        <w:trPr>
          <w:trHeight w:val="312"/>
        </w:trPr>
        <w:tc>
          <w:tcPr>
            <w:tcW w:w="1968" w:type="dxa"/>
            <w:tcBorders>
              <w:top w:val="single" w:sz="4" w:space="0" w:color="auto"/>
            </w:tcBorders>
            <w:noWrap/>
            <w:vAlign w:val="bottom"/>
            <w:hideMark/>
          </w:tcPr>
          <w:p w14:paraId="16F0B373" w14:textId="77777777" w:rsidR="003F70A4" w:rsidRPr="008D7A52" w:rsidRDefault="003F70A4" w:rsidP="006F10A3">
            <w:pPr>
              <w:jc w:val="center"/>
            </w:pPr>
            <w:r w:rsidRPr="008D7A52">
              <w:t>_INRE</w:t>
            </w:r>
          </w:p>
        </w:tc>
        <w:tc>
          <w:tcPr>
            <w:tcW w:w="1383" w:type="dxa"/>
            <w:tcBorders>
              <w:top w:val="single" w:sz="4" w:space="0" w:color="auto"/>
            </w:tcBorders>
            <w:noWrap/>
            <w:vAlign w:val="bottom"/>
            <w:hideMark/>
          </w:tcPr>
          <w:p w14:paraId="2B20F8E1" w14:textId="77777777" w:rsidR="003F70A4" w:rsidRPr="008D7A52" w:rsidRDefault="003F70A4" w:rsidP="006F10A3">
            <w:pPr>
              <w:jc w:val="center"/>
            </w:pPr>
            <w:r w:rsidRPr="008D7A52">
              <w:t>0.0567</w:t>
            </w:r>
          </w:p>
        </w:tc>
        <w:tc>
          <w:tcPr>
            <w:tcW w:w="2218" w:type="dxa"/>
            <w:tcBorders>
              <w:top w:val="single" w:sz="4" w:space="0" w:color="auto"/>
            </w:tcBorders>
            <w:noWrap/>
            <w:vAlign w:val="bottom"/>
            <w:hideMark/>
          </w:tcPr>
          <w:p w14:paraId="2AF888C3" w14:textId="77777777" w:rsidR="003F70A4" w:rsidRPr="008D7A52" w:rsidRDefault="003F70A4" w:rsidP="006F10A3">
            <w:pPr>
              <w:jc w:val="center"/>
            </w:pPr>
            <w:r w:rsidRPr="008D7A52">
              <w:t xml:space="preserve">0.1270    </w:t>
            </w:r>
          </w:p>
        </w:tc>
        <w:tc>
          <w:tcPr>
            <w:tcW w:w="1034" w:type="dxa"/>
            <w:tcBorders>
              <w:top w:val="single" w:sz="4" w:space="0" w:color="auto"/>
            </w:tcBorders>
            <w:noWrap/>
            <w:vAlign w:val="bottom"/>
          </w:tcPr>
          <w:p w14:paraId="1BA35D16" w14:textId="77777777" w:rsidR="003F70A4" w:rsidRPr="008D7A52" w:rsidRDefault="003F70A4" w:rsidP="006F10A3">
            <w:pPr>
              <w:jc w:val="center"/>
            </w:pPr>
            <w:r w:rsidRPr="008D7A52">
              <w:t>0.45</w:t>
            </w:r>
          </w:p>
        </w:tc>
        <w:tc>
          <w:tcPr>
            <w:tcW w:w="1383" w:type="dxa"/>
            <w:tcBorders>
              <w:top w:val="single" w:sz="4" w:space="0" w:color="auto"/>
            </w:tcBorders>
            <w:noWrap/>
            <w:vAlign w:val="bottom"/>
          </w:tcPr>
          <w:p w14:paraId="6536C9F7" w14:textId="77777777" w:rsidR="003F70A4" w:rsidRPr="008D7A52" w:rsidRDefault="003F70A4" w:rsidP="006F10A3">
            <w:pPr>
              <w:jc w:val="center"/>
            </w:pPr>
            <w:r w:rsidRPr="008D7A52">
              <w:t>0.655</w:t>
            </w:r>
          </w:p>
        </w:tc>
      </w:tr>
      <w:tr w:rsidR="008D7A52" w:rsidRPr="008D7A52" w14:paraId="550957F6" w14:textId="77777777" w:rsidTr="00C00C54">
        <w:trPr>
          <w:trHeight w:val="312"/>
        </w:trPr>
        <w:tc>
          <w:tcPr>
            <w:tcW w:w="1968" w:type="dxa"/>
            <w:noWrap/>
            <w:vAlign w:val="bottom"/>
            <w:hideMark/>
          </w:tcPr>
          <w:p w14:paraId="46E0D0E8" w14:textId="77777777" w:rsidR="003F70A4" w:rsidRPr="008D7A52" w:rsidRDefault="003F70A4" w:rsidP="006F10A3">
            <w:pPr>
              <w:jc w:val="center"/>
            </w:pPr>
            <w:r w:rsidRPr="008D7A52">
              <w:t>EXPC</w:t>
            </w:r>
          </w:p>
        </w:tc>
        <w:tc>
          <w:tcPr>
            <w:tcW w:w="1383" w:type="dxa"/>
            <w:noWrap/>
            <w:vAlign w:val="bottom"/>
            <w:hideMark/>
          </w:tcPr>
          <w:p w14:paraId="39BB2A01" w14:textId="77777777" w:rsidR="003F70A4" w:rsidRPr="008D7A52" w:rsidRDefault="003F70A4" w:rsidP="006F10A3">
            <w:pPr>
              <w:jc w:val="center"/>
            </w:pPr>
            <w:r w:rsidRPr="008D7A52">
              <w:t>0.2644</w:t>
            </w:r>
          </w:p>
        </w:tc>
        <w:tc>
          <w:tcPr>
            <w:tcW w:w="2218" w:type="dxa"/>
            <w:noWrap/>
            <w:vAlign w:val="bottom"/>
            <w:hideMark/>
          </w:tcPr>
          <w:p w14:paraId="5C472B0C" w14:textId="77777777" w:rsidR="003F70A4" w:rsidRPr="008D7A52" w:rsidRDefault="003F70A4" w:rsidP="006F10A3">
            <w:pPr>
              <w:jc w:val="center"/>
            </w:pPr>
            <w:r w:rsidRPr="008D7A52">
              <w:t xml:space="preserve">0.1337     </w:t>
            </w:r>
          </w:p>
        </w:tc>
        <w:tc>
          <w:tcPr>
            <w:tcW w:w="1034" w:type="dxa"/>
            <w:noWrap/>
            <w:vAlign w:val="bottom"/>
          </w:tcPr>
          <w:p w14:paraId="314B5E86" w14:textId="77777777" w:rsidR="003F70A4" w:rsidRPr="008D7A52" w:rsidRDefault="003F70A4" w:rsidP="006F10A3">
            <w:pPr>
              <w:jc w:val="center"/>
            </w:pPr>
            <w:r w:rsidRPr="008D7A52">
              <w:t>1.98</w:t>
            </w:r>
          </w:p>
        </w:tc>
        <w:tc>
          <w:tcPr>
            <w:tcW w:w="1383" w:type="dxa"/>
            <w:noWrap/>
            <w:vAlign w:val="bottom"/>
          </w:tcPr>
          <w:p w14:paraId="33761B7D" w14:textId="77777777" w:rsidR="003F70A4" w:rsidRPr="008D7A52" w:rsidRDefault="003F70A4" w:rsidP="006F10A3">
            <w:pPr>
              <w:jc w:val="center"/>
            </w:pPr>
            <w:r w:rsidRPr="008D7A52">
              <w:t>0.048</w:t>
            </w:r>
          </w:p>
        </w:tc>
      </w:tr>
      <w:tr w:rsidR="008D7A52" w:rsidRPr="008D7A52" w14:paraId="5726B92A" w14:textId="77777777" w:rsidTr="00C00C54">
        <w:trPr>
          <w:trHeight w:val="312"/>
        </w:trPr>
        <w:tc>
          <w:tcPr>
            <w:tcW w:w="1968" w:type="dxa"/>
            <w:noWrap/>
            <w:vAlign w:val="bottom"/>
            <w:hideMark/>
          </w:tcPr>
          <w:p w14:paraId="62805221" w14:textId="77777777" w:rsidR="003F70A4" w:rsidRPr="008D7A52" w:rsidRDefault="003F70A4" w:rsidP="006F10A3">
            <w:pPr>
              <w:jc w:val="center"/>
            </w:pPr>
            <w:r w:rsidRPr="008D7A52">
              <w:t>GRDE</w:t>
            </w:r>
          </w:p>
        </w:tc>
        <w:tc>
          <w:tcPr>
            <w:tcW w:w="1383" w:type="dxa"/>
            <w:noWrap/>
            <w:vAlign w:val="bottom"/>
            <w:hideMark/>
          </w:tcPr>
          <w:p w14:paraId="6FDBAD0D" w14:textId="77777777" w:rsidR="003F70A4" w:rsidRPr="008D7A52" w:rsidRDefault="003F70A4" w:rsidP="006F10A3">
            <w:pPr>
              <w:jc w:val="center"/>
            </w:pPr>
            <w:r w:rsidRPr="008D7A52">
              <w:t>0.0616</w:t>
            </w:r>
          </w:p>
        </w:tc>
        <w:tc>
          <w:tcPr>
            <w:tcW w:w="2218" w:type="dxa"/>
            <w:noWrap/>
            <w:vAlign w:val="bottom"/>
            <w:hideMark/>
          </w:tcPr>
          <w:p w14:paraId="598ACF98" w14:textId="77777777" w:rsidR="003F70A4" w:rsidRPr="008D7A52" w:rsidRDefault="003F70A4" w:rsidP="006F10A3">
            <w:pPr>
              <w:jc w:val="center"/>
            </w:pPr>
            <w:r w:rsidRPr="008D7A52">
              <w:t xml:space="preserve">0.1171     </w:t>
            </w:r>
          </w:p>
        </w:tc>
        <w:tc>
          <w:tcPr>
            <w:tcW w:w="1034" w:type="dxa"/>
            <w:noWrap/>
            <w:vAlign w:val="bottom"/>
          </w:tcPr>
          <w:p w14:paraId="3D4AEE6F" w14:textId="77777777" w:rsidR="003F70A4" w:rsidRPr="008D7A52" w:rsidRDefault="003F70A4" w:rsidP="006F10A3">
            <w:pPr>
              <w:jc w:val="center"/>
            </w:pPr>
            <w:r w:rsidRPr="008D7A52">
              <w:t>0.53</w:t>
            </w:r>
          </w:p>
        </w:tc>
        <w:tc>
          <w:tcPr>
            <w:tcW w:w="1383" w:type="dxa"/>
            <w:noWrap/>
            <w:vAlign w:val="bottom"/>
          </w:tcPr>
          <w:p w14:paraId="7EA9E798" w14:textId="77777777" w:rsidR="003F70A4" w:rsidRPr="008D7A52" w:rsidRDefault="003F70A4" w:rsidP="006F10A3">
            <w:pPr>
              <w:jc w:val="center"/>
            </w:pPr>
            <w:r w:rsidRPr="008D7A52">
              <w:t>0.599</w:t>
            </w:r>
          </w:p>
        </w:tc>
      </w:tr>
      <w:tr w:rsidR="008D7A52" w:rsidRPr="008D7A52" w14:paraId="6F65C557" w14:textId="77777777" w:rsidTr="00C00C54">
        <w:trPr>
          <w:trHeight w:val="312"/>
        </w:trPr>
        <w:tc>
          <w:tcPr>
            <w:tcW w:w="1968" w:type="dxa"/>
            <w:noWrap/>
            <w:vAlign w:val="bottom"/>
            <w:hideMark/>
          </w:tcPr>
          <w:p w14:paraId="039A5F59" w14:textId="77777777" w:rsidR="003F70A4" w:rsidRPr="008D7A52" w:rsidRDefault="003F70A4" w:rsidP="006F10A3">
            <w:pPr>
              <w:jc w:val="center"/>
            </w:pPr>
            <w:r w:rsidRPr="008D7A52">
              <w:t>ECCC</w:t>
            </w:r>
          </w:p>
        </w:tc>
        <w:tc>
          <w:tcPr>
            <w:tcW w:w="1383" w:type="dxa"/>
            <w:noWrap/>
            <w:vAlign w:val="bottom"/>
            <w:hideMark/>
          </w:tcPr>
          <w:p w14:paraId="544879B3" w14:textId="77777777" w:rsidR="003F70A4" w:rsidRPr="008D7A52" w:rsidRDefault="003F70A4" w:rsidP="006F10A3">
            <w:pPr>
              <w:jc w:val="center"/>
            </w:pPr>
            <w:r w:rsidRPr="008D7A52">
              <w:t>-1.4103</w:t>
            </w:r>
          </w:p>
        </w:tc>
        <w:tc>
          <w:tcPr>
            <w:tcW w:w="2218" w:type="dxa"/>
            <w:noWrap/>
            <w:vAlign w:val="bottom"/>
            <w:hideMark/>
          </w:tcPr>
          <w:p w14:paraId="7B71B3D9" w14:textId="77777777" w:rsidR="003F70A4" w:rsidRPr="008D7A52" w:rsidRDefault="003F70A4" w:rsidP="006F10A3">
            <w:pPr>
              <w:jc w:val="center"/>
            </w:pPr>
            <w:r w:rsidRPr="008D7A52">
              <w:t xml:space="preserve">0.2708    </w:t>
            </w:r>
          </w:p>
        </w:tc>
        <w:tc>
          <w:tcPr>
            <w:tcW w:w="1034" w:type="dxa"/>
            <w:noWrap/>
            <w:vAlign w:val="bottom"/>
          </w:tcPr>
          <w:p w14:paraId="540D7448" w14:textId="77777777" w:rsidR="003F70A4" w:rsidRPr="008D7A52" w:rsidRDefault="003F70A4" w:rsidP="006F10A3">
            <w:pPr>
              <w:jc w:val="center"/>
            </w:pPr>
            <w:r w:rsidRPr="008D7A52">
              <w:t>-5.21</w:t>
            </w:r>
          </w:p>
        </w:tc>
        <w:tc>
          <w:tcPr>
            <w:tcW w:w="1383" w:type="dxa"/>
            <w:noWrap/>
            <w:vAlign w:val="bottom"/>
          </w:tcPr>
          <w:p w14:paraId="2332D017" w14:textId="77777777" w:rsidR="003F70A4" w:rsidRPr="008D7A52" w:rsidRDefault="003F70A4" w:rsidP="006F10A3">
            <w:pPr>
              <w:jc w:val="center"/>
            </w:pPr>
            <w:r w:rsidRPr="008D7A52">
              <w:t>0.000</w:t>
            </w:r>
          </w:p>
        </w:tc>
      </w:tr>
      <w:tr w:rsidR="008D7A52" w:rsidRPr="008D7A52" w14:paraId="7092F142" w14:textId="77777777" w:rsidTr="00C00C54">
        <w:trPr>
          <w:trHeight w:val="312"/>
        </w:trPr>
        <w:tc>
          <w:tcPr>
            <w:tcW w:w="1968" w:type="dxa"/>
            <w:noWrap/>
            <w:vAlign w:val="bottom"/>
            <w:hideMark/>
          </w:tcPr>
          <w:p w14:paraId="2E508348" w14:textId="77777777" w:rsidR="003F70A4" w:rsidRPr="008D7A52" w:rsidRDefault="003F70A4" w:rsidP="006F10A3">
            <w:pPr>
              <w:jc w:val="center"/>
            </w:pPr>
            <w:r w:rsidRPr="008D7A52">
              <w:t>_cons</w:t>
            </w:r>
          </w:p>
        </w:tc>
        <w:tc>
          <w:tcPr>
            <w:tcW w:w="1383" w:type="dxa"/>
            <w:noWrap/>
            <w:vAlign w:val="bottom"/>
            <w:hideMark/>
          </w:tcPr>
          <w:p w14:paraId="61C9318D" w14:textId="77777777" w:rsidR="003F70A4" w:rsidRPr="008D7A52" w:rsidRDefault="003F70A4" w:rsidP="006F10A3">
            <w:pPr>
              <w:jc w:val="center"/>
            </w:pPr>
            <w:r w:rsidRPr="008D7A52">
              <w:t>3.1672</w:t>
            </w:r>
          </w:p>
        </w:tc>
        <w:tc>
          <w:tcPr>
            <w:tcW w:w="2218" w:type="dxa"/>
            <w:noWrap/>
            <w:vAlign w:val="bottom"/>
            <w:hideMark/>
          </w:tcPr>
          <w:p w14:paraId="7E7EEA9A" w14:textId="77777777" w:rsidR="003F70A4" w:rsidRPr="008D7A52" w:rsidRDefault="003F70A4" w:rsidP="006F10A3">
            <w:pPr>
              <w:jc w:val="center"/>
            </w:pPr>
            <w:r w:rsidRPr="008D7A52">
              <w:t xml:space="preserve">1.0416   </w:t>
            </w:r>
          </w:p>
        </w:tc>
        <w:tc>
          <w:tcPr>
            <w:tcW w:w="1034" w:type="dxa"/>
            <w:noWrap/>
            <w:vAlign w:val="bottom"/>
          </w:tcPr>
          <w:p w14:paraId="65FB03DD" w14:textId="77777777" w:rsidR="003F70A4" w:rsidRPr="008D7A52" w:rsidRDefault="003F70A4" w:rsidP="006F10A3">
            <w:pPr>
              <w:jc w:val="center"/>
            </w:pPr>
            <w:r w:rsidRPr="008D7A52">
              <w:t>3.04</w:t>
            </w:r>
          </w:p>
        </w:tc>
        <w:tc>
          <w:tcPr>
            <w:tcW w:w="1383" w:type="dxa"/>
            <w:noWrap/>
            <w:vAlign w:val="bottom"/>
          </w:tcPr>
          <w:p w14:paraId="69D0211B" w14:textId="77777777" w:rsidR="003F70A4" w:rsidRPr="008D7A52" w:rsidRDefault="003F70A4" w:rsidP="006F10A3">
            <w:pPr>
              <w:jc w:val="center"/>
            </w:pPr>
            <w:r w:rsidRPr="008D7A52">
              <w:t>0.002</w:t>
            </w:r>
          </w:p>
        </w:tc>
      </w:tr>
      <w:tr w:rsidR="008D7A52" w:rsidRPr="008D7A52" w14:paraId="5571B83E" w14:textId="77777777" w:rsidTr="00C00C54">
        <w:trPr>
          <w:trHeight w:val="312"/>
        </w:trPr>
        <w:tc>
          <w:tcPr>
            <w:tcW w:w="1968" w:type="dxa"/>
            <w:noWrap/>
            <w:vAlign w:val="bottom"/>
            <w:hideMark/>
          </w:tcPr>
          <w:p w14:paraId="503E52C2" w14:textId="40C6CC07" w:rsidR="003F70A4" w:rsidRPr="008D7A52" w:rsidRDefault="00C00C54" w:rsidP="006F10A3">
            <w:r w:rsidRPr="008D7A52">
              <w:t xml:space="preserve">     </w:t>
            </w:r>
            <w:r w:rsidR="003F70A4" w:rsidRPr="008D7A52">
              <w:t xml:space="preserve">Number of </w:t>
            </w:r>
            <w:proofErr w:type="spellStart"/>
            <w:r w:rsidR="003F70A4" w:rsidRPr="008D7A52">
              <w:t>obs</w:t>
            </w:r>
            <w:proofErr w:type="spellEnd"/>
          </w:p>
        </w:tc>
        <w:tc>
          <w:tcPr>
            <w:tcW w:w="1383" w:type="dxa"/>
            <w:noWrap/>
            <w:vAlign w:val="bottom"/>
            <w:hideMark/>
          </w:tcPr>
          <w:p w14:paraId="01F9B7F8" w14:textId="7FA6F1C8" w:rsidR="003F70A4" w:rsidRPr="008D7A52" w:rsidRDefault="00C00C54" w:rsidP="006F10A3">
            <w:r w:rsidRPr="008D7A52">
              <w:t xml:space="preserve">    </w:t>
            </w:r>
            <w:r w:rsidR="003F70A4" w:rsidRPr="008D7A52">
              <w:t>340</w:t>
            </w:r>
          </w:p>
        </w:tc>
        <w:tc>
          <w:tcPr>
            <w:tcW w:w="2218" w:type="dxa"/>
            <w:noWrap/>
            <w:vAlign w:val="bottom"/>
            <w:hideMark/>
          </w:tcPr>
          <w:p w14:paraId="64135040" w14:textId="77777777" w:rsidR="003F70A4" w:rsidRPr="008D7A52" w:rsidRDefault="003F70A4" w:rsidP="006F10A3">
            <w:pPr>
              <w:jc w:val="right"/>
            </w:pPr>
          </w:p>
        </w:tc>
        <w:tc>
          <w:tcPr>
            <w:tcW w:w="1034" w:type="dxa"/>
            <w:noWrap/>
            <w:vAlign w:val="bottom"/>
            <w:hideMark/>
          </w:tcPr>
          <w:p w14:paraId="53FA9911" w14:textId="77777777" w:rsidR="003F70A4" w:rsidRPr="008D7A52" w:rsidRDefault="003F70A4" w:rsidP="006F10A3"/>
        </w:tc>
        <w:tc>
          <w:tcPr>
            <w:tcW w:w="1383" w:type="dxa"/>
            <w:noWrap/>
            <w:vAlign w:val="bottom"/>
          </w:tcPr>
          <w:p w14:paraId="4FCF0EA5" w14:textId="77777777" w:rsidR="003F70A4" w:rsidRPr="008D7A52" w:rsidRDefault="003F70A4" w:rsidP="006F10A3"/>
        </w:tc>
      </w:tr>
      <w:tr w:rsidR="008D7A52" w:rsidRPr="008D7A52" w14:paraId="3D6BFAAA" w14:textId="77777777" w:rsidTr="00C00C54">
        <w:trPr>
          <w:trHeight w:val="312"/>
        </w:trPr>
        <w:tc>
          <w:tcPr>
            <w:tcW w:w="1968" w:type="dxa"/>
            <w:noWrap/>
            <w:vAlign w:val="bottom"/>
            <w:hideMark/>
          </w:tcPr>
          <w:p w14:paraId="06B5F65F" w14:textId="5CA3AF33" w:rsidR="003F70A4" w:rsidRPr="008D7A52" w:rsidRDefault="00C00C54" w:rsidP="006F10A3">
            <w:r w:rsidRPr="008D7A52">
              <w:t xml:space="preserve">     </w:t>
            </w:r>
            <w:r w:rsidR="003F70A4" w:rsidRPr="008D7A52">
              <w:t>R-squared</w:t>
            </w:r>
          </w:p>
        </w:tc>
        <w:tc>
          <w:tcPr>
            <w:tcW w:w="1383" w:type="dxa"/>
            <w:noWrap/>
            <w:vAlign w:val="bottom"/>
            <w:hideMark/>
          </w:tcPr>
          <w:p w14:paraId="0DB957CE" w14:textId="176D388B" w:rsidR="003F70A4" w:rsidRPr="008D7A52" w:rsidRDefault="00C00C54" w:rsidP="006F10A3">
            <w:r w:rsidRPr="008D7A52">
              <w:t xml:space="preserve">      </w:t>
            </w:r>
            <w:r w:rsidR="003F70A4" w:rsidRPr="008D7A52">
              <w:t>0.1515</w:t>
            </w:r>
          </w:p>
        </w:tc>
        <w:tc>
          <w:tcPr>
            <w:tcW w:w="2218" w:type="dxa"/>
            <w:noWrap/>
            <w:vAlign w:val="bottom"/>
            <w:hideMark/>
          </w:tcPr>
          <w:p w14:paraId="1A6A43A5" w14:textId="77777777" w:rsidR="003F70A4" w:rsidRPr="008D7A52" w:rsidRDefault="003F70A4" w:rsidP="006F10A3">
            <w:pPr>
              <w:jc w:val="right"/>
            </w:pPr>
          </w:p>
        </w:tc>
        <w:tc>
          <w:tcPr>
            <w:tcW w:w="1034" w:type="dxa"/>
            <w:noWrap/>
            <w:vAlign w:val="bottom"/>
            <w:hideMark/>
          </w:tcPr>
          <w:p w14:paraId="79B1C131" w14:textId="77777777" w:rsidR="003F70A4" w:rsidRPr="008D7A52" w:rsidRDefault="003F70A4" w:rsidP="006F10A3"/>
        </w:tc>
        <w:tc>
          <w:tcPr>
            <w:tcW w:w="1383" w:type="dxa"/>
            <w:noWrap/>
            <w:vAlign w:val="bottom"/>
            <w:hideMark/>
          </w:tcPr>
          <w:p w14:paraId="334D741B" w14:textId="77777777" w:rsidR="003F70A4" w:rsidRPr="008D7A52" w:rsidRDefault="003F70A4" w:rsidP="006F10A3"/>
        </w:tc>
      </w:tr>
      <w:tr w:rsidR="008D7A52" w:rsidRPr="008D7A52" w14:paraId="198B0AC5" w14:textId="77777777" w:rsidTr="00C00C54">
        <w:trPr>
          <w:trHeight w:val="312"/>
        </w:trPr>
        <w:tc>
          <w:tcPr>
            <w:tcW w:w="1968" w:type="dxa"/>
            <w:noWrap/>
            <w:vAlign w:val="bottom"/>
            <w:hideMark/>
          </w:tcPr>
          <w:p w14:paraId="727C10D7" w14:textId="0E280E96" w:rsidR="003F70A4" w:rsidRPr="008D7A52" w:rsidRDefault="003F70A4" w:rsidP="006F10A3">
            <w:r w:rsidRPr="008D7A52">
              <w:t xml:space="preserve"> </w:t>
            </w:r>
            <w:r w:rsidR="00C00C54" w:rsidRPr="008D7A52">
              <w:t xml:space="preserve">    </w:t>
            </w:r>
            <w:r w:rsidRPr="008D7A52">
              <w:t>Wald chi2(4)</w:t>
            </w:r>
          </w:p>
        </w:tc>
        <w:tc>
          <w:tcPr>
            <w:tcW w:w="1383" w:type="dxa"/>
            <w:noWrap/>
            <w:vAlign w:val="bottom"/>
            <w:hideMark/>
          </w:tcPr>
          <w:p w14:paraId="1C9EF414" w14:textId="3D09B3B9" w:rsidR="003F70A4" w:rsidRPr="008D7A52" w:rsidRDefault="00C00C54" w:rsidP="006F10A3">
            <w:r w:rsidRPr="008D7A52">
              <w:t xml:space="preserve">    </w:t>
            </w:r>
            <w:r w:rsidR="003F70A4" w:rsidRPr="008D7A52">
              <w:t>30.47</w:t>
            </w:r>
          </w:p>
        </w:tc>
        <w:tc>
          <w:tcPr>
            <w:tcW w:w="2218" w:type="dxa"/>
            <w:noWrap/>
            <w:vAlign w:val="bottom"/>
            <w:hideMark/>
          </w:tcPr>
          <w:p w14:paraId="1906735E" w14:textId="77777777" w:rsidR="003F70A4" w:rsidRPr="008D7A52" w:rsidRDefault="003F70A4" w:rsidP="006F10A3">
            <w:pPr>
              <w:jc w:val="right"/>
            </w:pPr>
          </w:p>
        </w:tc>
        <w:tc>
          <w:tcPr>
            <w:tcW w:w="1034" w:type="dxa"/>
            <w:noWrap/>
            <w:vAlign w:val="bottom"/>
            <w:hideMark/>
          </w:tcPr>
          <w:p w14:paraId="2784974B" w14:textId="77777777" w:rsidR="003F70A4" w:rsidRPr="008D7A52" w:rsidRDefault="003F70A4" w:rsidP="006F10A3"/>
        </w:tc>
        <w:tc>
          <w:tcPr>
            <w:tcW w:w="1383" w:type="dxa"/>
            <w:noWrap/>
            <w:vAlign w:val="bottom"/>
            <w:hideMark/>
          </w:tcPr>
          <w:p w14:paraId="24ACF04A" w14:textId="77777777" w:rsidR="003F70A4" w:rsidRPr="008D7A52" w:rsidRDefault="003F70A4" w:rsidP="006F10A3"/>
        </w:tc>
      </w:tr>
      <w:tr w:rsidR="008D7A52" w:rsidRPr="008D7A52" w14:paraId="30A306F3" w14:textId="77777777" w:rsidTr="00C00C54">
        <w:trPr>
          <w:trHeight w:val="312"/>
        </w:trPr>
        <w:tc>
          <w:tcPr>
            <w:tcW w:w="1968" w:type="dxa"/>
            <w:noWrap/>
            <w:vAlign w:val="bottom"/>
            <w:hideMark/>
          </w:tcPr>
          <w:p w14:paraId="0628F0C6" w14:textId="460CC694" w:rsidR="003F70A4" w:rsidRPr="008D7A52" w:rsidRDefault="003F70A4" w:rsidP="006F10A3">
            <w:r w:rsidRPr="008D7A52">
              <w:t xml:space="preserve"> </w:t>
            </w:r>
            <w:r w:rsidR="00C00C54" w:rsidRPr="008D7A52">
              <w:t xml:space="preserve">    </w:t>
            </w:r>
            <w:r w:rsidRPr="008D7A52">
              <w:t>Prob &gt; chi2</w:t>
            </w:r>
          </w:p>
        </w:tc>
        <w:tc>
          <w:tcPr>
            <w:tcW w:w="1383" w:type="dxa"/>
            <w:noWrap/>
            <w:vAlign w:val="bottom"/>
            <w:hideMark/>
          </w:tcPr>
          <w:p w14:paraId="6BA9A129" w14:textId="713A8449" w:rsidR="003F70A4" w:rsidRPr="008D7A52" w:rsidRDefault="00C00C54" w:rsidP="006F10A3">
            <w:r w:rsidRPr="008D7A52">
              <w:t xml:space="preserve">     </w:t>
            </w:r>
            <w:r w:rsidR="003F70A4" w:rsidRPr="008D7A52">
              <w:t>0.0000</w:t>
            </w:r>
          </w:p>
        </w:tc>
        <w:tc>
          <w:tcPr>
            <w:tcW w:w="2218" w:type="dxa"/>
            <w:noWrap/>
            <w:vAlign w:val="bottom"/>
            <w:hideMark/>
          </w:tcPr>
          <w:p w14:paraId="65989BCD" w14:textId="77777777" w:rsidR="003F70A4" w:rsidRPr="008D7A52" w:rsidRDefault="003F70A4" w:rsidP="006F10A3">
            <w:pPr>
              <w:jc w:val="right"/>
            </w:pPr>
          </w:p>
        </w:tc>
        <w:tc>
          <w:tcPr>
            <w:tcW w:w="1034" w:type="dxa"/>
            <w:noWrap/>
            <w:vAlign w:val="bottom"/>
            <w:hideMark/>
          </w:tcPr>
          <w:p w14:paraId="2A9DF5B2" w14:textId="77777777" w:rsidR="003F70A4" w:rsidRPr="008D7A52" w:rsidRDefault="003F70A4" w:rsidP="006F10A3"/>
        </w:tc>
        <w:tc>
          <w:tcPr>
            <w:tcW w:w="1383" w:type="dxa"/>
            <w:noWrap/>
            <w:vAlign w:val="bottom"/>
            <w:hideMark/>
          </w:tcPr>
          <w:p w14:paraId="08E76890" w14:textId="77777777" w:rsidR="003F70A4" w:rsidRPr="008D7A52" w:rsidRDefault="003F70A4" w:rsidP="006F10A3"/>
        </w:tc>
      </w:tr>
    </w:tbl>
    <w:p w14:paraId="794E5950" w14:textId="7D5CD447" w:rsidR="003F70A4" w:rsidRPr="008D7A52" w:rsidRDefault="003F70A4" w:rsidP="003F70A4">
      <w:pPr>
        <w:spacing w:line="480" w:lineRule="auto"/>
        <w:jc w:val="both"/>
        <w:rPr>
          <w:b/>
        </w:rPr>
      </w:pPr>
      <w:r w:rsidRPr="008D7A52">
        <w:rPr>
          <w:b/>
        </w:rPr>
        <w:t>Source: Researcher’s Computation (2025)</w:t>
      </w:r>
    </w:p>
    <w:p w14:paraId="4DC54560" w14:textId="77777777" w:rsidR="003F70A4" w:rsidRPr="008D7A52" w:rsidRDefault="003F70A4" w:rsidP="003F70A4">
      <w:pPr>
        <w:spacing w:line="480" w:lineRule="auto"/>
        <w:jc w:val="both"/>
        <w:rPr>
          <w:b/>
        </w:rPr>
      </w:pPr>
      <w:r w:rsidRPr="008D7A52">
        <w:rPr>
          <w:b/>
        </w:rPr>
        <w:t xml:space="preserve">4.5 </w:t>
      </w:r>
      <w:r w:rsidRPr="008D7A52">
        <w:rPr>
          <w:b/>
        </w:rPr>
        <w:tab/>
        <w:t>Policy Implication of Findings</w:t>
      </w:r>
    </w:p>
    <w:p w14:paraId="240362B2" w14:textId="2FA9C7A2" w:rsidR="003F70A4" w:rsidRPr="008D7A52" w:rsidRDefault="003F70A4" w:rsidP="00C00C54">
      <w:pPr>
        <w:ind w:firstLine="720"/>
        <w:jc w:val="both"/>
      </w:pPr>
      <w:r w:rsidRPr="008D7A52">
        <w:rPr>
          <w:shd w:val="clear" w:color="auto" w:fill="FFFFFF"/>
        </w:rPr>
        <w:t xml:space="preserve">The </w:t>
      </w:r>
      <w:r w:rsidR="00F82E75">
        <w:rPr>
          <w:shd w:val="clear" w:color="auto" w:fill="FFFFFF"/>
        </w:rPr>
        <w:t xml:space="preserve">study's findings </w:t>
      </w:r>
      <w:r w:rsidR="00160758">
        <w:rPr>
          <w:shd w:val="clear" w:color="auto" w:fill="FFFFFF"/>
        </w:rPr>
        <w:t>indicate that expenditure on pollution control is the most significant investment in environmental sustainability, yielding</w:t>
      </w:r>
      <w:r w:rsidRPr="008D7A52">
        <w:rPr>
          <w:shd w:val="clear" w:color="auto" w:fill="FFFFFF"/>
        </w:rPr>
        <w:t xml:space="preserve"> positive value creation for Nigerian firms. The </w:t>
      </w:r>
      <w:r w:rsidR="00F82E75">
        <w:rPr>
          <w:shd w:val="clear" w:color="auto" w:fill="FFFFFF"/>
        </w:rPr>
        <w:t>implications of these findings should motivate the management of Nigerian firms to increase their expenditure on pollution-control costs to be at the forefront of environmental sustainability, as the country transitions to mandatory environmental disclosure and targets</w:t>
      </w:r>
      <w:r w:rsidRPr="008D7A52">
        <w:t xml:space="preserve"> sustainable growth. The result also indicates </w:t>
      </w:r>
      <w:r w:rsidR="00F82E75">
        <w:t>a negative effect of environmental compliance costs on firms' market value added, implying that imposing compliance requirements imposes heavy financial burdens that undermine</w:t>
      </w:r>
      <w:r w:rsidRPr="008D7A52">
        <w:t xml:space="preserve"> their value creation. </w:t>
      </w:r>
      <w:r w:rsidR="00F50177" w:rsidRPr="008D7A52">
        <w:t>This finding</w:t>
      </w:r>
      <w:r w:rsidRPr="008D7A52">
        <w:t xml:space="preserve"> is </w:t>
      </w:r>
      <w:r w:rsidR="00121D6A">
        <w:t>useful to regulatory bodies in reviewing fines and penalties imposed on firms, as the adverse effects of compliance costs on companies may threaten their viability, as many may lose investors if they cannot generate sufficient</w:t>
      </w:r>
      <w:r w:rsidRPr="008D7A52">
        <w:t xml:space="preserve"> wealth.</w:t>
      </w:r>
    </w:p>
    <w:p w14:paraId="30EE12F1" w14:textId="77777777" w:rsidR="003F70A4" w:rsidRPr="008D7A52" w:rsidRDefault="003F70A4" w:rsidP="003F70A4">
      <w:pPr>
        <w:jc w:val="both"/>
        <w:rPr>
          <w:sz w:val="6"/>
        </w:rPr>
      </w:pPr>
    </w:p>
    <w:p w14:paraId="2B98D626" w14:textId="10A57C59" w:rsidR="00C00C54" w:rsidRPr="008D7A52" w:rsidRDefault="00F50177" w:rsidP="00C00C54">
      <w:pPr>
        <w:ind w:firstLine="720"/>
        <w:jc w:val="both"/>
        <w:rPr>
          <w:b/>
        </w:rPr>
      </w:pPr>
      <w:r w:rsidRPr="008D7A52">
        <w:t>This finding</w:t>
      </w:r>
      <w:r w:rsidR="003F70A4" w:rsidRPr="008D7A52">
        <w:t xml:space="preserve"> </w:t>
      </w:r>
      <w:r w:rsidR="00225606">
        <w:t>serves as a blueprint for management, guiding investment decisions, areas for improvement, and aspects to reconsider to avoid costs, including environmental compliance costs such as fines and penalties, which negatively affect firms' market value added</w:t>
      </w:r>
      <w:r w:rsidR="003F70A4" w:rsidRPr="008D7A52">
        <w:t xml:space="preserve">. This may imply that high compliance </w:t>
      </w:r>
      <w:r w:rsidR="00225606">
        <w:t>costs</w:t>
      </w:r>
      <w:r w:rsidR="003F70A4" w:rsidRPr="008D7A52">
        <w:t xml:space="preserve"> </w:t>
      </w:r>
      <w:r w:rsidR="00225606">
        <w:t>signal inefficiency and a lack of commitment to stakeholders, thereby damaging the firm's reputation</w:t>
      </w:r>
      <w:r w:rsidR="003F70A4" w:rsidRPr="008D7A52">
        <w:t xml:space="preserve"> and reducing its market value. There is a need </w:t>
      </w:r>
      <w:r w:rsidR="00225606">
        <w:t>for a well-balanced investment across areas to ensure that any potential source</w:t>
      </w:r>
      <w:r w:rsidR="003F70A4" w:rsidRPr="008D7A52">
        <w:t xml:space="preserve"> of negative influence is addressed. </w:t>
      </w:r>
    </w:p>
    <w:p w14:paraId="6F1BFE62" w14:textId="77777777" w:rsidR="00152F20" w:rsidRPr="008D7A52" w:rsidRDefault="00152F20" w:rsidP="003F70A4">
      <w:pPr>
        <w:jc w:val="both"/>
        <w:rPr>
          <w:b/>
        </w:rPr>
      </w:pPr>
    </w:p>
    <w:p w14:paraId="2FFC08FB" w14:textId="60F966A7" w:rsidR="00C00C54" w:rsidRPr="008D7A52" w:rsidRDefault="003F70A4" w:rsidP="00C00C54">
      <w:pPr>
        <w:jc w:val="both"/>
        <w:rPr>
          <w:sz w:val="16"/>
          <w:szCs w:val="16"/>
        </w:rPr>
      </w:pPr>
      <w:r w:rsidRPr="008D7A52">
        <w:rPr>
          <w:b/>
        </w:rPr>
        <w:t xml:space="preserve">5. </w:t>
      </w:r>
      <w:r w:rsidRPr="008D7A52">
        <w:rPr>
          <w:b/>
        </w:rPr>
        <w:tab/>
        <w:t>Conclusion and Recommendations</w:t>
      </w:r>
    </w:p>
    <w:p w14:paraId="642A954F" w14:textId="77777777" w:rsidR="00C00C54" w:rsidRPr="008D7A52" w:rsidRDefault="00C00C54" w:rsidP="00C00C54">
      <w:pPr>
        <w:spacing w:after="240"/>
        <w:ind w:firstLine="720"/>
        <w:jc w:val="both"/>
        <w:rPr>
          <w:sz w:val="2"/>
          <w:szCs w:val="2"/>
        </w:rPr>
      </w:pPr>
    </w:p>
    <w:p w14:paraId="5596F16B" w14:textId="5B799BE2" w:rsidR="003F70A4" w:rsidRPr="008D7A52" w:rsidRDefault="003F70A4" w:rsidP="00C00C54">
      <w:pPr>
        <w:spacing w:after="240"/>
        <w:ind w:firstLine="720"/>
        <w:jc w:val="both"/>
      </w:pPr>
      <w:r w:rsidRPr="008D7A52">
        <w:t xml:space="preserve">The study examined the effect of </w:t>
      </w:r>
      <w:r w:rsidRPr="008D7A52">
        <w:rPr>
          <w:lang w:eastAsia="en-GB"/>
        </w:rPr>
        <w:t>environmental sustainability investment on value creation of firms in Nigeria</w:t>
      </w:r>
      <w:r w:rsidRPr="008D7A52">
        <w:t xml:space="preserve">. In this era of sustainable development goals for countries, yet value creation is limited by economic, infrastructural and regulatory challenges. In view of this, the integration of sustainability investments into corporate strategy has emerged as a crucial lever for overcoming value creation challenges. Research findings have promoted the opinion that ESG principles fosters financial resilience and societal </w:t>
      </w:r>
      <w:r w:rsidR="001A5F24" w:rsidRPr="008D7A52">
        <w:t>impact,</w:t>
      </w:r>
      <w:r w:rsidRPr="008D7A52">
        <w:t xml:space="preserve"> but the aspect of sustainability investment has not received enough attention in developing nations. Hence, this research is propelled from the fact that right investment in environmental sustainability will convincible market the firms to investors which is a crucial </w:t>
      </w:r>
      <w:r w:rsidR="00F50177" w:rsidRPr="008D7A52">
        <w:t>leveller</w:t>
      </w:r>
      <w:r w:rsidRPr="008D7A52">
        <w:t xml:space="preserve"> for value creation. The study is motivated from the fact that when quality investment is made, it can signal commitment and the outcome is unknown mostly in the developing countries and now that the country is moving to the era of mandatory disclosure, the outcome of such investment on value </w:t>
      </w:r>
      <w:r w:rsidRPr="008D7A52">
        <w:lastRenderedPageBreak/>
        <w:t>creation is beneficial. Employing longitudinal research design and sourcing data secondarily from annual reports, obtained data for 3</w:t>
      </w:r>
      <w:r w:rsidR="00C078F6">
        <w:t>4</w:t>
      </w:r>
      <w:r w:rsidRPr="008D7A52">
        <w:t xml:space="preserve"> firms was analysed and the findings shows that expenditure on pollution control have positive and significant effect on value creation of firms in Nigeria. The empirical results </w:t>
      </w:r>
      <w:r w:rsidR="00F50177" w:rsidRPr="008D7A52">
        <w:t>support</w:t>
      </w:r>
      <w:r w:rsidRPr="008D7A52">
        <w:t xml:space="preserve"> previous researchers who admit the positive effect of environmental pollution cost on firm performance and observed significant influence of environmental compliance cost on firm’s market value added. </w:t>
      </w:r>
    </w:p>
    <w:p w14:paraId="1AB8793B" w14:textId="51B77A0F" w:rsidR="003F70A4" w:rsidRPr="008D7A52" w:rsidRDefault="003F70A4" w:rsidP="00C00C54">
      <w:pPr>
        <w:spacing w:after="240"/>
        <w:ind w:firstLine="720"/>
        <w:jc w:val="both"/>
      </w:pPr>
      <w:r w:rsidRPr="008D7A52">
        <w:t xml:space="preserve">The study concluded that companies achieve wealth creation for its shareholders when they contribute significantly to pollution control and have enough resources to expend on waste management. It is also concluded that heightened pressure to comply with environmental requirements can adversely affect the market value added of business. It is then recommended that management should </w:t>
      </w:r>
      <w:proofErr w:type="gramStart"/>
      <w:r w:rsidR="00B47D66">
        <w:t>make an effort</w:t>
      </w:r>
      <w:proofErr w:type="gramEnd"/>
      <w:r w:rsidR="00B47D66">
        <w:t xml:space="preserve"> to avoid fines and penalties leading to high compliance costs</w:t>
      </w:r>
      <w:r w:rsidRPr="008D7A52">
        <w:t xml:space="preserve"> and reduce their value creation effort. It is also recommended that managers should increase investment in other aspect such as green research and development expenditure and renewable energy with positive effect to attain a significant influence. </w:t>
      </w:r>
    </w:p>
    <w:p w14:paraId="706B0E29" w14:textId="77777777" w:rsidR="005F7AE3" w:rsidRDefault="005F7AE3" w:rsidP="003F70A4">
      <w:pPr>
        <w:spacing w:after="240"/>
        <w:jc w:val="both"/>
        <w:rPr>
          <w:b/>
          <w:bCs/>
        </w:rPr>
      </w:pPr>
    </w:p>
    <w:p w14:paraId="0751868F" w14:textId="77777777" w:rsidR="005F7AE3" w:rsidRDefault="005F7AE3" w:rsidP="003F70A4">
      <w:pPr>
        <w:spacing w:after="240"/>
        <w:jc w:val="both"/>
        <w:rPr>
          <w:b/>
          <w:bCs/>
        </w:rPr>
      </w:pPr>
    </w:p>
    <w:p w14:paraId="6EF20A6F" w14:textId="77777777" w:rsidR="005F7AE3" w:rsidRDefault="005F7AE3" w:rsidP="003F70A4">
      <w:pPr>
        <w:spacing w:after="240"/>
        <w:jc w:val="both"/>
        <w:rPr>
          <w:b/>
          <w:bCs/>
        </w:rPr>
      </w:pPr>
    </w:p>
    <w:p w14:paraId="1B014763" w14:textId="77777777" w:rsidR="005F7AE3" w:rsidRDefault="005F7AE3" w:rsidP="003F70A4">
      <w:pPr>
        <w:spacing w:after="240"/>
        <w:jc w:val="both"/>
        <w:rPr>
          <w:b/>
          <w:bCs/>
        </w:rPr>
      </w:pPr>
    </w:p>
    <w:p w14:paraId="297E5D9D" w14:textId="77777777" w:rsidR="005F7AE3" w:rsidRDefault="005F7AE3" w:rsidP="003F70A4">
      <w:pPr>
        <w:spacing w:after="240"/>
        <w:jc w:val="both"/>
        <w:rPr>
          <w:b/>
          <w:bCs/>
        </w:rPr>
      </w:pPr>
    </w:p>
    <w:p w14:paraId="1A3B64F6" w14:textId="77777777" w:rsidR="005F7AE3" w:rsidRDefault="005F7AE3" w:rsidP="003F70A4">
      <w:pPr>
        <w:spacing w:after="240"/>
        <w:jc w:val="both"/>
        <w:rPr>
          <w:b/>
          <w:bCs/>
        </w:rPr>
      </w:pPr>
    </w:p>
    <w:p w14:paraId="68625D57" w14:textId="77777777" w:rsidR="005F7AE3" w:rsidRDefault="005F7AE3" w:rsidP="003F70A4">
      <w:pPr>
        <w:spacing w:after="240"/>
        <w:jc w:val="both"/>
        <w:rPr>
          <w:b/>
          <w:bCs/>
        </w:rPr>
      </w:pPr>
    </w:p>
    <w:p w14:paraId="46823064" w14:textId="77777777" w:rsidR="005F7AE3" w:rsidRDefault="005F7AE3" w:rsidP="003F70A4">
      <w:pPr>
        <w:spacing w:after="240"/>
        <w:jc w:val="both"/>
        <w:rPr>
          <w:b/>
          <w:bCs/>
        </w:rPr>
      </w:pPr>
    </w:p>
    <w:p w14:paraId="5EE9794F" w14:textId="77777777" w:rsidR="005F7AE3" w:rsidRDefault="005F7AE3" w:rsidP="003F70A4">
      <w:pPr>
        <w:spacing w:after="240"/>
        <w:jc w:val="both"/>
        <w:rPr>
          <w:b/>
          <w:bCs/>
        </w:rPr>
      </w:pPr>
    </w:p>
    <w:p w14:paraId="4B98C5DE" w14:textId="77777777" w:rsidR="005F7AE3" w:rsidRDefault="005F7AE3" w:rsidP="003F70A4">
      <w:pPr>
        <w:spacing w:after="240"/>
        <w:jc w:val="both"/>
        <w:rPr>
          <w:b/>
          <w:bCs/>
        </w:rPr>
      </w:pPr>
    </w:p>
    <w:p w14:paraId="74954A9C" w14:textId="77777777" w:rsidR="005F7AE3" w:rsidRDefault="005F7AE3" w:rsidP="003F70A4">
      <w:pPr>
        <w:spacing w:after="240"/>
        <w:jc w:val="both"/>
        <w:rPr>
          <w:b/>
          <w:bCs/>
        </w:rPr>
      </w:pPr>
    </w:p>
    <w:p w14:paraId="556452C6" w14:textId="77777777" w:rsidR="005F7AE3" w:rsidRDefault="005F7AE3" w:rsidP="003F70A4">
      <w:pPr>
        <w:spacing w:after="240"/>
        <w:jc w:val="both"/>
        <w:rPr>
          <w:b/>
          <w:bCs/>
        </w:rPr>
      </w:pPr>
    </w:p>
    <w:p w14:paraId="16F90417" w14:textId="77777777" w:rsidR="005F7AE3" w:rsidRDefault="005F7AE3" w:rsidP="003F70A4">
      <w:pPr>
        <w:spacing w:after="240"/>
        <w:jc w:val="both"/>
        <w:rPr>
          <w:b/>
          <w:bCs/>
        </w:rPr>
      </w:pPr>
    </w:p>
    <w:p w14:paraId="34B81E44" w14:textId="77777777" w:rsidR="005F7AE3" w:rsidRDefault="005F7AE3" w:rsidP="003F70A4">
      <w:pPr>
        <w:spacing w:after="240"/>
        <w:jc w:val="both"/>
        <w:rPr>
          <w:b/>
          <w:bCs/>
        </w:rPr>
      </w:pPr>
    </w:p>
    <w:p w14:paraId="101F93C9" w14:textId="77777777" w:rsidR="005F7AE3" w:rsidRDefault="005F7AE3" w:rsidP="003F70A4">
      <w:pPr>
        <w:spacing w:after="240"/>
        <w:jc w:val="both"/>
        <w:rPr>
          <w:b/>
          <w:bCs/>
        </w:rPr>
      </w:pPr>
    </w:p>
    <w:p w14:paraId="7D8CC7E1" w14:textId="77777777" w:rsidR="005F7AE3" w:rsidRDefault="005F7AE3" w:rsidP="003F70A4">
      <w:pPr>
        <w:spacing w:after="240"/>
        <w:jc w:val="both"/>
        <w:rPr>
          <w:b/>
          <w:bCs/>
        </w:rPr>
      </w:pPr>
    </w:p>
    <w:p w14:paraId="63C9E043" w14:textId="77777777" w:rsidR="005F7AE3" w:rsidRDefault="005F7AE3" w:rsidP="003F70A4">
      <w:pPr>
        <w:spacing w:after="240"/>
        <w:jc w:val="both"/>
        <w:rPr>
          <w:b/>
          <w:bCs/>
        </w:rPr>
      </w:pPr>
    </w:p>
    <w:p w14:paraId="5E36F233" w14:textId="77777777" w:rsidR="005F7AE3" w:rsidRDefault="005F7AE3" w:rsidP="003F70A4">
      <w:pPr>
        <w:spacing w:after="240"/>
        <w:jc w:val="both"/>
        <w:rPr>
          <w:b/>
          <w:bCs/>
        </w:rPr>
      </w:pPr>
    </w:p>
    <w:p w14:paraId="137C166B" w14:textId="77777777" w:rsidR="005F7AE3" w:rsidRDefault="005F7AE3" w:rsidP="003F70A4">
      <w:pPr>
        <w:spacing w:after="240"/>
        <w:jc w:val="both"/>
        <w:rPr>
          <w:b/>
          <w:bCs/>
        </w:rPr>
      </w:pPr>
    </w:p>
    <w:p w14:paraId="0DCF9AF8" w14:textId="77777777" w:rsidR="005F7AE3" w:rsidRDefault="005F7AE3" w:rsidP="003F70A4">
      <w:pPr>
        <w:spacing w:after="240"/>
        <w:jc w:val="both"/>
        <w:rPr>
          <w:b/>
          <w:bCs/>
        </w:rPr>
      </w:pPr>
    </w:p>
    <w:p w14:paraId="0CDC99C7" w14:textId="1A74CC55" w:rsidR="006F10A3" w:rsidRDefault="006F10A3" w:rsidP="003F70A4">
      <w:pPr>
        <w:spacing w:after="240"/>
        <w:jc w:val="both"/>
        <w:rPr>
          <w:b/>
          <w:bCs/>
        </w:rPr>
      </w:pPr>
      <w:r w:rsidRPr="008D7A52">
        <w:rPr>
          <w:b/>
          <w:bCs/>
        </w:rPr>
        <w:lastRenderedPageBreak/>
        <w:t>References</w:t>
      </w:r>
    </w:p>
    <w:p w14:paraId="3574146D" w14:textId="16C87560" w:rsidR="00832895" w:rsidRDefault="00832895" w:rsidP="00832895">
      <w:pPr>
        <w:ind w:left="567" w:hanging="567"/>
        <w:jc w:val="both"/>
      </w:pPr>
      <w:r w:rsidRPr="0050237D">
        <w:t xml:space="preserve">Abid, M. F., Shamim, A., Khan, Z., &amp; Khan, I. (2022). Value creation or value destruction: Conceptualising the experiential nature of value-in-use. </w:t>
      </w:r>
      <w:r w:rsidRPr="0050237D">
        <w:rPr>
          <w:i/>
          <w:iCs/>
        </w:rPr>
        <w:t>Journal of Consumer Behaviour</w:t>
      </w:r>
      <w:r w:rsidRPr="0050237D">
        <w:t xml:space="preserve">, </w:t>
      </w:r>
      <w:r w:rsidRPr="0030568D">
        <w:rPr>
          <w:i/>
          <w:iCs/>
        </w:rPr>
        <w:t>21</w:t>
      </w:r>
      <w:r w:rsidRPr="0050237D">
        <w:t xml:space="preserve">(3), 583-601. </w:t>
      </w:r>
      <w:hyperlink r:id="rId8" w:history="1">
        <w:r w:rsidR="0030568D" w:rsidRPr="00D326C0">
          <w:rPr>
            <w:rStyle w:val="Hyperlink"/>
          </w:rPr>
          <w:t>https://doi.org/10.1002/cb.2033</w:t>
        </w:r>
      </w:hyperlink>
      <w:r w:rsidR="0030568D">
        <w:t>.</w:t>
      </w:r>
    </w:p>
    <w:p w14:paraId="3A931ACF" w14:textId="77777777" w:rsidR="0030568D" w:rsidRPr="0050237D" w:rsidRDefault="0030568D" w:rsidP="00832895">
      <w:pPr>
        <w:ind w:left="567" w:hanging="567"/>
        <w:jc w:val="both"/>
      </w:pPr>
    </w:p>
    <w:p w14:paraId="41405A7C" w14:textId="77777777" w:rsidR="00832895" w:rsidRDefault="00832895" w:rsidP="00832895">
      <w:pPr>
        <w:ind w:left="567" w:hanging="567"/>
        <w:jc w:val="both"/>
      </w:pPr>
      <w:r w:rsidRPr="0050237D">
        <w:t xml:space="preserve">Abubakar, M., &amp; Yusuf, T. (2022). </w:t>
      </w:r>
      <w:r w:rsidRPr="0030568D">
        <w:t>Sustainability investments and firm performance: A case study of African emerging markets</w:t>
      </w:r>
      <w:r w:rsidRPr="0050237D">
        <w:t xml:space="preserve">. </w:t>
      </w:r>
      <w:r w:rsidRPr="0030568D">
        <w:rPr>
          <w:i/>
          <w:iCs/>
        </w:rPr>
        <w:t>Journal of Environmental Finance, 15</w:t>
      </w:r>
      <w:r w:rsidRPr="0050237D">
        <w:t>(3), 87–105.</w:t>
      </w:r>
    </w:p>
    <w:p w14:paraId="0D6FBB54" w14:textId="77777777" w:rsidR="0030568D" w:rsidRPr="0050237D" w:rsidRDefault="0030568D" w:rsidP="00832895">
      <w:pPr>
        <w:ind w:left="567" w:hanging="567"/>
        <w:jc w:val="both"/>
      </w:pPr>
    </w:p>
    <w:p w14:paraId="5CDC2C6C" w14:textId="013EF826" w:rsidR="00832895" w:rsidRDefault="00832895" w:rsidP="00832895">
      <w:pPr>
        <w:ind w:left="567" w:hanging="567"/>
        <w:jc w:val="both"/>
      </w:pPr>
      <w:r w:rsidRPr="0050237D">
        <w:t xml:space="preserve">Abubakar, S., &amp; Yusuf, R. (2022). Environmental certification and compliance costs: Impact on value creation in Kenyan firms. </w:t>
      </w:r>
      <w:r w:rsidRPr="0050237D">
        <w:rPr>
          <w:i/>
          <w:iCs/>
        </w:rPr>
        <w:t>Journal of Sustainable Business, 8</w:t>
      </w:r>
      <w:r w:rsidRPr="0050237D">
        <w:t xml:space="preserve">(1), 89-102. </w:t>
      </w:r>
      <w:hyperlink r:id="rId9" w:history="1">
        <w:r w:rsidR="0030568D" w:rsidRPr="00D326C0">
          <w:rPr>
            <w:rStyle w:val="Hyperlink"/>
          </w:rPr>
          <w:t>https://doi.org/10.1080/jsb.2022.0425879</w:t>
        </w:r>
      </w:hyperlink>
      <w:r w:rsidR="0030568D">
        <w:t>.</w:t>
      </w:r>
    </w:p>
    <w:p w14:paraId="444DC44F" w14:textId="77777777" w:rsidR="0030568D" w:rsidRPr="0050237D" w:rsidRDefault="0030568D" w:rsidP="00832895">
      <w:pPr>
        <w:ind w:left="567" w:hanging="567"/>
        <w:jc w:val="both"/>
      </w:pPr>
    </w:p>
    <w:p w14:paraId="05A12239" w14:textId="7BD091F9" w:rsidR="00832895" w:rsidRDefault="00832895" w:rsidP="00832895">
      <w:pPr>
        <w:ind w:left="567" w:hanging="567"/>
        <w:jc w:val="both"/>
      </w:pPr>
      <w:r w:rsidRPr="0050237D">
        <w:t xml:space="preserve">Adebayo, F., &amp; Oladele, O. (2022). The effect of capital expenditure on sustainable projects (CESP) on market performance: Evidence from Nigeria. </w:t>
      </w:r>
      <w:r w:rsidRPr="0050237D">
        <w:rPr>
          <w:i/>
          <w:iCs/>
        </w:rPr>
        <w:t>Journal of Environmental Economics and Management, 45</w:t>
      </w:r>
      <w:r w:rsidRPr="0050237D">
        <w:t xml:space="preserve">(3), 234-245. </w:t>
      </w:r>
      <w:hyperlink r:id="rId10" w:history="1">
        <w:r w:rsidR="0055725F" w:rsidRPr="00993CA4">
          <w:rPr>
            <w:rStyle w:val="Hyperlink"/>
            <w:lang w:val="en-US"/>
          </w:rPr>
          <w:t>https://doi.org/10.1016/j.jeem.2022.03.007</w:t>
        </w:r>
      </w:hyperlink>
      <w:r w:rsidR="0030568D">
        <w:t>.</w:t>
      </w:r>
    </w:p>
    <w:p w14:paraId="52C0694D" w14:textId="77777777" w:rsidR="0030568D" w:rsidRPr="00993CA4" w:rsidRDefault="0030568D" w:rsidP="00832895">
      <w:pPr>
        <w:ind w:left="567" w:hanging="567"/>
        <w:jc w:val="both"/>
        <w:rPr>
          <w:lang w:val="en-US"/>
        </w:rPr>
      </w:pPr>
    </w:p>
    <w:p w14:paraId="174449E7" w14:textId="268A8F5F" w:rsidR="0055725F" w:rsidRDefault="0055725F" w:rsidP="00832895">
      <w:pPr>
        <w:ind w:left="567" w:hanging="567"/>
        <w:jc w:val="both"/>
      </w:pPr>
      <w:r w:rsidRPr="0055725F">
        <w:rPr>
          <w:lang w:val="it-IT"/>
        </w:rPr>
        <w:t xml:space="preserve">Adebayo, T. S., Akinsola, G. D., Bekun, F. V., &amp; Sarkodie, S. A. (2023). </w:t>
      </w:r>
      <w:r w:rsidRPr="0055725F">
        <w:t xml:space="preserve">Green innovation, environmental taxation, and ecological sustainability in Nigeria. </w:t>
      </w:r>
      <w:r w:rsidRPr="0055725F">
        <w:rPr>
          <w:i/>
          <w:iCs/>
        </w:rPr>
        <w:t>Environmental Science and Pollution Research, 30</w:t>
      </w:r>
      <w:r w:rsidRPr="0055725F">
        <w:t>(4), 9621–9637.</w:t>
      </w:r>
    </w:p>
    <w:p w14:paraId="6DC1D735" w14:textId="77777777" w:rsidR="0030568D" w:rsidRPr="0050237D" w:rsidRDefault="0030568D" w:rsidP="00832895">
      <w:pPr>
        <w:ind w:left="567" w:hanging="567"/>
        <w:jc w:val="both"/>
      </w:pPr>
    </w:p>
    <w:p w14:paraId="11AAA945" w14:textId="1197A564" w:rsidR="00832895" w:rsidRDefault="00832895" w:rsidP="00832895">
      <w:pPr>
        <w:ind w:left="567" w:hanging="567"/>
        <w:jc w:val="both"/>
      </w:pPr>
      <w:r w:rsidRPr="0050237D">
        <w:t xml:space="preserve">Adomako, S., Appiah, M., &amp; Anokye, S. (2021). Institutional pressures and corporate sustainability in emerging markets: Evidence from Africa. </w:t>
      </w:r>
      <w:r w:rsidRPr="0030568D">
        <w:rPr>
          <w:i/>
          <w:iCs/>
        </w:rPr>
        <w:t>Sustainability, 13</w:t>
      </w:r>
      <w:r w:rsidRPr="0050237D">
        <w:t xml:space="preserve">(10), 543-559. </w:t>
      </w:r>
      <w:hyperlink r:id="rId11" w:history="1">
        <w:r w:rsidR="00414BB5" w:rsidRPr="00D326C0">
          <w:rPr>
            <w:rStyle w:val="Hyperlink"/>
          </w:rPr>
          <w:t>https://doi.org/10.3390/su1310543</w:t>
        </w:r>
      </w:hyperlink>
      <w:r w:rsidR="00275B68">
        <w:t>.</w:t>
      </w:r>
    </w:p>
    <w:p w14:paraId="4961AEEA" w14:textId="77777777" w:rsidR="00414BB5" w:rsidRPr="0050237D" w:rsidRDefault="00414BB5" w:rsidP="00832895">
      <w:pPr>
        <w:ind w:left="567" w:hanging="567"/>
        <w:jc w:val="both"/>
      </w:pPr>
    </w:p>
    <w:p w14:paraId="5B2C7742" w14:textId="77777777" w:rsidR="00832895" w:rsidRDefault="00832895" w:rsidP="00832895">
      <w:pPr>
        <w:ind w:left="567" w:hanging="567"/>
        <w:jc w:val="both"/>
      </w:pPr>
      <w:r w:rsidRPr="0050237D">
        <w:t xml:space="preserve">Agboola, A., &amp; Adekoya, A. (2023). </w:t>
      </w:r>
      <w:r w:rsidRPr="002A58C3">
        <w:t>The impact of regulatory inconsistencies on firm competitiveness in Nigeria</w:t>
      </w:r>
      <w:r w:rsidRPr="0050237D">
        <w:t xml:space="preserve">. </w:t>
      </w:r>
      <w:r w:rsidRPr="002A58C3">
        <w:rPr>
          <w:i/>
          <w:iCs/>
        </w:rPr>
        <w:t>International Journal of Business and Development, 14</w:t>
      </w:r>
      <w:r w:rsidRPr="0050237D">
        <w:t>(1), 77–95.</w:t>
      </w:r>
    </w:p>
    <w:p w14:paraId="44BBCB08" w14:textId="77777777" w:rsidR="002A58C3" w:rsidRDefault="002A58C3" w:rsidP="00832895">
      <w:pPr>
        <w:ind w:left="567" w:hanging="567"/>
        <w:jc w:val="both"/>
      </w:pPr>
    </w:p>
    <w:p w14:paraId="674F7922" w14:textId="4A48F1C4" w:rsidR="00CE0D54" w:rsidRDefault="00CE0D54" w:rsidP="00832895">
      <w:pPr>
        <w:ind w:left="567" w:hanging="567"/>
        <w:jc w:val="both"/>
      </w:pPr>
      <w:r w:rsidRPr="00CE0D54">
        <w:t xml:space="preserve">Ahlstrom, D., </w:t>
      </w:r>
      <w:proofErr w:type="spellStart"/>
      <w:r w:rsidRPr="00CE0D54">
        <w:t>Arregle</w:t>
      </w:r>
      <w:proofErr w:type="spellEnd"/>
      <w:r w:rsidRPr="00CE0D54">
        <w:t xml:space="preserve">, J. L., Hitt, M. A., Qian, G., Ma, X., &amp; </w:t>
      </w:r>
      <w:proofErr w:type="spellStart"/>
      <w:r w:rsidRPr="00CE0D54">
        <w:t>Faems</w:t>
      </w:r>
      <w:proofErr w:type="spellEnd"/>
      <w:r w:rsidRPr="00CE0D54">
        <w:t xml:space="preserve">, D. (2022). Managing technological, sociopolitical and institutional change in the new normal. </w:t>
      </w:r>
      <w:r w:rsidRPr="00CE0D54">
        <w:rPr>
          <w:i/>
          <w:iCs/>
        </w:rPr>
        <w:t>Journal of Management Studies, 59</w:t>
      </w:r>
      <w:r w:rsidRPr="00CE0D54">
        <w:t>(1), 1–21.</w:t>
      </w:r>
    </w:p>
    <w:p w14:paraId="39F0A6F6" w14:textId="77777777" w:rsidR="00900CAF" w:rsidRPr="0050237D" w:rsidRDefault="00900CAF" w:rsidP="00832895">
      <w:pPr>
        <w:ind w:left="567" w:hanging="567"/>
        <w:jc w:val="both"/>
      </w:pPr>
    </w:p>
    <w:p w14:paraId="53E80BD9" w14:textId="5C38BB6A" w:rsidR="00832895" w:rsidRDefault="00832895" w:rsidP="00832895">
      <w:pPr>
        <w:ind w:left="567" w:hanging="567"/>
        <w:jc w:val="both"/>
      </w:pPr>
      <w:r w:rsidRPr="0050237D">
        <w:t xml:space="preserve">Ahmed, F., Khan, M., &amp; Syed, N. (2022). </w:t>
      </w:r>
      <w:r w:rsidR="00900CAF">
        <w:t>Signalling</w:t>
      </w:r>
      <w:r w:rsidRPr="0050237D">
        <w:t xml:space="preserve"> sustainability: The impact of environmental investments on corporate value creation in emerging markets. </w:t>
      </w:r>
      <w:r w:rsidRPr="0050237D">
        <w:rPr>
          <w:i/>
          <w:iCs/>
        </w:rPr>
        <w:t>Journal of Business Sustainability, 48</w:t>
      </w:r>
      <w:r w:rsidRPr="0050237D">
        <w:t xml:space="preserve">(3), 150-168. </w:t>
      </w:r>
    </w:p>
    <w:p w14:paraId="754AE37B" w14:textId="77777777" w:rsidR="00900CAF" w:rsidRPr="0050237D" w:rsidRDefault="00900CAF" w:rsidP="00832895">
      <w:pPr>
        <w:ind w:left="567" w:hanging="567"/>
        <w:jc w:val="both"/>
      </w:pPr>
    </w:p>
    <w:p w14:paraId="081B5AC1" w14:textId="77777777" w:rsidR="00832895" w:rsidRDefault="00832895" w:rsidP="00832895">
      <w:pPr>
        <w:ind w:left="567" w:hanging="567"/>
        <w:jc w:val="both"/>
      </w:pPr>
      <w:r w:rsidRPr="0050237D">
        <w:t xml:space="preserve">Ajayi, A., &amp; Balogun, T. (2023). </w:t>
      </w:r>
      <w:r w:rsidRPr="0050237D">
        <w:rPr>
          <w:i/>
          <w:iCs/>
        </w:rPr>
        <w:t>Policy instability and investor confidence in Nigeria</w:t>
      </w:r>
      <w:r w:rsidRPr="0050237D">
        <w:t>. Journal of Emerging Market Studies, 11(2), 55–71.</w:t>
      </w:r>
    </w:p>
    <w:p w14:paraId="02D5318F" w14:textId="77777777" w:rsidR="00AA76E5" w:rsidRPr="0050237D" w:rsidRDefault="00AA76E5" w:rsidP="00832895">
      <w:pPr>
        <w:ind w:left="567" w:hanging="567"/>
        <w:jc w:val="both"/>
      </w:pPr>
    </w:p>
    <w:p w14:paraId="1C754634" w14:textId="07B04B25" w:rsidR="00832895" w:rsidRDefault="00832895" w:rsidP="00832895">
      <w:pPr>
        <w:ind w:left="567" w:hanging="567"/>
        <w:jc w:val="both"/>
      </w:pPr>
      <w:r w:rsidRPr="0050237D">
        <w:t xml:space="preserve">Akinola, A., &amp; Nwachukwu, C. (2023). Green research and development investment and firm value in Nigeria’s manufacturing sector. </w:t>
      </w:r>
      <w:r w:rsidRPr="0050237D">
        <w:rPr>
          <w:i/>
          <w:iCs/>
        </w:rPr>
        <w:t>Journal of Environmental Economics, 15</w:t>
      </w:r>
      <w:r w:rsidRPr="0050237D">
        <w:t xml:space="preserve">(2), 112-130. </w:t>
      </w:r>
    </w:p>
    <w:p w14:paraId="4E4115D9" w14:textId="77777777" w:rsidR="00957C58" w:rsidRPr="0050237D" w:rsidRDefault="00957C58" w:rsidP="00832895">
      <w:pPr>
        <w:ind w:left="567" w:hanging="567"/>
        <w:jc w:val="both"/>
      </w:pPr>
    </w:p>
    <w:p w14:paraId="704B892B" w14:textId="77777777" w:rsidR="00957C58" w:rsidRDefault="00832895" w:rsidP="00832895">
      <w:pPr>
        <w:ind w:left="567" w:hanging="567"/>
        <w:jc w:val="both"/>
      </w:pPr>
      <w:r w:rsidRPr="0050237D">
        <w:t xml:space="preserve">Akinola, O., &amp; Nwachukwu, R. (2023). Green research and development expenditure and value creation in Nigerian manufacturing firms. </w:t>
      </w:r>
      <w:r w:rsidRPr="0050237D">
        <w:rPr>
          <w:i/>
          <w:iCs/>
        </w:rPr>
        <w:t>Journal of Green Business, 18</w:t>
      </w:r>
      <w:r w:rsidRPr="0050237D">
        <w:t xml:space="preserve">(1), 54-68. </w:t>
      </w:r>
    </w:p>
    <w:p w14:paraId="75ECC2A5" w14:textId="77777777" w:rsidR="00957C58" w:rsidRDefault="00957C58" w:rsidP="00832895">
      <w:pPr>
        <w:ind w:left="567" w:hanging="567"/>
        <w:jc w:val="both"/>
      </w:pPr>
    </w:p>
    <w:p w14:paraId="2408380E" w14:textId="55BA89F6" w:rsidR="00832895" w:rsidRDefault="00832895" w:rsidP="00832895">
      <w:pPr>
        <w:ind w:left="567" w:hanging="567"/>
        <w:jc w:val="both"/>
      </w:pPr>
      <w:r w:rsidRPr="0050237D">
        <w:t xml:space="preserve">Akinola, R., &amp; Nwachukwu, C. (2022). Corporate sustainability and financial outcomes: An empirical analysis of non-financial firms in Nigeria. </w:t>
      </w:r>
      <w:r w:rsidRPr="0050237D">
        <w:rPr>
          <w:i/>
          <w:iCs/>
        </w:rPr>
        <w:t>African Journal of Business and Economics, 20</w:t>
      </w:r>
      <w:r w:rsidRPr="0050237D">
        <w:t>(2), 45–63.</w:t>
      </w:r>
    </w:p>
    <w:p w14:paraId="2F05FDD8" w14:textId="77777777" w:rsidR="00957C58" w:rsidRPr="0050237D" w:rsidRDefault="00957C58" w:rsidP="00832895">
      <w:pPr>
        <w:ind w:left="567" w:hanging="567"/>
        <w:jc w:val="both"/>
      </w:pPr>
    </w:p>
    <w:p w14:paraId="6A5B2CBA" w14:textId="77777777" w:rsidR="00832895" w:rsidRPr="0050237D" w:rsidRDefault="00832895" w:rsidP="00832895">
      <w:pPr>
        <w:ind w:left="567" w:hanging="567"/>
        <w:jc w:val="both"/>
      </w:pPr>
      <w:r w:rsidRPr="0050237D">
        <w:lastRenderedPageBreak/>
        <w:t xml:space="preserve">Akinwale, Y. O. (2023). Environmental degradation and sustainable business strategy in Nigeria. </w:t>
      </w:r>
      <w:r w:rsidRPr="0050237D">
        <w:rPr>
          <w:i/>
          <w:iCs/>
        </w:rPr>
        <w:t>African Journal of Environmental Studies, 18</w:t>
      </w:r>
      <w:r w:rsidRPr="0050237D">
        <w:t>(1), 23–38.</w:t>
      </w:r>
    </w:p>
    <w:p w14:paraId="46CFCBE3" w14:textId="27587945" w:rsidR="00832895" w:rsidRDefault="00832895" w:rsidP="00832895">
      <w:pPr>
        <w:ind w:left="567" w:hanging="567"/>
        <w:jc w:val="both"/>
      </w:pPr>
      <w:r w:rsidRPr="0050237D">
        <w:t xml:space="preserve">Akpan, A., &amp; Eze, U. (2024). Investment in renewable energy and financial performance: Evidence from Ghanaian firms. </w:t>
      </w:r>
      <w:r w:rsidRPr="0050237D">
        <w:rPr>
          <w:i/>
          <w:iCs/>
        </w:rPr>
        <w:t>African Journal of Business and Economic Research</w:t>
      </w:r>
      <w:r w:rsidRPr="0050237D">
        <w:t>, 12(1), 45-60.</w:t>
      </w:r>
    </w:p>
    <w:p w14:paraId="5C71B607" w14:textId="77777777" w:rsidR="00957C58" w:rsidRPr="0050237D" w:rsidRDefault="00957C58" w:rsidP="00832895">
      <w:pPr>
        <w:ind w:left="567" w:hanging="567"/>
        <w:jc w:val="both"/>
      </w:pPr>
    </w:p>
    <w:p w14:paraId="2CCDA805" w14:textId="77777777" w:rsidR="00832895" w:rsidRDefault="00832895" w:rsidP="00832895">
      <w:pPr>
        <w:ind w:left="567" w:hanging="567"/>
        <w:jc w:val="both"/>
      </w:pPr>
      <w:r w:rsidRPr="0050237D">
        <w:t xml:space="preserve">Ali, A., Khan, M., &amp; Rehman, F. (2021). Sustainable capital investments and their impact on financial performance in developing countries: The case of renewable energy projects. </w:t>
      </w:r>
      <w:r w:rsidRPr="0050237D">
        <w:rPr>
          <w:i/>
          <w:iCs/>
        </w:rPr>
        <w:t>Journal of Environmental Economics and Finance, 18</w:t>
      </w:r>
      <w:r w:rsidRPr="0050237D">
        <w:t>(2), 79-92.</w:t>
      </w:r>
    </w:p>
    <w:p w14:paraId="52077035" w14:textId="77777777" w:rsidR="00116278" w:rsidRPr="0050237D" w:rsidRDefault="00116278" w:rsidP="00832895">
      <w:pPr>
        <w:ind w:left="567" w:hanging="567"/>
        <w:jc w:val="both"/>
      </w:pPr>
    </w:p>
    <w:p w14:paraId="68B39883" w14:textId="14713513" w:rsidR="00832895" w:rsidRDefault="00832895" w:rsidP="00832895">
      <w:pPr>
        <w:ind w:left="567" w:hanging="567"/>
        <w:jc w:val="both"/>
      </w:pPr>
      <w:r w:rsidRPr="0050237D">
        <w:t xml:space="preserve">Anwar, S., &amp; Malik, M. (2021). Environmental </w:t>
      </w:r>
      <w:r w:rsidR="00116278">
        <w:t>signalling</w:t>
      </w:r>
      <w:r w:rsidRPr="0050237D">
        <w:t xml:space="preserve"> in developing economies: A case study from South Asia. </w:t>
      </w:r>
      <w:r w:rsidRPr="0050237D">
        <w:rPr>
          <w:i/>
          <w:iCs/>
        </w:rPr>
        <w:t>International Journal of Environmental Economics, 55</w:t>
      </w:r>
      <w:r w:rsidRPr="0050237D">
        <w:t>(1), 72-87.</w:t>
      </w:r>
    </w:p>
    <w:p w14:paraId="6D4D1439" w14:textId="77777777" w:rsidR="00116278" w:rsidRPr="0050237D" w:rsidRDefault="00116278" w:rsidP="00832895">
      <w:pPr>
        <w:ind w:left="567" w:hanging="567"/>
        <w:jc w:val="both"/>
      </w:pPr>
    </w:p>
    <w:p w14:paraId="4CEECB7B" w14:textId="410DC23F" w:rsidR="00832895" w:rsidRDefault="00832895" w:rsidP="00832895">
      <w:pPr>
        <w:ind w:left="567" w:hanging="567"/>
        <w:jc w:val="both"/>
      </w:pPr>
      <w:r w:rsidRPr="0050237D">
        <w:t xml:space="preserve">Asante, F., Boateng, G., &amp; Adom, D. (2022). The role of pollution control expenditure in fostering green technologies in Ghana. </w:t>
      </w:r>
      <w:r w:rsidRPr="0050237D">
        <w:rPr>
          <w:i/>
          <w:iCs/>
        </w:rPr>
        <w:t>Environmental Economics and Policy Studies, 24</w:t>
      </w:r>
      <w:r w:rsidRPr="0050237D">
        <w:t xml:space="preserve">(3), 445-460. </w:t>
      </w:r>
    </w:p>
    <w:p w14:paraId="3BCEDF09" w14:textId="77777777" w:rsidR="00116278" w:rsidRPr="0050237D" w:rsidRDefault="00116278" w:rsidP="00832895">
      <w:pPr>
        <w:ind w:left="567" w:hanging="567"/>
        <w:jc w:val="both"/>
      </w:pPr>
    </w:p>
    <w:p w14:paraId="00010B20" w14:textId="7BE8A0C1" w:rsidR="00832895" w:rsidRDefault="00832895" w:rsidP="00832895">
      <w:pPr>
        <w:ind w:left="567" w:hanging="567"/>
        <w:jc w:val="both"/>
      </w:pPr>
      <w:r w:rsidRPr="00993CA4">
        <w:rPr>
          <w:lang w:val="en-US"/>
        </w:rPr>
        <w:t xml:space="preserve">Babu, F. E., &amp; de </w:t>
      </w:r>
      <w:proofErr w:type="spellStart"/>
      <w:r w:rsidRPr="00993CA4">
        <w:rPr>
          <w:lang w:val="en-US"/>
        </w:rPr>
        <w:t>Rozari</w:t>
      </w:r>
      <w:proofErr w:type="spellEnd"/>
      <w:r w:rsidRPr="00993CA4">
        <w:rPr>
          <w:lang w:val="en-US"/>
        </w:rPr>
        <w:t xml:space="preserve">, P. E. (2024). </w:t>
      </w:r>
      <w:r w:rsidRPr="0050237D">
        <w:t xml:space="preserve">The analysis of financial performance using economic value-added and market value added </w:t>
      </w:r>
      <w:r w:rsidR="00445C8D">
        <w:t>m</w:t>
      </w:r>
      <w:r w:rsidRPr="0050237D">
        <w:t xml:space="preserve">ethods </w:t>
      </w:r>
      <w:r w:rsidR="00445C8D">
        <w:t>b</w:t>
      </w:r>
      <w:r w:rsidRPr="0050237D">
        <w:t xml:space="preserve">efore and </w:t>
      </w:r>
      <w:r w:rsidR="00445C8D">
        <w:t>d</w:t>
      </w:r>
      <w:r w:rsidRPr="0050237D">
        <w:t xml:space="preserve">uring the </w:t>
      </w:r>
      <w:r w:rsidR="00445C8D">
        <w:t>c</w:t>
      </w:r>
      <w:r w:rsidRPr="0050237D">
        <w:t xml:space="preserve">ovid-19 </w:t>
      </w:r>
      <w:r w:rsidR="00445C8D">
        <w:t>p</w:t>
      </w:r>
      <w:r w:rsidRPr="0050237D">
        <w:t xml:space="preserve">andemic. </w:t>
      </w:r>
      <w:r w:rsidRPr="0050237D">
        <w:rPr>
          <w:i/>
          <w:iCs/>
        </w:rPr>
        <w:t>Proceedings of the International Conference on Economic Management, Accounting and Tourism (ICEMAT 2023)</w:t>
      </w:r>
      <w:r w:rsidRPr="0050237D">
        <w:t>, 207-225.</w:t>
      </w:r>
    </w:p>
    <w:p w14:paraId="18B72178" w14:textId="77777777" w:rsidR="00445C8D" w:rsidRPr="0050237D" w:rsidRDefault="00445C8D" w:rsidP="00832895">
      <w:pPr>
        <w:ind w:left="567" w:hanging="567"/>
        <w:jc w:val="both"/>
      </w:pPr>
    </w:p>
    <w:p w14:paraId="43146B25" w14:textId="77777777" w:rsidR="00832895" w:rsidRDefault="00832895" w:rsidP="00832895">
      <w:pPr>
        <w:ind w:left="567" w:hanging="567"/>
        <w:jc w:val="both"/>
      </w:pPr>
      <w:r w:rsidRPr="0050237D">
        <w:t xml:space="preserve">Banda, P., &amp; Komba, L. (2022). Environmental investments and shareholder value: A cross-sectoral analysis. </w:t>
      </w:r>
      <w:r w:rsidRPr="0050237D">
        <w:rPr>
          <w:i/>
          <w:iCs/>
        </w:rPr>
        <w:t>International Journal of Corporate Governance, 11</w:t>
      </w:r>
      <w:r w:rsidRPr="0050237D">
        <w:t>(1), 55–72.</w:t>
      </w:r>
    </w:p>
    <w:p w14:paraId="5B726C6E" w14:textId="77777777" w:rsidR="00784FAE" w:rsidRPr="0050237D" w:rsidRDefault="00784FAE" w:rsidP="00832895">
      <w:pPr>
        <w:ind w:left="567" w:hanging="567"/>
        <w:jc w:val="both"/>
      </w:pPr>
    </w:p>
    <w:p w14:paraId="015F3DD8" w14:textId="4FB693F9" w:rsidR="00832895" w:rsidRDefault="00832895" w:rsidP="00832895">
      <w:pPr>
        <w:ind w:left="567" w:hanging="567"/>
        <w:jc w:val="both"/>
      </w:pPr>
      <w:r w:rsidRPr="0050237D">
        <w:t xml:space="preserve">Banda, S., &amp; Komba, R. (2022). Pollution control expenditures and financial performance: A study of firms in Malawi. </w:t>
      </w:r>
      <w:r w:rsidRPr="0050237D">
        <w:rPr>
          <w:i/>
          <w:iCs/>
        </w:rPr>
        <w:t>Malawi Journal of Economics and Sustainability</w:t>
      </w:r>
      <w:r w:rsidRPr="0050237D">
        <w:t xml:space="preserve">, 19(4), 98-112. </w:t>
      </w:r>
    </w:p>
    <w:p w14:paraId="7CBE5EA8" w14:textId="77777777" w:rsidR="00784FAE" w:rsidRPr="0050237D" w:rsidRDefault="00784FAE" w:rsidP="00832895">
      <w:pPr>
        <w:ind w:left="567" w:hanging="567"/>
        <w:jc w:val="both"/>
      </w:pPr>
    </w:p>
    <w:p w14:paraId="3DD428D0" w14:textId="5D7AB5EE" w:rsidR="00832895" w:rsidRDefault="00832895" w:rsidP="00832895">
      <w:pPr>
        <w:ind w:left="567" w:hanging="567"/>
        <w:jc w:val="both"/>
      </w:pPr>
      <w:r w:rsidRPr="0050237D">
        <w:t xml:space="preserve">Bansal, P., &amp; McKnight, B. (2021). Institutional theory and environmental sustainability: </w:t>
      </w:r>
      <w:r w:rsidRPr="0050237D">
        <w:rPr>
          <w:i/>
          <w:iCs/>
        </w:rPr>
        <w:t>A global perspective. Business and Society Review, 126</w:t>
      </w:r>
      <w:r w:rsidRPr="0050237D">
        <w:t>(3), 447-472.</w:t>
      </w:r>
    </w:p>
    <w:p w14:paraId="3712CF1A" w14:textId="77777777" w:rsidR="00F27464" w:rsidRPr="0050237D" w:rsidRDefault="00F27464" w:rsidP="00832895">
      <w:pPr>
        <w:ind w:left="567" w:hanging="567"/>
        <w:jc w:val="both"/>
      </w:pPr>
    </w:p>
    <w:p w14:paraId="0F2E86E3" w14:textId="77777777" w:rsidR="00832895" w:rsidRDefault="00832895" w:rsidP="00832895">
      <w:pPr>
        <w:ind w:left="567" w:hanging="567"/>
        <w:jc w:val="both"/>
      </w:pPr>
      <w:proofErr w:type="spellStart"/>
      <w:r w:rsidRPr="00993CA4">
        <w:rPr>
          <w:lang w:val="en-US"/>
        </w:rPr>
        <w:t>Bensah</w:t>
      </w:r>
      <w:proofErr w:type="spellEnd"/>
      <w:r w:rsidRPr="00993CA4">
        <w:rPr>
          <w:lang w:val="en-US"/>
        </w:rPr>
        <w:t xml:space="preserve">, E. S., &amp; Oteng, S. (2021). </w:t>
      </w:r>
      <w:r w:rsidRPr="0050237D">
        <w:t xml:space="preserve">Environmental certification as a strategy for competitive advantage in emerging markets: A study of Ghanaian companies. </w:t>
      </w:r>
      <w:r w:rsidRPr="0050237D">
        <w:rPr>
          <w:i/>
          <w:iCs/>
        </w:rPr>
        <w:t>Environmental Economics and Policy Studies, 23</w:t>
      </w:r>
      <w:r w:rsidRPr="0050237D">
        <w:t>(6), 945-960.</w:t>
      </w:r>
    </w:p>
    <w:p w14:paraId="7713BE64" w14:textId="77777777" w:rsidR="00B9525B" w:rsidRPr="0050237D" w:rsidRDefault="00B9525B" w:rsidP="00832895">
      <w:pPr>
        <w:ind w:left="567" w:hanging="567"/>
        <w:jc w:val="both"/>
      </w:pPr>
    </w:p>
    <w:p w14:paraId="06F970CF" w14:textId="77777777" w:rsidR="00832895" w:rsidRDefault="00832895" w:rsidP="00832895">
      <w:pPr>
        <w:ind w:left="567" w:hanging="567"/>
        <w:jc w:val="both"/>
      </w:pPr>
      <w:r w:rsidRPr="0050237D">
        <w:t xml:space="preserve">Brigham, E. F., &amp; Ehrhardt, M. C. (2022). </w:t>
      </w:r>
      <w:r w:rsidRPr="0050237D">
        <w:rPr>
          <w:i/>
          <w:iCs/>
        </w:rPr>
        <w:t>Financial Management: Theory &amp; Practice (16th ed.).</w:t>
      </w:r>
      <w:r w:rsidRPr="0050237D">
        <w:t xml:space="preserve"> Cengage Learning.</w:t>
      </w:r>
    </w:p>
    <w:p w14:paraId="20893098" w14:textId="77777777" w:rsidR="002039E2" w:rsidRPr="0050237D" w:rsidRDefault="002039E2" w:rsidP="00832895">
      <w:pPr>
        <w:ind w:left="567" w:hanging="567"/>
        <w:jc w:val="both"/>
      </w:pPr>
    </w:p>
    <w:p w14:paraId="2A696D79" w14:textId="351FCB0D" w:rsidR="00832895" w:rsidRDefault="00832895" w:rsidP="00832895">
      <w:pPr>
        <w:ind w:left="567" w:hanging="567"/>
        <w:jc w:val="both"/>
      </w:pPr>
      <w:r w:rsidRPr="0050237D">
        <w:t xml:space="preserve">Brown, C., &amp; Lee, H. (2023). The effect of investment in renewable energy on financial performance in U.S.-based firms. </w:t>
      </w:r>
      <w:r w:rsidRPr="0050237D">
        <w:rPr>
          <w:i/>
          <w:iCs/>
        </w:rPr>
        <w:t>Journal of Sustainable Business Practices, 19</w:t>
      </w:r>
      <w:r w:rsidRPr="0050237D">
        <w:t xml:space="preserve">(4), 215-229. </w:t>
      </w:r>
    </w:p>
    <w:p w14:paraId="46A57937" w14:textId="77777777" w:rsidR="00F24996" w:rsidRPr="0050237D" w:rsidRDefault="00F24996" w:rsidP="00832895">
      <w:pPr>
        <w:ind w:left="567" w:hanging="567"/>
        <w:jc w:val="both"/>
      </w:pPr>
    </w:p>
    <w:p w14:paraId="29997E3F" w14:textId="77777777" w:rsidR="00832895" w:rsidRDefault="00832895" w:rsidP="00832895">
      <w:pPr>
        <w:ind w:left="567" w:hanging="567"/>
        <w:jc w:val="both"/>
      </w:pPr>
      <w:r w:rsidRPr="0050237D">
        <w:t xml:space="preserve">Brown, D., &amp; Parrino, R. (2023). </w:t>
      </w:r>
      <w:r w:rsidRPr="0050237D">
        <w:rPr>
          <w:i/>
          <w:iCs/>
        </w:rPr>
        <w:t>Corporate finance: Sustainability and global challenges</w:t>
      </w:r>
      <w:r w:rsidRPr="0050237D">
        <w:t xml:space="preserve"> (</w:t>
      </w:r>
      <w:r w:rsidRPr="0050237D">
        <w:rPr>
          <w:i/>
          <w:iCs/>
        </w:rPr>
        <w:t>3rd ed.).</w:t>
      </w:r>
      <w:r w:rsidRPr="0050237D">
        <w:t xml:space="preserve"> McGraw-Hill Education.</w:t>
      </w:r>
    </w:p>
    <w:p w14:paraId="35D742A5" w14:textId="77777777" w:rsidR="00CC1F05" w:rsidRPr="0050237D" w:rsidRDefault="00CC1F05" w:rsidP="00832895">
      <w:pPr>
        <w:ind w:left="567" w:hanging="567"/>
        <w:jc w:val="both"/>
      </w:pPr>
    </w:p>
    <w:p w14:paraId="008CEEB6" w14:textId="1E2487CA" w:rsidR="00832895" w:rsidRDefault="00832895" w:rsidP="00832895">
      <w:pPr>
        <w:ind w:left="567" w:hanging="567"/>
        <w:jc w:val="both"/>
      </w:pPr>
      <w:r w:rsidRPr="0050237D">
        <w:t xml:space="preserve">Brown, M., &amp; Richards, L. (2022). The impact of institutional forces on corporate sustainability strategies in developed economies. </w:t>
      </w:r>
      <w:r w:rsidRPr="0050237D">
        <w:rPr>
          <w:i/>
          <w:iCs/>
        </w:rPr>
        <w:t>Environmental Sustainability Journal, 28</w:t>
      </w:r>
      <w:r w:rsidRPr="0050237D">
        <w:t xml:space="preserve">(2), 34-48. </w:t>
      </w:r>
    </w:p>
    <w:p w14:paraId="376B6FA7" w14:textId="77777777" w:rsidR="00CC1F05" w:rsidRPr="0050237D" w:rsidRDefault="00CC1F05" w:rsidP="00832895">
      <w:pPr>
        <w:ind w:left="567" w:hanging="567"/>
        <w:jc w:val="both"/>
      </w:pPr>
    </w:p>
    <w:p w14:paraId="39AE7BF5" w14:textId="77777777" w:rsidR="00832895" w:rsidRDefault="00832895" w:rsidP="00832895">
      <w:pPr>
        <w:ind w:left="567" w:hanging="567"/>
        <w:jc w:val="both"/>
      </w:pPr>
      <w:r w:rsidRPr="00993CA4">
        <w:rPr>
          <w:lang w:val="en-US"/>
        </w:rPr>
        <w:t xml:space="preserve">Cesarone, F., </w:t>
      </w:r>
      <w:proofErr w:type="spellStart"/>
      <w:r w:rsidRPr="00993CA4">
        <w:rPr>
          <w:lang w:val="en-US"/>
        </w:rPr>
        <w:t>Tenca</w:t>
      </w:r>
      <w:proofErr w:type="spellEnd"/>
      <w:r w:rsidRPr="00993CA4">
        <w:rPr>
          <w:lang w:val="en-US"/>
        </w:rPr>
        <w:t xml:space="preserve">, A., &amp; Ruggeri, F. (2023). </w:t>
      </w:r>
      <w:r w:rsidRPr="0050237D">
        <w:t xml:space="preserve">Sustainability investment and firm value: A European perspective. </w:t>
      </w:r>
      <w:r w:rsidRPr="0050237D">
        <w:rPr>
          <w:i/>
          <w:iCs/>
        </w:rPr>
        <w:t>Journal of Corporate Finance, 76</w:t>
      </w:r>
      <w:r w:rsidRPr="0050237D">
        <w:t>, 102505.</w:t>
      </w:r>
    </w:p>
    <w:p w14:paraId="3BF71955" w14:textId="77777777" w:rsidR="00CC1F05" w:rsidRPr="0050237D" w:rsidRDefault="00CC1F05" w:rsidP="00832895">
      <w:pPr>
        <w:ind w:left="567" w:hanging="567"/>
        <w:jc w:val="both"/>
      </w:pPr>
    </w:p>
    <w:p w14:paraId="75D6368D" w14:textId="77777777" w:rsidR="00832895" w:rsidRPr="0050237D" w:rsidRDefault="00832895" w:rsidP="00832895">
      <w:pPr>
        <w:ind w:left="567" w:hanging="567"/>
        <w:jc w:val="both"/>
      </w:pPr>
      <w:r w:rsidRPr="0050237D">
        <w:t xml:space="preserve">Chen, H., Zhang, L., &amp; Zhou, Y. (2022). Green finance, environmental innovation, and firm profitability. </w:t>
      </w:r>
      <w:r w:rsidRPr="0050237D">
        <w:rPr>
          <w:i/>
          <w:iCs/>
        </w:rPr>
        <w:t>Energy Economics, 104</w:t>
      </w:r>
      <w:r w:rsidRPr="0050237D">
        <w:t>, 105694.</w:t>
      </w:r>
    </w:p>
    <w:p w14:paraId="35F7AEA4" w14:textId="77777777" w:rsidR="00832895" w:rsidRDefault="00832895" w:rsidP="00832895">
      <w:pPr>
        <w:ind w:left="567" w:hanging="567"/>
        <w:jc w:val="both"/>
      </w:pPr>
      <w:r w:rsidRPr="0050237D">
        <w:t>Chen, Z., Liu, Y., &amp; Tang, J. (2022). Environmental, social, and governance (ESG) criteria in sustainable investment decision-making</w:t>
      </w:r>
      <w:r w:rsidRPr="0050237D">
        <w:rPr>
          <w:i/>
          <w:iCs/>
        </w:rPr>
        <w:t xml:space="preserve">: </w:t>
      </w:r>
      <w:r w:rsidRPr="0050237D">
        <w:t xml:space="preserve">A review and future directions. </w:t>
      </w:r>
      <w:r w:rsidRPr="0050237D">
        <w:rPr>
          <w:i/>
          <w:iCs/>
        </w:rPr>
        <w:t>Journal of Corporate Finance, 32</w:t>
      </w:r>
      <w:r w:rsidRPr="0050237D">
        <w:t>(2), 101-120.</w:t>
      </w:r>
    </w:p>
    <w:p w14:paraId="664FA49F" w14:textId="77777777" w:rsidR="00CC1F05" w:rsidRPr="0050237D" w:rsidRDefault="00CC1F05" w:rsidP="00832895">
      <w:pPr>
        <w:ind w:left="567" w:hanging="567"/>
        <w:jc w:val="both"/>
      </w:pPr>
    </w:p>
    <w:p w14:paraId="79F3A74F" w14:textId="77777777" w:rsidR="00832895" w:rsidRDefault="00832895" w:rsidP="00832895">
      <w:pPr>
        <w:ind w:left="567" w:hanging="567"/>
        <w:jc w:val="both"/>
      </w:pPr>
      <w:r w:rsidRPr="0050237D">
        <w:t xml:space="preserve">Cheng, H., &amp; Zhao, L. (2023). The role of environmental </w:t>
      </w:r>
      <w:proofErr w:type="spellStart"/>
      <w:r w:rsidRPr="0050237D">
        <w:t>signaling</w:t>
      </w:r>
      <w:proofErr w:type="spellEnd"/>
      <w:r w:rsidRPr="0050237D">
        <w:t xml:space="preserve"> in corporate financial performance: Evidence from Asian markets. </w:t>
      </w:r>
      <w:r w:rsidRPr="0050237D">
        <w:rPr>
          <w:i/>
          <w:iCs/>
        </w:rPr>
        <w:t>Sustainable Business Review, 18</w:t>
      </w:r>
      <w:r w:rsidRPr="0050237D">
        <w:t>(2), 112–130.</w:t>
      </w:r>
    </w:p>
    <w:p w14:paraId="688F2249" w14:textId="77777777" w:rsidR="00CC1F05" w:rsidRPr="0050237D" w:rsidRDefault="00CC1F05" w:rsidP="00832895">
      <w:pPr>
        <w:ind w:left="567" w:hanging="567"/>
        <w:jc w:val="both"/>
      </w:pPr>
    </w:p>
    <w:p w14:paraId="13668AD2" w14:textId="2463E162" w:rsidR="00832895" w:rsidRDefault="00832895" w:rsidP="00832895">
      <w:pPr>
        <w:ind w:left="567" w:hanging="567"/>
        <w:jc w:val="both"/>
      </w:pPr>
      <w:r w:rsidRPr="0050237D">
        <w:t xml:space="preserve">Cheng, L., &amp; Zhao, Y. (2023). Environmental certification and its impact on value creation in Japanese firms. </w:t>
      </w:r>
      <w:r w:rsidRPr="0050237D">
        <w:rPr>
          <w:i/>
          <w:iCs/>
        </w:rPr>
        <w:t>Asian Journal of Business and Sustainability, 12</w:t>
      </w:r>
      <w:r w:rsidRPr="0050237D">
        <w:t xml:space="preserve">(1), 56-69. </w:t>
      </w:r>
    </w:p>
    <w:p w14:paraId="36F20643" w14:textId="77777777" w:rsidR="005A3D02" w:rsidRPr="0050237D" w:rsidRDefault="005A3D02" w:rsidP="00832895">
      <w:pPr>
        <w:ind w:left="567" w:hanging="567"/>
        <w:jc w:val="both"/>
      </w:pPr>
    </w:p>
    <w:p w14:paraId="5FE85D59" w14:textId="7DE7007E" w:rsidR="00832895" w:rsidRDefault="00832895" w:rsidP="00832895">
      <w:pPr>
        <w:ind w:left="567" w:hanging="567"/>
        <w:jc w:val="both"/>
      </w:pPr>
      <w:r w:rsidRPr="0050237D">
        <w:t xml:space="preserve">Cheng, L., &amp; Zhao, Y. (2023). Environmental certification and market performance: Evidence from Japanese firms. </w:t>
      </w:r>
      <w:r w:rsidRPr="0050237D">
        <w:rPr>
          <w:i/>
          <w:iCs/>
        </w:rPr>
        <w:t>Sustainability Management Review, 18</w:t>
      </w:r>
      <w:r w:rsidRPr="0050237D">
        <w:t xml:space="preserve">(4), 221-245. </w:t>
      </w:r>
    </w:p>
    <w:p w14:paraId="16162AF2" w14:textId="77777777" w:rsidR="005A3D02" w:rsidRPr="0050237D" w:rsidRDefault="005A3D02" w:rsidP="00832895">
      <w:pPr>
        <w:ind w:left="567" w:hanging="567"/>
        <w:jc w:val="both"/>
      </w:pPr>
    </w:p>
    <w:p w14:paraId="70520EF9" w14:textId="6B7A5662" w:rsidR="00832895" w:rsidRDefault="00832895" w:rsidP="00832895">
      <w:pPr>
        <w:ind w:left="567" w:hanging="567"/>
        <w:jc w:val="both"/>
      </w:pPr>
      <w:proofErr w:type="spellStart"/>
      <w:r w:rsidRPr="0050237D">
        <w:t>Chikodzi</w:t>
      </w:r>
      <w:proofErr w:type="spellEnd"/>
      <w:r w:rsidRPr="0050237D">
        <w:t xml:space="preserve">, D., &amp; Nyasha, T. (2023). The impact of capital expenditure on sustainable projects on market performance in Zimbabwean firms. </w:t>
      </w:r>
      <w:r w:rsidRPr="0050237D">
        <w:rPr>
          <w:i/>
          <w:iCs/>
        </w:rPr>
        <w:t>Journal of Environmental Economics and Management</w:t>
      </w:r>
      <w:r w:rsidRPr="0050237D">
        <w:t xml:space="preserve">, 45(3), 234-245. </w:t>
      </w:r>
    </w:p>
    <w:p w14:paraId="6F388426" w14:textId="77777777" w:rsidR="005A3D02" w:rsidRPr="0050237D" w:rsidRDefault="005A3D02" w:rsidP="00832895">
      <w:pPr>
        <w:ind w:left="567" w:hanging="567"/>
        <w:jc w:val="both"/>
      </w:pPr>
    </w:p>
    <w:p w14:paraId="17155906" w14:textId="77777777" w:rsidR="00832895" w:rsidRDefault="00832895" w:rsidP="00832895">
      <w:pPr>
        <w:ind w:left="567" w:hanging="567"/>
        <w:jc w:val="both"/>
      </w:pPr>
      <w:proofErr w:type="spellStart"/>
      <w:r w:rsidRPr="0050237D">
        <w:t>Chikodzi</w:t>
      </w:r>
      <w:proofErr w:type="spellEnd"/>
      <w:r w:rsidRPr="0050237D">
        <w:t xml:space="preserve">, D., &amp; Nyathi, D. (2021). The influence of environmental certification on sustainable energy investments in Zimbabwe. </w:t>
      </w:r>
      <w:r w:rsidRPr="0050237D">
        <w:rPr>
          <w:i/>
          <w:iCs/>
        </w:rPr>
        <w:t>Journal of Energy Economics and Policy, 11</w:t>
      </w:r>
      <w:r w:rsidRPr="0050237D">
        <w:t xml:space="preserve">(4), 57-67. </w:t>
      </w:r>
    </w:p>
    <w:p w14:paraId="3E206308" w14:textId="77777777" w:rsidR="005A3D02" w:rsidRPr="0050237D" w:rsidRDefault="005A3D02" w:rsidP="00832895">
      <w:pPr>
        <w:ind w:left="567" w:hanging="567"/>
        <w:jc w:val="both"/>
      </w:pPr>
    </w:p>
    <w:p w14:paraId="41778456" w14:textId="65B50384" w:rsidR="00832895" w:rsidRDefault="00832895" w:rsidP="00832895">
      <w:pPr>
        <w:ind w:left="567" w:hanging="567"/>
        <w:jc w:val="both"/>
      </w:pPr>
      <w:r w:rsidRPr="0050237D">
        <w:t xml:space="preserve">Choi, Y., &amp; Lee, J. (2024). Institutional pressures and the </w:t>
      </w:r>
      <w:proofErr w:type="spellStart"/>
      <w:r w:rsidRPr="0050237D">
        <w:t>signaling</w:t>
      </w:r>
      <w:proofErr w:type="spellEnd"/>
      <w:r w:rsidRPr="0050237D">
        <w:t xml:space="preserve"> of corporate sustainability. </w:t>
      </w:r>
      <w:r w:rsidRPr="0050237D">
        <w:rPr>
          <w:i/>
          <w:iCs/>
        </w:rPr>
        <w:t>Business Strategy and the Environment, 33</w:t>
      </w:r>
      <w:r w:rsidRPr="0050237D">
        <w:t>(1), 11</w:t>
      </w:r>
      <w:r w:rsidR="005A3D02">
        <w:t>-</w:t>
      </w:r>
      <w:r w:rsidRPr="0050237D">
        <w:t xml:space="preserve">25. </w:t>
      </w:r>
    </w:p>
    <w:p w14:paraId="0C80E70D" w14:textId="77777777" w:rsidR="005A3D02" w:rsidRPr="0050237D" w:rsidRDefault="005A3D02" w:rsidP="00832895">
      <w:pPr>
        <w:ind w:left="567" w:hanging="567"/>
        <w:jc w:val="both"/>
      </w:pPr>
    </w:p>
    <w:p w14:paraId="201470D4" w14:textId="77777777" w:rsidR="005A3D02" w:rsidRDefault="00832895" w:rsidP="00832895">
      <w:pPr>
        <w:ind w:left="567" w:hanging="567"/>
        <w:jc w:val="both"/>
      </w:pPr>
      <w:r w:rsidRPr="00993CA4">
        <w:rPr>
          <w:lang w:val="en-US"/>
        </w:rPr>
        <w:t xml:space="preserve">Cuevas Lizama, J., &amp; Royo-Vela, M. (2023). </w:t>
      </w:r>
      <w:r w:rsidRPr="0050237D">
        <w:t xml:space="preserve">Implementation and measurement of shared value creation strategies: Proposal of a conceptual model. </w:t>
      </w:r>
      <w:r w:rsidRPr="0050237D">
        <w:rPr>
          <w:i/>
          <w:iCs/>
        </w:rPr>
        <w:t>Business Strategy &amp; Development</w:t>
      </w:r>
      <w:r w:rsidRPr="0050237D">
        <w:t xml:space="preserve">, 6(4), 598-609. </w:t>
      </w:r>
    </w:p>
    <w:p w14:paraId="6FC4028A" w14:textId="77777777" w:rsidR="005A3D02" w:rsidRDefault="005A3D02" w:rsidP="00832895">
      <w:pPr>
        <w:ind w:left="567" w:hanging="567"/>
        <w:jc w:val="both"/>
      </w:pPr>
    </w:p>
    <w:p w14:paraId="63AE50B7" w14:textId="4B394976" w:rsidR="00832895" w:rsidRPr="00A32282" w:rsidRDefault="00832895" w:rsidP="00832895">
      <w:pPr>
        <w:ind w:left="567" w:hanging="567"/>
        <w:jc w:val="both"/>
      </w:pPr>
      <w:r w:rsidRPr="0050237D">
        <w:t xml:space="preserve">Deloitte. (2023). </w:t>
      </w:r>
      <w:r w:rsidRPr="0050237D">
        <w:rPr>
          <w:i/>
          <w:iCs/>
        </w:rPr>
        <w:t>The ESG imperative for African businesses</w:t>
      </w:r>
      <w:r w:rsidRPr="0050237D">
        <w:t xml:space="preserve">. </w:t>
      </w:r>
      <w:hyperlink r:id="rId12" w:tgtFrame="_new" w:history="1">
        <w:r w:rsidRPr="00A32282">
          <w:rPr>
            <w:rStyle w:val="Hyperlink"/>
            <w:u w:val="none"/>
          </w:rPr>
          <w:t>https://www.deloitte.com</w:t>
        </w:r>
      </w:hyperlink>
    </w:p>
    <w:p w14:paraId="68F14F5A" w14:textId="77777777" w:rsidR="005A3D02" w:rsidRDefault="005A3D02" w:rsidP="00832895">
      <w:pPr>
        <w:ind w:left="567" w:hanging="567"/>
        <w:jc w:val="both"/>
      </w:pPr>
    </w:p>
    <w:p w14:paraId="5BD9BF04" w14:textId="17FF5726" w:rsidR="00046DF0" w:rsidRDefault="00046DF0" w:rsidP="00832895">
      <w:pPr>
        <w:ind w:left="567" w:hanging="567"/>
        <w:jc w:val="both"/>
      </w:pPr>
      <w:r w:rsidRPr="00993CA4">
        <w:rPr>
          <w:lang w:val="en-US"/>
        </w:rPr>
        <w:t xml:space="preserve">DiMaggio, P. J., &amp; Powell, W. W. (1983). </w:t>
      </w:r>
      <w:r w:rsidRPr="00046DF0">
        <w:t xml:space="preserve">The iron cage revisited: Institutional isomorphism and collective rationality in </w:t>
      </w:r>
      <w:r w:rsidR="00F3078A">
        <w:t>organisational</w:t>
      </w:r>
      <w:r w:rsidRPr="00046DF0">
        <w:t xml:space="preserve"> fields. </w:t>
      </w:r>
      <w:r w:rsidRPr="00046DF0">
        <w:rPr>
          <w:i/>
          <w:iCs/>
        </w:rPr>
        <w:t>American Sociological Review, 48</w:t>
      </w:r>
      <w:r w:rsidRPr="00046DF0">
        <w:t>(2), 147–160.</w:t>
      </w:r>
    </w:p>
    <w:p w14:paraId="5CB06260" w14:textId="77777777" w:rsidR="005A3D02" w:rsidRPr="0050237D" w:rsidRDefault="005A3D02" w:rsidP="00832895">
      <w:pPr>
        <w:ind w:left="567" w:hanging="567"/>
        <w:jc w:val="both"/>
      </w:pPr>
    </w:p>
    <w:p w14:paraId="315B61DC" w14:textId="77777777" w:rsidR="00832895" w:rsidRDefault="00832895" w:rsidP="00832895">
      <w:pPr>
        <w:ind w:left="567" w:hanging="567"/>
        <w:jc w:val="both"/>
      </w:pPr>
      <w:r w:rsidRPr="0050237D">
        <w:t xml:space="preserve">DiMaggio, P., &amp; Powell, W. (2022). Institutional isomorphism and corporate sustainability practices: A theoretical review. </w:t>
      </w:r>
      <w:r w:rsidRPr="0050237D">
        <w:rPr>
          <w:i/>
          <w:iCs/>
        </w:rPr>
        <w:t>Academy of Business Studies Review, 27</w:t>
      </w:r>
      <w:r w:rsidRPr="0050237D">
        <w:t>(1), 33–50.</w:t>
      </w:r>
    </w:p>
    <w:p w14:paraId="7CF0B449" w14:textId="77777777" w:rsidR="005A4C75" w:rsidRPr="0050237D" w:rsidRDefault="005A4C75" w:rsidP="00832895">
      <w:pPr>
        <w:ind w:left="567" w:hanging="567"/>
        <w:jc w:val="both"/>
      </w:pPr>
    </w:p>
    <w:p w14:paraId="23AE9D37" w14:textId="77777777" w:rsidR="004C2BC9" w:rsidRDefault="00832895" w:rsidP="00832895">
      <w:pPr>
        <w:ind w:left="567" w:hanging="567"/>
        <w:jc w:val="both"/>
      </w:pPr>
      <w:r w:rsidRPr="0050237D">
        <w:t xml:space="preserve">DiMaggio, P., &amp; Powell, W. (2022). The iron cage revisited: Institutional isomorphism and collective rationality in </w:t>
      </w:r>
      <w:r w:rsidR="00F3078A">
        <w:t>organisational</w:t>
      </w:r>
      <w:r w:rsidRPr="0050237D">
        <w:t xml:space="preserve"> fields. </w:t>
      </w:r>
      <w:r w:rsidRPr="0050237D">
        <w:rPr>
          <w:i/>
          <w:iCs/>
        </w:rPr>
        <w:t>Journal of Institutional Economics, 20</w:t>
      </w:r>
      <w:r w:rsidRPr="0050237D">
        <w:t xml:space="preserve">(1), 45-67. </w:t>
      </w:r>
    </w:p>
    <w:p w14:paraId="2275FEA8" w14:textId="77777777" w:rsidR="004C2BC9" w:rsidRDefault="004C2BC9" w:rsidP="00832895">
      <w:pPr>
        <w:ind w:left="567" w:hanging="567"/>
        <w:jc w:val="both"/>
      </w:pPr>
    </w:p>
    <w:p w14:paraId="5CCF906B" w14:textId="3E7EDB44" w:rsidR="00832895" w:rsidRDefault="00832895" w:rsidP="00832895">
      <w:pPr>
        <w:ind w:left="567" w:hanging="567"/>
        <w:jc w:val="both"/>
      </w:pPr>
      <w:r w:rsidRPr="0050237D">
        <w:t xml:space="preserve">Doe, P., &amp; Brown, A. (2021). Evaluating the impact of sustainable investments: Opportunities and challenges. </w:t>
      </w:r>
      <w:r w:rsidRPr="0050237D">
        <w:rPr>
          <w:i/>
          <w:iCs/>
        </w:rPr>
        <w:t>International Review of Financial Analysis, 78</w:t>
      </w:r>
      <w:r w:rsidRPr="0050237D">
        <w:t>, 108-122.</w:t>
      </w:r>
    </w:p>
    <w:p w14:paraId="45558F00" w14:textId="77777777" w:rsidR="004C2BC9" w:rsidRPr="0050237D" w:rsidRDefault="004C2BC9" w:rsidP="00832895">
      <w:pPr>
        <w:ind w:left="567" w:hanging="567"/>
        <w:jc w:val="both"/>
      </w:pPr>
    </w:p>
    <w:p w14:paraId="21E43A6E" w14:textId="77777777" w:rsidR="00832895" w:rsidRDefault="00832895" w:rsidP="00832895">
      <w:pPr>
        <w:ind w:left="567" w:hanging="567"/>
        <w:jc w:val="both"/>
      </w:pPr>
      <w:r w:rsidRPr="0050237D">
        <w:t>Du, P., Van der Merwe, R., &amp; Moyo, J. (2022). Green research and development and sustainable urban development in South Africa:</w:t>
      </w:r>
      <w:r w:rsidRPr="0050237D">
        <w:rPr>
          <w:i/>
          <w:iCs/>
        </w:rPr>
        <w:t xml:space="preserve"> A policy perspective. Journal of Environmental Policy and Planning, 24</w:t>
      </w:r>
      <w:r w:rsidRPr="0050237D">
        <w:t xml:space="preserve">(2), 159-175. </w:t>
      </w:r>
    </w:p>
    <w:p w14:paraId="23695ECC" w14:textId="77777777" w:rsidR="004C2BC9" w:rsidRPr="0050237D" w:rsidRDefault="004C2BC9" w:rsidP="00832895">
      <w:pPr>
        <w:ind w:left="567" w:hanging="567"/>
        <w:jc w:val="both"/>
      </w:pPr>
    </w:p>
    <w:p w14:paraId="4BA25478" w14:textId="77777777" w:rsidR="00832895" w:rsidRDefault="00832895" w:rsidP="00832895">
      <w:pPr>
        <w:ind w:left="567" w:hanging="567"/>
        <w:jc w:val="both"/>
      </w:pPr>
      <w:r w:rsidRPr="0050237D">
        <w:lastRenderedPageBreak/>
        <w:t xml:space="preserve">Escobar-Anel, L., &amp; Jiao, Y. (2023). Private equity and sustainability: Risk mitigation and value creation. </w:t>
      </w:r>
      <w:r w:rsidRPr="0050237D">
        <w:rPr>
          <w:i/>
          <w:iCs/>
        </w:rPr>
        <w:t>Journal of Investment Strategies, 12</w:t>
      </w:r>
      <w:r w:rsidRPr="0050237D">
        <w:t>(1), 22–44.</w:t>
      </w:r>
    </w:p>
    <w:p w14:paraId="214E1EC0" w14:textId="77777777" w:rsidR="004C2BC9" w:rsidRPr="0050237D" w:rsidRDefault="004C2BC9" w:rsidP="00832895">
      <w:pPr>
        <w:ind w:left="567" w:hanging="567"/>
        <w:jc w:val="both"/>
      </w:pPr>
    </w:p>
    <w:p w14:paraId="2D8F5683" w14:textId="4CFE7927" w:rsidR="00832895" w:rsidRDefault="00832895" w:rsidP="00832895">
      <w:pPr>
        <w:ind w:left="567" w:hanging="567"/>
        <w:jc w:val="both"/>
      </w:pPr>
      <w:r w:rsidRPr="0050237D">
        <w:t xml:space="preserve">European Commission. (2022). </w:t>
      </w:r>
      <w:r w:rsidRPr="0050237D">
        <w:rPr>
          <w:i/>
          <w:iCs/>
        </w:rPr>
        <w:t>The European Green Deal</w:t>
      </w:r>
      <w:r w:rsidRPr="0050237D">
        <w:t xml:space="preserve">. </w:t>
      </w:r>
      <w:hyperlink r:id="rId13" w:tgtFrame="_new" w:history="1">
        <w:r w:rsidRPr="004C2BC9">
          <w:rPr>
            <w:rStyle w:val="Hyperlink"/>
            <w:u w:val="none"/>
          </w:rPr>
          <w:t>https://ec.europa.eu/info/strategy/priorities-2019-2024/european-green-deal_en</w:t>
        </w:r>
      </w:hyperlink>
      <w:r w:rsidR="004C2BC9">
        <w:t>.</w:t>
      </w:r>
    </w:p>
    <w:p w14:paraId="4F4C4195" w14:textId="77777777" w:rsidR="004C2BC9" w:rsidRPr="004C2BC9" w:rsidRDefault="004C2BC9" w:rsidP="00832895">
      <w:pPr>
        <w:ind w:left="567" w:hanging="567"/>
        <w:jc w:val="both"/>
      </w:pPr>
    </w:p>
    <w:p w14:paraId="6EF6AE0A" w14:textId="13A3E1F7" w:rsidR="00832895" w:rsidRPr="0008242D" w:rsidRDefault="00832895" w:rsidP="00832895">
      <w:pPr>
        <w:ind w:left="567" w:hanging="567"/>
        <w:jc w:val="both"/>
      </w:pPr>
      <w:r w:rsidRPr="0050237D">
        <w:t>Faster</w:t>
      </w:r>
      <w:r w:rsidR="00FF5A11">
        <w:t>-</w:t>
      </w:r>
      <w:r w:rsidRPr="0050237D">
        <w:t xml:space="preserve">Capital. (2021). </w:t>
      </w:r>
      <w:r w:rsidRPr="0050237D">
        <w:rPr>
          <w:i/>
          <w:iCs/>
        </w:rPr>
        <w:t>Business value creation: Measuring and enhancing business value creation: Metrics and methods</w:t>
      </w:r>
      <w:r w:rsidRPr="0050237D">
        <w:t xml:space="preserve">. Retrieved from </w:t>
      </w:r>
      <w:hyperlink r:id="rId14" w:tgtFrame="_new" w:history="1">
        <w:r w:rsidRPr="0008242D">
          <w:rPr>
            <w:rStyle w:val="Hyperlink"/>
            <w:u w:val="none"/>
          </w:rPr>
          <w:t>https://fastercapital.com/content/Business-value-creation--Measuring-and-Enhancing-Business-Value-Creation--Metrics-and-Methods.html</w:t>
        </w:r>
      </w:hyperlink>
    </w:p>
    <w:p w14:paraId="5025B409" w14:textId="77777777" w:rsidR="0008242D" w:rsidRPr="0050237D" w:rsidRDefault="0008242D" w:rsidP="00832895">
      <w:pPr>
        <w:ind w:left="567" w:hanging="567"/>
        <w:jc w:val="both"/>
      </w:pPr>
    </w:p>
    <w:p w14:paraId="087F964B" w14:textId="741C9386" w:rsidR="00832895" w:rsidRPr="0008242D" w:rsidRDefault="00832895" w:rsidP="00832895">
      <w:pPr>
        <w:ind w:left="567" w:hanging="567"/>
        <w:jc w:val="both"/>
      </w:pPr>
      <w:r w:rsidRPr="0050237D">
        <w:t xml:space="preserve">Gonzalez, M., &amp; Alvarez, P. (2023). Renewable energy investments and financial performance: A study of Mexican firms. </w:t>
      </w:r>
      <w:r w:rsidRPr="0050237D">
        <w:rPr>
          <w:i/>
          <w:iCs/>
        </w:rPr>
        <w:t>Latin American Journal of Environmental Economics, 18</w:t>
      </w:r>
      <w:r w:rsidRPr="0050237D">
        <w:t xml:space="preserve">(3), 172-185. </w:t>
      </w:r>
    </w:p>
    <w:p w14:paraId="55ED6EA2" w14:textId="77777777" w:rsidR="0008242D" w:rsidRPr="0050237D" w:rsidRDefault="0008242D" w:rsidP="00832895">
      <w:pPr>
        <w:ind w:left="567" w:hanging="567"/>
        <w:jc w:val="both"/>
      </w:pPr>
    </w:p>
    <w:p w14:paraId="252F1715" w14:textId="77777777" w:rsidR="00D86687" w:rsidRDefault="00832895" w:rsidP="00832895">
      <w:pPr>
        <w:ind w:left="567" w:hanging="567"/>
        <w:jc w:val="both"/>
      </w:pPr>
      <w:r w:rsidRPr="0050237D">
        <w:t xml:space="preserve">Gordon, P., &amp; Williamson, S. (2023). Sustainability reporting and </w:t>
      </w:r>
      <w:proofErr w:type="spellStart"/>
      <w:r w:rsidRPr="0050237D">
        <w:t>signaling</w:t>
      </w:r>
      <w:proofErr w:type="spellEnd"/>
      <w:r w:rsidRPr="0050237D">
        <w:t xml:space="preserve">: Evidence from developed economies. </w:t>
      </w:r>
      <w:r w:rsidRPr="0050237D">
        <w:rPr>
          <w:i/>
          <w:iCs/>
        </w:rPr>
        <w:t>Journal of Corporate Social Responsibility, 40</w:t>
      </w:r>
      <w:r w:rsidRPr="0050237D">
        <w:t xml:space="preserve">(4), 188-203. </w:t>
      </w:r>
    </w:p>
    <w:p w14:paraId="6D411056" w14:textId="77777777" w:rsidR="00D86687" w:rsidRDefault="00D86687" w:rsidP="00832895">
      <w:pPr>
        <w:ind w:left="567" w:hanging="567"/>
        <w:jc w:val="both"/>
      </w:pPr>
    </w:p>
    <w:p w14:paraId="4A3CEBAB" w14:textId="1A955094" w:rsidR="00832895" w:rsidRDefault="00832895" w:rsidP="00832895">
      <w:pPr>
        <w:ind w:left="567" w:hanging="567"/>
        <w:jc w:val="both"/>
      </w:pPr>
      <w:r w:rsidRPr="0050237D">
        <w:t xml:space="preserve">Grant, R. M. (2023). </w:t>
      </w:r>
      <w:r w:rsidRPr="0050237D">
        <w:rPr>
          <w:i/>
          <w:iCs/>
        </w:rPr>
        <w:t>Contemporary strategy analysis: Text and cases edition</w:t>
      </w:r>
      <w:r w:rsidRPr="0050237D">
        <w:t xml:space="preserve"> (11th ed.). Wiley.</w:t>
      </w:r>
    </w:p>
    <w:p w14:paraId="4BBD45E8" w14:textId="77777777" w:rsidR="00D86687" w:rsidRPr="0050237D" w:rsidRDefault="00D86687" w:rsidP="00832895">
      <w:pPr>
        <w:ind w:left="567" w:hanging="567"/>
        <w:jc w:val="both"/>
      </w:pPr>
    </w:p>
    <w:p w14:paraId="1E29E733" w14:textId="77777777" w:rsidR="00832895" w:rsidRDefault="00832895" w:rsidP="00832895">
      <w:pPr>
        <w:ind w:left="567" w:hanging="567"/>
        <w:jc w:val="both"/>
      </w:pPr>
      <w:r w:rsidRPr="0050237D">
        <w:t xml:space="preserve">Gupta, S., &amp; Sharma, R. (2023). Green investments and firm valuation: A multi-theory perspective. </w:t>
      </w:r>
      <w:r w:rsidRPr="0050237D">
        <w:rPr>
          <w:i/>
          <w:iCs/>
        </w:rPr>
        <w:t>Journal of Sustainable Finance &amp; Investment, 19</w:t>
      </w:r>
      <w:r w:rsidRPr="0050237D">
        <w:t>(3), 125–145.</w:t>
      </w:r>
    </w:p>
    <w:p w14:paraId="392203AC" w14:textId="77777777" w:rsidR="00D86687" w:rsidRPr="0050237D" w:rsidRDefault="00D86687" w:rsidP="00832895">
      <w:pPr>
        <w:ind w:left="567" w:hanging="567"/>
        <w:jc w:val="both"/>
      </w:pPr>
    </w:p>
    <w:p w14:paraId="48974E78" w14:textId="68F39EF8" w:rsidR="00832895" w:rsidRDefault="00832895" w:rsidP="00832895">
      <w:pPr>
        <w:ind w:left="567" w:hanging="567"/>
        <w:jc w:val="both"/>
      </w:pPr>
      <w:r w:rsidRPr="0050237D">
        <w:t xml:space="preserve">Hassan, M., Chang, S., &amp; Lee, S. (2022). Green investments as signals of corporate value creation: A </w:t>
      </w:r>
      <w:proofErr w:type="spellStart"/>
      <w:r w:rsidRPr="0050237D">
        <w:t>signaling</w:t>
      </w:r>
      <w:proofErr w:type="spellEnd"/>
      <w:r w:rsidRPr="0050237D">
        <w:t xml:space="preserve"> theory approach. </w:t>
      </w:r>
      <w:r w:rsidRPr="0050237D">
        <w:rPr>
          <w:i/>
          <w:iCs/>
        </w:rPr>
        <w:t>Journal of Business Research, 65</w:t>
      </w:r>
      <w:r w:rsidRPr="0050237D">
        <w:t xml:space="preserve">(7), 765-778. </w:t>
      </w:r>
    </w:p>
    <w:p w14:paraId="12105594" w14:textId="77777777" w:rsidR="00D86687" w:rsidRPr="0050237D" w:rsidRDefault="00D86687" w:rsidP="00832895">
      <w:pPr>
        <w:ind w:left="567" w:hanging="567"/>
        <w:jc w:val="both"/>
      </w:pPr>
    </w:p>
    <w:p w14:paraId="6FAA1B3F" w14:textId="77777777" w:rsidR="00832895" w:rsidRDefault="00832895" w:rsidP="00832895">
      <w:pPr>
        <w:ind w:left="567" w:hanging="567"/>
        <w:jc w:val="both"/>
      </w:pPr>
      <w:r w:rsidRPr="0050237D">
        <w:t xml:space="preserve">Hitt, M. A., Ireland, R. D., &amp; </w:t>
      </w:r>
      <w:proofErr w:type="spellStart"/>
      <w:r w:rsidRPr="0050237D">
        <w:t>Hoskisson</w:t>
      </w:r>
      <w:proofErr w:type="spellEnd"/>
      <w:r w:rsidRPr="0050237D">
        <w:t xml:space="preserve">, R. E. (2023). </w:t>
      </w:r>
      <w:r w:rsidRPr="0050237D">
        <w:rPr>
          <w:i/>
          <w:iCs/>
        </w:rPr>
        <w:t>Strategic management: Concepts and cases: Competitiveness and globalisation</w:t>
      </w:r>
      <w:r w:rsidRPr="0050237D">
        <w:t xml:space="preserve"> (14th ed.). Cengage Learning.</w:t>
      </w:r>
    </w:p>
    <w:p w14:paraId="4FBDF389" w14:textId="77777777" w:rsidR="00D86687" w:rsidRPr="0050237D" w:rsidRDefault="00D86687" w:rsidP="00832895">
      <w:pPr>
        <w:ind w:left="567" w:hanging="567"/>
        <w:jc w:val="both"/>
      </w:pPr>
    </w:p>
    <w:p w14:paraId="6BE42EEE" w14:textId="77777777" w:rsidR="00832895" w:rsidRDefault="00832895" w:rsidP="00832895">
      <w:pPr>
        <w:ind w:left="567" w:hanging="567"/>
        <w:jc w:val="both"/>
      </w:pPr>
      <w:r w:rsidRPr="0050237D">
        <w:t xml:space="preserve">Ibrahim, B., &amp; Ojo, M. (2023). Foreign investment and economic resilience in Nigeria: The regulatory dimension. </w:t>
      </w:r>
      <w:r w:rsidRPr="0050237D">
        <w:rPr>
          <w:i/>
          <w:iCs/>
        </w:rPr>
        <w:t>Journal of African Development Policy, 9</w:t>
      </w:r>
      <w:r w:rsidRPr="0050237D">
        <w:t>(1), 40–59.</w:t>
      </w:r>
    </w:p>
    <w:p w14:paraId="115A6D28" w14:textId="77777777" w:rsidR="00D86687" w:rsidRPr="0050237D" w:rsidRDefault="00D86687" w:rsidP="00832895">
      <w:pPr>
        <w:ind w:left="567" w:hanging="567"/>
        <w:jc w:val="both"/>
      </w:pPr>
    </w:p>
    <w:p w14:paraId="49D38C56" w14:textId="77777777" w:rsidR="00A51AE6" w:rsidRDefault="00832895" w:rsidP="00832895">
      <w:pPr>
        <w:ind w:left="567" w:hanging="567"/>
        <w:jc w:val="both"/>
      </w:pPr>
      <w:r w:rsidRPr="0050237D">
        <w:t xml:space="preserve">Jamil, M., Farooq, M., &amp; Ali, S. (2021). Impact of renewable energy investments on economic growth in developing countries. </w:t>
      </w:r>
      <w:r w:rsidRPr="0050237D">
        <w:rPr>
          <w:i/>
          <w:iCs/>
        </w:rPr>
        <w:t>Energy Economics</w:t>
      </w:r>
      <w:r w:rsidRPr="0050237D">
        <w:t xml:space="preserve">, 94, 105067. </w:t>
      </w:r>
    </w:p>
    <w:p w14:paraId="5FB8A31E" w14:textId="77777777" w:rsidR="00A51AE6" w:rsidRDefault="00A51AE6" w:rsidP="00832895">
      <w:pPr>
        <w:ind w:left="567" w:hanging="567"/>
        <w:jc w:val="both"/>
      </w:pPr>
    </w:p>
    <w:p w14:paraId="556D0C8A" w14:textId="77777777" w:rsidR="00A51AE6" w:rsidRDefault="00832895" w:rsidP="00832895">
      <w:pPr>
        <w:ind w:left="567" w:hanging="567"/>
        <w:jc w:val="both"/>
      </w:pPr>
      <w:r w:rsidRPr="0050237D">
        <w:t xml:space="preserve">Jha, P., &amp; Kumar, R. (2024). Environmental certifications and their role in enhancing sustainable business practices in developing countries. </w:t>
      </w:r>
      <w:r w:rsidRPr="0050237D">
        <w:rPr>
          <w:i/>
          <w:iCs/>
        </w:rPr>
        <w:t>Journal of Sustainable Business Practices, 12</w:t>
      </w:r>
      <w:r w:rsidRPr="0050237D">
        <w:t xml:space="preserve">(3), 150-165. </w:t>
      </w:r>
    </w:p>
    <w:p w14:paraId="798591E2" w14:textId="77777777" w:rsidR="00A51AE6" w:rsidRDefault="00A51AE6" w:rsidP="00832895">
      <w:pPr>
        <w:ind w:left="567" w:hanging="567"/>
        <w:jc w:val="both"/>
      </w:pPr>
    </w:p>
    <w:p w14:paraId="13F56945" w14:textId="5386E82B" w:rsidR="00832895" w:rsidRDefault="00832895" w:rsidP="00832895">
      <w:pPr>
        <w:ind w:left="567" w:hanging="567"/>
        <w:jc w:val="both"/>
      </w:pPr>
      <w:r w:rsidRPr="0050237D">
        <w:t xml:space="preserve">Jones, M., &amp; Clark, D. (2023). Longitudinal effects of corporate sustainability strategies on financial performance. </w:t>
      </w:r>
      <w:r w:rsidRPr="0050237D">
        <w:rPr>
          <w:i/>
          <w:iCs/>
        </w:rPr>
        <w:t>Global Business Review, 21</w:t>
      </w:r>
      <w:r w:rsidRPr="0050237D">
        <w:t>(4), 87–110.</w:t>
      </w:r>
    </w:p>
    <w:p w14:paraId="24D6C2E5" w14:textId="77777777" w:rsidR="00A51AE6" w:rsidRPr="0050237D" w:rsidRDefault="00A51AE6" w:rsidP="00832895">
      <w:pPr>
        <w:ind w:left="567" w:hanging="567"/>
        <w:jc w:val="both"/>
      </w:pPr>
    </w:p>
    <w:p w14:paraId="48D44545" w14:textId="77777777" w:rsidR="00832895" w:rsidRDefault="00832895" w:rsidP="00832895">
      <w:pPr>
        <w:ind w:left="567" w:hanging="567"/>
        <w:jc w:val="both"/>
      </w:pPr>
      <w:r w:rsidRPr="0050237D">
        <w:t xml:space="preserve">Jones, M., &amp; Larson, J. R. (2023). The effect of green research and development expenditure on industrial sustainability in developed countries. </w:t>
      </w:r>
      <w:r w:rsidRPr="0050237D">
        <w:rPr>
          <w:i/>
          <w:iCs/>
        </w:rPr>
        <w:t>International Journal of Industrial Ecology, 27</w:t>
      </w:r>
      <w:r w:rsidRPr="0050237D">
        <w:t>(3), 105-120.</w:t>
      </w:r>
    </w:p>
    <w:p w14:paraId="318AEB2D" w14:textId="77777777" w:rsidR="00A51AE6" w:rsidRPr="0050237D" w:rsidRDefault="00A51AE6" w:rsidP="00832895">
      <w:pPr>
        <w:ind w:left="567" w:hanging="567"/>
        <w:jc w:val="both"/>
      </w:pPr>
    </w:p>
    <w:p w14:paraId="127253AB" w14:textId="57529FF3" w:rsidR="00832895" w:rsidRDefault="00832895" w:rsidP="00832895">
      <w:pPr>
        <w:ind w:left="567" w:hanging="567"/>
        <w:jc w:val="both"/>
      </w:pPr>
      <w:r w:rsidRPr="0050237D">
        <w:t xml:space="preserve">Jones, R., &amp; Clark, D. (2023). Pollution control expenditure and market value: Evidence from UK-based firms. </w:t>
      </w:r>
      <w:r w:rsidRPr="0050237D">
        <w:rPr>
          <w:i/>
          <w:iCs/>
        </w:rPr>
        <w:t>Journal of Environmental Economics, 22</w:t>
      </w:r>
      <w:r w:rsidRPr="0050237D">
        <w:t>(2), 145-160.</w:t>
      </w:r>
    </w:p>
    <w:p w14:paraId="7B9603F9" w14:textId="77777777" w:rsidR="00A51AE6" w:rsidRPr="0050237D" w:rsidRDefault="00A51AE6" w:rsidP="00832895">
      <w:pPr>
        <w:ind w:left="567" w:hanging="567"/>
        <w:jc w:val="both"/>
      </w:pPr>
    </w:p>
    <w:p w14:paraId="4700744E" w14:textId="594543F7" w:rsidR="00832895" w:rsidRDefault="00832895" w:rsidP="00832895">
      <w:pPr>
        <w:ind w:left="567" w:hanging="567"/>
        <w:jc w:val="both"/>
      </w:pPr>
      <w:r w:rsidRPr="0050237D">
        <w:t xml:space="preserve">Juma, D., &amp; Odhiambo, M. (2022). Pollution control expenditure and its effect on value creation: Evidence from Tanzanian firms. </w:t>
      </w:r>
      <w:r w:rsidRPr="0050237D">
        <w:rPr>
          <w:i/>
          <w:iCs/>
        </w:rPr>
        <w:t>East African Journal of Business and Economics, 12</w:t>
      </w:r>
      <w:r w:rsidRPr="0050237D">
        <w:t xml:space="preserve">(2), 115-130. </w:t>
      </w:r>
    </w:p>
    <w:p w14:paraId="1D1F9199" w14:textId="77777777" w:rsidR="001D4A9B" w:rsidRPr="0050237D" w:rsidRDefault="001D4A9B" w:rsidP="00832895">
      <w:pPr>
        <w:ind w:left="567" w:hanging="567"/>
        <w:jc w:val="both"/>
      </w:pPr>
    </w:p>
    <w:p w14:paraId="777A9C1D" w14:textId="77777777" w:rsidR="00832895" w:rsidRDefault="00832895" w:rsidP="00832895">
      <w:pPr>
        <w:ind w:left="567" w:hanging="567"/>
        <w:jc w:val="both"/>
      </w:pPr>
      <w:r w:rsidRPr="0050237D">
        <w:t xml:space="preserve">Juma, E., &amp; Odhiambo, P. (2022). Environmental sustainability and value creation in developing economies: A sectoral analysis. </w:t>
      </w:r>
      <w:r w:rsidRPr="0050237D">
        <w:rPr>
          <w:i/>
          <w:iCs/>
        </w:rPr>
        <w:t>African Journal of Economic Policy, 17</w:t>
      </w:r>
      <w:r w:rsidRPr="0050237D">
        <w:t>(2), 56–78.</w:t>
      </w:r>
    </w:p>
    <w:p w14:paraId="1CA53CA6" w14:textId="77777777" w:rsidR="001D4A9B" w:rsidRPr="0050237D" w:rsidRDefault="001D4A9B" w:rsidP="00832895">
      <w:pPr>
        <w:ind w:left="567" w:hanging="567"/>
        <w:jc w:val="both"/>
      </w:pPr>
    </w:p>
    <w:p w14:paraId="35C40530" w14:textId="77777777" w:rsidR="00832895" w:rsidRPr="0050237D" w:rsidRDefault="00832895" w:rsidP="00832895">
      <w:pPr>
        <w:ind w:left="567" w:hanging="567"/>
        <w:jc w:val="both"/>
      </w:pPr>
      <w:r w:rsidRPr="0050237D">
        <w:t xml:space="preserve">Kang, J., Lee, K., &amp; Kim, H. (2023). Green innovation and financial performance: Evidence from manufacturing firms. </w:t>
      </w:r>
      <w:r w:rsidRPr="0050237D">
        <w:rPr>
          <w:i/>
          <w:iCs/>
        </w:rPr>
        <w:t>Journal of Cleaner Production, 391</w:t>
      </w:r>
      <w:r w:rsidRPr="0050237D">
        <w:t>, 136246.</w:t>
      </w:r>
    </w:p>
    <w:p w14:paraId="3C07D7A2" w14:textId="0A146ACC" w:rsidR="00832895" w:rsidRDefault="00832895" w:rsidP="00832895">
      <w:pPr>
        <w:ind w:left="567" w:hanging="567"/>
        <w:jc w:val="both"/>
      </w:pPr>
      <w:r w:rsidRPr="0050237D">
        <w:t xml:space="preserve">Kim, S., &amp; Hwang, Y. (2023). The credibility of sustainability signals and market reactions: A global perspective. </w:t>
      </w:r>
      <w:r w:rsidRPr="0050237D">
        <w:rPr>
          <w:i/>
          <w:iCs/>
        </w:rPr>
        <w:t>Environmental Economics and Policy Studies, 32</w:t>
      </w:r>
      <w:r w:rsidRPr="0050237D">
        <w:t xml:space="preserve">(2), 122-136. </w:t>
      </w:r>
    </w:p>
    <w:p w14:paraId="7B3136D4" w14:textId="77777777" w:rsidR="001D4A9B" w:rsidRPr="0050237D" w:rsidRDefault="001D4A9B" w:rsidP="00832895">
      <w:pPr>
        <w:ind w:left="567" w:hanging="567"/>
        <w:jc w:val="both"/>
      </w:pPr>
    </w:p>
    <w:p w14:paraId="13E8297C" w14:textId="77777777" w:rsidR="00832895" w:rsidRDefault="00832895" w:rsidP="00832895">
      <w:pPr>
        <w:ind w:left="567" w:hanging="567"/>
        <w:jc w:val="both"/>
      </w:pPr>
      <w:r w:rsidRPr="0050237D">
        <w:t xml:space="preserve">Kumar, V., Singh, A., &amp; Chauhan, S. (2023). Sustainability disclosure and stakeholder trust: Evidence from Indian SMEs. </w:t>
      </w:r>
      <w:r w:rsidRPr="0050237D">
        <w:rPr>
          <w:i/>
          <w:iCs/>
        </w:rPr>
        <w:t>Journal of Small Business Strategy, 33</w:t>
      </w:r>
      <w:r w:rsidRPr="0050237D">
        <w:t>(2), 103–120.</w:t>
      </w:r>
    </w:p>
    <w:p w14:paraId="78DBA44B" w14:textId="77777777" w:rsidR="001D4A9B" w:rsidRPr="0050237D" w:rsidRDefault="001D4A9B" w:rsidP="00832895">
      <w:pPr>
        <w:ind w:left="567" w:hanging="567"/>
        <w:jc w:val="both"/>
      </w:pPr>
    </w:p>
    <w:p w14:paraId="4C8C4666" w14:textId="1D3ACC48" w:rsidR="00832895" w:rsidRDefault="00832895" w:rsidP="00832895">
      <w:pPr>
        <w:ind w:left="567" w:hanging="567"/>
        <w:jc w:val="both"/>
      </w:pPr>
      <w:r w:rsidRPr="0050237D">
        <w:t xml:space="preserve">Kumasi, L., &amp; Adegboye, A. A. (2022). The role of green R&amp;D expenditure in fostering climate change mitigation strategies in sub-Saharan Africa. </w:t>
      </w:r>
      <w:r w:rsidRPr="0050237D">
        <w:rPr>
          <w:i/>
          <w:iCs/>
        </w:rPr>
        <w:t>Journal of Climate Change and Sustainability, 9</w:t>
      </w:r>
      <w:r w:rsidRPr="0050237D">
        <w:t>(1), 74-89</w:t>
      </w:r>
      <w:r w:rsidR="001D4A9B">
        <w:t>.</w:t>
      </w:r>
    </w:p>
    <w:p w14:paraId="007D1C75" w14:textId="77777777" w:rsidR="001D4A9B" w:rsidRPr="0050237D" w:rsidRDefault="001D4A9B" w:rsidP="00832895">
      <w:pPr>
        <w:ind w:left="567" w:hanging="567"/>
        <w:jc w:val="both"/>
      </w:pPr>
    </w:p>
    <w:p w14:paraId="3C75946A" w14:textId="29CE6591" w:rsidR="00832895" w:rsidRPr="007D3D43" w:rsidRDefault="00832895" w:rsidP="00832895">
      <w:pPr>
        <w:ind w:left="567" w:hanging="567"/>
        <w:jc w:val="both"/>
      </w:pPr>
      <w:r w:rsidRPr="0050237D">
        <w:t xml:space="preserve">Lee, C., &amp; Mason, R. (2023). Revisiting institutional theory: Agency, innovation, and sustainability in the corporate sector. Journal of Business Strategy, 44(4), 102-115. </w:t>
      </w:r>
    </w:p>
    <w:p w14:paraId="2AA51902" w14:textId="77777777" w:rsidR="007D3D43" w:rsidRPr="0050237D" w:rsidRDefault="007D3D43" w:rsidP="00832895">
      <w:pPr>
        <w:ind w:left="567" w:hanging="567"/>
        <w:jc w:val="both"/>
      </w:pPr>
    </w:p>
    <w:p w14:paraId="05CB8CCA" w14:textId="77777777" w:rsidR="00832895" w:rsidRDefault="00832895" w:rsidP="00832895">
      <w:pPr>
        <w:ind w:left="567" w:hanging="567"/>
        <w:jc w:val="both"/>
      </w:pPr>
      <w:r w:rsidRPr="0050237D">
        <w:t xml:space="preserve">Lee, Y., &amp; Kim, D. (2022). Eco-innovation and firm performance: The moderating role of environmental regulation. </w:t>
      </w:r>
      <w:r w:rsidRPr="0050237D">
        <w:rPr>
          <w:i/>
          <w:iCs/>
        </w:rPr>
        <w:t>Journal of Business Research, 139</w:t>
      </w:r>
      <w:r w:rsidRPr="0050237D">
        <w:t>, 1018–1030.</w:t>
      </w:r>
    </w:p>
    <w:p w14:paraId="5006C8E5" w14:textId="77777777" w:rsidR="00226D0F" w:rsidRPr="0050237D" w:rsidRDefault="00226D0F" w:rsidP="00832895">
      <w:pPr>
        <w:ind w:left="567" w:hanging="567"/>
        <w:jc w:val="both"/>
      </w:pPr>
    </w:p>
    <w:p w14:paraId="6CE4D289" w14:textId="1AFDF993" w:rsidR="00832895" w:rsidRDefault="00832895" w:rsidP="00832895">
      <w:pPr>
        <w:ind w:left="567" w:hanging="567"/>
        <w:jc w:val="both"/>
      </w:pPr>
      <w:r w:rsidRPr="0050237D">
        <w:t xml:space="preserve">Mahajan, R., &amp; Patel, D. (2024). Green financing and sustainable business practices: The role of environmental certifications. </w:t>
      </w:r>
      <w:r w:rsidRPr="0050237D">
        <w:rPr>
          <w:i/>
          <w:iCs/>
        </w:rPr>
        <w:t>Sustainable Development, 32</w:t>
      </w:r>
      <w:r w:rsidRPr="0050237D">
        <w:t xml:space="preserve">(1), 45-58. </w:t>
      </w:r>
    </w:p>
    <w:p w14:paraId="18DC0E72" w14:textId="77777777" w:rsidR="00226D0F" w:rsidRPr="0050237D" w:rsidRDefault="00226D0F" w:rsidP="00832895">
      <w:pPr>
        <w:ind w:left="567" w:hanging="567"/>
        <w:jc w:val="both"/>
      </w:pPr>
    </w:p>
    <w:p w14:paraId="216DB19B" w14:textId="77777777" w:rsidR="00832895" w:rsidRDefault="00832895" w:rsidP="00832895">
      <w:pPr>
        <w:ind w:left="567" w:hanging="567"/>
        <w:jc w:val="both"/>
      </w:pPr>
      <w:r w:rsidRPr="0050237D">
        <w:t xml:space="preserve">McKinsey &amp; Company. (2020). </w:t>
      </w:r>
      <w:r w:rsidRPr="0050237D">
        <w:rPr>
          <w:i/>
          <w:iCs/>
        </w:rPr>
        <w:t>Creating long-term value for stakeholders</w:t>
      </w:r>
      <w:r w:rsidRPr="0050237D">
        <w:t>. McKinsey &amp; Company Insights.</w:t>
      </w:r>
    </w:p>
    <w:p w14:paraId="08EFBE34" w14:textId="77777777" w:rsidR="00226D0F" w:rsidRPr="0050237D" w:rsidRDefault="00226D0F" w:rsidP="00832895">
      <w:pPr>
        <w:ind w:left="567" w:hanging="567"/>
        <w:jc w:val="both"/>
      </w:pPr>
    </w:p>
    <w:p w14:paraId="08434714" w14:textId="706095E6" w:rsidR="00832895" w:rsidRDefault="00832895" w:rsidP="00832895">
      <w:pPr>
        <w:ind w:left="567" w:hanging="567"/>
        <w:jc w:val="both"/>
      </w:pPr>
      <w:r w:rsidRPr="0050237D">
        <w:t xml:space="preserve">Mlambo, V., &amp; Naidoo, P. (2023). Renewable energy investments and their impact on sustainable development in Sub-Saharan Africa. </w:t>
      </w:r>
      <w:r w:rsidRPr="0050237D">
        <w:rPr>
          <w:i/>
          <w:iCs/>
        </w:rPr>
        <w:t>Journal of Cleaner Production</w:t>
      </w:r>
      <w:r w:rsidRPr="0050237D">
        <w:t xml:space="preserve">, 290, 125267. </w:t>
      </w:r>
    </w:p>
    <w:p w14:paraId="37D4AB18" w14:textId="77777777" w:rsidR="00226D0F" w:rsidRPr="0050237D" w:rsidRDefault="00226D0F" w:rsidP="00832895">
      <w:pPr>
        <w:ind w:left="567" w:hanging="567"/>
        <w:jc w:val="both"/>
      </w:pPr>
    </w:p>
    <w:p w14:paraId="180A6D7C" w14:textId="77777777" w:rsidR="00832895" w:rsidRDefault="00832895" w:rsidP="00832895">
      <w:pPr>
        <w:ind w:left="567" w:hanging="567"/>
        <w:jc w:val="both"/>
      </w:pPr>
      <w:r w:rsidRPr="0050237D">
        <w:t xml:space="preserve">Mohammed, A., &amp; Osman, I. (2023). Sustainability and innovation capacity in African agribusiness. </w:t>
      </w:r>
      <w:r w:rsidRPr="0050237D">
        <w:rPr>
          <w:i/>
          <w:iCs/>
        </w:rPr>
        <w:t>African Journal of Business and Economic Research, 18</w:t>
      </w:r>
      <w:r w:rsidRPr="0050237D">
        <w:t>(1), 134–151.</w:t>
      </w:r>
    </w:p>
    <w:p w14:paraId="4E270DC9" w14:textId="77777777" w:rsidR="00226D0F" w:rsidRPr="0050237D" w:rsidRDefault="00226D0F" w:rsidP="00832895">
      <w:pPr>
        <w:ind w:left="567" w:hanging="567"/>
        <w:jc w:val="both"/>
      </w:pPr>
    </w:p>
    <w:p w14:paraId="6316EFC2" w14:textId="4B48B036" w:rsidR="00832895" w:rsidRDefault="00832895" w:rsidP="00832895">
      <w:pPr>
        <w:ind w:left="567" w:hanging="567"/>
        <w:jc w:val="both"/>
      </w:pPr>
      <w:r w:rsidRPr="0050237D">
        <w:t xml:space="preserve">Mohan, D., &amp; Kanu, F. (2024). Green research and development expenditure and market value: Evidence from Nigerian firms. </w:t>
      </w:r>
      <w:r w:rsidRPr="0050237D">
        <w:rPr>
          <w:i/>
          <w:iCs/>
        </w:rPr>
        <w:t>Journal of Green Finance and Development</w:t>
      </w:r>
      <w:r w:rsidRPr="0050237D">
        <w:t xml:space="preserve">, 13(1), 65-79. </w:t>
      </w:r>
    </w:p>
    <w:p w14:paraId="224E8504" w14:textId="77777777" w:rsidR="00226D0F" w:rsidRPr="0050237D" w:rsidRDefault="00226D0F" w:rsidP="00832895">
      <w:pPr>
        <w:ind w:left="567" w:hanging="567"/>
        <w:jc w:val="both"/>
      </w:pPr>
    </w:p>
    <w:p w14:paraId="01F8CAC9" w14:textId="77777777" w:rsidR="00832895" w:rsidRDefault="00832895" w:rsidP="00832895">
      <w:pPr>
        <w:ind w:left="567" w:hanging="567"/>
        <w:jc w:val="both"/>
      </w:pPr>
      <w:r w:rsidRPr="0050237D">
        <w:t xml:space="preserve">Mohan, K., &amp; Kanu, T. (2024). Green innovation and firm profitability in African markets: A sectoral perspective. </w:t>
      </w:r>
      <w:r w:rsidRPr="0050237D">
        <w:rPr>
          <w:i/>
          <w:iCs/>
        </w:rPr>
        <w:t>Journal of Business and Sustainability, 23</w:t>
      </w:r>
      <w:r w:rsidRPr="0050237D">
        <w:t>(1), 98–115.</w:t>
      </w:r>
    </w:p>
    <w:p w14:paraId="0DEA8531" w14:textId="77777777" w:rsidR="00226D0F" w:rsidRPr="0050237D" w:rsidRDefault="00226D0F" w:rsidP="00832895">
      <w:pPr>
        <w:ind w:left="567" w:hanging="567"/>
        <w:jc w:val="both"/>
      </w:pPr>
    </w:p>
    <w:p w14:paraId="40882450" w14:textId="77777777" w:rsidR="00832895" w:rsidRDefault="00832895" w:rsidP="00832895">
      <w:pPr>
        <w:ind w:left="567" w:hanging="567"/>
        <w:jc w:val="both"/>
      </w:pPr>
      <w:r w:rsidRPr="0050237D">
        <w:t>Moreno-</w:t>
      </w:r>
      <w:proofErr w:type="spellStart"/>
      <w:r w:rsidRPr="0050237D">
        <w:t>Monslave</w:t>
      </w:r>
      <w:proofErr w:type="spellEnd"/>
      <w:r w:rsidRPr="0050237D">
        <w:t xml:space="preserve">, M. E., García-Sánchez, I. M., &amp; Rodríguez-Domínguez, L. (2023). </w:t>
      </w:r>
      <w:r w:rsidRPr="0050237D">
        <w:rPr>
          <w:i/>
          <w:iCs/>
        </w:rPr>
        <w:t>Sustainable finance and ESG integration in institutional investment</w:t>
      </w:r>
      <w:r w:rsidRPr="0050237D">
        <w:t>. Sustainability Accounting, Management and Policy Journal, 14(4), 678–699.</w:t>
      </w:r>
    </w:p>
    <w:p w14:paraId="39F2A355" w14:textId="77777777" w:rsidR="00226D0F" w:rsidRPr="0050237D" w:rsidRDefault="00226D0F" w:rsidP="00832895">
      <w:pPr>
        <w:ind w:left="567" w:hanging="567"/>
        <w:jc w:val="both"/>
      </w:pPr>
    </w:p>
    <w:p w14:paraId="2A3997FC" w14:textId="77777777" w:rsidR="00226D0F" w:rsidRDefault="00832895" w:rsidP="00832895">
      <w:pPr>
        <w:ind w:left="567" w:hanging="567"/>
        <w:jc w:val="both"/>
      </w:pPr>
      <w:r w:rsidRPr="0050237D">
        <w:t xml:space="preserve">Moyo, C., &amp; Khumalo, M. (2023). The relationship between investment in renewable energy and value creation in South African firms. </w:t>
      </w:r>
      <w:r w:rsidRPr="0050237D">
        <w:rPr>
          <w:i/>
          <w:iCs/>
        </w:rPr>
        <w:t>South African Journal of Business Studies, 19</w:t>
      </w:r>
      <w:r w:rsidRPr="0050237D">
        <w:t xml:space="preserve">(2), 145-159. </w:t>
      </w:r>
    </w:p>
    <w:p w14:paraId="4F607A9C" w14:textId="77777777" w:rsidR="00226D0F" w:rsidRDefault="00226D0F" w:rsidP="00832895">
      <w:pPr>
        <w:ind w:left="567" w:hanging="567"/>
        <w:jc w:val="both"/>
      </w:pPr>
    </w:p>
    <w:p w14:paraId="29DF4636" w14:textId="434C8B9D" w:rsidR="00832895" w:rsidRDefault="00832895" w:rsidP="00832895">
      <w:pPr>
        <w:ind w:left="567" w:hanging="567"/>
        <w:jc w:val="both"/>
      </w:pPr>
      <w:r w:rsidRPr="00993CA4">
        <w:rPr>
          <w:lang w:val="en-US"/>
        </w:rPr>
        <w:lastRenderedPageBreak/>
        <w:t xml:space="preserve">Moyo, F., Nkosi, T., &amp; </w:t>
      </w:r>
      <w:proofErr w:type="spellStart"/>
      <w:r w:rsidRPr="00993CA4">
        <w:rPr>
          <w:lang w:val="en-US"/>
        </w:rPr>
        <w:t>Rapholo</w:t>
      </w:r>
      <w:proofErr w:type="spellEnd"/>
      <w:r w:rsidRPr="00993CA4">
        <w:rPr>
          <w:lang w:val="en-US"/>
        </w:rPr>
        <w:t xml:space="preserve">, S. (2023). </w:t>
      </w:r>
      <w:r w:rsidRPr="0050237D">
        <w:t xml:space="preserve">Impact of pollution control expenditure on corporate environmental responsibility in South Africa. </w:t>
      </w:r>
      <w:r w:rsidRPr="0050237D">
        <w:rPr>
          <w:i/>
          <w:iCs/>
        </w:rPr>
        <w:t>Journal of Sustainable Development, 15</w:t>
      </w:r>
      <w:r w:rsidRPr="0050237D">
        <w:t xml:space="preserve">(4), 239-254. </w:t>
      </w:r>
    </w:p>
    <w:p w14:paraId="6A1BA00A" w14:textId="77777777" w:rsidR="00226D0F" w:rsidRPr="0050237D" w:rsidRDefault="00226D0F" w:rsidP="00832895">
      <w:pPr>
        <w:ind w:left="567" w:hanging="567"/>
        <w:jc w:val="both"/>
      </w:pPr>
    </w:p>
    <w:p w14:paraId="75954694" w14:textId="77777777" w:rsidR="00832895" w:rsidRDefault="00832895" w:rsidP="00832895">
      <w:pPr>
        <w:ind w:left="567" w:hanging="567"/>
        <w:jc w:val="both"/>
      </w:pPr>
      <w:r w:rsidRPr="0050237D">
        <w:t xml:space="preserve">Moyo, L., &amp; Khumalo, B. (2023). Renewable energy investments and financial performance in emerging economies. </w:t>
      </w:r>
      <w:r w:rsidRPr="0050237D">
        <w:rPr>
          <w:i/>
          <w:iCs/>
        </w:rPr>
        <w:t>Energy Economics Review, 29</w:t>
      </w:r>
      <w:r w:rsidRPr="0050237D">
        <w:t>(2), 67–89.</w:t>
      </w:r>
    </w:p>
    <w:p w14:paraId="28B1A239" w14:textId="77777777" w:rsidR="00226D0F" w:rsidRPr="0050237D" w:rsidRDefault="00226D0F" w:rsidP="00832895">
      <w:pPr>
        <w:ind w:left="567" w:hanging="567"/>
        <w:jc w:val="both"/>
      </w:pPr>
    </w:p>
    <w:p w14:paraId="7AC1881C" w14:textId="77777777" w:rsidR="00832895" w:rsidRPr="0050237D" w:rsidRDefault="00832895" w:rsidP="00832895">
      <w:pPr>
        <w:ind w:left="567" w:hanging="567"/>
        <w:jc w:val="both"/>
      </w:pPr>
      <w:r w:rsidRPr="0050237D">
        <w:t xml:space="preserve">Munyua, J., &amp; Mwangi, P. (2024). Institutional influences on corporate environmental investments: A comparative study of East and West Africa. </w:t>
      </w:r>
      <w:r w:rsidRPr="0050237D">
        <w:rPr>
          <w:i/>
          <w:iCs/>
        </w:rPr>
        <w:t>Journal of Business Ethics and Sustainability, 31</w:t>
      </w:r>
      <w:r w:rsidRPr="0050237D">
        <w:t>(3), 145–160.</w:t>
      </w:r>
    </w:p>
    <w:p w14:paraId="37283D62" w14:textId="41A91B68" w:rsidR="00832895" w:rsidRDefault="00832895" w:rsidP="00832895">
      <w:pPr>
        <w:ind w:left="567" w:hanging="567"/>
        <w:jc w:val="both"/>
      </w:pPr>
      <w:r w:rsidRPr="0050237D">
        <w:t xml:space="preserve">Munyua, S., &amp; Mwangi, L. (2024). Environmental sustainability investment and value creation: A study of firms in Uganda. </w:t>
      </w:r>
      <w:r w:rsidRPr="0050237D">
        <w:rPr>
          <w:i/>
          <w:iCs/>
        </w:rPr>
        <w:t>African Journal of Business Research, 15</w:t>
      </w:r>
      <w:r w:rsidRPr="0050237D">
        <w:t xml:space="preserve">(4), 203-218. </w:t>
      </w:r>
    </w:p>
    <w:p w14:paraId="36580613" w14:textId="77777777" w:rsidR="00226D0F" w:rsidRPr="0050237D" w:rsidRDefault="00226D0F" w:rsidP="00832895">
      <w:pPr>
        <w:ind w:left="567" w:hanging="567"/>
        <w:jc w:val="both"/>
      </w:pPr>
    </w:p>
    <w:p w14:paraId="1DC7B571" w14:textId="69EDE53C" w:rsidR="00832895" w:rsidRDefault="00832895" w:rsidP="00832895">
      <w:pPr>
        <w:ind w:left="567" w:hanging="567"/>
        <w:jc w:val="both"/>
      </w:pPr>
      <w:r w:rsidRPr="0050237D">
        <w:t xml:space="preserve">Munyua, S., &amp; Ochieng, P. (2021). The relationship between environmental certification and compliance costs, and market value in Kenyan firms. </w:t>
      </w:r>
      <w:r w:rsidRPr="0050237D">
        <w:rPr>
          <w:i/>
          <w:iCs/>
        </w:rPr>
        <w:t>International Journal of Environmental Sustainability</w:t>
      </w:r>
      <w:r w:rsidRPr="0050237D">
        <w:t xml:space="preserve">, 8(2), 128-139. </w:t>
      </w:r>
    </w:p>
    <w:p w14:paraId="5CC9197E" w14:textId="77777777" w:rsidR="00226D0F" w:rsidRPr="0050237D" w:rsidRDefault="00226D0F" w:rsidP="00832895">
      <w:pPr>
        <w:ind w:left="567" w:hanging="567"/>
        <w:jc w:val="both"/>
      </w:pPr>
    </w:p>
    <w:p w14:paraId="1188658E" w14:textId="77777777" w:rsidR="00832895" w:rsidRDefault="00832895" w:rsidP="00832895">
      <w:pPr>
        <w:ind w:left="567" w:hanging="567"/>
        <w:jc w:val="both"/>
      </w:pPr>
      <w:proofErr w:type="spellStart"/>
      <w:r w:rsidRPr="0050237D">
        <w:t>Mupemhi</w:t>
      </w:r>
      <w:proofErr w:type="spellEnd"/>
      <w:r w:rsidRPr="0050237D">
        <w:t xml:space="preserve">, S., Mhlanga, S., &amp; Zinyemba, A. (2023). </w:t>
      </w:r>
      <w:r w:rsidRPr="00226D0F">
        <w:t>Environmental sustainability strategies in Zimbabwean SMEs.</w:t>
      </w:r>
      <w:r w:rsidRPr="0050237D">
        <w:t xml:space="preserve"> </w:t>
      </w:r>
      <w:r w:rsidRPr="00226D0F">
        <w:rPr>
          <w:i/>
          <w:iCs/>
        </w:rPr>
        <w:t>Journal of African Business, 24</w:t>
      </w:r>
      <w:r w:rsidRPr="0050237D">
        <w:t>(1), 55–73.</w:t>
      </w:r>
    </w:p>
    <w:p w14:paraId="2567B5F5" w14:textId="77777777" w:rsidR="00226D0F" w:rsidRPr="0050237D" w:rsidRDefault="00226D0F" w:rsidP="00832895">
      <w:pPr>
        <w:ind w:left="567" w:hanging="567"/>
        <w:jc w:val="both"/>
      </w:pPr>
    </w:p>
    <w:p w14:paraId="38ACA039" w14:textId="409EDE33" w:rsidR="00832895" w:rsidRDefault="00832895" w:rsidP="00832895">
      <w:pPr>
        <w:ind w:left="567" w:hanging="567"/>
        <w:jc w:val="both"/>
      </w:pPr>
      <w:r w:rsidRPr="0050237D">
        <w:t xml:space="preserve">Mwangi, M., &amp; Gitau, M. (2023). Exploring the benefits of ISO 14001 certification on small and medium enterprises in Kenya. </w:t>
      </w:r>
      <w:r w:rsidRPr="0050237D">
        <w:rPr>
          <w:i/>
          <w:iCs/>
        </w:rPr>
        <w:t>International Journal of Environmental Management, 15</w:t>
      </w:r>
      <w:r w:rsidRPr="0050237D">
        <w:t>(3), 97-</w:t>
      </w:r>
      <w:r w:rsidR="00156161">
        <w:t>110.</w:t>
      </w:r>
    </w:p>
    <w:p w14:paraId="4E3B6411" w14:textId="77777777" w:rsidR="00226D0F" w:rsidRPr="0050237D" w:rsidRDefault="00226D0F" w:rsidP="00832895">
      <w:pPr>
        <w:ind w:left="567" w:hanging="567"/>
        <w:jc w:val="both"/>
      </w:pPr>
    </w:p>
    <w:p w14:paraId="17363A46" w14:textId="77777777" w:rsidR="00226D0F" w:rsidRDefault="00832895" w:rsidP="00832895">
      <w:pPr>
        <w:ind w:left="567" w:hanging="567"/>
        <w:jc w:val="both"/>
      </w:pPr>
      <w:r w:rsidRPr="0050237D">
        <w:t xml:space="preserve">Mwenda, J., &amp; Njoroge, D. (2024). Environmental sustainability investments and value creation in Ugandan firms. </w:t>
      </w:r>
      <w:r w:rsidRPr="0050237D">
        <w:rPr>
          <w:i/>
          <w:iCs/>
        </w:rPr>
        <w:t>East African Journal of Business and Economics</w:t>
      </w:r>
      <w:r w:rsidRPr="0050237D">
        <w:t xml:space="preserve">, 6(2), 142-157. </w:t>
      </w:r>
    </w:p>
    <w:p w14:paraId="6D83200B" w14:textId="77777777" w:rsidR="00226D0F" w:rsidRDefault="00226D0F" w:rsidP="00832895">
      <w:pPr>
        <w:ind w:left="567" w:hanging="567"/>
        <w:jc w:val="both"/>
      </w:pPr>
    </w:p>
    <w:p w14:paraId="600F97E0" w14:textId="16664C20" w:rsidR="00832895" w:rsidRDefault="00832895" w:rsidP="00832895">
      <w:pPr>
        <w:ind w:left="567" w:hanging="567"/>
        <w:jc w:val="both"/>
      </w:pPr>
      <w:r w:rsidRPr="0050237D">
        <w:t xml:space="preserve">Mwenda, T., &amp; Njoroge, S. (2024). Environmental sustainability investments and firm legitimacy in Africa: A regulatory perspective. </w:t>
      </w:r>
      <w:r w:rsidRPr="0050237D">
        <w:rPr>
          <w:i/>
          <w:iCs/>
        </w:rPr>
        <w:t>Journal of Corporate Governance, 22</w:t>
      </w:r>
      <w:r w:rsidRPr="0050237D">
        <w:t xml:space="preserve">(3), 156-178. </w:t>
      </w:r>
    </w:p>
    <w:p w14:paraId="00E663DA" w14:textId="77777777" w:rsidR="00834A31" w:rsidRPr="0050237D" w:rsidRDefault="00834A31" w:rsidP="00832895">
      <w:pPr>
        <w:ind w:left="567" w:hanging="567"/>
        <w:jc w:val="both"/>
      </w:pPr>
    </w:p>
    <w:p w14:paraId="51424B9C" w14:textId="285E0B22" w:rsidR="00832895" w:rsidRDefault="00832895" w:rsidP="00832895">
      <w:pPr>
        <w:ind w:left="567" w:hanging="567"/>
        <w:jc w:val="both"/>
      </w:pPr>
      <w:r w:rsidRPr="0050237D">
        <w:t xml:space="preserve">Nguyen, D., &amp; Lee, K. (2021). Challenges in scaling green finance in developing economies. </w:t>
      </w:r>
      <w:r w:rsidRPr="0050237D">
        <w:rPr>
          <w:i/>
          <w:iCs/>
        </w:rPr>
        <w:t>Journal of Global Financial Markets, 15</w:t>
      </w:r>
      <w:r w:rsidRPr="0050237D">
        <w:t>(4), 197</w:t>
      </w:r>
      <w:r w:rsidR="009B4E16">
        <w:t>-</w:t>
      </w:r>
      <w:r w:rsidRPr="0050237D">
        <w:t>210.</w:t>
      </w:r>
    </w:p>
    <w:p w14:paraId="5F797A31" w14:textId="77777777" w:rsidR="00834A31" w:rsidRPr="0050237D" w:rsidRDefault="00834A31" w:rsidP="00832895">
      <w:pPr>
        <w:ind w:left="567" w:hanging="567"/>
        <w:jc w:val="both"/>
      </w:pPr>
    </w:p>
    <w:p w14:paraId="775B7456" w14:textId="5A713D95" w:rsidR="00832895" w:rsidRDefault="00832895" w:rsidP="00832895">
      <w:pPr>
        <w:ind w:left="567" w:hanging="567"/>
        <w:jc w:val="both"/>
      </w:pPr>
      <w:r w:rsidRPr="0050237D">
        <w:t xml:space="preserve">Ochoa, J., &amp; Rivera, E. (2022). Green research and development and value creation: Case study of Colombian firms. </w:t>
      </w:r>
      <w:r w:rsidRPr="0050237D">
        <w:rPr>
          <w:i/>
          <w:iCs/>
        </w:rPr>
        <w:t>Latin American Business Review, 24</w:t>
      </w:r>
      <w:r w:rsidRPr="0050237D">
        <w:t xml:space="preserve">(2), 98-111. </w:t>
      </w:r>
    </w:p>
    <w:p w14:paraId="1726A753" w14:textId="77777777" w:rsidR="00834A31" w:rsidRPr="0050237D" w:rsidRDefault="00834A31" w:rsidP="00832895">
      <w:pPr>
        <w:ind w:left="567" w:hanging="567"/>
        <w:jc w:val="both"/>
      </w:pPr>
    </w:p>
    <w:p w14:paraId="0A8B1130" w14:textId="5D96A76C" w:rsidR="00832895" w:rsidRDefault="00832895" w:rsidP="00832895">
      <w:pPr>
        <w:ind w:left="567" w:hanging="567"/>
        <w:jc w:val="both"/>
      </w:pPr>
      <w:r w:rsidRPr="0050237D">
        <w:t xml:space="preserve">Ogunyemi, O., Akintoye, S., &amp; Olatunji, O. (2023). Corporate social responsibility and market positioning in developing countries: Insights from Nigeria. </w:t>
      </w:r>
      <w:r w:rsidRPr="0050237D">
        <w:rPr>
          <w:i/>
          <w:iCs/>
        </w:rPr>
        <w:t>International Journal of Corporate Social Responsibility, 18</w:t>
      </w:r>
      <w:r w:rsidRPr="0050237D">
        <w:t xml:space="preserve">(2), 98-113. </w:t>
      </w:r>
    </w:p>
    <w:p w14:paraId="113E31CF" w14:textId="77777777" w:rsidR="00FD2D13" w:rsidRPr="0050237D" w:rsidRDefault="00FD2D13" w:rsidP="00832895">
      <w:pPr>
        <w:ind w:left="567" w:hanging="567"/>
        <w:jc w:val="both"/>
      </w:pPr>
    </w:p>
    <w:p w14:paraId="141F215A" w14:textId="1A099F9A" w:rsidR="00832895" w:rsidRDefault="00832895" w:rsidP="00832895">
      <w:pPr>
        <w:ind w:left="567" w:hanging="567"/>
        <w:jc w:val="both"/>
      </w:pPr>
      <w:r w:rsidRPr="0050237D">
        <w:t xml:space="preserve">Okafor, F., Igwe, A., &amp; Nwosu, E. (2024). Institutional pressures and environmental sustainability practices in Nigerian firms. </w:t>
      </w:r>
      <w:r w:rsidRPr="0050237D">
        <w:rPr>
          <w:i/>
          <w:iCs/>
        </w:rPr>
        <w:t>African Journal of Business and Economic Studies, 14</w:t>
      </w:r>
      <w:r w:rsidRPr="0050237D">
        <w:t xml:space="preserve">(1), 67-83. </w:t>
      </w:r>
    </w:p>
    <w:p w14:paraId="773D58DF" w14:textId="77777777" w:rsidR="00FD2D13" w:rsidRPr="0050237D" w:rsidRDefault="00FD2D13" w:rsidP="00832895">
      <w:pPr>
        <w:ind w:left="567" w:hanging="567"/>
        <w:jc w:val="both"/>
      </w:pPr>
    </w:p>
    <w:p w14:paraId="0B49B455" w14:textId="77777777" w:rsidR="006752AA" w:rsidRDefault="00832895" w:rsidP="00832895">
      <w:pPr>
        <w:ind w:left="567" w:hanging="567"/>
        <w:jc w:val="both"/>
      </w:pPr>
      <w:r w:rsidRPr="0050237D">
        <w:t xml:space="preserve">Oloyede, A. A., Faruk, N., Noma, N., </w:t>
      </w:r>
      <w:proofErr w:type="spellStart"/>
      <w:r w:rsidRPr="0050237D">
        <w:t>Tebepah</w:t>
      </w:r>
      <w:proofErr w:type="spellEnd"/>
      <w:r w:rsidRPr="0050237D">
        <w:t xml:space="preserve">, E., &amp; </w:t>
      </w:r>
      <w:proofErr w:type="spellStart"/>
      <w:r w:rsidRPr="0050237D">
        <w:t>Nwaulune</w:t>
      </w:r>
      <w:proofErr w:type="spellEnd"/>
      <w:r w:rsidRPr="0050237D">
        <w:t xml:space="preserve">, A. K. (2023). Measuring the impact of the digital economy in developing countries: A systematic review and meta-analysis. </w:t>
      </w:r>
      <w:proofErr w:type="spellStart"/>
      <w:r w:rsidRPr="0050237D">
        <w:rPr>
          <w:i/>
          <w:iCs/>
        </w:rPr>
        <w:t>Heliyon</w:t>
      </w:r>
      <w:proofErr w:type="spellEnd"/>
      <w:r w:rsidRPr="0050237D">
        <w:t xml:space="preserve">, 9(7), e17654. </w:t>
      </w:r>
    </w:p>
    <w:p w14:paraId="4C197FF9" w14:textId="77777777" w:rsidR="006752AA" w:rsidRDefault="006752AA" w:rsidP="00832895">
      <w:pPr>
        <w:ind w:left="567" w:hanging="567"/>
        <w:jc w:val="both"/>
      </w:pPr>
    </w:p>
    <w:p w14:paraId="3EB29514" w14:textId="2597D029" w:rsidR="00832895" w:rsidRDefault="00832895" w:rsidP="00832895">
      <w:pPr>
        <w:ind w:left="567" w:hanging="567"/>
        <w:jc w:val="both"/>
      </w:pPr>
      <w:r w:rsidRPr="0050237D">
        <w:lastRenderedPageBreak/>
        <w:t xml:space="preserve">Oluwole, A., &amp; Nwachukwu, E. (2022). Policy enforcement and the ease of doing business in Nigeria. </w:t>
      </w:r>
      <w:r w:rsidRPr="0050237D">
        <w:rPr>
          <w:i/>
          <w:iCs/>
        </w:rPr>
        <w:t>Journal of Public Policy and Administration, 12</w:t>
      </w:r>
      <w:r w:rsidRPr="0050237D">
        <w:t>(3), 89–106.</w:t>
      </w:r>
    </w:p>
    <w:p w14:paraId="425AEE06" w14:textId="77777777" w:rsidR="006752AA" w:rsidRPr="0050237D" w:rsidRDefault="006752AA" w:rsidP="00832895">
      <w:pPr>
        <w:ind w:left="567" w:hanging="567"/>
        <w:jc w:val="both"/>
      </w:pPr>
    </w:p>
    <w:p w14:paraId="640DEEF0" w14:textId="77777777" w:rsidR="00832895" w:rsidRDefault="00832895" w:rsidP="00832895">
      <w:pPr>
        <w:ind w:left="567" w:hanging="567"/>
        <w:jc w:val="both"/>
      </w:pPr>
      <w:proofErr w:type="spellStart"/>
      <w:r w:rsidRPr="0050237D">
        <w:t>Onyeiwu</w:t>
      </w:r>
      <w:proofErr w:type="spellEnd"/>
      <w:r w:rsidRPr="0050237D">
        <w:t xml:space="preserve">, C. (2023). Energy inefficiencies and business performance in Nigeria. </w:t>
      </w:r>
      <w:r w:rsidRPr="0050237D">
        <w:rPr>
          <w:i/>
          <w:iCs/>
        </w:rPr>
        <w:t>Energy Policy Journal, 76</w:t>
      </w:r>
      <w:r w:rsidRPr="0050237D">
        <w:t>(2), 205–218.</w:t>
      </w:r>
    </w:p>
    <w:p w14:paraId="4559BE7D" w14:textId="77777777" w:rsidR="006752AA" w:rsidRPr="0050237D" w:rsidRDefault="006752AA" w:rsidP="00832895">
      <w:pPr>
        <w:ind w:left="567" w:hanging="567"/>
        <w:jc w:val="both"/>
      </w:pPr>
    </w:p>
    <w:p w14:paraId="059462C1" w14:textId="77777777" w:rsidR="00832895" w:rsidRDefault="00832895" w:rsidP="00832895">
      <w:pPr>
        <w:ind w:left="567" w:hanging="567"/>
        <w:jc w:val="both"/>
      </w:pPr>
      <w:r w:rsidRPr="0050237D">
        <w:t xml:space="preserve">Osei, D., &amp; Fosu, K. (2022). The effect of environmental compliance costs on corporate sustainability performance in Sub-Saharan Africa. </w:t>
      </w:r>
      <w:r w:rsidRPr="0050237D">
        <w:rPr>
          <w:i/>
          <w:iCs/>
        </w:rPr>
        <w:t>African Journal of Business and Economic Research, 17</w:t>
      </w:r>
      <w:r w:rsidRPr="0050237D">
        <w:t xml:space="preserve">(2), 85-101. </w:t>
      </w:r>
    </w:p>
    <w:p w14:paraId="60A5C186" w14:textId="77777777" w:rsidR="000F7299" w:rsidRPr="0050237D" w:rsidRDefault="000F7299" w:rsidP="00832895">
      <w:pPr>
        <w:ind w:left="567" w:hanging="567"/>
        <w:jc w:val="both"/>
      </w:pPr>
    </w:p>
    <w:p w14:paraId="289D395E" w14:textId="51FE261E" w:rsidR="00832895" w:rsidRDefault="00832895" w:rsidP="00832895">
      <w:pPr>
        <w:ind w:left="567" w:hanging="567"/>
        <w:jc w:val="both"/>
      </w:pPr>
      <w:r w:rsidRPr="0050237D">
        <w:t xml:space="preserve">Osei-Bonsu, G., Kofi, A., &amp; Abakah, E. (2024). Challenges of pollution control expenditure and sustainable investment in Nigeria: A policy perspective. </w:t>
      </w:r>
      <w:r w:rsidRPr="0050237D">
        <w:rPr>
          <w:i/>
          <w:iCs/>
        </w:rPr>
        <w:t>African Journal of Environmental Studies, 8</w:t>
      </w:r>
      <w:r w:rsidRPr="0050237D">
        <w:t xml:space="preserve">(1), 112-129. </w:t>
      </w:r>
    </w:p>
    <w:p w14:paraId="61ACA07C" w14:textId="77777777" w:rsidR="000F7299" w:rsidRPr="0050237D" w:rsidRDefault="000F7299" w:rsidP="00832895">
      <w:pPr>
        <w:ind w:left="567" w:hanging="567"/>
        <w:jc w:val="both"/>
      </w:pPr>
    </w:p>
    <w:p w14:paraId="32AE87EB" w14:textId="77777777" w:rsidR="00832895" w:rsidRDefault="00832895" w:rsidP="00832895">
      <w:pPr>
        <w:ind w:left="567" w:hanging="567"/>
        <w:jc w:val="both"/>
      </w:pPr>
      <w:r w:rsidRPr="0050237D">
        <w:t xml:space="preserve">Pandya, P. (2023). Market Value Added: An Indicator of Corporate Performance. </w:t>
      </w:r>
      <w:r w:rsidRPr="0050237D">
        <w:rPr>
          <w:i/>
          <w:iCs/>
        </w:rPr>
        <w:t>Journal of Business and Financial Research</w:t>
      </w:r>
      <w:r w:rsidRPr="0050237D">
        <w:t>, 11(2), 98-114.</w:t>
      </w:r>
    </w:p>
    <w:p w14:paraId="2388E146" w14:textId="77777777" w:rsidR="000F7299" w:rsidRPr="0050237D" w:rsidRDefault="000F7299" w:rsidP="00832895">
      <w:pPr>
        <w:ind w:left="567" w:hanging="567"/>
        <w:jc w:val="both"/>
      </w:pPr>
    </w:p>
    <w:p w14:paraId="68F1B091" w14:textId="77777777" w:rsidR="000F7299" w:rsidRDefault="00832895" w:rsidP="00832895">
      <w:pPr>
        <w:ind w:left="567" w:hanging="567"/>
        <w:jc w:val="both"/>
      </w:pPr>
      <w:r w:rsidRPr="0050237D">
        <w:t xml:space="preserve">Patel, N., &amp; Kumar, A. (2022). Green research and development and its impact on value creation in Indian firms. </w:t>
      </w:r>
      <w:r w:rsidRPr="0050237D">
        <w:rPr>
          <w:i/>
          <w:iCs/>
        </w:rPr>
        <w:t>Indian Journal of Business Research, 19</w:t>
      </w:r>
      <w:r w:rsidRPr="0050237D">
        <w:t xml:space="preserve">(1), 79-92. </w:t>
      </w:r>
    </w:p>
    <w:p w14:paraId="51101514" w14:textId="77777777" w:rsidR="00122232" w:rsidRDefault="00122232" w:rsidP="00832895">
      <w:pPr>
        <w:ind w:left="567" w:hanging="567"/>
        <w:jc w:val="both"/>
      </w:pPr>
    </w:p>
    <w:p w14:paraId="77CD62F0" w14:textId="71058D5C" w:rsidR="00832895" w:rsidRDefault="00832895" w:rsidP="00832895">
      <w:pPr>
        <w:ind w:left="567" w:hanging="567"/>
        <w:jc w:val="both"/>
      </w:pPr>
      <w:r w:rsidRPr="0050237D">
        <w:t xml:space="preserve">Patel, R., Gupta, A., &amp; Kaur, S. (2024). The alignment of renewable energy investments with environmental sustainability goals: Evidence from emerging economies. </w:t>
      </w:r>
      <w:r w:rsidRPr="0050237D">
        <w:rPr>
          <w:i/>
          <w:iCs/>
        </w:rPr>
        <w:t>Environmental Science &amp; Policy</w:t>
      </w:r>
      <w:r w:rsidRPr="0050237D">
        <w:t xml:space="preserve">, 107, 25-34. </w:t>
      </w:r>
    </w:p>
    <w:p w14:paraId="741CA90C" w14:textId="77777777" w:rsidR="00122232" w:rsidRPr="0050237D" w:rsidRDefault="00122232" w:rsidP="00832895">
      <w:pPr>
        <w:ind w:left="567" w:hanging="567"/>
        <w:jc w:val="both"/>
      </w:pPr>
    </w:p>
    <w:p w14:paraId="1D598DF2" w14:textId="77777777" w:rsidR="00832895" w:rsidRPr="0050237D" w:rsidRDefault="00832895" w:rsidP="00832895">
      <w:pPr>
        <w:ind w:left="567" w:hanging="567"/>
        <w:jc w:val="both"/>
      </w:pPr>
      <w:r w:rsidRPr="0050237D">
        <w:t xml:space="preserve">Porter, M. E. (2022). </w:t>
      </w:r>
      <w:r w:rsidRPr="00122232">
        <w:t>Competitive advantage and sustainability: Revisiting strategy for a new era.</w:t>
      </w:r>
      <w:r w:rsidRPr="0050237D">
        <w:t xml:space="preserve"> </w:t>
      </w:r>
      <w:r w:rsidRPr="00122232">
        <w:rPr>
          <w:i/>
          <w:iCs/>
        </w:rPr>
        <w:t>Harvard Business Review, 100</w:t>
      </w:r>
      <w:r w:rsidRPr="0050237D">
        <w:t>(4), 40–56.</w:t>
      </w:r>
    </w:p>
    <w:p w14:paraId="0FA74107" w14:textId="01C414F3" w:rsidR="00832895" w:rsidRDefault="00832895" w:rsidP="00832895">
      <w:pPr>
        <w:ind w:left="567" w:hanging="567"/>
        <w:jc w:val="both"/>
      </w:pPr>
      <w:r w:rsidRPr="0050237D">
        <w:t xml:space="preserve">PwC. (2023). </w:t>
      </w:r>
      <w:r w:rsidRPr="0050237D">
        <w:rPr>
          <w:i/>
          <w:iCs/>
        </w:rPr>
        <w:t>Nigeria Economic Outlook: Reimagining the future</w:t>
      </w:r>
      <w:r w:rsidRPr="0050237D">
        <w:t xml:space="preserve">. </w:t>
      </w:r>
      <w:hyperlink r:id="rId15" w:history="1">
        <w:r w:rsidR="00122232" w:rsidRPr="00122232">
          <w:rPr>
            <w:rStyle w:val="Hyperlink"/>
            <w:u w:val="none"/>
          </w:rPr>
          <w:t>https://www.pwc.com/ng</w:t>
        </w:r>
      </w:hyperlink>
      <w:r w:rsidR="00122232">
        <w:t>.</w:t>
      </w:r>
    </w:p>
    <w:p w14:paraId="7EB298EB" w14:textId="77777777" w:rsidR="00122232" w:rsidRPr="0050237D" w:rsidRDefault="00122232" w:rsidP="00832895">
      <w:pPr>
        <w:ind w:left="567" w:hanging="567"/>
        <w:jc w:val="both"/>
      </w:pPr>
    </w:p>
    <w:p w14:paraId="1E76614B" w14:textId="4234839A" w:rsidR="00832895" w:rsidRDefault="00832895" w:rsidP="00832895">
      <w:pPr>
        <w:ind w:left="567" w:hanging="567"/>
        <w:jc w:val="both"/>
      </w:pPr>
      <w:r w:rsidRPr="0050237D">
        <w:t xml:space="preserve">PwC. (2024). </w:t>
      </w:r>
      <w:r w:rsidRPr="0050237D">
        <w:rPr>
          <w:i/>
          <w:iCs/>
        </w:rPr>
        <w:t>ESG reporting and regulatory reforms in Africa</w:t>
      </w:r>
      <w:r w:rsidRPr="0050237D">
        <w:t xml:space="preserve">. </w:t>
      </w:r>
      <w:hyperlink r:id="rId16" w:history="1">
        <w:r w:rsidR="00122232" w:rsidRPr="00122232">
          <w:rPr>
            <w:rStyle w:val="Hyperlink"/>
            <w:u w:val="none"/>
          </w:rPr>
          <w:t>https://www.pwc.com/ng</w:t>
        </w:r>
      </w:hyperlink>
      <w:r w:rsidR="00122232" w:rsidRPr="00122232">
        <w:t>.</w:t>
      </w:r>
    </w:p>
    <w:p w14:paraId="6E540668" w14:textId="77777777" w:rsidR="00122232" w:rsidRPr="0050237D" w:rsidRDefault="00122232" w:rsidP="00832895">
      <w:pPr>
        <w:ind w:left="567" w:hanging="567"/>
        <w:jc w:val="both"/>
      </w:pPr>
    </w:p>
    <w:p w14:paraId="3E7F331E" w14:textId="0F057612" w:rsidR="00832895" w:rsidRDefault="00832895" w:rsidP="00832895">
      <w:pPr>
        <w:ind w:left="567" w:hanging="567"/>
        <w:jc w:val="both"/>
      </w:pPr>
      <w:r w:rsidRPr="0050237D">
        <w:t xml:space="preserve">Roberts, L., &amp; Wang, T. (2023). Pollution control expenditures and financial performance in Canadian firms. </w:t>
      </w:r>
      <w:r w:rsidRPr="0050237D">
        <w:rPr>
          <w:i/>
          <w:iCs/>
        </w:rPr>
        <w:t>Journal of Environmental Management and Economics, 27</w:t>
      </w:r>
      <w:r w:rsidRPr="0050237D">
        <w:t xml:space="preserve">(5), 421-435. </w:t>
      </w:r>
    </w:p>
    <w:p w14:paraId="16ACB991" w14:textId="77777777" w:rsidR="00122232" w:rsidRPr="0050237D" w:rsidRDefault="00122232" w:rsidP="00832895">
      <w:pPr>
        <w:ind w:left="567" w:hanging="567"/>
        <w:jc w:val="both"/>
      </w:pPr>
    </w:p>
    <w:p w14:paraId="30D8DA92" w14:textId="60397974" w:rsidR="00832895" w:rsidRDefault="00832895" w:rsidP="00832895">
      <w:pPr>
        <w:ind w:left="567" w:hanging="567"/>
        <w:jc w:val="both"/>
      </w:pPr>
      <w:r w:rsidRPr="0050237D">
        <w:t xml:space="preserve">Salas-Molina, F., Rodríguez Aguilar, J. A., &amp; </w:t>
      </w:r>
      <w:proofErr w:type="spellStart"/>
      <w:r w:rsidRPr="0050237D">
        <w:t>Bistaffa</w:t>
      </w:r>
      <w:proofErr w:type="spellEnd"/>
      <w:r w:rsidRPr="0050237D">
        <w:t xml:space="preserve">, F. (2020). </w:t>
      </w:r>
      <w:r w:rsidRPr="0050237D">
        <w:rPr>
          <w:i/>
          <w:iCs/>
        </w:rPr>
        <w:t>Shared value economics: An axiomatic approach</w:t>
      </w:r>
      <w:r w:rsidRPr="0050237D">
        <w:t xml:space="preserve">. </w:t>
      </w:r>
      <w:proofErr w:type="spellStart"/>
      <w:r w:rsidRPr="0050237D">
        <w:t>ar</w:t>
      </w:r>
      <w:r w:rsidR="00E14614">
        <w:t>x</w:t>
      </w:r>
      <w:r w:rsidRPr="0050237D">
        <w:t>iv</w:t>
      </w:r>
      <w:proofErr w:type="spellEnd"/>
      <w:r w:rsidRPr="0050237D">
        <w:t xml:space="preserve"> preprint ar</w:t>
      </w:r>
      <w:r w:rsidR="00E14614">
        <w:t>x</w:t>
      </w:r>
      <w:r w:rsidRPr="0050237D">
        <w:t>iv:2006.00581.</w:t>
      </w:r>
    </w:p>
    <w:p w14:paraId="0A810779" w14:textId="77777777" w:rsidR="00420479" w:rsidRPr="0050237D" w:rsidRDefault="00420479" w:rsidP="00832895">
      <w:pPr>
        <w:ind w:left="567" w:hanging="567"/>
        <w:jc w:val="both"/>
      </w:pPr>
    </w:p>
    <w:p w14:paraId="0A45D042" w14:textId="17F54643" w:rsidR="00832895" w:rsidRDefault="00832895" w:rsidP="00832895">
      <w:pPr>
        <w:ind w:left="567" w:hanging="567"/>
        <w:jc w:val="both"/>
      </w:pPr>
      <w:r w:rsidRPr="0050237D">
        <w:t xml:space="preserve">Sharma, A., Gupta, D., &amp; Kumar, P. (2023). Investment in renewable energy as a catalyst for sustainable development in developing nations. </w:t>
      </w:r>
      <w:r w:rsidRPr="0050237D">
        <w:rPr>
          <w:i/>
          <w:iCs/>
        </w:rPr>
        <w:t>Energy Policy</w:t>
      </w:r>
      <w:r w:rsidRPr="0050237D">
        <w:t xml:space="preserve">, 162, 112766. </w:t>
      </w:r>
    </w:p>
    <w:p w14:paraId="72E3C9E5" w14:textId="77777777" w:rsidR="00E14614" w:rsidRPr="0050237D" w:rsidRDefault="00E14614" w:rsidP="00832895">
      <w:pPr>
        <w:ind w:left="567" w:hanging="567"/>
        <w:jc w:val="both"/>
      </w:pPr>
    </w:p>
    <w:p w14:paraId="335336D0" w14:textId="77777777" w:rsidR="00832895" w:rsidRDefault="00832895" w:rsidP="00832895">
      <w:pPr>
        <w:ind w:left="567" w:hanging="567"/>
        <w:jc w:val="both"/>
      </w:pPr>
      <w:r w:rsidRPr="0050237D">
        <w:t xml:space="preserve">Singh, R., &amp; Agarwal, P. (2022). </w:t>
      </w:r>
      <w:r w:rsidRPr="00E14614">
        <w:t>Sustainability reporting and financial performance of Indian corporates.</w:t>
      </w:r>
      <w:r w:rsidRPr="0050237D">
        <w:t xml:space="preserve"> </w:t>
      </w:r>
      <w:r w:rsidRPr="00E14614">
        <w:rPr>
          <w:i/>
          <w:iCs/>
        </w:rPr>
        <w:t>Journal of Financial Reporting and Accounting, 20</w:t>
      </w:r>
      <w:r w:rsidRPr="0050237D">
        <w:t>(1), 112–129.</w:t>
      </w:r>
    </w:p>
    <w:p w14:paraId="55853569" w14:textId="77777777" w:rsidR="00E14614" w:rsidRPr="0050237D" w:rsidRDefault="00E14614" w:rsidP="00832895">
      <w:pPr>
        <w:ind w:left="567" w:hanging="567"/>
        <w:jc w:val="both"/>
      </w:pPr>
    </w:p>
    <w:p w14:paraId="1A6AA44E" w14:textId="77777777" w:rsidR="00832895" w:rsidRDefault="00832895" w:rsidP="00832895">
      <w:pPr>
        <w:ind w:left="567" w:hanging="567"/>
        <w:jc w:val="both"/>
      </w:pPr>
      <w:r w:rsidRPr="0050237D">
        <w:t xml:space="preserve">Smith, A. P., Turner, C. J., &amp; Ward, T. (2021). </w:t>
      </w:r>
      <w:r w:rsidRPr="00E14614">
        <w:t>Green research and development expenditure and the transition to sustainable energy systems in Europe.</w:t>
      </w:r>
      <w:r w:rsidRPr="0050237D">
        <w:t xml:space="preserve"> </w:t>
      </w:r>
      <w:r w:rsidRPr="00E14614">
        <w:rPr>
          <w:i/>
          <w:iCs/>
        </w:rPr>
        <w:t>Energy Policy, 149</w:t>
      </w:r>
      <w:r w:rsidRPr="0050237D">
        <w:t xml:space="preserve">, 112-122. </w:t>
      </w:r>
    </w:p>
    <w:p w14:paraId="3BFCECA0" w14:textId="77777777" w:rsidR="00E14614" w:rsidRPr="0050237D" w:rsidRDefault="00E14614" w:rsidP="00832895">
      <w:pPr>
        <w:ind w:left="567" w:hanging="567"/>
        <w:jc w:val="both"/>
      </w:pPr>
    </w:p>
    <w:p w14:paraId="6657DA6E" w14:textId="77777777" w:rsidR="00832895" w:rsidRDefault="00832895" w:rsidP="00832895">
      <w:pPr>
        <w:ind w:left="567" w:hanging="567"/>
        <w:jc w:val="both"/>
      </w:pPr>
      <w:r w:rsidRPr="0050237D">
        <w:t xml:space="preserve">Smith, R., &amp; Thompson, L. (2022). Corporate sustainability initiatives and competitive advantage: A meta-analysis. </w:t>
      </w:r>
      <w:r w:rsidRPr="0050237D">
        <w:rPr>
          <w:i/>
          <w:iCs/>
        </w:rPr>
        <w:t>Strategic Management Review, 35</w:t>
      </w:r>
      <w:r w:rsidRPr="0050237D">
        <w:t>(1), 112–135.</w:t>
      </w:r>
    </w:p>
    <w:p w14:paraId="264F165E" w14:textId="77777777" w:rsidR="00EE05E9" w:rsidRPr="0050237D" w:rsidRDefault="00EE05E9" w:rsidP="00832895">
      <w:pPr>
        <w:ind w:left="567" w:hanging="567"/>
        <w:jc w:val="both"/>
      </w:pPr>
    </w:p>
    <w:p w14:paraId="5363A70B" w14:textId="77777777" w:rsidR="00832895" w:rsidRDefault="00832895" w:rsidP="00832895">
      <w:pPr>
        <w:ind w:left="567" w:hanging="567"/>
        <w:jc w:val="both"/>
      </w:pPr>
      <w:r w:rsidRPr="0050237D">
        <w:t>Smith, T., &amp; Johnson, H. (2021</w:t>
      </w:r>
      <w:r w:rsidRPr="0050237D">
        <w:rPr>
          <w:i/>
          <w:iCs/>
        </w:rPr>
        <w:t xml:space="preserve">). </w:t>
      </w:r>
      <w:r w:rsidRPr="00EE05E9">
        <w:t>Strategic investments for environmental sustainability: Bridging the financial gap</w:t>
      </w:r>
      <w:r w:rsidRPr="0050237D">
        <w:rPr>
          <w:i/>
          <w:iCs/>
        </w:rPr>
        <w:t>.</w:t>
      </w:r>
      <w:r w:rsidRPr="0050237D">
        <w:t xml:space="preserve"> </w:t>
      </w:r>
      <w:r w:rsidRPr="0050237D">
        <w:rPr>
          <w:i/>
          <w:iCs/>
        </w:rPr>
        <w:t>Journal of Sustainable Finance &amp; Investment, 9</w:t>
      </w:r>
      <w:r w:rsidRPr="0050237D">
        <w:t>(1), 45-58.</w:t>
      </w:r>
    </w:p>
    <w:p w14:paraId="5031499B" w14:textId="77777777" w:rsidR="00EE05E9" w:rsidRDefault="00EE05E9" w:rsidP="00832895">
      <w:pPr>
        <w:ind w:left="567" w:hanging="567"/>
        <w:jc w:val="both"/>
      </w:pPr>
    </w:p>
    <w:p w14:paraId="3CA555A3" w14:textId="0DE19A5A" w:rsidR="00760D1B" w:rsidRDefault="00760D1B" w:rsidP="00832895">
      <w:pPr>
        <w:ind w:left="567" w:hanging="567"/>
        <w:jc w:val="both"/>
      </w:pPr>
      <w:r w:rsidRPr="00760D1B">
        <w:lastRenderedPageBreak/>
        <w:t xml:space="preserve">Spence, M. (1973). Job market </w:t>
      </w:r>
      <w:proofErr w:type="spellStart"/>
      <w:r w:rsidRPr="00760D1B">
        <w:t>signaling</w:t>
      </w:r>
      <w:proofErr w:type="spellEnd"/>
      <w:r w:rsidRPr="00760D1B">
        <w:t xml:space="preserve">. </w:t>
      </w:r>
      <w:r w:rsidRPr="00760D1B">
        <w:rPr>
          <w:i/>
          <w:iCs/>
        </w:rPr>
        <w:t>The Quarterly Journal of Economics, 87</w:t>
      </w:r>
      <w:r w:rsidRPr="00760D1B">
        <w:t xml:space="preserve">(3), 355–374. </w:t>
      </w:r>
    </w:p>
    <w:p w14:paraId="2FC777F6" w14:textId="77777777" w:rsidR="00EE05E9" w:rsidRPr="0050237D" w:rsidRDefault="00EE05E9" w:rsidP="00832895">
      <w:pPr>
        <w:ind w:left="567" w:hanging="567"/>
        <w:jc w:val="both"/>
      </w:pPr>
    </w:p>
    <w:p w14:paraId="310C3F38" w14:textId="1251EC97" w:rsidR="00832895" w:rsidRDefault="00832895" w:rsidP="00832895">
      <w:pPr>
        <w:ind w:left="567" w:hanging="567"/>
        <w:jc w:val="both"/>
      </w:pPr>
      <w:r w:rsidRPr="0050237D">
        <w:t xml:space="preserve">Spence, M. (2022). Market </w:t>
      </w:r>
      <w:proofErr w:type="spellStart"/>
      <w:r w:rsidRPr="0050237D">
        <w:t>signaling</w:t>
      </w:r>
      <w:proofErr w:type="spellEnd"/>
      <w:r w:rsidRPr="0050237D">
        <w:t xml:space="preserve"> and corporate sustainability investments: The role of information asymmetry. </w:t>
      </w:r>
      <w:r w:rsidRPr="0050237D">
        <w:rPr>
          <w:i/>
          <w:iCs/>
        </w:rPr>
        <w:t>Strategic Finance Journal, 29</w:t>
      </w:r>
      <w:r w:rsidRPr="0050237D">
        <w:t xml:space="preserve">(2), 72-94. </w:t>
      </w:r>
    </w:p>
    <w:p w14:paraId="27E6D3B0" w14:textId="77777777" w:rsidR="00EE05E9" w:rsidRPr="0050237D" w:rsidRDefault="00EE05E9" w:rsidP="00832895">
      <w:pPr>
        <w:ind w:left="567" w:hanging="567"/>
        <w:jc w:val="both"/>
      </w:pPr>
    </w:p>
    <w:p w14:paraId="3DE2023D" w14:textId="77777777" w:rsidR="00832895" w:rsidRDefault="00832895" w:rsidP="00832895">
      <w:pPr>
        <w:ind w:left="567" w:hanging="567"/>
        <w:jc w:val="both"/>
      </w:pPr>
      <w:r w:rsidRPr="0050237D">
        <w:t xml:space="preserve">Spence, M. (2022). Market </w:t>
      </w:r>
      <w:proofErr w:type="spellStart"/>
      <w:r w:rsidRPr="0050237D">
        <w:t>signaling</w:t>
      </w:r>
      <w:proofErr w:type="spellEnd"/>
      <w:r w:rsidRPr="0050237D">
        <w:t xml:space="preserve"> and environmental performance: A theoretical framework. </w:t>
      </w:r>
      <w:r w:rsidRPr="0050237D">
        <w:rPr>
          <w:i/>
          <w:iCs/>
        </w:rPr>
        <w:t>Economic Perspectives on Sustainability</w:t>
      </w:r>
      <w:r w:rsidRPr="0050237D">
        <w:t xml:space="preserve">, </w:t>
      </w:r>
      <w:r w:rsidRPr="00EE05E9">
        <w:rPr>
          <w:i/>
          <w:iCs/>
        </w:rPr>
        <w:t>22</w:t>
      </w:r>
      <w:r w:rsidRPr="0050237D">
        <w:t>(4), 90–108.</w:t>
      </w:r>
    </w:p>
    <w:p w14:paraId="75B50608" w14:textId="77777777" w:rsidR="00EE05E9" w:rsidRPr="0050237D" w:rsidRDefault="00EE05E9" w:rsidP="00832895">
      <w:pPr>
        <w:ind w:left="567" w:hanging="567"/>
        <w:jc w:val="both"/>
      </w:pPr>
    </w:p>
    <w:p w14:paraId="227CAF29" w14:textId="77777777" w:rsidR="00832895" w:rsidRDefault="00832895" w:rsidP="00832895">
      <w:pPr>
        <w:ind w:left="567" w:hanging="567"/>
        <w:jc w:val="both"/>
      </w:pPr>
      <w:r w:rsidRPr="0050237D">
        <w:t xml:space="preserve">Sroka, W., &amp; Szántó, R. (2021). Corporate social responsibility and business ethics in sustainable development. </w:t>
      </w:r>
      <w:r w:rsidRPr="0050237D">
        <w:rPr>
          <w:i/>
          <w:iCs/>
        </w:rPr>
        <w:t>Sustainability, 13</w:t>
      </w:r>
      <w:r w:rsidRPr="0050237D">
        <w:t>(12), 6554.</w:t>
      </w:r>
    </w:p>
    <w:p w14:paraId="13AC1452" w14:textId="77777777" w:rsidR="00EE05E9" w:rsidRPr="0050237D" w:rsidRDefault="00EE05E9" w:rsidP="00832895">
      <w:pPr>
        <w:ind w:left="567" w:hanging="567"/>
        <w:jc w:val="both"/>
      </w:pPr>
    </w:p>
    <w:p w14:paraId="245878EF" w14:textId="77777777" w:rsidR="00832895" w:rsidRDefault="00832895" w:rsidP="00832895">
      <w:pPr>
        <w:ind w:left="567" w:hanging="567"/>
        <w:jc w:val="both"/>
      </w:pPr>
      <w:r w:rsidRPr="0050237D">
        <w:t xml:space="preserve">Stewart, G. B. (2021). </w:t>
      </w:r>
      <w:r w:rsidRPr="0050237D">
        <w:rPr>
          <w:i/>
          <w:iCs/>
        </w:rPr>
        <w:t>The Quest for Value: A Guide for Senior Managers</w:t>
      </w:r>
      <w:r w:rsidRPr="0050237D">
        <w:t>. HarperCollins.</w:t>
      </w:r>
    </w:p>
    <w:p w14:paraId="13396CA0" w14:textId="77777777" w:rsidR="00EE05E9" w:rsidRPr="0050237D" w:rsidRDefault="00EE05E9" w:rsidP="00832895">
      <w:pPr>
        <w:ind w:left="567" w:hanging="567"/>
        <w:jc w:val="both"/>
      </w:pPr>
    </w:p>
    <w:p w14:paraId="712435C6" w14:textId="77777777" w:rsidR="00832895" w:rsidRPr="0050237D" w:rsidRDefault="00832895" w:rsidP="00832895">
      <w:pPr>
        <w:ind w:left="567" w:hanging="567"/>
        <w:jc w:val="both"/>
      </w:pPr>
      <w:r w:rsidRPr="0050237D">
        <w:t xml:space="preserve">Stewart, J., &amp; Andrews, M. (2024). Corporate ESG strategies and market performance. </w:t>
      </w:r>
      <w:r w:rsidRPr="0050237D">
        <w:rPr>
          <w:i/>
          <w:iCs/>
        </w:rPr>
        <w:t>International Journal of Finance &amp; Economics, 29</w:t>
      </w:r>
      <w:r w:rsidRPr="0050237D">
        <w:t>(1), 211–228.</w:t>
      </w:r>
    </w:p>
    <w:p w14:paraId="152FDBAD" w14:textId="77777777" w:rsidR="00832895" w:rsidRDefault="00832895" w:rsidP="00832895">
      <w:pPr>
        <w:ind w:left="567" w:hanging="567"/>
        <w:jc w:val="both"/>
      </w:pPr>
      <w:r w:rsidRPr="0050237D">
        <w:t xml:space="preserve">Sundari, A., Rozi, A. F., </w:t>
      </w:r>
      <w:proofErr w:type="spellStart"/>
      <w:r w:rsidRPr="0050237D">
        <w:t>Bilgies</w:t>
      </w:r>
      <w:proofErr w:type="spellEnd"/>
      <w:r w:rsidRPr="0050237D">
        <w:t xml:space="preserve">, A. F., Muhajir, A., &amp; </w:t>
      </w:r>
      <w:proofErr w:type="spellStart"/>
      <w:r w:rsidRPr="0050237D">
        <w:t>Anggraini</w:t>
      </w:r>
      <w:proofErr w:type="spellEnd"/>
      <w:r w:rsidRPr="0050237D">
        <w:t xml:space="preserve">, N. M. (2023). Financial performance analysis using economic value added and market value added Methods. </w:t>
      </w:r>
      <w:r w:rsidRPr="0050237D">
        <w:rPr>
          <w:i/>
          <w:iCs/>
        </w:rPr>
        <w:t>Journal of Tourism Economics and Policy</w:t>
      </w:r>
      <w:r w:rsidRPr="0050237D">
        <w:t>, 3(1), 42-48.</w:t>
      </w:r>
    </w:p>
    <w:p w14:paraId="7C550F53" w14:textId="77777777" w:rsidR="00EE05E9" w:rsidRPr="0050237D" w:rsidRDefault="00EE05E9" w:rsidP="00832895">
      <w:pPr>
        <w:ind w:left="567" w:hanging="567"/>
        <w:jc w:val="both"/>
      </w:pPr>
    </w:p>
    <w:p w14:paraId="680B414E" w14:textId="6639EFB7" w:rsidR="00832895" w:rsidRPr="00EE05E9" w:rsidRDefault="00832895" w:rsidP="00832895">
      <w:pPr>
        <w:ind w:left="567" w:hanging="567"/>
        <w:jc w:val="both"/>
      </w:pPr>
      <w:r w:rsidRPr="0050237D">
        <w:t xml:space="preserve">UNDP. (2022). </w:t>
      </w:r>
      <w:r w:rsidRPr="0050237D">
        <w:rPr>
          <w:i/>
          <w:iCs/>
        </w:rPr>
        <w:t>SDG Financing Lab: Mobilizing sustainable investment in developing countries</w:t>
      </w:r>
      <w:r w:rsidRPr="0050237D">
        <w:t xml:space="preserve">. </w:t>
      </w:r>
      <w:hyperlink r:id="rId17" w:tgtFrame="_new" w:history="1">
        <w:r w:rsidRPr="00EE05E9">
          <w:rPr>
            <w:rStyle w:val="Hyperlink"/>
            <w:u w:val="none"/>
          </w:rPr>
          <w:t>https://www.undp.org</w:t>
        </w:r>
      </w:hyperlink>
      <w:r w:rsidR="00EE05E9" w:rsidRPr="00EE05E9">
        <w:t>.</w:t>
      </w:r>
    </w:p>
    <w:p w14:paraId="51697E48" w14:textId="77777777" w:rsidR="00EE05E9" w:rsidRPr="0050237D" w:rsidRDefault="00EE05E9" w:rsidP="00832895">
      <w:pPr>
        <w:ind w:left="567" w:hanging="567"/>
        <w:jc w:val="both"/>
      </w:pPr>
    </w:p>
    <w:p w14:paraId="12D535CA" w14:textId="77777777" w:rsidR="00832895" w:rsidRDefault="00832895" w:rsidP="00832895">
      <w:pPr>
        <w:ind w:left="567" w:hanging="567"/>
        <w:jc w:val="both"/>
      </w:pPr>
      <w:proofErr w:type="spellStart"/>
      <w:r w:rsidRPr="0050237D">
        <w:t>Unegbu</w:t>
      </w:r>
      <w:proofErr w:type="spellEnd"/>
      <w:r w:rsidRPr="0050237D">
        <w:t xml:space="preserve">, A. O., &amp; Amah, S. (2024). The effect of ESG compliance on capital access in emerging markets. </w:t>
      </w:r>
      <w:r w:rsidRPr="0050237D">
        <w:rPr>
          <w:i/>
          <w:iCs/>
        </w:rPr>
        <w:t>Nigerian Journal of Accounting Research, 16</w:t>
      </w:r>
      <w:r w:rsidRPr="0050237D">
        <w:t>(1), 58–75.</w:t>
      </w:r>
    </w:p>
    <w:p w14:paraId="469B58E0" w14:textId="77777777" w:rsidR="00EE05E9" w:rsidRPr="0050237D" w:rsidRDefault="00EE05E9" w:rsidP="00832895">
      <w:pPr>
        <w:ind w:left="567" w:hanging="567"/>
        <w:jc w:val="both"/>
      </w:pPr>
    </w:p>
    <w:p w14:paraId="187D41CE" w14:textId="77777777" w:rsidR="00832895" w:rsidRDefault="00832895" w:rsidP="00832895">
      <w:pPr>
        <w:ind w:left="567" w:hanging="567"/>
        <w:jc w:val="both"/>
      </w:pPr>
      <w:r w:rsidRPr="0050237D">
        <w:t>Williams, M., &amp; Clark, E. (2021</w:t>
      </w:r>
      <w:r w:rsidRPr="0050237D">
        <w:rPr>
          <w:i/>
          <w:iCs/>
        </w:rPr>
        <w:t>). Investing in sustainable growth: The role of green finance in promoting environmental sustainability</w:t>
      </w:r>
      <w:r w:rsidRPr="0050237D">
        <w:t xml:space="preserve">. </w:t>
      </w:r>
      <w:r w:rsidRPr="0050237D">
        <w:rPr>
          <w:i/>
          <w:iCs/>
        </w:rPr>
        <w:t>Journal of Environmental Economics and Policy, 14</w:t>
      </w:r>
      <w:r w:rsidRPr="0050237D">
        <w:t>(3), 233-245.</w:t>
      </w:r>
    </w:p>
    <w:p w14:paraId="26DB059F" w14:textId="77777777" w:rsidR="00EE05E9" w:rsidRPr="0050237D" w:rsidRDefault="00EE05E9" w:rsidP="00832895">
      <w:pPr>
        <w:ind w:left="567" w:hanging="567"/>
        <w:jc w:val="both"/>
      </w:pPr>
    </w:p>
    <w:p w14:paraId="185230E3" w14:textId="3B735D2F" w:rsidR="00832895" w:rsidRDefault="00832895" w:rsidP="00832895">
      <w:pPr>
        <w:ind w:left="567" w:hanging="567"/>
        <w:jc w:val="both"/>
      </w:pPr>
      <w:r w:rsidRPr="0050237D">
        <w:t xml:space="preserve">World Bank. (2022). </w:t>
      </w:r>
      <w:r w:rsidRPr="0050237D">
        <w:rPr>
          <w:i/>
          <w:iCs/>
        </w:rPr>
        <w:t>Nigeria development update: The continuing urgency of business reforms</w:t>
      </w:r>
      <w:r w:rsidRPr="0050237D">
        <w:t xml:space="preserve">. </w:t>
      </w:r>
      <w:hyperlink r:id="rId18" w:tgtFrame="_new" w:history="1">
        <w:r w:rsidRPr="00EE05E9">
          <w:rPr>
            <w:rStyle w:val="Hyperlink"/>
            <w:u w:val="none"/>
          </w:rPr>
          <w:t>https://www.worldbank.org</w:t>
        </w:r>
      </w:hyperlink>
      <w:r w:rsidR="00EE05E9">
        <w:t>.</w:t>
      </w:r>
    </w:p>
    <w:p w14:paraId="20342A8E" w14:textId="77777777" w:rsidR="00EE05E9" w:rsidRPr="00EE05E9" w:rsidRDefault="00EE05E9" w:rsidP="00832895">
      <w:pPr>
        <w:ind w:left="567" w:hanging="567"/>
        <w:jc w:val="both"/>
      </w:pPr>
    </w:p>
    <w:p w14:paraId="242A3F05" w14:textId="0C514A2D" w:rsidR="00832895" w:rsidRDefault="00832895" w:rsidP="00832895">
      <w:pPr>
        <w:ind w:left="567" w:hanging="567"/>
        <w:jc w:val="both"/>
      </w:pPr>
      <w:r w:rsidRPr="0050237D">
        <w:t xml:space="preserve">World Bank. (2023). </w:t>
      </w:r>
      <w:r w:rsidRPr="0050237D">
        <w:rPr>
          <w:i/>
          <w:iCs/>
        </w:rPr>
        <w:t>Green financing in Africa: Unlocking sustainable investment</w:t>
      </w:r>
      <w:r w:rsidRPr="0050237D">
        <w:t xml:space="preserve">. </w:t>
      </w:r>
      <w:hyperlink r:id="rId19" w:tgtFrame="_new" w:history="1">
        <w:r w:rsidRPr="00EE05E9">
          <w:rPr>
            <w:rStyle w:val="Hyperlink"/>
            <w:u w:val="none"/>
          </w:rPr>
          <w:t>https://www.worldbank.org</w:t>
        </w:r>
      </w:hyperlink>
      <w:r w:rsidR="00EE05E9">
        <w:t>.</w:t>
      </w:r>
    </w:p>
    <w:p w14:paraId="3CC4B14E" w14:textId="77777777" w:rsidR="00EE05E9" w:rsidRPr="0050237D" w:rsidRDefault="00EE05E9" w:rsidP="00832895">
      <w:pPr>
        <w:ind w:left="567" w:hanging="567"/>
        <w:jc w:val="both"/>
      </w:pPr>
    </w:p>
    <w:p w14:paraId="03C07265" w14:textId="77777777" w:rsidR="00832895" w:rsidRDefault="00832895" w:rsidP="00832895">
      <w:pPr>
        <w:ind w:left="567" w:hanging="567"/>
        <w:jc w:val="both"/>
      </w:pPr>
      <w:r w:rsidRPr="0050237D">
        <w:t xml:space="preserve">Zeng, S., &amp; Ding, Y. (2023). The role of environmental certification in driving sustainable business models in China and Africa. </w:t>
      </w:r>
      <w:r w:rsidRPr="0050237D">
        <w:rPr>
          <w:i/>
          <w:iCs/>
        </w:rPr>
        <w:t>Journal of Business Ethics, 179</w:t>
      </w:r>
      <w:r w:rsidRPr="0050237D">
        <w:t xml:space="preserve">(2), 407-419. </w:t>
      </w:r>
    </w:p>
    <w:p w14:paraId="102BD256" w14:textId="77777777" w:rsidR="00EE05E9" w:rsidRPr="0050237D" w:rsidRDefault="00EE05E9" w:rsidP="00832895">
      <w:pPr>
        <w:ind w:left="567" w:hanging="567"/>
        <w:jc w:val="both"/>
      </w:pPr>
    </w:p>
    <w:p w14:paraId="3E5B79EB" w14:textId="08F13C6D" w:rsidR="00832895" w:rsidRPr="008D7A52" w:rsidRDefault="00832895" w:rsidP="00832895">
      <w:pPr>
        <w:spacing w:after="240"/>
        <w:jc w:val="both"/>
        <w:rPr>
          <w:b/>
          <w:bCs/>
        </w:rPr>
      </w:pPr>
      <w:r w:rsidRPr="0050237D">
        <w:t xml:space="preserve">Zhang, W., &amp; Li, F. (2022). Environmental certification and compliance costs: Impacts on value creation in Chinese firms. </w:t>
      </w:r>
      <w:r w:rsidRPr="0050237D">
        <w:rPr>
          <w:i/>
          <w:iCs/>
        </w:rPr>
        <w:t>Asian journal of corporate sustainability, 10</w:t>
      </w:r>
      <w:r w:rsidRPr="0050237D">
        <w:t xml:space="preserve">(3), 301-314. </w:t>
      </w:r>
    </w:p>
    <w:p w14:paraId="24F3FF1B" w14:textId="77777777" w:rsidR="00832895" w:rsidRDefault="00832895" w:rsidP="006F10A3">
      <w:pPr>
        <w:rPr>
          <w:b/>
          <w:bCs/>
        </w:rPr>
      </w:pPr>
    </w:p>
    <w:p w14:paraId="5590EE5A" w14:textId="77777777" w:rsidR="00832895" w:rsidRDefault="00832895" w:rsidP="006F10A3">
      <w:pPr>
        <w:rPr>
          <w:b/>
          <w:bCs/>
        </w:rPr>
      </w:pPr>
    </w:p>
    <w:p w14:paraId="1FCEB4B9" w14:textId="77777777" w:rsidR="00832895" w:rsidRDefault="00832895" w:rsidP="006F10A3">
      <w:pPr>
        <w:rPr>
          <w:b/>
          <w:bCs/>
        </w:rPr>
      </w:pPr>
    </w:p>
    <w:p w14:paraId="5DB68593" w14:textId="77777777" w:rsidR="00832895" w:rsidRDefault="00832895" w:rsidP="006F10A3">
      <w:pPr>
        <w:rPr>
          <w:b/>
          <w:bCs/>
        </w:rPr>
      </w:pPr>
    </w:p>
    <w:p w14:paraId="36000B2B" w14:textId="77777777" w:rsidR="00832895" w:rsidRDefault="00832895" w:rsidP="006F10A3">
      <w:pPr>
        <w:rPr>
          <w:b/>
          <w:bCs/>
        </w:rPr>
      </w:pPr>
    </w:p>
    <w:p w14:paraId="6EC12130" w14:textId="77777777" w:rsidR="00832895" w:rsidRDefault="00832895" w:rsidP="006F10A3">
      <w:pPr>
        <w:rPr>
          <w:b/>
          <w:bCs/>
        </w:rPr>
      </w:pPr>
    </w:p>
    <w:p w14:paraId="17939FDA" w14:textId="77777777" w:rsidR="00832895" w:rsidRDefault="00832895" w:rsidP="006F10A3">
      <w:pPr>
        <w:rPr>
          <w:b/>
          <w:bCs/>
        </w:rPr>
      </w:pPr>
    </w:p>
    <w:p w14:paraId="0977A446" w14:textId="77777777" w:rsidR="00993CA4" w:rsidRDefault="00993CA4" w:rsidP="006F10A3">
      <w:pPr>
        <w:rPr>
          <w:b/>
          <w:bCs/>
        </w:rPr>
      </w:pPr>
    </w:p>
    <w:p w14:paraId="049FD45C" w14:textId="77777777" w:rsidR="00993CA4" w:rsidRDefault="00993CA4" w:rsidP="006F10A3">
      <w:pPr>
        <w:rPr>
          <w:b/>
          <w:bCs/>
        </w:rPr>
      </w:pPr>
    </w:p>
    <w:p w14:paraId="2F7FA5FF" w14:textId="77777777" w:rsidR="00993CA4" w:rsidRDefault="00993CA4" w:rsidP="006F10A3">
      <w:pPr>
        <w:rPr>
          <w:b/>
          <w:bCs/>
        </w:rPr>
      </w:pPr>
    </w:p>
    <w:p w14:paraId="33D6F45F" w14:textId="59827EA6" w:rsidR="006F10A3" w:rsidRDefault="006F10A3" w:rsidP="006F10A3">
      <w:pPr>
        <w:rPr>
          <w:b/>
          <w:bCs/>
        </w:rPr>
      </w:pPr>
      <w:r w:rsidRPr="008D7A52">
        <w:rPr>
          <w:b/>
          <w:bCs/>
        </w:rPr>
        <w:lastRenderedPageBreak/>
        <w:t>Appendix 1</w:t>
      </w:r>
    </w:p>
    <w:p w14:paraId="1D3B57F7" w14:textId="77777777" w:rsidR="00832895" w:rsidRPr="008D7A52" w:rsidRDefault="00832895" w:rsidP="006F10A3">
      <w:pPr>
        <w:rPr>
          <w:b/>
          <w:bCs/>
        </w:rPr>
      </w:pPr>
    </w:p>
    <w:p w14:paraId="5869B674" w14:textId="77777777" w:rsidR="006F10A3" w:rsidRPr="008D7A52" w:rsidRDefault="006F10A3" w:rsidP="006F10A3">
      <w:pPr>
        <w:rPr>
          <w:b/>
          <w:bCs/>
        </w:rPr>
      </w:pPr>
      <w:r w:rsidRPr="008D7A52">
        <w:rPr>
          <w:b/>
          <w:bCs/>
        </w:rPr>
        <w:t>Sample Size of the Study</w:t>
      </w:r>
    </w:p>
    <w:p w14:paraId="6A896717" w14:textId="77777777" w:rsidR="006F10A3" w:rsidRPr="008D7A52" w:rsidRDefault="006F10A3" w:rsidP="006F10A3">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669"/>
        <w:gridCol w:w="2485"/>
        <w:gridCol w:w="986"/>
        <w:gridCol w:w="4216"/>
      </w:tblGrid>
      <w:tr w:rsidR="008D7A52" w:rsidRPr="008D7A52" w14:paraId="12EF1CCA" w14:textId="77777777" w:rsidTr="0059414F">
        <w:trPr>
          <w:trHeight w:val="315"/>
        </w:trPr>
        <w:tc>
          <w:tcPr>
            <w:tcW w:w="670" w:type="dxa"/>
            <w:tcBorders>
              <w:bottom w:val="single" w:sz="4" w:space="0" w:color="auto"/>
            </w:tcBorders>
            <w:noWrap/>
            <w:hideMark/>
          </w:tcPr>
          <w:p w14:paraId="3444CD39" w14:textId="77777777" w:rsidR="006F10A3" w:rsidRPr="008D7A52" w:rsidRDefault="006F10A3" w:rsidP="0059414F">
            <w:pPr>
              <w:rPr>
                <w:b/>
                <w:bCs/>
                <w:sz w:val="20"/>
                <w:szCs w:val="20"/>
              </w:rPr>
            </w:pPr>
            <w:r w:rsidRPr="008D7A52">
              <w:rPr>
                <w:b/>
                <w:bCs/>
                <w:sz w:val="20"/>
                <w:szCs w:val="20"/>
              </w:rPr>
              <w:t>S/N</w:t>
            </w:r>
          </w:p>
        </w:tc>
        <w:tc>
          <w:tcPr>
            <w:tcW w:w="669" w:type="dxa"/>
            <w:tcBorders>
              <w:bottom w:val="single" w:sz="4" w:space="0" w:color="auto"/>
            </w:tcBorders>
            <w:noWrap/>
            <w:hideMark/>
          </w:tcPr>
          <w:p w14:paraId="4E81E4D0" w14:textId="77777777" w:rsidR="006F10A3" w:rsidRPr="008D7A52" w:rsidRDefault="006F10A3" w:rsidP="0059414F">
            <w:pPr>
              <w:rPr>
                <w:b/>
                <w:bCs/>
                <w:sz w:val="20"/>
                <w:szCs w:val="20"/>
              </w:rPr>
            </w:pPr>
            <w:r w:rsidRPr="008D7A52">
              <w:rPr>
                <w:b/>
                <w:bCs/>
                <w:sz w:val="20"/>
                <w:szCs w:val="20"/>
              </w:rPr>
              <w:t> </w:t>
            </w:r>
          </w:p>
        </w:tc>
        <w:tc>
          <w:tcPr>
            <w:tcW w:w="2485" w:type="dxa"/>
            <w:tcBorders>
              <w:bottom w:val="single" w:sz="4" w:space="0" w:color="auto"/>
            </w:tcBorders>
            <w:noWrap/>
            <w:hideMark/>
          </w:tcPr>
          <w:p w14:paraId="6833E8FC" w14:textId="77777777" w:rsidR="006F10A3" w:rsidRPr="008D7A52" w:rsidRDefault="006F10A3" w:rsidP="0059414F">
            <w:pPr>
              <w:rPr>
                <w:b/>
                <w:bCs/>
                <w:sz w:val="20"/>
                <w:szCs w:val="20"/>
              </w:rPr>
            </w:pPr>
            <w:r w:rsidRPr="008D7A52">
              <w:rPr>
                <w:b/>
                <w:bCs/>
                <w:sz w:val="20"/>
                <w:szCs w:val="20"/>
              </w:rPr>
              <w:t>CODE</w:t>
            </w:r>
          </w:p>
        </w:tc>
        <w:tc>
          <w:tcPr>
            <w:tcW w:w="986" w:type="dxa"/>
            <w:tcBorders>
              <w:bottom w:val="single" w:sz="4" w:space="0" w:color="auto"/>
            </w:tcBorders>
            <w:noWrap/>
            <w:hideMark/>
          </w:tcPr>
          <w:p w14:paraId="2A7DFB31" w14:textId="77777777" w:rsidR="006F10A3" w:rsidRPr="008D7A52" w:rsidRDefault="006F10A3" w:rsidP="0059414F">
            <w:pPr>
              <w:rPr>
                <w:b/>
                <w:bCs/>
                <w:sz w:val="20"/>
                <w:szCs w:val="20"/>
              </w:rPr>
            </w:pPr>
            <w:r w:rsidRPr="008D7A52">
              <w:rPr>
                <w:b/>
                <w:bCs/>
                <w:sz w:val="20"/>
                <w:szCs w:val="20"/>
              </w:rPr>
              <w:t>CODE</w:t>
            </w:r>
          </w:p>
        </w:tc>
        <w:tc>
          <w:tcPr>
            <w:tcW w:w="4216" w:type="dxa"/>
            <w:tcBorders>
              <w:bottom w:val="single" w:sz="4" w:space="0" w:color="auto"/>
            </w:tcBorders>
            <w:noWrap/>
            <w:hideMark/>
          </w:tcPr>
          <w:p w14:paraId="3E1A5301" w14:textId="77777777" w:rsidR="006F10A3" w:rsidRPr="008D7A52" w:rsidRDefault="006F10A3" w:rsidP="0059414F">
            <w:pPr>
              <w:rPr>
                <w:sz w:val="20"/>
                <w:szCs w:val="20"/>
              </w:rPr>
            </w:pPr>
            <w:r w:rsidRPr="008D7A52">
              <w:rPr>
                <w:b/>
                <w:bCs/>
                <w:sz w:val="20"/>
                <w:szCs w:val="20"/>
              </w:rPr>
              <w:t xml:space="preserve">Listed Non-Financial Firms on Nigerian Exchange Group as </w:t>
            </w:r>
            <w:proofErr w:type="gramStart"/>
            <w:r w:rsidRPr="008D7A52">
              <w:rPr>
                <w:b/>
                <w:bCs/>
                <w:sz w:val="20"/>
                <w:szCs w:val="20"/>
              </w:rPr>
              <w:t>at</w:t>
            </w:r>
            <w:proofErr w:type="gramEnd"/>
            <w:r w:rsidRPr="008D7A52">
              <w:rPr>
                <w:b/>
                <w:bCs/>
                <w:sz w:val="20"/>
                <w:szCs w:val="20"/>
              </w:rPr>
              <w:t xml:space="preserve"> 31</w:t>
            </w:r>
            <w:r w:rsidRPr="008D7A52">
              <w:rPr>
                <w:b/>
                <w:bCs/>
                <w:sz w:val="20"/>
                <w:szCs w:val="20"/>
                <w:vertAlign w:val="superscript"/>
              </w:rPr>
              <w:t>st</w:t>
            </w:r>
            <w:r w:rsidRPr="008D7A52">
              <w:rPr>
                <w:b/>
                <w:bCs/>
                <w:sz w:val="20"/>
                <w:szCs w:val="20"/>
              </w:rPr>
              <w:t xml:space="preserve"> December 2023</w:t>
            </w:r>
          </w:p>
        </w:tc>
      </w:tr>
      <w:tr w:rsidR="008D7A52" w:rsidRPr="008D7A52" w14:paraId="556072C3" w14:textId="77777777" w:rsidTr="0059414F">
        <w:trPr>
          <w:trHeight w:val="315"/>
        </w:trPr>
        <w:tc>
          <w:tcPr>
            <w:tcW w:w="670" w:type="dxa"/>
            <w:tcBorders>
              <w:top w:val="single" w:sz="4" w:space="0" w:color="auto"/>
            </w:tcBorders>
            <w:noWrap/>
            <w:hideMark/>
          </w:tcPr>
          <w:p w14:paraId="7A303989" w14:textId="77777777" w:rsidR="006F10A3" w:rsidRPr="008D7A52" w:rsidRDefault="006F10A3" w:rsidP="0059414F">
            <w:pPr>
              <w:rPr>
                <w:sz w:val="20"/>
                <w:szCs w:val="20"/>
              </w:rPr>
            </w:pPr>
            <w:r w:rsidRPr="008D7A52">
              <w:rPr>
                <w:sz w:val="20"/>
                <w:szCs w:val="20"/>
              </w:rPr>
              <w:t>1</w:t>
            </w:r>
          </w:p>
        </w:tc>
        <w:tc>
          <w:tcPr>
            <w:tcW w:w="669" w:type="dxa"/>
            <w:tcBorders>
              <w:top w:val="single" w:sz="4" w:space="0" w:color="auto"/>
            </w:tcBorders>
            <w:noWrap/>
            <w:hideMark/>
          </w:tcPr>
          <w:p w14:paraId="271C39E7" w14:textId="77777777" w:rsidR="006F10A3" w:rsidRPr="008D7A52" w:rsidRDefault="006F10A3" w:rsidP="0059414F">
            <w:pPr>
              <w:rPr>
                <w:sz w:val="20"/>
                <w:szCs w:val="20"/>
              </w:rPr>
            </w:pPr>
          </w:p>
        </w:tc>
        <w:tc>
          <w:tcPr>
            <w:tcW w:w="2485" w:type="dxa"/>
            <w:tcBorders>
              <w:top w:val="single" w:sz="4" w:space="0" w:color="auto"/>
            </w:tcBorders>
            <w:noWrap/>
            <w:hideMark/>
          </w:tcPr>
          <w:p w14:paraId="00E61396" w14:textId="77777777" w:rsidR="006F10A3" w:rsidRPr="008D7A52" w:rsidRDefault="006F10A3" w:rsidP="0059414F">
            <w:pPr>
              <w:rPr>
                <w:sz w:val="20"/>
                <w:szCs w:val="20"/>
              </w:rPr>
            </w:pPr>
            <w:r w:rsidRPr="008D7A52">
              <w:rPr>
                <w:sz w:val="20"/>
                <w:szCs w:val="20"/>
              </w:rPr>
              <w:t>AGRICULTURE</w:t>
            </w:r>
          </w:p>
        </w:tc>
        <w:tc>
          <w:tcPr>
            <w:tcW w:w="986" w:type="dxa"/>
            <w:tcBorders>
              <w:top w:val="single" w:sz="4" w:space="0" w:color="auto"/>
            </w:tcBorders>
            <w:noWrap/>
            <w:hideMark/>
          </w:tcPr>
          <w:p w14:paraId="158A0B9B" w14:textId="77777777" w:rsidR="006F10A3" w:rsidRPr="008D7A52" w:rsidRDefault="006F10A3" w:rsidP="0059414F">
            <w:pPr>
              <w:rPr>
                <w:sz w:val="20"/>
                <w:szCs w:val="20"/>
              </w:rPr>
            </w:pPr>
            <w:r w:rsidRPr="008D7A52">
              <w:rPr>
                <w:sz w:val="20"/>
                <w:szCs w:val="20"/>
              </w:rPr>
              <w:t>NFF1</w:t>
            </w:r>
          </w:p>
        </w:tc>
        <w:tc>
          <w:tcPr>
            <w:tcW w:w="4216" w:type="dxa"/>
            <w:tcBorders>
              <w:top w:val="single" w:sz="4" w:space="0" w:color="auto"/>
            </w:tcBorders>
            <w:noWrap/>
            <w:hideMark/>
          </w:tcPr>
          <w:p w14:paraId="6BEBEFEE" w14:textId="77777777" w:rsidR="006F10A3" w:rsidRPr="008D7A52" w:rsidRDefault="006F10A3" w:rsidP="0059414F">
            <w:pPr>
              <w:rPr>
                <w:sz w:val="20"/>
                <w:szCs w:val="20"/>
              </w:rPr>
            </w:pPr>
            <w:r w:rsidRPr="008D7A52">
              <w:rPr>
                <w:sz w:val="20"/>
                <w:szCs w:val="20"/>
              </w:rPr>
              <w:t>OKOMU OIL PALM PLC.</w:t>
            </w:r>
          </w:p>
        </w:tc>
      </w:tr>
      <w:tr w:rsidR="008D7A52" w:rsidRPr="008D7A52" w14:paraId="639E158E" w14:textId="77777777" w:rsidTr="0059414F">
        <w:trPr>
          <w:trHeight w:val="315"/>
        </w:trPr>
        <w:tc>
          <w:tcPr>
            <w:tcW w:w="670" w:type="dxa"/>
            <w:noWrap/>
            <w:hideMark/>
          </w:tcPr>
          <w:p w14:paraId="701F7748" w14:textId="77777777" w:rsidR="006F10A3" w:rsidRPr="008D7A52" w:rsidRDefault="006F10A3" w:rsidP="0059414F">
            <w:pPr>
              <w:rPr>
                <w:sz w:val="20"/>
                <w:szCs w:val="20"/>
              </w:rPr>
            </w:pPr>
            <w:r w:rsidRPr="008D7A52">
              <w:rPr>
                <w:sz w:val="20"/>
                <w:szCs w:val="20"/>
              </w:rPr>
              <w:t>2</w:t>
            </w:r>
          </w:p>
        </w:tc>
        <w:tc>
          <w:tcPr>
            <w:tcW w:w="669" w:type="dxa"/>
            <w:noWrap/>
            <w:hideMark/>
          </w:tcPr>
          <w:p w14:paraId="022FFA33" w14:textId="77777777" w:rsidR="006F10A3" w:rsidRPr="008D7A52" w:rsidRDefault="006F10A3" w:rsidP="0059414F">
            <w:pPr>
              <w:rPr>
                <w:sz w:val="20"/>
                <w:szCs w:val="20"/>
              </w:rPr>
            </w:pPr>
          </w:p>
        </w:tc>
        <w:tc>
          <w:tcPr>
            <w:tcW w:w="2485" w:type="dxa"/>
            <w:noWrap/>
            <w:hideMark/>
          </w:tcPr>
          <w:p w14:paraId="059E1F84" w14:textId="77777777" w:rsidR="006F10A3" w:rsidRPr="008D7A52" w:rsidRDefault="006F10A3" w:rsidP="0059414F">
            <w:pPr>
              <w:rPr>
                <w:sz w:val="20"/>
                <w:szCs w:val="20"/>
              </w:rPr>
            </w:pPr>
            <w:r w:rsidRPr="008D7A52">
              <w:rPr>
                <w:sz w:val="20"/>
                <w:szCs w:val="20"/>
              </w:rPr>
              <w:t>AGRICULTURE</w:t>
            </w:r>
          </w:p>
        </w:tc>
        <w:tc>
          <w:tcPr>
            <w:tcW w:w="986" w:type="dxa"/>
            <w:noWrap/>
            <w:hideMark/>
          </w:tcPr>
          <w:p w14:paraId="1E2BCC25" w14:textId="77777777" w:rsidR="006F10A3" w:rsidRPr="008D7A52" w:rsidRDefault="006F10A3" w:rsidP="0059414F">
            <w:pPr>
              <w:rPr>
                <w:sz w:val="20"/>
                <w:szCs w:val="20"/>
              </w:rPr>
            </w:pPr>
            <w:r w:rsidRPr="008D7A52">
              <w:rPr>
                <w:sz w:val="20"/>
                <w:szCs w:val="20"/>
              </w:rPr>
              <w:t>NFF2</w:t>
            </w:r>
          </w:p>
        </w:tc>
        <w:tc>
          <w:tcPr>
            <w:tcW w:w="4216" w:type="dxa"/>
            <w:noWrap/>
            <w:hideMark/>
          </w:tcPr>
          <w:p w14:paraId="114372F7" w14:textId="77777777" w:rsidR="006F10A3" w:rsidRPr="008D7A52" w:rsidRDefault="006F10A3" w:rsidP="0059414F">
            <w:pPr>
              <w:rPr>
                <w:sz w:val="20"/>
                <w:szCs w:val="20"/>
              </w:rPr>
            </w:pPr>
            <w:r w:rsidRPr="008D7A52">
              <w:rPr>
                <w:sz w:val="20"/>
                <w:szCs w:val="20"/>
              </w:rPr>
              <w:t>PRESCO PLC</w:t>
            </w:r>
          </w:p>
        </w:tc>
      </w:tr>
      <w:tr w:rsidR="008D7A52" w:rsidRPr="008D7A52" w14:paraId="1DFE0A2A" w14:textId="77777777" w:rsidTr="0059414F">
        <w:trPr>
          <w:trHeight w:val="315"/>
        </w:trPr>
        <w:tc>
          <w:tcPr>
            <w:tcW w:w="670" w:type="dxa"/>
            <w:noWrap/>
            <w:hideMark/>
          </w:tcPr>
          <w:p w14:paraId="42ADC409" w14:textId="77777777" w:rsidR="006F10A3" w:rsidRPr="008D7A52" w:rsidRDefault="006F10A3" w:rsidP="0059414F">
            <w:pPr>
              <w:rPr>
                <w:sz w:val="20"/>
                <w:szCs w:val="20"/>
              </w:rPr>
            </w:pPr>
            <w:r w:rsidRPr="008D7A52">
              <w:rPr>
                <w:sz w:val="20"/>
                <w:szCs w:val="20"/>
              </w:rPr>
              <w:t>3</w:t>
            </w:r>
          </w:p>
        </w:tc>
        <w:tc>
          <w:tcPr>
            <w:tcW w:w="669" w:type="dxa"/>
            <w:noWrap/>
            <w:hideMark/>
          </w:tcPr>
          <w:p w14:paraId="1F466E87" w14:textId="77777777" w:rsidR="006F10A3" w:rsidRPr="008D7A52" w:rsidRDefault="006F10A3" w:rsidP="0059414F">
            <w:pPr>
              <w:rPr>
                <w:sz w:val="20"/>
                <w:szCs w:val="20"/>
              </w:rPr>
            </w:pPr>
          </w:p>
        </w:tc>
        <w:tc>
          <w:tcPr>
            <w:tcW w:w="2485" w:type="dxa"/>
            <w:noWrap/>
            <w:hideMark/>
          </w:tcPr>
          <w:p w14:paraId="6C0B020A" w14:textId="77777777" w:rsidR="006F10A3" w:rsidRPr="008D7A52" w:rsidRDefault="006F10A3" w:rsidP="00C64BE4">
            <w:pPr>
              <w:ind w:right="-677"/>
              <w:rPr>
                <w:sz w:val="20"/>
                <w:szCs w:val="20"/>
              </w:rPr>
            </w:pPr>
            <w:r w:rsidRPr="008D7A52">
              <w:rPr>
                <w:sz w:val="20"/>
                <w:szCs w:val="20"/>
              </w:rPr>
              <w:t>CONGLOMERATES</w:t>
            </w:r>
          </w:p>
        </w:tc>
        <w:tc>
          <w:tcPr>
            <w:tcW w:w="986" w:type="dxa"/>
            <w:noWrap/>
            <w:hideMark/>
          </w:tcPr>
          <w:p w14:paraId="7D5A2108" w14:textId="77777777" w:rsidR="006F10A3" w:rsidRPr="008D7A52" w:rsidRDefault="006F10A3" w:rsidP="0059414F">
            <w:pPr>
              <w:rPr>
                <w:sz w:val="20"/>
                <w:szCs w:val="20"/>
              </w:rPr>
            </w:pPr>
            <w:r w:rsidRPr="008D7A52">
              <w:rPr>
                <w:sz w:val="20"/>
                <w:szCs w:val="20"/>
              </w:rPr>
              <w:t>NFF3</w:t>
            </w:r>
          </w:p>
        </w:tc>
        <w:tc>
          <w:tcPr>
            <w:tcW w:w="4216" w:type="dxa"/>
            <w:noWrap/>
            <w:hideMark/>
          </w:tcPr>
          <w:p w14:paraId="05B2233A" w14:textId="77777777" w:rsidR="006F10A3" w:rsidRPr="008D7A52" w:rsidRDefault="006F10A3" w:rsidP="0059414F">
            <w:pPr>
              <w:rPr>
                <w:sz w:val="20"/>
                <w:szCs w:val="20"/>
              </w:rPr>
            </w:pPr>
            <w:r w:rsidRPr="008D7A52">
              <w:rPr>
                <w:sz w:val="20"/>
                <w:szCs w:val="20"/>
              </w:rPr>
              <w:t>CHELLARAMS PLC.</w:t>
            </w:r>
          </w:p>
        </w:tc>
      </w:tr>
      <w:tr w:rsidR="008D7A52" w:rsidRPr="008D7A52" w14:paraId="64F35515" w14:textId="77777777" w:rsidTr="0059414F">
        <w:trPr>
          <w:trHeight w:val="315"/>
        </w:trPr>
        <w:tc>
          <w:tcPr>
            <w:tcW w:w="670" w:type="dxa"/>
            <w:noWrap/>
            <w:hideMark/>
          </w:tcPr>
          <w:p w14:paraId="35D8B989" w14:textId="77777777" w:rsidR="006F10A3" w:rsidRPr="008D7A52" w:rsidRDefault="006F10A3" w:rsidP="0059414F">
            <w:pPr>
              <w:rPr>
                <w:sz w:val="20"/>
                <w:szCs w:val="20"/>
              </w:rPr>
            </w:pPr>
            <w:r w:rsidRPr="008D7A52">
              <w:rPr>
                <w:sz w:val="20"/>
                <w:szCs w:val="20"/>
              </w:rPr>
              <w:t>4</w:t>
            </w:r>
          </w:p>
        </w:tc>
        <w:tc>
          <w:tcPr>
            <w:tcW w:w="669" w:type="dxa"/>
            <w:noWrap/>
            <w:hideMark/>
          </w:tcPr>
          <w:p w14:paraId="56529329" w14:textId="77777777" w:rsidR="006F10A3" w:rsidRPr="008D7A52" w:rsidRDefault="006F10A3" w:rsidP="0059414F">
            <w:pPr>
              <w:rPr>
                <w:sz w:val="20"/>
                <w:szCs w:val="20"/>
              </w:rPr>
            </w:pPr>
          </w:p>
        </w:tc>
        <w:tc>
          <w:tcPr>
            <w:tcW w:w="2485" w:type="dxa"/>
            <w:noWrap/>
            <w:hideMark/>
          </w:tcPr>
          <w:p w14:paraId="38E4764B" w14:textId="77777777" w:rsidR="006F10A3" w:rsidRPr="008D7A52" w:rsidRDefault="006F10A3" w:rsidP="0059414F">
            <w:pPr>
              <w:rPr>
                <w:sz w:val="20"/>
                <w:szCs w:val="20"/>
              </w:rPr>
            </w:pPr>
            <w:r w:rsidRPr="008D7A52">
              <w:rPr>
                <w:sz w:val="20"/>
                <w:szCs w:val="20"/>
              </w:rPr>
              <w:t>CONGLOMERATES</w:t>
            </w:r>
          </w:p>
        </w:tc>
        <w:tc>
          <w:tcPr>
            <w:tcW w:w="986" w:type="dxa"/>
            <w:noWrap/>
            <w:hideMark/>
          </w:tcPr>
          <w:p w14:paraId="2F9AF264" w14:textId="77777777" w:rsidR="006F10A3" w:rsidRPr="008D7A52" w:rsidRDefault="006F10A3" w:rsidP="0059414F">
            <w:pPr>
              <w:rPr>
                <w:sz w:val="20"/>
                <w:szCs w:val="20"/>
              </w:rPr>
            </w:pPr>
            <w:r w:rsidRPr="008D7A52">
              <w:rPr>
                <w:sz w:val="20"/>
                <w:szCs w:val="20"/>
              </w:rPr>
              <w:t>NFF4</w:t>
            </w:r>
          </w:p>
        </w:tc>
        <w:tc>
          <w:tcPr>
            <w:tcW w:w="4216" w:type="dxa"/>
            <w:noWrap/>
            <w:hideMark/>
          </w:tcPr>
          <w:p w14:paraId="6651A351" w14:textId="77777777" w:rsidR="006F10A3" w:rsidRPr="008D7A52" w:rsidRDefault="006F10A3" w:rsidP="0059414F">
            <w:pPr>
              <w:rPr>
                <w:sz w:val="20"/>
                <w:szCs w:val="20"/>
              </w:rPr>
            </w:pPr>
            <w:r w:rsidRPr="008D7A52">
              <w:rPr>
                <w:sz w:val="20"/>
                <w:szCs w:val="20"/>
              </w:rPr>
              <w:t>TRANSNATIONAL CORPORATION PLC</w:t>
            </w:r>
          </w:p>
        </w:tc>
      </w:tr>
      <w:tr w:rsidR="008D7A52" w:rsidRPr="008D7A52" w14:paraId="0EDF268B" w14:textId="77777777" w:rsidTr="0059414F">
        <w:trPr>
          <w:trHeight w:val="315"/>
        </w:trPr>
        <w:tc>
          <w:tcPr>
            <w:tcW w:w="670" w:type="dxa"/>
            <w:noWrap/>
            <w:hideMark/>
          </w:tcPr>
          <w:p w14:paraId="6613EDBA" w14:textId="77777777" w:rsidR="006F10A3" w:rsidRPr="008D7A52" w:rsidRDefault="006F10A3" w:rsidP="0059414F">
            <w:pPr>
              <w:rPr>
                <w:sz w:val="20"/>
                <w:szCs w:val="20"/>
              </w:rPr>
            </w:pPr>
            <w:r w:rsidRPr="008D7A52">
              <w:rPr>
                <w:sz w:val="20"/>
                <w:szCs w:val="20"/>
              </w:rPr>
              <w:t>5</w:t>
            </w:r>
          </w:p>
        </w:tc>
        <w:tc>
          <w:tcPr>
            <w:tcW w:w="669" w:type="dxa"/>
            <w:noWrap/>
            <w:hideMark/>
          </w:tcPr>
          <w:p w14:paraId="2593F660" w14:textId="77777777" w:rsidR="006F10A3" w:rsidRPr="008D7A52" w:rsidRDefault="006F10A3" w:rsidP="0059414F">
            <w:pPr>
              <w:rPr>
                <w:sz w:val="20"/>
                <w:szCs w:val="20"/>
              </w:rPr>
            </w:pPr>
          </w:p>
        </w:tc>
        <w:tc>
          <w:tcPr>
            <w:tcW w:w="2485" w:type="dxa"/>
            <w:noWrap/>
            <w:hideMark/>
          </w:tcPr>
          <w:p w14:paraId="385F99BE" w14:textId="77777777" w:rsidR="006F10A3" w:rsidRPr="008D7A52" w:rsidRDefault="006F10A3" w:rsidP="0059414F">
            <w:pPr>
              <w:rPr>
                <w:sz w:val="20"/>
                <w:szCs w:val="20"/>
              </w:rPr>
            </w:pPr>
            <w:r w:rsidRPr="008D7A52">
              <w:rPr>
                <w:sz w:val="20"/>
                <w:szCs w:val="20"/>
              </w:rPr>
              <w:t>CONSTRUCTION/REAL ESTATE</w:t>
            </w:r>
          </w:p>
        </w:tc>
        <w:tc>
          <w:tcPr>
            <w:tcW w:w="986" w:type="dxa"/>
            <w:noWrap/>
            <w:hideMark/>
          </w:tcPr>
          <w:p w14:paraId="4699D1D5" w14:textId="77777777" w:rsidR="006F10A3" w:rsidRPr="008D7A52" w:rsidRDefault="006F10A3" w:rsidP="0059414F">
            <w:pPr>
              <w:rPr>
                <w:sz w:val="20"/>
                <w:szCs w:val="20"/>
              </w:rPr>
            </w:pPr>
            <w:r w:rsidRPr="008D7A52">
              <w:rPr>
                <w:sz w:val="20"/>
                <w:szCs w:val="20"/>
              </w:rPr>
              <w:t>NFF5</w:t>
            </w:r>
          </w:p>
        </w:tc>
        <w:tc>
          <w:tcPr>
            <w:tcW w:w="4216" w:type="dxa"/>
            <w:noWrap/>
            <w:hideMark/>
          </w:tcPr>
          <w:p w14:paraId="1613C0FB" w14:textId="3D0AE8C1" w:rsidR="006F10A3" w:rsidRPr="008D7A52" w:rsidRDefault="006F10A3" w:rsidP="0059414F">
            <w:pPr>
              <w:rPr>
                <w:sz w:val="20"/>
                <w:szCs w:val="20"/>
              </w:rPr>
            </w:pPr>
            <w:r w:rsidRPr="008D7A52">
              <w:rPr>
                <w:sz w:val="20"/>
                <w:szCs w:val="20"/>
              </w:rPr>
              <w:t>JULIUS BERGER NIG. PLC. </w:t>
            </w:r>
          </w:p>
        </w:tc>
      </w:tr>
      <w:tr w:rsidR="008D7A52" w:rsidRPr="008D7A52" w14:paraId="149D25DB" w14:textId="77777777" w:rsidTr="0059414F">
        <w:trPr>
          <w:trHeight w:val="315"/>
        </w:trPr>
        <w:tc>
          <w:tcPr>
            <w:tcW w:w="670" w:type="dxa"/>
            <w:noWrap/>
            <w:hideMark/>
          </w:tcPr>
          <w:p w14:paraId="21D64F4E" w14:textId="77777777" w:rsidR="006F10A3" w:rsidRPr="008D7A52" w:rsidRDefault="006F10A3" w:rsidP="0059414F">
            <w:pPr>
              <w:rPr>
                <w:sz w:val="20"/>
                <w:szCs w:val="20"/>
              </w:rPr>
            </w:pPr>
            <w:r w:rsidRPr="008D7A52">
              <w:rPr>
                <w:sz w:val="20"/>
                <w:szCs w:val="20"/>
              </w:rPr>
              <w:t>6</w:t>
            </w:r>
          </w:p>
        </w:tc>
        <w:tc>
          <w:tcPr>
            <w:tcW w:w="669" w:type="dxa"/>
            <w:noWrap/>
            <w:hideMark/>
          </w:tcPr>
          <w:p w14:paraId="35AD2EA4" w14:textId="77777777" w:rsidR="006F10A3" w:rsidRPr="008D7A52" w:rsidRDefault="006F10A3" w:rsidP="0059414F">
            <w:pPr>
              <w:rPr>
                <w:sz w:val="20"/>
                <w:szCs w:val="20"/>
              </w:rPr>
            </w:pPr>
          </w:p>
        </w:tc>
        <w:tc>
          <w:tcPr>
            <w:tcW w:w="2485" w:type="dxa"/>
            <w:noWrap/>
            <w:hideMark/>
          </w:tcPr>
          <w:p w14:paraId="4FE3121C" w14:textId="77777777" w:rsidR="006F10A3" w:rsidRPr="008D7A52" w:rsidRDefault="006F10A3" w:rsidP="0059414F">
            <w:pPr>
              <w:rPr>
                <w:sz w:val="20"/>
                <w:szCs w:val="20"/>
              </w:rPr>
            </w:pPr>
            <w:r w:rsidRPr="008D7A52">
              <w:rPr>
                <w:sz w:val="20"/>
                <w:szCs w:val="20"/>
              </w:rPr>
              <w:t>CONSTRUCTION/REAL ESTATE</w:t>
            </w:r>
          </w:p>
        </w:tc>
        <w:tc>
          <w:tcPr>
            <w:tcW w:w="986" w:type="dxa"/>
            <w:noWrap/>
            <w:hideMark/>
          </w:tcPr>
          <w:p w14:paraId="553A8F6B" w14:textId="77777777" w:rsidR="006F10A3" w:rsidRPr="008D7A52" w:rsidRDefault="006F10A3" w:rsidP="0059414F">
            <w:pPr>
              <w:rPr>
                <w:sz w:val="20"/>
                <w:szCs w:val="20"/>
              </w:rPr>
            </w:pPr>
            <w:r w:rsidRPr="008D7A52">
              <w:rPr>
                <w:sz w:val="20"/>
                <w:szCs w:val="20"/>
              </w:rPr>
              <w:t>NFF6</w:t>
            </w:r>
          </w:p>
        </w:tc>
        <w:tc>
          <w:tcPr>
            <w:tcW w:w="4216" w:type="dxa"/>
            <w:noWrap/>
            <w:hideMark/>
          </w:tcPr>
          <w:p w14:paraId="429CCE24" w14:textId="3AC56484" w:rsidR="006F10A3" w:rsidRPr="008D7A52" w:rsidRDefault="006F10A3" w:rsidP="0059414F">
            <w:pPr>
              <w:rPr>
                <w:sz w:val="20"/>
                <w:szCs w:val="20"/>
              </w:rPr>
            </w:pPr>
            <w:r w:rsidRPr="008D7A52">
              <w:rPr>
                <w:sz w:val="20"/>
                <w:szCs w:val="20"/>
              </w:rPr>
              <w:t>SMART PRODUCTS NIGERIA PLC </w:t>
            </w:r>
          </w:p>
        </w:tc>
      </w:tr>
      <w:tr w:rsidR="008D7A52" w:rsidRPr="008D7A52" w14:paraId="1DDDF64F" w14:textId="77777777" w:rsidTr="0059414F">
        <w:trPr>
          <w:trHeight w:val="315"/>
        </w:trPr>
        <w:tc>
          <w:tcPr>
            <w:tcW w:w="670" w:type="dxa"/>
            <w:noWrap/>
            <w:hideMark/>
          </w:tcPr>
          <w:p w14:paraId="6BC1EFD0" w14:textId="77777777" w:rsidR="006F10A3" w:rsidRPr="008D7A52" w:rsidRDefault="006F10A3" w:rsidP="0059414F">
            <w:pPr>
              <w:rPr>
                <w:sz w:val="20"/>
                <w:szCs w:val="20"/>
              </w:rPr>
            </w:pPr>
            <w:r w:rsidRPr="008D7A52">
              <w:rPr>
                <w:sz w:val="20"/>
                <w:szCs w:val="20"/>
              </w:rPr>
              <w:t>7</w:t>
            </w:r>
          </w:p>
        </w:tc>
        <w:tc>
          <w:tcPr>
            <w:tcW w:w="669" w:type="dxa"/>
            <w:noWrap/>
            <w:hideMark/>
          </w:tcPr>
          <w:p w14:paraId="0A19F3AE" w14:textId="77777777" w:rsidR="006F10A3" w:rsidRPr="008D7A52" w:rsidRDefault="006F10A3" w:rsidP="0059414F">
            <w:pPr>
              <w:rPr>
                <w:sz w:val="20"/>
                <w:szCs w:val="20"/>
              </w:rPr>
            </w:pPr>
          </w:p>
        </w:tc>
        <w:tc>
          <w:tcPr>
            <w:tcW w:w="2485" w:type="dxa"/>
            <w:noWrap/>
            <w:hideMark/>
          </w:tcPr>
          <w:p w14:paraId="20A60A18" w14:textId="77777777" w:rsidR="006F10A3" w:rsidRPr="008D7A52" w:rsidRDefault="006F10A3" w:rsidP="0059414F">
            <w:pPr>
              <w:rPr>
                <w:sz w:val="20"/>
                <w:szCs w:val="20"/>
              </w:rPr>
            </w:pPr>
            <w:r w:rsidRPr="008D7A52">
              <w:rPr>
                <w:sz w:val="20"/>
                <w:szCs w:val="20"/>
              </w:rPr>
              <w:t>CONSTRUCTION/REAL ESTATE</w:t>
            </w:r>
          </w:p>
        </w:tc>
        <w:tc>
          <w:tcPr>
            <w:tcW w:w="986" w:type="dxa"/>
            <w:noWrap/>
            <w:hideMark/>
          </w:tcPr>
          <w:p w14:paraId="1CDDF0D2" w14:textId="77777777" w:rsidR="006F10A3" w:rsidRPr="008D7A52" w:rsidRDefault="006F10A3" w:rsidP="0059414F">
            <w:pPr>
              <w:rPr>
                <w:sz w:val="20"/>
                <w:szCs w:val="20"/>
              </w:rPr>
            </w:pPr>
            <w:r w:rsidRPr="008D7A52">
              <w:rPr>
                <w:sz w:val="20"/>
                <w:szCs w:val="20"/>
              </w:rPr>
              <w:t>NFF7</w:t>
            </w:r>
          </w:p>
        </w:tc>
        <w:tc>
          <w:tcPr>
            <w:tcW w:w="4216" w:type="dxa"/>
            <w:noWrap/>
            <w:hideMark/>
          </w:tcPr>
          <w:p w14:paraId="096C6150" w14:textId="749EC657" w:rsidR="006F10A3" w:rsidRPr="008D7A52" w:rsidRDefault="006F10A3" w:rsidP="0059414F">
            <w:pPr>
              <w:rPr>
                <w:sz w:val="20"/>
                <w:szCs w:val="20"/>
              </w:rPr>
            </w:pPr>
            <w:r w:rsidRPr="008D7A52">
              <w:rPr>
                <w:sz w:val="20"/>
                <w:szCs w:val="20"/>
              </w:rPr>
              <w:t>UPDC PLC </w:t>
            </w:r>
          </w:p>
        </w:tc>
      </w:tr>
      <w:tr w:rsidR="008D7A52" w:rsidRPr="008D7A52" w14:paraId="76F396AE" w14:textId="77777777" w:rsidTr="0059414F">
        <w:trPr>
          <w:trHeight w:val="315"/>
        </w:trPr>
        <w:tc>
          <w:tcPr>
            <w:tcW w:w="670" w:type="dxa"/>
            <w:noWrap/>
            <w:hideMark/>
          </w:tcPr>
          <w:p w14:paraId="673EE9AC" w14:textId="77777777" w:rsidR="006F10A3" w:rsidRPr="008D7A52" w:rsidRDefault="006F10A3" w:rsidP="0059414F">
            <w:pPr>
              <w:rPr>
                <w:sz w:val="20"/>
                <w:szCs w:val="20"/>
              </w:rPr>
            </w:pPr>
            <w:r w:rsidRPr="008D7A52">
              <w:rPr>
                <w:sz w:val="20"/>
                <w:szCs w:val="20"/>
              </w:rPr>
              <w:t>8</w:t>
            </w:r>
          </w:p>
        </w:tc>
        <w:tc>
          <w:tcPr>
            <w:tcW w:w="669" w:type="dxa"/>
            <w:noWrap/>
            <w:hideMark/>
          </w:tcPr>
          <w:p w14:paraId="7397556E" w14:textId="77777777" w:rsidR="006F10A3" w:rsidRPr="008D7A52" w:rsidRDefault="006F10A3" w:rsidP="0059414F">
            <w:pPr>
              <w:rPr>
                <w:sz w:val="20"/>
                <w:szCs w:val="20"/>
              </w:rPr>
            </w:pPr>
          </w:p>
        </w:tc>
        <w:tc>
          <w:tcPr>
            <w:tcW w:w="2485" w:type="dxa"/>
            <w:noWrap/>
            <w:hideMark/>
          </w:tcPr>
          <w:p w14:paraId="0FB55706"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3AD8309C" w14:textId="77777777" w:rsidR="006F10A3" w:rsidRPr="008D7A52" w:rsidRDefault="006F10A3" w:rsidP="0059414F">
            <w:pPr>
              <w:rPr>
                <w:sz w:val="20"/>
                <w:szCs w:val="20"/>
              </w:rPr>
            </w:pPr>
            <w:r w:rsidRPr="008D7A52">
              <w:rPr>
                <w:sz w:val="20"/>
                <w:szCs w:val="20"/>
              </w:rPr>
              <w:t>NFF8</w:t>
            </w:r>
          </w:p>
        </w:tc>
        <w:tc>
          <w:tcPr>
            <w:tcW w:w="4216" w:type="dxa"/>
            <w:noWrap/>
            <w:hideMark/>
          </w:tcPr>
          <w:p w14:paraId="12CDA9B1" w14:textId="77777777" w:rsidR="006F10A3" w:rsidRPr="008D7A52" w:rsidRDefault="006F10A3" w:rsidP="0059414F">
            <w:pPr>
              <w:rPr>
                <w:sz w:val="20"/>
                <w:szCs w:val="20"/>
              </w:rPr>
            </w:pPr>
            <w:r w:rsidRPr="008D7A52">
              <w:rPr>
                <w:sz w:val="20"/>
                <w:szCs w:val="20"/>
              </w:rPr>
              <w:t>BUA FOODS PLC</w:t>
            </w:r>
          </w:p>
        </w:tc>
      </w:tr>
      <w:tr w:rsidR="008D7A52" w:rsidRPr="008D7A52" w14:paraId="5E1591D4" w14:textId="77777777" w:rsidTr="0059414F">
        <w:trPr>
          <w:trHeight w:val="315"/>
        </w:trPr>
        <w:tc>
          <w:tcPr>
            <w:tcW w:w="670" w:type="dxa"/>
            <w:noWrap/>
            <w:hideMark/>
          </w:tcPr>
          <w:p w14:paraId="79E897EE" w14:textId="77777777" w:rsidR="006F10A3" w:rsidRPr="008D7A52" w:rsidRDefault="006F10A3" w:rsidP="0059414F">
            <w:pPr>
              <w:rPr>
                <w:sz w:val="20"/>
                <w:szCs w:val="20"/>
              </w:rPr>
            </w:pPr>
            <w:r w:rsidRPr="008D7A52">
              <w:rPr>
                <w:sz w:val="20"/>
                <w:szCs w:val="20"/>
              </w:rPr>
              <w:t>9</w:t>
            </w:r>
          </w:p>
        </w:tc>
        <w:tc>
          <w:tcPr>
            <w:tcW w:w="669" w:type="dxa"/>
            <w:noWrap/>
            <w:hideMark/>
          </w:tcPr>
          <w:p w14:paraId="6B197613" w14:textId="77777777" w:rsidR="006F10A3" w:rsidRPr="008D7A52" w:rsidRDefault="006F10A3" w:rsidP="0059414F">
            <w:pPr>
              <w:rPr>
                <w:sz w:val="20"/>
                <w:szCs w:val="20"/>
              </w:rPr>
            </w:pPr>
          </w:p>
        </w:tc>
        <w:tc>
          <w:tcPr>
            <w:tcW w:w="2485" w:type="dxa"/>
            <w:noWrap/>
            <w:hideMark/>
          </w:tcPr>
          <w:p w14:paraId="4AD3B767"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372FD80A" w14:textId="77777777" w:rsidR="006F10A3" w:rsidRPr="008D7A52" w:rsidRDefault="006F10A3" w:rsidP="0059414F">
            <w:pPr>
              <w:rPr>
                <w:sz w:val="20"/>
                <w:szCs w:val="20"/>
              </w:rPr>
            </w:pPr>
            <w:r w:rsidRPr="008D7A52">
              <w:rPr>
                <w:sz w:val="20"/>
                <w:szCs w:val="20"/>
              </w:rPr>
              <w:t>NFF9</w:t>
            </w:r>
          </w:p>
        </w:tc>
        <w:tc>
          <w:tcPr>
            <w:tcW w:w="4216" w:type="dxa"/>
            <w:noWrap/>
            <w:hideMark/>
          </w:tcPr>
          <w:p w14:paraId="417FC782" w14:textId="77777777" w:rsidR="006F10A3" w:rsidRPr="008D7A52" w:rsidRDefault="006F10A3" w:rsidP="0059414F">
            <w:pPr>
              <w:rPr>
                <w:sz w:val="20"/>
                <w:szCs w:val="20"/>
              </w:rPr>
            </w:pPr>
            <w:r w:rsidRPr="008D7A52">
              <w:rPr>
                <w:sz w:val="20"/>
                <w:szCs w:val="20"/>
              </w:rPr>
              <w:t>CADBURY NIGERIA PLC.</w:t>
            </w:r>
          </w:p>
        </w:tc>
      </w:tr>
      <w:tr w:rsidR="008D7A52" w:rsidRPr="008D7A52" w14:paraId="4CB82CC3" w14:textId="77777777" w:rsidTr="0059414F">
        <w:trPr>
          <w:trHeight w:val="315"/>
        </w:trPr>
        <w:tc>
          <w:tcPr>
            <w:tcW w:w="670" w:type="dxa"/>
            <w:noWrap/>
            <w:hideMark/>
          </w:tcPr>
          <w:p w14:paraId="7C88566B" w14:textId="77777777" w:rsidR="006F10A3" w:rsidRPr="008D7A52" w:rsidRDefault="006F10A3" w:rsidP="0059414F">
            <w:pPr>
              <w:rPr>
                <w:sz w:val="20"/>
                <w:szCs w:val="20"/>
              </w:rPr>
            </w:pPr>
            <w:r w:rsidRPr="008D7A52">
              <w:rPr>
                <w:sz w:val="20"/>
                <w:szCs w:val="20"/>
              </w:rPr>
              <w:t>10</w:t>
            </w:r>
          </w:p>
        </w:tc>
        <w:tc>
          <w:tcPr>
            <w:tcW w:w="669" w:type="dxa"/>
            <w:noWrap/>
            <w:hideMark/>
          </w:tcPr>
          <w:p w14:paraId="15683000" w14:textId="77777777" w:rsidR="006F10A3" w:rsidRPr="008D7A52" w:rsidRDefault="006F10A3" w:rsidP="0059414F">
            <w:pPr>
              <w:rPr>
                <w:sz w:val="20"/>
                <w:szCs w:val="20"/>
              </w:rPr>
            </w:pPr>
          </w:p>
        </w:tc>
        <w:tc>
          <w:tcPr>
            <w:tcW w:w="2485" w:type="dxa"/>
            <w:noWrap/>
            <w:hideMark/>
          </w:tcPr>
          <w:p w14:paraId="59061D7B"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5AA5DB56" w14:textId="77777777" w:rsidR="006F10A3" w:rsidRPr="008D7A52" w:rsidRDefault="006F10A3" w:rsidP="0059414F">
            <w:pPr>
              <w:rPr>
                <w:sz w:val="20"/>
                <w:szCs w:val="20"/>
              </w:rPr>
            </w:pPr>
            <w:r w:rsidRPr="008D7A52">
              <w:rPr>
                <w:sz w:val="20"/>
                <w:szCs w:val="20"/>
              </w:rPr>
              <w:t>NFF10</w:t>
            </w:r>
          </w:p>
        </w:tc>
        <w:tc>
          <w:tcPr>
            <w:tcW w:w="4216" w:type="dxa"/>
            <w:noWrap/>
            <w:hideMark/>
          </w:tcPr>
          <w:p w14:paraId="27DC6269" w14:textId="4199A1E7" w:rsidR="006F10A3" w:rsidRPr="008D7A52" w:rsidRDefault="006F10A3" w:rsidP="0059414F">
            <w:pPr>
              <w:rPr>
                <w:sz w:val="20"/>
                <w:szCs w:val="20"/>
              </w:rPr>
            </w:pPr>
            <w:r w:rsidRPr="008D7A52">
              <w:rPr>
                <w:sz w:val="20"/>
                <w:szCs w:val="20"/>
              </w:rPr>
              <w:t>DANGOTE SUGAR REFINERY PLC</w:t>
            </w:r>
          </w:p>
        </w:tc>
      </w:tr>
      <w:tr w:rsidR="008D7A52" w:rsidRPr="008D7A52" w14:paraId="623C3136" w14:textId="77777777" w:rsidTr="0059414F">
        <w:trPr>
          <w:trHeight w:val="315"/>
        </w:trPr>
        <w:tc>
          <w:tcPr>
            <w:tcW w:w="670" w:type="dxa"/>
            <w:noWrap/>
            <w:hideMark/>
          </w:tcPr>
          <w:p w14:paraId="509A0DC7" w14:textId="77777777" w:rsidR="006F10A3" w:rsidRPr="008D7A52" w:rsidRDefault="006F10A3" w:rsidP="0059414F">
            <w:pPr>
              <w:rPr>
                <w:sz w:val="20"/>
                <w:szCs w:val="20"/>
              </w:rPr>
            </w:pPr>
            <w:r w:rsidRPr="008D7A52">
              <w:rPr>
                <w:sz w:val="20"/>
                <w:szCs w:val="20"/>
              </w:rPr>
              <w:t>11</w:t>
            </w:r>
          </w:p>
        </w:tc>
        <w:tc>
          <w:tcPr>
            <w:tcW w:w="669" w:type="dxa"/>
            <w:noWrap/>
            <w:hideMark/>
          </w:tcPr>
          <w:p w14:paraId="410F7C6F" w14:textId="77777777" w:rsidR="006F10A3" w:rsidRPr="008D7A52" w:rsidRDefault="006F10A3" w:rsidP="0059414F">
            <w:pPr>
              <w:rPr>
                <w:sz w:val="20"/>
                <w:szCs w:val="20"/>
              </w:rPr>
            </w:pPr>
          </w:p>
        </w:tc>
        <w:tc>
          <w:tcPr>
            <w:tcW w:w="2485" w:type="dxa"/>
            <w:noWrap/>
            <w:hideMark/>
          </w:tcPr>
          <w:p w14:paraId="0A2592CF"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5E7DB290" w14:textId="77777777" w:rsidR="006F10A3" w:rsidRPr="008D7A52" w:rsidRDefault="006F10A3" w:rsidP="0059414F">
            <w:pPr>
              <w:rPr>
                <w:sz w:val="20"/>
                <w:szCs w:val="20"/>
              </w:rPr>
            </w:pPr>
            <w:r w:rsidRPr="008D7A52">
              <w:rPr>
                <w:sz w:val="20"/>
                <w:szCs w:val="20"/>
              </w:rPr>
              <w:t>NFF11</w:t>
            </w:r>
          </w:p>
        </w:tc>
        <w:tc>
          <w:tcPr>
            <w:tcW w:w="4216" w:type="dxa"/>
            <w:noWrap/>
            <w:hideMark/>
          </w:tcPr>
          <w:p w14:paraId="17383454" w14:textId="16FFCC80" w:rsidR="006F10A3" w:rsidRPr="008D7A52" w:rsidRDefault="006F10A3" w:rsidP="0059414F">
            <w:pPr>
              <w:rPr>
                <w:sz w:val="20"/>
                <w:szCs w:val="20"/>
              </w:rPr>
            </w:pPr>
            <w:r w:rsidRPr="008D7A52">
              <w:rPr>
                <w:sz w:val="20"/>
                <w:szCs w:val="20"/>
              </w:rPr>
              <w:t>FLOUR MILLS NIG. PLC. </w:t>
            </w:r>
          </w:p>
        </w:tc>
      </w:tr>
      <w:tr w:rsidR="008D7A52" w:rsidRPr="008D7A52" w14:paraId="22842CB2" w14:textId="77777777" w:rsidTr="0059414F">
        <w:trPr>
          <w:trHeight w:val="315"/>
        </w:trPr>
        <w:tc>
          <w:tcPr>
            <w:tcW w:w="670" w:type="dxa"/>
            <w:noWrap/>
            <w:hideMark/>
          </w:tcPr>
          <w:p w14:paraId="3A38D563" w14:textId="77777777" w:rsidR="006F10A3" w:rsidRPr="008D7A52" w:rsidRDefault="006F10A3" w:rsidP="0059414F">
            <w:pPr>
              <w:rPr>
                <w:sz w:val="20"/>
                <w:szCs w:val="20"/>
              </w:rPr>
            </w:pPr>
            <w:r w:rsidRPr="008D7A52">
              <w:rPr>
                <w:sz w:val="20"/>
                <w:szCs w:val="20"/>
              </w:rPr>
              <w:t>12</w:t>
            </w:r>
          </w:p>
        </w:tc>
        <w:tc>
          <w:tcPr>
            <w:tcW w:w="669" w:type="dxa"/>
            <w:noWrap/>
            <w:hideMark/>
          </w:tcPr>
          <w:p w14:paraId="315EF89A" w14:textId="77777777" w:rsidR="006F10A3" w:rsidRPr="008D7A52" w:rsidRDefault="006F10A3" w:rsidP="0059414F">
            <w:pPr>
              <w:rPr>
                <w:sz w:val="20"/>
                <w:szCs w:val="20"/>
              </w:rPr>
            </w:pPr>
          </w:p>
        </w:tc>
        <w:tc>
          <w:tcPr>
            <w:tcW w:w="2485" w:type="dxa"/>
            <w:noWrap/>
            <w:hideMark/>
          </w:tcPr>
          <w:p w14:paraId="23740A48"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35BB39EF" w14:textId="77777777" w:rsidR="006F10A3" w:rsidRPr="008D7A52" w:rsidRDefault="006F10A3" w:rsidP="0059414F">
            <w:pPr>
              <w:rPr>
                <w:sz w:val="20"/>
                <w:szCs w:val="20"/>
              </w:rPr>
            </w:pPr>
            <w:r w:rsidRPr="008D7A52">
              <w:rPr>
                <w:sz w:val="20"/>
                <w:szCs w:val="20"/>
              </w:rPr>
              <w:t>NFF12</w:t>
            </w:r>
          </w:p>
        </w:tc>
        <w:tc>
          <w:tcPr>
            <w:tcW w:w="4216" w:type="dxa"/>
            <w:noWrap/>
            <w:hideMark/>
          </w:tcPr>
          <w:p w14:paraId="6AAA4E21" w14:textId="479EC427" w:rsidR="006F10A3" w:rsidRPr="008D7A52" w:rsidRDefault="006F10A3" w:rsidP="0059414F">
            <w:pPr>
              <w:rPr>
                <w:sz w:val="20"/>
                <w:szCs w:val="20"/>
              </w:rPr>
            </w:pPr>
            <w:r w:rsidRPr="008D7A52">
              <w:rPr>
                <w:sz w:val="20"/>
                <w:szCs w:val="20"/>
              </w:rPr>
              <w:t>GOLDEN GUINEA BREW. PLC. </w:t>
            </w:r>
          </w:p>
        </w:tc>
      </w:tr>
      <w:tr w:rsidR="008D7A52" w:rsidRPr="008D7A52" w14:paraId="201B6C59" w14:textId="77777777" w:rsidTr="0059414F">
        <w:trPr>
          <w:trHeight w:val="315"/>
        </w:trPr>
        <w:tc>
          <w:tcPr>
            <w:tcW w:w="670" w:type="dxa"/>
            <w:noWrap/>
            <w:hideMark/>
          </w:tcPr>
          <w:p w14:paraId="43B360EF" w14:textId="77777777" w:rsidR="006F10A3" w:rsidRPr="008D7A52" w:rsidRDefault="006F10A3" w:rsidP="0059414F">
            <w:pPr>
              <w:rPr>
                <w:sz w:val="20"/>
                <w:szCs w:val="20"/>
              </w:rPr>
            </w:pPr>
            <w:r w:rsidRPr="008D7A52">
              <w:rPr>
                <w:sz w:val="20"/>
                <w:szCs w:val="20"/>
              </w:rPr>
              <w:t>13</w:t>
            </w:r>
          </w:p>
        </w:tc>
        <w:tc>
          <w:tcPr>
            <w:tcW w:w="669" w:type="dxa"/>
            <w:noWrap/>
            <w:hideMark/>
          </w:tcPr>
          <w:p w14:paraId="539A9A79" w14:textId="77777777" w:rsidR="006F10A3" w:rsidRPr="008D7A52" w:rsidRDefault="006F10A3" w:rsidP="0059414F">
            <w:pPr>
              <w:rPr>
                <w:sz w:val="20"/>
                <w:szCs w:val="20"/>
              </w:rPr>
            </w:pPr>
          </w:p>
        </w:tc>
        <w:tc>
          <w:tcPr>
            <w:tcW w:w="2485" w:type="dxa"/>
            <w:noWrap/>
            <w:hideMark/>
          </w:tcPr>
          <w:p w14:paraId="6D24F224"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3D6A3548" w14:textId="77777777" w:rsidR="006F10A3" w:rsidRPr="008D7A52" w:rsidRDefault="006F10A3" w:rsidP="0059414F">
            <w:pPr>
              <w:rPr>
                <w:sz w:val="20"/>
                <w:szCs w:val="20"/>
              </w:rPr>
            </w:pPr>
            <w:r w:rsidRPr="008D7A52">
              <w:rPr>
                <w:sz w:val="20"/>
                <w:szCs w:val="20"/>
              </w:rPr>
              <w:t>NFF13</w:t>
            </w:r>
          </w:p>
        </w:tc>
        <w:tc>
          <w:tcPr>
            <w:tcW w:w="4216" w:type="dxa"/>
            <w:noWrap/>
            <w:hideMark/>
          </w:tcPr>
          <w:p w14:paraId="2E8ADBB5" w14:textId="52537F20" w:rsidR="006F10A3" w:rsidRPr="008D7A52" w:rsidRDefault="006F10A3" w:rsidP="0059414F">
            <w:pPr>
              <w:rPr>
                <w:sz w:val="20"/>
                <w:szCs w:val="20"/>
              </w:rPr>
            </w:pPr>
            <w:r w:rsidRPr="008D7A52">
              <w:rPr>
                <w:sz w:val="20"/>
                <w:szCs w:val="20"/>
              </w:rPr>
              <w:t>GUINNESS NIG PLC </w:t>
            </w:r>
          </w:p>
        </w:tc>
      </w:tr>
      <w:tr w:rsidR="008D7A52" w:rsidRPr="008D7A52" w14:paraId="02E7E4DD" w14:textId="77777777" w:rsidTr="0059414F">
        <w:trPr>
          <w:trHeight w:val="315"/>
        </w:trPr>
        <w:tc>
          <w:tcPr>
            <w:tcW w:w="670" w:type="dxa"/>
            <w:noWrap/>
            <w:hideMark/>
          </w:tcPr>
          <w:p w14:paraId="571851A5" w14:textId="77777777" w:rsidR="006F10A3" w:rsidRPr="008D7A52" w:rsidRDefault="006F10A3" w:rsidP="0059414F">
            <w:pPr>
              <w:rPr>
                <w:sz w:val="20"/>
                <w:szCs w:val="20"/>
              </w:rPr>
            </w:pPr>
            <w:r w:rsidRPr="008D7A52">
              <w:rPr>
                <w:sz w:val="20"/>
                <w:szCs w:val="20"/>
              </w:rPr>
              <w:t>14</w:t>
            </w:r>
          </w:p>
        </w:tc>
        <w:tc>
          <w:tcPr>
            <w:tcW w:w="669" w:type="dxa"/>
            <w:noWrap/>
            <w:hideMark/>
          </w:tcPr>
          <w:p w14:paraId="5B011370" w14:textId="77777777" w:rsidR="006F10A3" w:rsidRPr="008D7A52" w:rsidRDefault="006F10A3" w:rsidP="0059414F">
            <w:pPr>
              <w:rPr>
                <w:sz w:val="20"/>
                <w:szCs w:val="20"/>
              </w:rPr>
            </w:pPr>
          </w:p>
        </w:tc>
        <w:tc>
          <w:tcPr>
            <w:tcW w:w="2485" w:type="dxa"/>
            <w:noWrap/>
            <w:hideMark/>
          </w:tcPr>
          <w:p w14:paraId="53538A20" w14:textId="77777777" w:rsidR="006F10A3" w:rsidRPr="008D7A52" w:rsidRDefault="006F10A3" w:rsidP="0059414F">
            <w:pPr>
              <w:rPr>
                <w:sz w:val="20"/>
                <w:szCs w:val="20"/>
              </w:rPr>
            </w:pPr>
            <w:r w:rsidRPr="008D7A52">
              <w:rPr>
                <w:sz w:val="20"/>
                <w:szCs w:val="20"/>
              </w:rPr>
              <w:t>CONSUMER GOODS</w:t>
            </w:r>
          </w:p>
        </w:tc>
        <w:tc>
          <w:tcPr>
            <w:tcW w:w="986" w:type="dxa"/>
            <w:noWrap/>
            <w:hideMark/>
          </w:tcPr>
          <w:p w14:paraId="46E6D0AE" w14:textId="77777777" w:rsidR="006F10A3" w:rsidRPr="008D7A52" w:rsidRDefault="006F10A3" w:rsidP="0059414F">
            <w:pPr>
              <w:rPr>
                <w:sz w:val="20"/>
                <w:szCs w:val="20"/>
              </w:rPr>
            </w:pPr>
            <w:r w:rsidRPr="008D7A52">
              <w:rPr>
                <w:sz w:val="20"/>
                <w:szCs w:val="20"/>
              </w:rPr>
              <w:t>NFF14</w:t>
            </w:r>
          </w:p>
        </w:tc>
        <w:tc>
          <w:tcPr>
            <w:tcW w:w="4216" w:type="dxa"/>
            <w:noWrap/>
            <w:hideMark/>
          </w:tcPr>
          <w:p w14:paraId="1FE081FF" w14:textId="16DB9420" w:rsidR="006F10A3" w:rsidRPr="008D7A52" w:rsidRDefault="006F10A3" w:rsidP="0059414F">
            <w:pPr>
              <w:rPr>
                <w:sz w:val="20"/>
                <w:szCs w:val="20"/>
              </w:rPr>
            </w:pPr>
            <w:r w:rsidRPr="008D7A52">
              <w:rPr>
                <w:sz w:val="20"/>
                <w:szCs w:val="20"/>
              </w:rPr>
              <w:t>INTERNATIONAL BREWERIES PLC. </w:t>
            </w:r>
          </w:p>
        </w:tc>
      </w:tr>
      <w:tr w:rsidR="008D7A52" w:rsidRPr="008D7A52" w14:paraId="280035A6" w14:textId="77777777" w:rsidTr="0059414F">
        <w:trPr>
          <w:trHeight w:val="315"/>
        </w:trPr>
        <w:tc>
          <w:tcPr>
            <w:tcW w:w="670" w:type="dxa"/>
            <w:noWrap/>
            <w:hideMark/>
          </w:tcPr>
          <w:p w14:paraId="1543A1DE" w14:textId="77777777" w:rsidR="006F10A3" w:rsidRPr="008D7A52" w:rsidRDefault="006F10A3" w:rsidP="0059414F">
            <w:pPr>
              <w:rPr>
                <w:sz w:val="20"/>
                <w:szCs w:val="20"/>
              </w:rPr>
            </w:pPr>
            <w:r w:rsidRPr="008D7A52">
              <w:rPr>
                <w:sz w:val="20"/>
                <w:szCs w:val="20"/>
              </w:rPr>
              <w:t>15</w:t>
            </w:r>
          </w:p>
        </w:tc>
        <w:tc>
          <w:tcPr>
            <w:tcW w:w="669" w:type="dxa"/>
            <w:noWrap/>
            <w:hideMark/>
          </w:tcPr>
          <w:p w14:paraId="5EA5823D" w14:textId="77777777" w:rsidR="006F10A3" w:rsidRPr="008D7A52" w:rsidRDefault="006F10A3" w:rsidP="0059414F">
            <w:pPr>
              <w:rPr>
                <w:sz w:val="20"/>
                <w:szCs w:val="20"/>
              </w:rPr>
            </w:pPr>
          </w:p>
        </w:tc>
        <w:tc>
          <w:tcPr>
            <w:tcW w:w="2485" w:type="dxa"/>
            <w:noWrap/>
            <w:hideMark/>
          </w:tcPr>
          <w:p w14:paraId="0E823EAC" w14:textId="77777777" w:rsidR="006F10A3" w:rsidRPr="008D7A52" w:rsidRDefault="006F10A3" w:rsidP="0059414F">
            <w:pPr>
              <w:rPr>
                <w:sz w:val="20"/>
                <w:szCs w:val="20"/>
              </w:rPr>
            </w:pPr>
            <w:r w:rsidRPr="008D7A52">
              <w:rPr>
                <w:sz w:val="20"/>
                <w:szCs w:val="20"/>
              </w:rPr>
              <w:t>HEALTHCARE</w:t>
            </w:r>
          </w:p>
        </w:tc>
        <w:tc>
          <w:tcPr>
            <w:tcW w:w="986" w:type="dxa"/>
            <w:noWrap/>
            <w:hideMark/>
          </w:tcPr>
          <w:p w14:paraId="35AAFE2A" w14:textId="77777777" w:rsidR="006F10A3" w:rsidRPr="008D7A52" w:rsidRDefault="006F10A3" w:rsidP="0059414F">
            <w:pPr>
              <w:rPr>
                <w:sz w:val="20"/>
                <w:szCs w:val="20"/>
              </w:rPr>
            </w:pPr>
            <w:r w:rsidRPr="008D7A52">
              <w:rPr>
                <w:sz w:val="20"/>
                <w:szCs w:val="20"/>
              </w:rPr>
              <w:t>NFF15</w:t>
            </w:r>
          </w:p>
        </w:tc>
        <w:tc>
          <w:tcPr>
            <w:tcW w:w="4216" w:type="dxa"/>
            <w:noWrap/>
            <w:hideMark/>
          </w:tcPr>
          <w:p w14:paraId="7BE55524" w14:textId="77777777" w:rsidR="006F10A3" w:rsidRPr="008D7A52" w:rsidRDefault="006F10A3" w:rsidP="0059414F">
            <w:pPr>
              <w:rPr>
                <w:sz w:val="20"/>
                <w:szCs w:val="20"/>
              </w:rPr>
            </w:pPr>
            <w:r w:rsidRPr="008D7A52">
              <w:rPr>
                <w:sz w:val="20"/>
                <w:szCs w:val="20"/>
              </w:rPr>
              <w:t>FIDSON HEALTHCARE PLC</w:t>
            </w:r>
          </w:p>
        </w:tc>
      </w:tr>
      <w:tr w:rsidR="008D7A52" w:rsidRPr="008D7A52" w14:paraId="3CC405E5" w14:textId="77777777" w:rsidTr="0059414F">
        <w:trPr>
          <w:trHeight w:val="315"/>
        </w:trPr>
        <w:tc>
          <w:tcPr>
            <w:tcW w:w="670" w:type="dxa"/>
            <w:noWrap/>
            <w:hideMark/>
          </w:tcPr>
          <w:p w14:paraId="2B16E69D" w14:textId="77777777" w:rsidR="006F10A3" w:rsidRPr="008D7A52" w:rsidRDefault="006F10A3" w:rsidP="0059414F">
            <w:pPr>
              <w:rPr>
                <w:sz w:val="20"/>
                <w:szCs w:val="20"/>
              </w:rPr>
            </w:pPr>
            <w:r w:rsidRPr="008D7A52">
              <w:rPr>
                <w:sz w:val="20"/>
                <w:szCs w:val="20"/>
              </w:rPr>
              <w:t>16</w:t>
            </w:r>
          </w:p>
        </w:tc>
        <w:tc>
          <w:tcPr>
            <w:tcW w:w="669" w:type="dxa"/>
            <w:noWrap/>
            <w:hideMark/>
          </w:tcPr>
          <w:p w14:paraId="2899EF8D" w14:textId="77777777" w:rsidR="006F10A3" w:rsidRPr="008D7A52" w:rsidRDefault="006F10A3" w:rsidP="0059414F">
            <w:pPr>
              <w:rPr>
                <w:sz w:val="20"/>
                <w:szCs w:val="20"/>
              </w:rPr>
            </w:pPr>
          </w:p>
        </w:tc>
        <w:tc>
          <w:tcPr>
            <w:tcW w:w="2485" w:type="dxa"/>
            <w:noWrap/>
            <w:hideMark/>
          </w:tcPr>
          <w:p w14:paraId="3487B7E2" w14:textId="77777777" w:rsidR="006F10A3" w:rsidRPr="008D7A52" w:rsidRDefault="006F10A3" w:rsidP="0059414F">
            <w:pPr>
              <w:rPr>
                <w:sz w:val="20"/>
                <w:szCs w:val="20"/>
              </w:rPr>
            </w:pPr>
            <w:r w:rsidRPr="008D7A52">
              <w:rPr>
                <w:sz w:val="20"/>
                <w:szCs w:val="20"/>
              </w:rPr>
              <w:t>HEALTHCARE</w:t>
            </w:r>
          </w:p>
        </w:tc>
        <w:tc>
          <w:tcPr>
            <w:tcW w:w="986" w:type="dxa"/>
            <w:noWrap/>
            <w:hideMark/>
          </w:tcPr>
          <w:p w14:paraId="55A633C4" w14:textId="77777777" w:rsidR="006F10A3" w:rsidRPr="008D7A52" w:rsidRDefault="006F10A3" w:rsidP="0059414F">
            <w:pPr>
              <w:rPr>
                <w:sz w:val="20"/>
                <w:szCs w:val="20"/>
              </w:rPr>
            </w:pPr>
            <w:r w:rsidRPr="008D7A52">
              <w:rPr>
                <w:sz w:val="20"/>
                <w:szCs w:val="20"/>
              </w:rPr>
              <w:t>NFF16</w:t>
            </w:r>
          </w:p>
        </w:tc>
        <w:tc>
          <w:tcPr>
            <w:tcW w:w="4216" w:type="dxa"/>
            <w:noWrap/>
            <w:hideMark/>
          </w:tcPr>
          <w:p w14:paraId="641CB7CC" w14:textId="3E391397" w:rsidR="006F10A3" w:rsidRPr="008D7A52" w:rsidRDefault="006F10A3" w:rsidP="0059414F">
            <w:pPr>
              <w:rPr>
                <w:sz w:val="20"/>
                <w:szCs w:val="20"/>
              </w:rPr>
            </w:pPr>
            <w:r w:rsidRPr="008D7A52">
              <w:rPr>
                <w:sz w:val="20"/>
                <w:szCs w:val="20"/>
              </w:rPr>
              <w:t>NEIMETH INTERNATIONAL PHARMACEUTICALS PLC </w:t>
            </w:r>
          </w:p>
        </w:tc>
      </w:tr>
      <w:tr w:rsidR="008D7A52" w:rsidRPr="008D7A52" w14:paraId="775305C4" w14:textId="77777777" w:rsidTr="0059414F">
        <w:trPr>
          <w:trHeight w:val="315"/>
        </w:trPr>
        <w:tc>
          <w:tcPr>
            <w:tcW w:w="670" w:type="dxa"/>
            <w:noWrap/>
            <w:hideMark/>
          </w:tcPr>
          <w:p w14:paraId="4722F48A" w14:textId="77777777" w:rsidR="006F10A3" w:rsidRPr="008D7A52" w:rsidRDefault="006F10A3" w:rsidP="0059414F">
            <w:pPr>
              <w:rPr>
                <w:sz w:val="20"/>
                <w:szCs w:val="20"/>
              </w:rPr>
            </w:pPr>
            <w:r w:rsidRPr="008D7A52">
              <w:rPr>
                <w:sz w:val="20"/>
                <w:szCs w:val="20"/>
              </w:rPr>
              <w:t>17</w:t>
            </w:r>
          </w:p>
        </w:tc>
        <w:tc>
          <w:tcPr>
            <w:tcW w:w="669" w:type="dxa"/>
            <w:noWrap/>
            <w:hideMark/>
          </w:tcPr>
          <w:p w14:paraId="230C1D83" w14:textId="77777777" w:rsidR="006F10A3" w:rsidRPr="008D7A52" w:rsidRDefault="006F10A3" w:rsidP="0059414F">
            <w:pPr>
              <w:rPr>
                <w:sz w:val="20"/>
                <w:szCs w:val="20"/>
              </w:rPr>
            </w:pPr>
          </w:p>
        </w:tc>
        <w:tc>
          <w:tcPr>
            <w:tcW w:w="2485" w:type="dxa"/>
            <w:noWrap/>
            <w:hideMark/>
          </w:tcPr>
          <w:p w14:paraId="22D4FA17" w14:textId="77777777" w:rsidR="006F10A3" w:rsidRPr="008D7A52" w:rsidRDefault="006F10A3" w:rsidP="0059414F">
            <w:pPr>
              <w:rPr>
                <w:sz w:val="20"/>
                <w:szCs w:val="20"/>
              </w:rPr>
            </w:pPr>
            <w:r w:rsidRPr="008D7A52">
              <w:rPr>
                <w:sz w:val="20"/>
                <w:szCs w:val="20"/>
              </w:rPr>
              <w:t>ICT</w:t>
            </w:r>
          </w:p>
        </w:tc>
        <w:tc>
          <w:tcPr>
            <w:tcW w:w="986" w:type="dxa"/>
            <w:noWrap/>
            <w:hideMark/>
          </w:tcPr>
          <w:p w14:paraId="5F8B137A" w14:textId="77777777" w:rsidR="006F10A3" w:rsidRPr="008D7A52" w:rsidRDefault="006F10A3" w:rsidP="0059414F">
            <w:pPr>
              <w:rPr>
                <w:sz w:val="20"/>
                <w:szCs w:val="20"/>
              </w:rPr>
            </w:pPr>
            <w:r w:rsidRPr="008D7A52">
              <w:rPr>
                <w:sz w:val="20"/>
                <w:szCs w:val="20"/>
              </w:rPr>
              <w:t>NFF17</w:t>
            </w:r>
          </w:p>
        </w:tc>
        <w:tc>
          <w:tcPr>
            <w:tcW w:w="4216" w:type="dxa"/>
            <w:noWrap/>
            <w:hideMark/>
          </w:tcPr>
          <w:p w14:paraId="75772854" w14:textId="1EB73B0C" w:rsidR="006F10A3" w:rsidRPr="008D7A52" w:rsidRDefault="006F10A3" w:rsidP="0059414F">
            <w:pPr>
              <w:rPr>
                <w:sz w:val="20"/>
                <w:szCs w:val="20"/>
              </w:rPr>
            </w:pPr>
            <w:r w:rsidRPr="008D7A52">
              <w:rPr>
                <w:sz w:val="20"/>
                <w:szCs w:val="20"/>
              </w:rPr>
              <w:t>E-TRANZACT INTERNATIONAL PLC </w:t>
            </w:r>
          </w:p>
        </w:tc>
      </w:tr>
      <w:tr w:rsidR="008D7A52" w:rsidRPr="008D7A52" w14:paraId="4B7AC5BE" w14:textId="77777777" w:rsidTr="0059414F">
        <w:trPr>
          <w:trHeight w:val="315"/>
        </w:trPr>
        <w:tc>
          <w:tcPr>
            <w:tcW w:w="670" w:type="dxa"/>
            <w:noWrap/>
            <w:hideMark/>
          </w:tcPr>
          <w:p w14:paraId="471115BB" w14:textId="77777777" w:rsidR="006F10A3" w:rsidRPr="008D7A52" w:rsidRDefault="006F10A3" w:rsidP="0059414F">
            <w:pPr>
              <w:rPr>
                <w:sz w:val="20"/>
                <w:szCs w:val="20"/>
              </w:rPr>
            </w:pPr>
            <w:r w:rsidRPr="008D7A52">
              <w:rPr>
                <w:sz w:val="20"/>
                <w:szCs w:val="20"/>
              </w:rPr>
              <w:t>18</w:t>
            </w:r>
          </w:p>
        </w:tc>
        <w:tc>
          <w:tcPr>
            <w:tcW w:w="669" w:type="dxa"/>
            <w:noWrap/>
            <w:hideMark/>
          </w:tcPr>
          <w:p w14:paraId="757B8591" w14:textId="77777777" w:rsidR="006F10A3" w:rsidRPr="008D7A52" w:rsidRDefault="006F10A3" w:rsidP="0059414F">
            <w:pPr>
              <w:rPr>
                <w:sz w:val="20"/>
                <w:szCs w:val="20"/>
              </w:rPr>
            </w:pPr>
          </w:p>
        </w:tc>
        <w:tc>
          <w:tcPr>
            <w:tcW w:w="2485" w:type="dxa"/>
            <w:noWrap/>
            <w:hideMark/>
          </w:tcPr>
          <w:p w14:paraId="1EBFF554" w14:textId="77777777" w:rsidR="006F10A3" w:rsidRPr="008D7A52" w:rsidRDefault="006F10A3" w:rsidP="0059414F">
            <w:pPr>
              <w:rPr>
                <w:sz w:val="20"/>
                <w:szCs w:val="20"/>
              </w:rPr>
            </w:pPr>
            <w:r w:rsidRPr="008D7A52">
              <w:rPr>
                <w:sz w:val="20"/>
                <w:szCs w:val="20"/>
              </w:rPr>
              <w:t>ICT</w:t>
            </w:r>
          </w:p>
        </w:tc>
        <w:tc>
          <w:tcPr>
            <w:tcW w:w="986" w:type="dxa"/>
            <w:noWrap/>
            <w:hideMark/>
          </w:tcPr>
          <w:p w14:paraId="45334F7D" w14:textId="77777777" w:rsidR="006F10A3" w:rsidRPr="008D7A52" w:rsidRDefault="006F10A3" w:rsidP="0059414F">
            <w:pPr>
              <w:rPr>
                <w:sz w:val="20"/>
                <w:szCs w:val="20"/>
              </w:rPr>
            </w:pPr>
            <w:r w:rsidRPr="008D7A52">
              <w:rPr>
                <w:sz w:val="20"/>
                <w:szCs w:val="20"/>
              </w:rPr>
              <w:t>NFF18</w:t>
            </w:r>
          </w:p>
        </w:tc>
        <w:tc>
          <w:tcPr>
            <w:tcW w:w="4216" w:type="dxa"/>
            <w:noWrap/>
            <w:hideMark/>
          </w:tcPr>
          <w:p w14:paraId="5C7D3C2F" w14:textId="77777777" w:rsidR="006F10A3" w:rsidRPr="008D7A52" w:rsidRDefault="006F10A3" w:rsidP="0059414F">
            <w:pPr>
              <w:rPr>
                <w:sz w:val="20"/>
                <w:szCs w:val="20"/>
              </w:rPr>
            </w:pPr>
            <w:r w:rsidRPr="008D7A52">
              <w:rPr>
                <w:sz w:val="20"/>
                <w:szCs w:val="20"/>
              </w:rPr>
              <w:t>NCR (NIGERIA) PLC.</w:t>
            </w:r>
          </w:p>
        </w:tc>
      </w:tr>
      <w:tr w:rsidR="008D7A52" w:rsidRPr="008D7A52" w14:paraId="2133EDD2" w14:textId="77777777" w:rsidTr="0059414F">
        <w:trPr>
          <w:trHeight w:val="315"/>
        </w:trPr>
        <w:tc>
          <w:tcPr>
            <w:tcW w:w="670" w:type="dxa"/>
            <w:noWrap/>
            <w:hideMark/>
          </w:tcPr>
          <w:p w14:paraId="4000EEBA" w14:textId="77777777" w:rsidR="006F10A3" w:rsidRPr="008D7A52" w:rsidRDefault="006F10A3" w:rsidP="0059414F">
            <w:pPr>
              <w:rPr>
                <w:sz w:val="20"/>
                <w:szCs w:val="20"/>
              </w:rPr>
            </w:pPr>
            <w:r w:rsidRPr="008D7A52">
              <w:rPr>
                <w:sz w:val="20"/>
                <w:szCs w:val="20"/>
              </w:rPr>
              <w:t>19</w:t>
            </w:r>
          </w:p>
        </w:tc>
        <w:tc>
          <w:tcPr>
            <w:tcW w:w="669" w:type="dxa"/>
            <w:noWrap/>
            <w:hideMark/>
          </w:tcPr>
          <w:p w14:paraId="7ED33434" w14:textId="77777777" w:rsidR="006F10A3" w:rsidRPr="008D7A52" w:rsidRDefault="006F10A3" w:rsidP="0059414F">
            <w:pPr>
              <w:rPr>
                <w:sz w:val="20"/>
                <w:szCs w:val="20"/>
              </w:rPr>
            </w:pPr>
          </w:p>
        </w:tc>
        <w:tc>
          <w:tcPr>
            <w:tcW w:w="2485" w:type="dxa"/>
            <w:noWrap/>
            <w:hideMark/>
          </w:tcPr>
          <w:p w14:paraId="0786988B" w14:textId="77777777" w:rsidR="006F10A3" w:rsidRPr="008D7A52" w:rsidRDefault="006F10A3" w:rsidP="0059414F">
            <w:pPr>
              <w:rPr>
                <w:sz w:val="20"/>
                <w:szCs w:val="20"/>
              </w:rPr>
            </w:pPr>
            <w:r w:rsidRPr="008D7A52">
              <w:rPr>
                <w:sz w:val="20"/>
                <w:szCs w:val="20"/>
              </w:rPr>
              <w:t>ICT</w:t>
            </w:r>
          </w:p>
        </w:tc>
        <w:tc>
          <w:tcPr>
            <w:tcW w:w="986" w:type="dxa"/>
            <w:noWrap/>
            <w:hideMark/>
          </w:tcPr>
          <w:p w14:paraId="5196C477" w14:textId="77777777" w:rsidR="006F10A3" w:rsidRPr="008D7A52" w:rsidRDefault="006F10A3" w:rsidP="0059414F">
            <w:pPr>
              <w:rPr>
                <w:sz w:val="20"/>
                <w:szCs w:val="20"/>
              </w:rPr>
            </w:pPr>
            <w:r w:rsidRPr="008D7A52">
              <w:rPr>
                <w:sz w:val="20"/>
                <w:szCs w:val="20"/>
              </w:rPr>
              <w:t>NFF19</w:t>
            </w:r>
          </w:p>
        </w:tc>
        <w:tc>
          <w:tcPr>
            <w:tcW w:w="4216" w:type="dxa"/>
            <w:noWrap/>
            <w:hideMark/>
          </w:tcPr>
          <w:p w14:paraId="1FFBFD5F" w14:textId="0D033E82" w:rsidR="006F10A3" w:rsidRPr="008D7A52" w:rsidRDefault="006F10A3" w:rsidP="0059414F">
            <w:pPr>
              <w:rPr>
                <w:sz w:val="20"/>
                <w:szCs w:val="20"/>
              </w:rPr>
            </w:pPr>
            <w:r w:rsidRPr="008D7A52">
              <w:rPr>
                <w:sz w:val="20"/>
                <w:szCs w:val="20"/>
              </w:rPr>
              <w:t>OMATEK VENTURES PLC </w:t>
            </w:r>
          </w:p>
        </w:tc>
      </w:tr>
      <w:tr w:rsidR="008D7A52" w:rsidRPr="008D7A52" w14:paraId="0A2A73E5" w14:textId="77777777" w:rsidTr="0059414F">
        <w:trPr>
          <w:trHeight w:val="315"/>
        </w:trPr>
        <w:tc>
          <w:tcPr>
            <w:tcW w:w="670" w:type="dxa"/>
            <w:noWrap/>
            <w:hideMark/>
          </w:tcPr>
          <w:p w14:paraId="60374FA1" w14:textId="77777777" w:rsidR="006F10A3" w:rsidRPr="008D7A52" w:rsidRDefault="006F10A3" w:rsidP="0059414F">
            <w:pPr>
              <w:rPr>
                <w:sz w:val="20"/>
                <w:szCs w:val="20"/>
              </w:rPr>
            </w:pPr>
            <w:r w:rsidRPr="008D7A52">
              <w:rPr>
                <w:sz w:val="20"/>
                <w:szCs w:val="20"/>
              </w:rPr>
              <w:t>20</w:t>
            </w:r>
          </w:p>
        </w:tc>
        <w:tc>
          <w:tcPr>
            <w:tcW w:w="669" w:type="dxa"/>
            <w:noWrap/>
            <w:hideMark/>
          </w:tcPr>
          <w:p w14:paraId="44F6B21F" w14:textId="77777777" w:rsidR="006F10A3" w:rsidRPr="008D7A52" w:rsidRDefault="006F10A3" w:rsidP="0059414F">
            <w:pPr>
              <w:rPr>
                <w:sz w:val="20"/>
                <w:szCs w:val="20"/>
              </w:rPr>
            </w:pPr>
          </w:p>
        </w:tc>
        <w:tc>
          <w:tcPr>
            <w:tcW w:w="2485" w:type="dxa"/>
            <w:noWrap/>
            <w:hideMark/>
          </w:tcPr>
          <w:p w14:paraId="471C38E9" w14:textId="77777777" w:rsidR="006F10A3" w:rsidRPr="008D7A52" w:rsidRDefault="006F10A3" w:rsidP="0059414F">
            <w:pPr>
              <w:rPr>
                <w:sz w:val="20"/>
                <w:szCs w:val="20"/>
              </w:rPr>
            </w:pPr>
            <w:r w:rsidRPr="008D7A52">
              <w:rPr>
                <w:sz w:val="20"/>
                <w:szCs w:val="20"/>
              </w:rPr>
              <w:t>INDUSTRIAL GOODS</w:t>
            </w:r>
          </w:p>
        </w:tc>
        <w:tc>
          <w:tcPr>
            <w:tcW w:w="986" w:type="dxa"/>
            <w:noWrap/>
            <w:hideMark/>
          </w:tcPr>
          <w:p w14:paraId="20C020D5" w14:textId="77777777" w:rsidR="006F10A3" w:rsidRPr="008D7A52" w:rsidRDefault="006F10A3" w:rsidP="0059414F">
            <w:pPr>
              <w:rPr>
                <w:sz w:val="20"/>
                <w:szCs w:val="20"/>
              </w:rPr>
            </w:pPr>
            <w:r w:rsidRPr="008D7A52">
              <w:rPr>
                <w:sz w:val="20"/>
                <w:szCs w:val="20"/>
              </w:rPr>
              <w:t>NFF20</w:t>
            </w:r>
          </w:p>
        </w:tc>
        <w:tc>
          <w:tcPr>
            <w:tcW w:w="4216" w:type="dxa"/>
            <w:noWrap/>
            <w:hideMark/>
          </w:tcPr>
          <w:p w14:paraId="05B84B39" w14:textId="2D38523C" w:rsidR="006F10A3" w:rsidRPr="008D7A52" w:rsidRDefault="006F10A3" w:rsidP="0059414F">
            <w:pPr>
              <w:rPr>
                <w:sz w:val="20"/>
                <w:szCs w:val="20"/>
              </w:rPr>
            </w:pPr>
            <w:r w:rsidRPr="008D7A52">
              <w:rPr>
                <w:sz w:val="20"/>
                <w:szCs w:val="20"/>
              </w:rPr>
              <w:t>BERGER PAINTS PLC</w:t>
            </w:r>
          </w:p>
        </w:tc>
      </w:tr>
      <w:tr w:rsidR="008D7A52" w:rsidRPr="008D7A52" w14:paraId="0F0D5ED6" w14:textId="77777777" w:rsidTr="0059414F">
        <w:trPr>
          <w:trHeight w:val="315"/>
        </w:trPr>
        <w:tc>
          <w:tcPr>
            <w:tcW w:w="670" w:type="dxa"/>
            <w:noWrap/>
            <w:hideMark/>
          </w:tcPr>
          <w:p w14:paraId="19ACD5C9" w14:textId="77777777" w:rsidR="006F10A3" w:rsidRPr="008D7A52" w:rsidRDefault="006F10A3" w:rsidP="0059414F">
            <w:pPr>
              <w:rPr>
                <w:sz w:val="20"/>
                <w:szCs w:val="20"/>
              </w:rPr>
            </w:pPr>
            <w:r w:rsidRPr="008D7A52">
              <w:rPr>
                <w:sz w:val="20"/>
                <w:szCs w:val="20"/>
              </w:rPr>
              <w:t>21</w:t>
            </w:r>
          </w:p>
        </w:tc>
        <w:tc>
          <w:tcPr>
            <w:tcW w:w="669" w:type="dxa"/>
            <w:noWrap/>
            <w:hideMark/>
          </w:tcPr>
          <w:p w14:paraId="16923F56" w14:textId="77777777" w:rsidR="006F10A3" w:rsidRPr="008D7A52" w:rsidRDefault="006F10A3" w:rsidP="0059414F">
            <w:pPr>
              <w:rPr>
                <w:sz w:val="20"/>
                <w:szCs w:val="20"/>
              </w:rPr>
            </w:pPr>
          </w:p>
        </w:tc>
        <w:tc>
          <w:tcPr>
            <w:tcW w:w="2485" w:type="dxa"/>
            <w:noWrap/>
            <w:hideMark/>
          </w:tcPr>
          <w:p w14:paraId="03948C61" w14:textId="77777777" w:rsidR="006F10A3" w:rsidRPr="008D7A52" w:rsidRDefault="006F10A3" w:rsidP="0059414F">
            <w:pPr>
              <w:rPr>
                <w:sz w:val="20"/>
                <w:szCs w:val="20"/>
              </w:rPr>
            </w:pPr>
            <w:r w:rsidRPr="008D7A52">
              <w:rPr>
                <w:sz w:val="20"/>
                <w:szCs w:val="20"/>
              </w:rPr>
              <w:t>INDUSTRIAL GOODS</w:t>
            </w:r>
          </w:p>
        </w:tc>
        <w:tc>
          <w:tcPr>
            <w:tcW w:w="986" w:type="dxa"/>
            <w:noWrap/>
            <w:hideMark/>
          </w:tcPr>
          <w:p w14:paraId="74DA1950" w14:textId="77777777" w:rsidR="006F10A3" w:rsidRPr="008D7A52" w:rsidRDefault="006F10A3" w:rsidP="0059414F">
            <w:pPr>
              <w:rPr>
                <w:sz w:val="20"/>
                <w:szCs w:val="20"/>
              </w:rPr>
            </w:pPr>
            <w:r w:rsidRPr="008D7A52">
              <w:rPr>
                <w:sz w:val="20"/>
                <w:szCs w:val="20"/>
              </w:rPr>
              <w:t>NFF21</w:t>
            </w:r>
          </w:p>
        </w:tc>
        <w:tc>
          <w:tcPr>
            <w:tcW w:w="4216" w:type="dxa"/>
            <w:noWrap/>
            <w:hideMark/>
          </w:tcPr>
          <w:p w14:paraId="6E09F51D" w14:textId="77777777" w:rsidR="006F10A3" w:rsidRPr="008D7A52" w:rsidRDefault="006F10A3" w:rsidP="0059414F">
            <w:pPr>
              <w:rPr>
                <w:sz w:val="20"/>
                <w:szCs w:val="20"/>
              </w:rPr>
            </w:pPr>
            <w:r w:rsidRPr="008D7A52">
              <w:rPr>
                <w:sz w:val="20"/>
                <w:szCs w:val="20"/>
              </w:rPr>
              <w:t>CAP PLC</w:t>
            </w:r>
          </w:p>
        </w:tc>
      </w:tr>
      <w:tr w:rsidR="008D7A52" w:rsidRPr="008D7A52" w14:paraId="206B1301" w14:textId="77777777" w:rsidTr="0059414F">
        <w:trPr>
          <w:trHeight w:val="315"/>
        </w:trPr>
        <w:tc>
          <w:tcPr>
            <w:tcW w:w="670" w:type="dxa"/>
            <w:noWrap/>
            <w:hideMark/>
          </w:tcPr>
          <w:p w14:paraId="0EFBF09E" w14:textId="77777777" w:rsidR="006F10A3" w:rsidRPr="008D7A52" w:rsidRDefault="006F10A3" w:rsidP="0059414F">
            <w:pPr>
              <w:rPr>
                <w:sz w:val="20"/>
                <w:szCs w:val="20"/>
              </w:rPr>
            </w:pPr>
            <w:r w:rsidRPr="008D7A52">
              <w:rPr>
                <w:sz w:val="20"/>
                <w:szCs w:val="20"/>
              </w:rPr>
              <w:t>22</w:t>
            </w:r>
          </w:p>
        </w:tc>
        <w:tc>
          <w:tcPr>
            <w:tcW w:w="669" w:type="dxa"/>
            <w:noWrap/>
            <w:hideMark/>
          </w:tcPr>
          <w:p w14:paraId="724A8BB4" w14:textId="77777777" w:rsidR="006F10A3" w:rsidRPr="008D7A52" w:rsidRDefault="006F10A3" w:rsidP="0059414F">
            <w:pPr>
              <w:rPr>
                <w:sz w:val="20"/>
                <w:szCs w:val="20"/>
              </w:rPr>
            </w:pPr>
          </w:p>
        </w:tc>
        <w:tc>
          <w:tcPr>
            <w:tcW w:w="2485" w:type="dxa"/>
            <w:noWrap/>
            <w:hideMark/>
          </w:tcPr>
          <w:p w14:paraId="30DE5BF9" w14:textId="77777777" w:rsidR="006F10A3" w:rsidRPr="008D7A52" w:rsidRDefault="006F10A3" w:rsidP="0059414F">
            <w:pPr>
              <w:rPr>
                <w:sz w:val="20"/>
                <w:szCs w:val="20"/>
              </w:rPr>
            </w:pPr>
            <w:r w:rsidRPr="008D7A52">
              <w:rPr>
                <w:sz w:val="20"/>
                <w:szCs w:val="20"/>
              </w:rPr>
              <w:t>INDUSTRIAL GOODS</w:t>
            </w:r>
          </w:p>
        </w:tc>
        <w:tc>
          <w:tcPr>
            <w:tcW w:w="986" w:type="dxa"/>
            <w:noWrap/>
            <w:hideMark/>
          </w:tcPr>
          <w:p w14:paraId="5D7B225E" w14:textId="77777777" w:rsidR="006F10A3" w:rsidRPr="008D7A52" w:rsidRDefault="006F10A3" w:rsidP="0059414F">
            <w:pPr>
              <w:rPr>
                <w:sz w:val="20"/>
                <w:szCs w:val="20"/>
              </w:rPr>
            </w:pPr>
            <w:r w:rsidRPr="008D7A52">
              <w:rPr>
                <w:sz w:val="20"/>
                <w:szCs w:val="20"/>
              </w:rPr>
              <w:t>NFF22</w:t>
            </w:r>
          </w:p>
        </w:tc>
        <w:tc>
          <w:tcPr>
            <w:tcW w:w="4216" w:type="dxa"/>
            <w:noWrap/>
            <w:hideMark/>
          </w:tcPr>
          <w:p w14:paraId="57E251DB" w14:textId="38F9945B" w:rsidR="006F10A3" w:rsidRPr="008D7A52" w:rsidRDefault="006F10A3" w:rsidP="0059414F">
            <w:pPr>
              <w:rPr>
                <w:sz w:val="20"/>
                <w:szCs w:val="20"/>
              </w:rPr>
            </w:pPr>
            <w:r w:rsidRPr="008D7A52">
              <w:rPr>
                <w:sz w:val="20"/>
                <w:szCs w:val="20"/>
              </w:rPr>
              <w:t>DANGOTE CEMENT PLC</w:t>
            </w:r>
          </w:p>
        </w:tc>
      </w:tr>
      <w:tr w:rsidR="008D7A52" w:rsidRPr="008D7A52" w14:paraId="31433F16" w14:textId="77777777" w:rsidTr="0059414F">
        <w:trPr>
          <w:trHeight w:val="315"/>
        </w:trPr>
        <w:tc>
          <w:tcPr>
            <w:tcW w:w="670" w:type="dxa"/>
            <w:noWrap/>
            <w:hideMark/>
          </w:tcPr>
          <w:p w14:paraId="46C4DC0A" w14:textId="77777777" w:rsidR="006F10A3" w:rsidRPr="008D7A52" w:rsidRDefault="006F10A3" w:rsidP="0059414F">
            <w:pPr>
              <w:rPr>
                <w:sz w:val="20"/>
                <w:szCs w:val="20"/>
              </w:rPr>
            </w:pPr>
            <w:r w:rsidRPr="008D7A52">
              <w:rPr>
                <w:sz w:val="20"/>
                <w:szCs w:val="20"/>
              </w:rPr>
              <w:t>23</w:t>
            </w:r>
          </w:p>
        </w:tc>
        <w:tc>
          <w:tcPr>
            <w:tcW w:w="669" w:type="dxa"/>
            <w:noWrap/>
            <w:hideMark/>
          </w:tcPr>
          <w:p w14:paraId="093A3AD6" w14:textId="77777777" w:rsidR="006F10A3" w:rsidRPr="008D7A52" w:rsidRDefault="006F10A3" w:rsidP="0059414F">
            <w:pPr>
              <w:rPr>
                <w:sz w:val="20"/>
                <w:szCs w:val="20"/>
              </w:rPr>
            </w:pPr>
          </w:p>
        </w:tc>
        <w:tc>
          <w:tcPr>
            <w:tcW w:w="2485" w:type="dxa"/>
            <w:noWrap/>
            <w:hideMark/>
          </w:tcPr>
          <w:p w14:paraId="19EFD6FF" w14:textId="77777777" w:rsidR="006F10A3" w:rsidRPr="008D7A52" w:rsidRDefault="006F10A3" w:rsidP="0059414F">
            <w:pPr>
              <w:rPr>
                <w:sz w:val="20"/>
                <w:szCs w:val="20"/>
              </w:rPr>
            </w:pPr>
            <w:r w:rsidRPr="008D7A52">
              <w:rPr>
                <w:sz w:val="20"/>
                <w:szCs w:val="20"/>
              </w:rPr>
              <w:t>INDUSTRIAL GOODS</w:t>
            </w:r>
          </w:p>
        </w:tc>
        <w:tc>
          <w:tcPr>
            <w:tcW w:w="986" w:type="dxa"/>
            <w:noWrap/>
            <w:hideMark/>
          </w:tcPr>
          <w:p w14:paraId="2117B168" w14:textId="77777777" w:rsidR="006F10A3" w:rsidRPr="008D7A52" w:rsidRDefault="006F10A3" w:rsidP="0059414F">
            <w:pPr>
              <w:rPr>
                <w:sz w:val="20"/>
                <w:szCs w:val="20"/>
              </w:rPr>
            </w:pPr>
            <w:r w:rsidRPr="008D7A52">
              <w:rPr>
                <w:sz w:val="20"/>
                <w:szCs w:val="20"/>
              </w:rPr>
              <w:t>NFF23</w:t>
            </w:r>
          </w:p>
        </w:tc>
        <w:tc>
          <w:tcPr>
            <w:tcW w:w="4216" w:type="dxa"/>
            <w:noWrap/>
            <w:hideMark/>
          </w:tcPr>
          <w:p w14:paraId="24FDA22C" w14:textId="77777777" w:rsidR="006F10A3" w:rsidRPr="008D7A52" w:rsidRDefault="006F10A3" w:rsidP="0059414F">
            <w:pPr>
              <w:rPr>
                <w:sz w:val="20"/>
                <w:szCs w:val="20"/>
              </w:rPr>
            </w:pPr>
            <w:r w:rsidRPr="008D7A52">
              <w:rPr>
                <w:sz w:val="20"/>
                <w:szCs w:val="20"/>
              </w:rPr>
              <w:t>MEYER PLC.</w:t>
            </w:r>
          </w:p>
        </w:tc>
      </w:tr>
      <w:tr w:rsidR="008D7A52" w:rsidRPr="008D7A52" w14:paraId="792495CB" w14:textId="77777777" w:rsidTr="0059414F">
        <w:trPr>
          <w:trHeight w:val="315"/>
        </w:trPr>
        <w:tc>
          <w:tcPr>
            <w:tcW w:w="670" w:type="dxa"/>
            <w:noWrap/>
            <w:hideMark/>
          </w:tcPr>
          <w:p w14:paraId="7BD8054E" w14:textId="77777777" w:rsidR="006F10A3" w:rsidRPr="008D7A52" w:rsidRDefault="006F10A3" w:rsidP="0059414F">
            <w:pPr>
              <w:rPr>
                <w:sz w:val="20"/>
                <w:szCs w:val="20"/>
              </w:rPr>
            </w:pPr>
            <w:r w:rsidRPr="008D7A52">
              <w:rPr>
                <w:sz w:val="20"/>
                <w:szCs w:val="20"/>
              </w:rPr>
              <w:t>24</w:t>
            </w:r>
          </w:p>
        </w:tc>
        <w:tc>
          <w:tcPr>
            <w:tcW w:w="669" w:type="dxa"/>
            <w:noWrap/>
            <w:hideMark/>
          </w:tcPr>
          <w:p w14:paraId="29508B21" w14:textId="77777777" w:rsidR="006F10A3" w:rsidRPr="008D7A52" w:rsidRDefault="006F10A3" w:rsidP="0059414F">
            <w:pPr>
              <w:rPr>
                <w:sz w:val="20"/>
                <w:szCs w:val="20"/>
              </w:rPr>
            </w:pPr>
          </w:p>
        </w:tc>
        <w:tc>
          <w:tcPr>
            <w:tcW w:w="2485" w:type="dxa"/>
            <w:noWrap/>
            <w:hideMark/>
          </w:tcPr>
          <w:p w14:paraId="11F64C54" w14:textId="77777777" w:rsidR="006F10A3" w:rsidRPr="008D7A52" w:rsidRDefault="006F10A3" w:rsidP="0059414F">
            <w:pPr>
              <w:rPr>
                <w:sz w:val="20"/>
                <w:szCs w:val="20"/>
              </w:rPr>
            </w:pPr>
            <w:r w:rsidRPr="008D7A52">
              <w:rPr>
                <w:sz w:val="20"/>
                <w:szCs w:val="20"/>
              </w:rPr>
              <w:t>NATURAL RESOURCES</w:t>
            </w:r>
          </w:p>
        </w:tc>
        <w:tc>
          <w:tcPr>
            <w:tcW w:w="986" w:type="dxa"/>
            <w:noWrap/>
            <w:hideMark/>
          </w:tcPr>
          <w:p w14:paraId="30DAF61A" w14:textId="77777777" w:rsidR="006F10A3" w:rsidRPr="008D7A52" w:rsidRDefault="006F10A3" w:rsidP="0059414F">
            <w:pPr>
              <w:rPr>
                <w:sz w:val="20"/>
                <w:szCs w:val="20"/>
              </w:rPr>
            </w:pPr>
            <w:r w:rsidRPr="008D7A52">
              <w:rPr>
                <w:sz w:val="20"/>
                <w:szCs w:val="20"/>
              </w:rPr>
              <w:t>NFF24</w:t>
            </w:r>
          </w:p>
        </w:tc>
        <w:tc>
          <w:tcPr>
            <w:tcW w:w="4216" w:type="dxa"/>
            <w:noWrap/>
            <w:hideMark/>
          </w:tcPr>
          <w:p w14:paraId="5B201724" w14:textId="2490212C" w:rsidR="006F10A3" w:rsidRPr="008D7A52" w:rsidRDefault="006F10A3" w:rsidP="0059414F">
            <w:pPr>
              <w:rPr>
                <w:sz w:val="20"/>
                <w:szCs w:val="20"/>
              </w:rPr>
            </w:pPr>
            <w:r w:rsidRPr="008D7A52">
              <w:rPr>
                <w:sz w:val="20"/>
                <w:szCs w:val="20"/>
              </w:rPr>
              <w:t>ALUMINIUM EXTRUSION IND. PLC. </w:t>
            </w:r>
          </w:p>
        </w:tc>
      </w:tr>
      <w:tr w:rsidR="008D7A52" w:rsidRPr="008D7A52" w14:paraId="0DBA6F05" w14:textId="77777777" w:rsidTr="0059414F">
        <w:trPr>
          <w:trHeight w:val="315"/>
        </w:trPr>
        <w:tc>
          <w:tcPr>
            <w:tcW w:w="670" w:type="dxa"/>
            <w:noWrap/>
            <w:hideMark/>
          </w:tcPr>
          <w:p w14:paraId="0B938529" w14:textId="77777777" w:rsidR="006F10A3" w:rsidRPr="008D7A52" w:rsidRDefault="006F10A3" w:rsidP="0059414F">
            <w:pPr>
              <w:rPr>
                <w:sz w:val="20"/>
                <w:szCs w:val="20"/>
              </w:rPr>
            </w:pPr>
            <w:r w:rsidRPr="008D7A52">
              <w:rPr>
                <w:sz w:val="20"/>
                <w:szCs w:val="20"/>
              </w:rPr>
              <w:t>25</w:t>
            </w:r>
          </w:p>
        </w:tc>
        <w:tc>
          <w:tcPr>
            <w:tcW w:w="669" w:type="dxa"/>
            <w:noWrap/>
            <w:hideMark/>
          </w:tcPr>
          <w:p w14:paraId="3568257A" w14:textId="77777777" w:rsidR="006F10A3" w:rsidRPr="008D7A52" w:rsidRDefault="006F10A3" w:rsidP="0059414F">
            <w:pPr>
              <w:rPr>
                <w:sz w:val="20"/>
                <w:szCs w:val="20"/>
              </w:rPr>
            </w:pPr>
          </w:p>
        </w:tc>
        <w:tc>
          <w:tcPr>
            <w:tcW w:w="2485" w:type="dxa"/>
            <w:noWrap/>
            <w:hideMark/>
          </w:tcPr>
          <w:p w14:paraId="777279E8" w14:textId="77777777" w:rsidR="006F10A3" w:rsidRPr="008D7A52" w:rsidRDefault="006F10A3" w:rsidP="0059414F">
            <w:pPr>
              <w:rPr>
                <w:sz w:val="20"/>
                <w:szCs w:val="20"/>
              </w:rPr>
            </w:pPr>
            <w:r w:rsidRPr="008D7A52">
              <w:rPr>
                <w:sz w:val="20"/>
                <w:szCs w:val="20"/>
              </w:rPr>
              <w:t>NATURAL RESOURCES</w:t>
            </w:r>
          </w:p>
        </w:tc>
        <w:tc>
          <w:tcPr>
            <w:tcW w:w="986" w:type="dxa"/>
            <w:noWrap/>
            <w:hideMark/>
          </w:tcPr>
          <w:p w14:paraId="7DBBA925" w14:textId="77777777" w:rsidR="006F10A3" w:rsidRPr="008D7A52" w:rsidRDefault="006F10A3" w:rsidP="0059414F">
            <w:pPr>
              <w:rPr>
                <w:sz w:val="20"/>
                <w:szCs w:val="20"/>
              </w:rPr>
            </w:pPr>
            <w:r w:rsidRPr="008D7A52">
              <w:rPr>
                <w:sz w:val="20"/>
                <w:szCs w:val="20"/>
              </w:rPr>
              <w:t>NFF25</w:t>
            </w:r>
          </w:p>
        </w:tc>
        <w:tc>
          <w:tcPr>
            <w:tcW w:w="4216" w:type="dxa"/>
            <w:noWrap/>
            <w:hideMark/>
          </w:tcPr>
          <w:p w14:paraId="2354F7FD" w14:textId="77777777" w:rsidR="006F10A3" w:rsidRPr="008D7A52" w:rsidRDefault="006F10A3" w:rsidP="0059414F">
            <w:pPr>
              <w:rPr>
                <w:sz w:val="20"/>
                <w:szCs w:val="20"/>
              </w:rPr>
            </w:pPr>
            <w:r w:rsidRPr="008D7A52">
              <w:rPr>
                <w:sz w:val="20"/>
                <w:szCs w:val="20"/>
              </w:rPr>
              <w:t>INDUSTRIAL &amp; MEDICAL GASES NIGERIA PLC</w:t>
            </w:r>
          </w:p>
        </w:tc>
      </w:tr>
      <w:tr w:rsidR="008D7A52" w:rsidRPr="008D7A52" w14:paraId="6CBFC88F" w14:textId="77777777" w:rsidTr="0059414F">
        <w:trPr>
          <w:trHeight w:val="315"/>
        </w:trPr>
        <w:tc>
          <w:tcPr>
            <w:tcW w:w="670" w:type="dxa"/>
            <w:noWrap/>
            <w:hideMark/>
          </w:tcPr>
          <w:p w14:paraId="4441B895" w14:textId="77777777" w:rsidR="006F10A3" w:rsidRPr="008D7A52" w:rsidRDefault="006F10A3" w:rsidP="0059414F">
            <w:pPr>
              <w:rPr>
                <w:sz w:val="20"/>
                <w:szCs w:val="20"/>
              </w:rPr>
            </w:pPr>
            <w:r w:rsidRPr="008D7A52">
              <w:rPr>
                <w:sz w:val="20"/>
                <w:szCs w:val="20"/>
              </w:rPr>
              <w:t>26</w:t>
            </w:r>
          </w:p>
        </w:tc>
        <w:tc>
          <w:tcPr>
            <w:tcW w:w="669" w:type="dxa"/>
            <w:noWrap/>
            <w:hideMark/>
          </w:tcPr>
          <w:p w14:paraId="2852F496" w14:textId="77777777" w:rsidR="006F10A3" w:rsidRPr="008D7A52" w:rsidRDefault="006F10A3" w:rsidP="0059414F">
            <w:pPr>
              <w:rPr>
                <w:sz w:val="20"/>
                <w:szCs w:val="20"/>
              </w:rPr>
            </w:pPr>
          </w:p>
        </w:tc>
        <w:tc>
          <w:tcPr>
            <w:tcW w:w="2485" w:type="dxa"/>
            <w:noWrap/>
            <w:hideMark/>
          </w:tcPr>
          <w:p w14:paraId="117DEAC6" w14:textId="77777777" w:rsidR="006F10A3" w:rsidRPr="008D7A52" w:rsidRDefault="006F10A3" w:rsidP="0059414F">
            <w:pPr>
              <w:rPr>
                <w:sz w:val="20"/>
                <w:szCs w:val="20"/>
              </w:rPr>
            </w:pPr>
            <w:r w:rsidRPr="008D7A52">
              <w:rPr>
                <w:sz w:val="20"/>
                <w:szCs w:val="20"/>
              </w:rPr>
              <w:t>OIL AND GAS</w:t>
            </w:r>
          </w:p>
        </w:tc>
        <w:tc>
          <w:tcPr>
            <w:tcW w:w="986" w:type="dxa"/>
            <w:noWrap/>
            <w:hideMark/>
          </w:tcPr>
          <w:p w14:paraId="26A45DF6" w14:textId="77777777" w:rsidR="006F10A3" w:rsidRPr="008D7A52" w:rsidRDefault="006F10A3" w:rsidP="0059414F">
            <w:pPr>
              <w:rPr>
                <w:sz w:val="20"/>
                <w:szCs w:val="20"/>
              </w:rPr>
            </w:pPr>
            <w:r w:rsidRPr="008D7A52">
              <w:rPr>
                <w:sz w:val="20"/>
                <w:szCs w:val="20"/>
              </w:rPr>
              <w:t>NFF26</w:t>
            </w:r>
          </w:p>
        </w:tc>
        <w:tc>
          <w:tcPr>
            <w:tcW w:w="4216" w:type="dxa"/>
            <w:noWrap/>
            <w:hideMark/>
          </w:tcPr>
          <w:p w14:paraId="0AB56A68" w14:textId="77777777" w:rsidR="006F10A3" w:rsidRPr="008D7A52" w:rsidRDefault="006F10A3" w:rsidP="0059414F">
            <w:pPr>
              <w:rPr>
                <w:sz w:val="20"/>
                <w:szCs w:val="20"/>
              </w:rPr>
            </w:pPr>
            <w:r w:rsidRPr="008D7A52">
              <w:rPr>
                <w:sz w:val="20"/>
                <w:szCs w:val="20"/>
              </w:rPr>
              <w:t>CONOIL PLC</w:t>
            </w:r>
          </w:p>
        </w:tc>
      </w:tr>
      <w:tr w:rsidR="008D7A52" w:rsidRPr="008D7A52" w14:paraId="0F570ABE" w14:textId="77777777" w:rsidTr="0059414F">
        <w:trPr>
          <w:trHeight w:val="315"/>
        </w:trPr>
        <w:tc>
          <w:tcPr>
            <w:tcW w:w="670" w:type="dxa"/>
            <w:noWrap/>
            <w:hideMark/>
          </w:tcPr>
          <w:p w14:paraId="147DF94F" w14:textId="77777777" w:rsidR="006F10A3" w:rsidRPr="008D7A52" w:rsidRDefault="006F10A3" w:rsidP="0059414F">
            <w:pPr>
              <w:rPr>
                <w:sz w:val="20"/>
                <w:szCs w:val="20"/>
              </w:rPr>
            </w:pPr>
            <w:r w:rsidRPr="008D7A52">
              <w:rPr>
                <w:sz w:val="20"/>
                <w:szCs w:val="20"/>
              </w:rPr>
              <w:t>27</w:t>
            </w:r>
          </w:p>
        </w:tc>
        <w:tc>
          <w:tcPr>
            <w:tcW w:w="669" w:type="dxa"/>
            <w:noWrap/>
            <w:hideMark/>
          </w:tcPr>
          <w:p w14:paraId="3FD1F9C8" w14:textId="77777777" w:rsidR="006F10A3" w:rsidRPr="008D7A52" w:rsidRDefault="006F10A3" w:rsidP="0059414F">
            <w:pPr>
              <w:rPr>
                <w:sz w:val="20"/>
                <w:szCs w:val="20"/>
              </w:rPr>
            </w:pPr>
          </w:p>
        </w:tc>
        <w:tc>
          <w:tcPr>
            <w:tcW w:w="2485" w:type="dxa"/>
            <w:noWrap/>
            <w:hideMark/>
          </w:tcPr>
          <w:p w14:paraId="75683C54" w14:textId="77777777" w:rsidR="006F10A3" w:rsidRPr="008D7A52" w:rsidRDefault="006F10A3" w:rsidP="0059414F">
            <w:pPr>
              <w:rPr>
                <w:sz w:val="20"/>
                <w:szCs w:val="20"/>
              </w:rPr>
            </w:pPr>
            <w:r w:rsidRPr="008D7A52">
              <w:rPr>
                <w:sz w:val="20"/>
                <w:szCs w:val="20"/>
              </w:rPr>
              <w:t>OIL AND GAS</w:t>
            </w:r>
          </w:p>
        </w:tc>
        <w:tc>
          <w:tcPr>
            <w:tcW w:w="986" w:type="dxa"/>
            <w:noWrap/>
            <w:hideMark/>
          </w:tcPr>
          <w:p w14:paraId="3ADF5814" w14:textId="77777777" w:rsidR="006F10A3" w:rsidRPr="008D7A52" w:rsidRDefault="006F10A3" w:rsidP="0059414F">
            <w:pPr>
              <w:rPr>
                <w:sz w:val="20"/>
                <w:szCs w:val="20"/>
              </w:rPr>
            </w:pPr>
            <w:r w:rsidRPr="008D7A52">
              <w:rPr>
                <w:sz w:val="20"/>
                <w:szCs w:val="20"/>
              </w:rPr>
              <w:t>NFF27</w:t>
            </w:r>
          </w:p>
        </w:tc>
        <w:tc>
          <w:tcPr>
            <w:tcW w:w="4216" w:type="dxa"/>
            <w:noWrap/>
            <w:hideMark/>
          </w:tcPr>
          <w:p w14:paraId="2542D0F5" w14:textId="77777777" w:rsidR="006F10A3" w:rsidRPr="008D7A52" w:rsidRDefault="006F10A3" w:rsidP="0059414F">
            <w:pPr>
              <w:rPr>
                <w:sz w:val="20"/>
                <w:szCs w:val="20"/>
              </w:rPr>
            </w:pPr>
            <w:r w:rsidRPr="008D7A52">
              <w:rPr>
                <w:sz w:val="20"/>
                <w:szCs w:val="20"/>
              </w:rPr>
              <w:t>MRS OIL NIGERIA PLC.</w:t>
            </w:r>
          </w:p>
        </w:tc>
      </w:tr>
      <w:tr w:rsidR="008D7A52" w:rsidRPr="008D7A52" w14:paraId="51534FC6" w14:textId="77777777" w:rsidTr="0059414F">
        <w:trPr>
          <w:trHeight w:val="315"/>
        </w:trPr>
        <w:tc>
          <w:tcPr>
            <w:tcW w:w="670" w:type="dxa"/>
            <w:noWrap/>
            <w:hideMark/>
          </w:tcPr>
          <w:p w14:paraId="1943D64B" w14:textId="77777777" w:rsidR="006F10A3" w:rsidRPr="008D7A52" w:rsidRDefault="006F10A3" w:rsidP="0059414F">
            <w:pPr>
              <w:rPr>
                <w:sz w:val="20"/>
                <w:szCs w:val="20"/>
              </w:rPr>
            </w:pPr>
            <w:r w:rsidRPr="008D7A52">
              <w:rPr>
                <w:sz w:val="20"/>
                <w:szCs w:val="20"/>
              </w:rPr>
              <w:t>28</w:t>
            </w:r>
          </w:p>
        </w:tc>
        <w:tc>
          <w:tcPr>
            <w:tcW w:w="669" w:type="dxa"/>
            <w:noWrap/>
            <w:hideMark/>
          </w:tcPr>
          <w:p w14:paraId="5A80C8B8" w14:textId="77777777" w:rsidR="006F10A3" w:rsidRPr="008D7A52" w:rsidRDefault="006F10A3" w:rsidP="0059414F">
            <w:pPr>
              <w:rPr>
                <w:sz w:val="20"/>
                <w:szCs w:val="20"/>
              </w:rPr>
            </w:pPr>
          </w:p>
        </w:tc>
        <w:tc>
          <w:tcPr>
            <w:tcW w:w="2485" w:type="dxa"/>
            <w:noWrap/>
            <w:hideMark/>
          </w:tcPr>
          <w:p w14:paraId="19A13401" w14:textId="77777777" w:rsidR="006F10A3" w:rsidRPr="008D7A52" w:rsidRDefault="006F10A3" w:rsidP="0059414F">
            <w:pPr>
              <w:rPr>
                <w:sz w:val="20"/>
                <w:szCs w:val="20"/>
              </w:rPr>
            </w:pPr>
            <w:r w:rsidRPr="008D7A52">
              <w:rPr>
                <w:sz w:val="20"/>
                <w:szCs w:val="20"/>
              </w:rPr>
              <w:t>OIL AND GAS</w:t>
            </w:r>
          </w:p>
        </w:tc>
        <w:tc>
          <w:tcPr>
            <w:tcW w:w="986" w:type="dxa"/>
            <w:noWrap/>
            <w:hideMark/>
          </w:tcPr>
          <w:p w14:paraId="5854D930" w14:textId="77777777" w:rsidR="006F10A3" w:rsidRPr="008D7A52" w:rsidRDefault="006F10A3" w:rsidP="0059414F">
            <w:pPr>
              <w:rPr>
                <w:sz w:val="20"/>
                <w:szCs w:val="20"/>
              </w:rPr>
            </w:pPr>
            <w:r w:rsidRPr="008D7A52">
              <w:rPr>
                <w:sz w:val="20"/>
                <w:szCs w:val="20"/>
              </w:rPr>
              <w:t>NFF28</w:t>
            </w:r>
          </w:p>
        </w:tc>
        <w:tc>
          <w:tcPr>
            <w:tcW w:w="4216" w:type="dxa"/>
            <w:noWrap/>
            <w:hideMark/>
          </w:tcPr>
          <w:p w14:paraId="4A1CE393" w14:textId="637E6742" w:rsidR="006F10A3" w:rsidRPr="008D7A52" w:rsidRDefault="006F10A3" w:rsidP="0059414F">
            <w:pPr>
              <w:rPr>
                <w:sz w:val="20"/>
                <w:szCs w:val="20"/>
              </w:rPr>
            </w:pPr>
            <w:r w:rsidRPr="008D7A52">
              <w:rPr>
                <w:sz w:val="20"/>
                <w:szCs w:val="20"/>
              </w:rPr>
              <w:t>OANDO PLC </w:t>
            </w:r>
          </w:p>
        </w:tc>
      </w:tr>
      <w:tr w:rsidR="008D7A52" w:rsidRPr="008D7A52" w14:paraId="40B634D9" w14:textId="77777777" w:rsidTr="0059414F">
        <w:trPr>
          <w:trHeight w:val="315"/>
        </w:trPr>
        <w:tc>
          <w:tcPr>
            <w:tcW w:w="670" w:type="dxa"/>
            <w:noWrap/>
            <w:hideMark/>
          </w:tcPr>
          <w:p w14:paraId="042842D0" w14:textId="77777777" w:rsidR="006F10A3" w:rsidRPr="008D7A52" w:rsidRDefault="006F10A3" w:rsidP="0059414F">
            <w:pPr>
              <w:rPr>
                <w:sz w:val="20"/>
                <w:szCs w:val="20"/>
              </w:rPr>
            </w:pPr>
            <w:r w:rsidRPr="008D7A52">
              <w:rPr>
                <w:sz w:val="20"/>
                <w:szCs w:val="20"/>
              </w:rPr>
              <w:t>29</w:t>
            </w:r>
          </w:p>
        </w:tc>
        <w:tc>
          <w:tcPr>
            <w:tcW w:w="669" w:type="dxa"/>
            <w:noWrap/>
            <w:hideMark/>
          </w:tcPr>
          <w:p w14:paraId="1797DDE9" w14:textId="77777777" w:rsidR="006F10A3" w:rsidRPr="008D7A52" w:rsidRDefault="006F10A3" w:rsidP="0059414F">
            <w:pPr>
              <w:rPr>
                <w:sz w:val="20"/>
                <w:szCs w:val="20"/>
              </w:rPr>
            </w:pPr>
          </w:p>
        </w:tc>
        <w:tc>
          <w:tcPr>
            <w:tcW w:w="2485" w:type="dxa"/>
            <w:noWrap/>
            <w:hideMark/>
          </w:tcPr>
          <w:p w14:paraId="3828FDE6" w14:textId="77777777" w:rsidR="006F10A3" w:rsidRPr="008D7A52" w:rsidRDefault="006F10A3" w:rsidP="0059414F">
            <w:pPr>
              <w:rPr>
                <w:sz w:val="20"/>
                <w:szCs w:val="20"/>
              </w:rPr>
            </w:pPr>
            <w:r w:rsidRPr="008D7A52">
              <w:rPr>
                <w:sz w:val="20"/>
                <w:szCs w:val="20"/>
              </w:rPr>
              <w:t>SERVICES</w:t>
            </w:r>
          </w:p>
        </w:tc>
        <w:tc>
          <w:tcPr>
            <w:tcW w:w="986" w:type="dxa"/>
            <w:noWrap/>
            <w:hideMark/>
          </w:tcPr>
          <w:p w14:paraId="17A13A9F" w14:textId="77777777" w:rsidR="006F10A3" w:rsidRPr="008D7A52" w:rsidRDefault="006F10A3" w:rsidP="0059414F">
            <w:pPr>
              <w:rPr>
                <w:sz w:val="20"/>
                <w:szCs w:val="20"/>
              </w:rPr>
            </w:pPr>
            <w:r w:rsidRPr="008D7A52">
              <w:rPr>
                <w:sz w:val="20"/>
                <w:szCs w:val="20"/>
              </w:rPr>
              <w:t>NFF29</w:t>
            </w:r>
          </w:p>
        </w:tc>
        <w:tc>
          <w:tcPr>
            <w:tcW w:w="4216" w:type="dxa"/>
            <w:noWrap/>
            <w:hideMark/>
          </w:tcPr>
          <w:p w14:paraId="1F52A5FA" w14:textId="77777777" w:rsidR="006F10A3" w:rsidRPr="008D7A52" w:rsidRDefault="006F10A3" w:rsidP="0059414F">
            <w:pPr>
              <w:rPr>
                <w:sz w:val="20"/>
                <w:szCs w:val="20"/>
              </w:rPr>
            </w:pPr>
            <w:r w:rsidRPr="008D7A52">
              <w:rPr>
                <w:sz w:val="20"/>
                <w:szCs w:val="20"/>
              </w:rPr>
              <w:t>CAVERTON OFFSHORE SUPPORT GRP PLC</w:t>
            </w:r>
          </w:p>
        </w:tc>
      </w:tr>
      <w:tr w:rsidR="008D7A52" w:rsidRPr="008D7A52" w14:paraId="24E96757" w14:textId="77777777" w:rsidTr="0059414F">
        <w:trPr>
          <w:trHeight w:val="315"/>
        </w:trPr>
        <w:tc>
          <w:tcPr>
            <w:tcW w:w="670" w:type="dxa"/>
            <w:noWrap/>
            <w:hideMark/>
          </w:tcPr>
          <w:p w14:paraId="2916382F" w14:textId="77777777" w:rsidR="006F10A3" w:rsidRPr="008D7A52" w:rsidRDefault="006F10A3" w:rsidP="0059414F">
            <w:pPr>
              <w:rPr>
                <w:sz w:val="20"/>
                <w:szCs w:val="20"/>
              </w:rPr>
            </w:pPr>
            <w:r w:rsidRPr="008D7A52">
              <w:rPr>
                <w:sz w:val="20"/>
                <w:szCs w:val="20"/>
              </w:rPr>
              <w:t>30</w:t>
            </w:r>
          </w:p>
        </w:tc>
        <w:tc>
          <w:tcPr>
            <w:tcW w:w="669" w:type="dxa"/>
            <w:noWrap/>
            <w:hideMark/>
          </w:tcPr>
          <w:p w14:paraId="54762443" w14:textId="77777777" w:rsidR="006F10A3" w:rsidRPr="008D7A52" w:rsidRDefault="006F10A3" w:rsidP="0059414F">
            <w:pPr>
              <w:rPr>
                <w:sz w:val="20"/>
                <w:szCs w:val="20"/>
              </w:rPr>
            </w:pPr>
          </w:p>
        </w:tc>
        <w:tc>
          <w:tcPr>
            <w:tcW w:w="2485" w:type="dxa"/>
            <w:noWrap/>
            <w:hideMark/>
          </w:tcPr>
          <w:p w14:paraId="5359F93A" w14:textId="77777777" w:rsidR="006F10A3" w:rsidRPr="008D7A52" w:rsidRDefault="006F10A3" w:rsidP="0059414F">
            <w:pPr>
              <w:rPr>
                <w:sz w:val="20"/>
                <w:szCs w:val="20"/>
              </w:rPr>
            </w:pPr>
            <w:r w:rsidRPr="008D7A52">
              <w:rPr>
                <w:sz w:val="20"/>
                <w:szCs w:val="20"/>
              </w:rPr>
              <w:t>SERVICES</w:t>
            </w:r>
          </w:p>
        </w:tc>
        <w:tc>
          <w:tcPr>
            <w:tcW w:w="986" w:type="dxa"/>
            <w:noWrap/>
            <w:hideMark/>
          </w:tcPr>
          <w:p w14:paraId="3DBB0C93" w14:textId="77777777" w:rsidR="006F10A3" w:rsidRPr="008D7A52" w:rsidRDefault="006F10A3" w:rsidP="0059414F">
            <w:pPr>
              <w:rPr>
                <w:sz w:val="20"/>
                <w:szCs w:val="20"/>
              </w:rPr>
            </w:pPr>
            <w:r w:rsidRPr="008D7A52">
              <w:rPr>
                <w:sz w:val="20"/>
                <w:szCs w:val="20"/>
              </w:rPr>
              <w:t>NFF30</w:t>
            </w:r>
          </w:p>
        </w:tc>
        <w:tc>
          <w:tcPr>
            <w:tcW w:w="4216" w:type="dxa"/>
            <w:noWrap/>
            <w:hideMark/>
          </w:tcPr>
          <w:p w14:paraId="4BDE2976" w14:textId="77777777" w:rsidR="006F10A3" w:rsidRPr="008D7A52" w:rsidRDefault="006F10A3" w:rsidP="0059414F">
            <w:pPr>
              <w:rPr>
                <w:sz w:val="20"/>
                <w:szCs w:val="20"/>
              </w:rPr>
            </w:pPr>
            <w:r w:rsidRPr="008D7A52">
              <w:rPr>
                <w:sz w:val="20"/>
                <w:szCs w:val="20"/>
              </w:rPr>
              <w:t>JULI PLC.</w:t>
            </w:r>
          </w:p>
        </w:tc>
      </w:tr>
      <w:tr w:rsidR="008D7A52" w:rsidRPr="008D7A52" w14:paraId="3B2D6BAF" w14:textId="77777777" w:rsidTr="0059414F">
        <w:trPr>
          <w:trHeight w:val="315"/>
        </w:trPr>
        <w:tc>
          <w:tcPr>
            <w:tcW w:w="670" w:type="dxa"/>
            <w:noWrap/>
            <w:hideMark/>
          </w:tcPr>
          <w:p w14:paraId="292E356C" w14:textId="77777777" w:rsidR="006F10A3" w:rsidRPr="008D7A52" w:rsidRDefault="006F10A3" w:rsidP="0059414F">
            <w:pPr>
              <w:rPr>
                <w:sz w:val="20"/>
                <w:szCs w:val="20"/>
              </w:rPr>
            </w:pPr>
            <w:r w:rsidRPr="008D7A52">
              <w:rPr>
                <w:sz w:val="20"/>
                <w:szCs w:val="20"/>
              </w:rPr>
              <w:t>31</w:t>
            </w:r>
          </w:p>
        </w:tc>
        <w:tc>
          <w:tcPr>
            <w:tcW w:w="669" w:type="dxa"/>
            <w:noWrap/>
            <w:hideMark/>
          </w:tcPr>
          <w:p w14:paraId="6CC42847" w14:textId="77777777" w:rsidR="006F10A3" w:rsidRPr="008D7A52" w:rsidRDefault="006F10A3" w:rsidP="0059414F">
            <w:pPr>
              <w:rPr>
                <w:sz w:val="20"/>
                <w:szCs w:val="20"/>
              </w:rPr>
            </w:pPr>
          </w:p>
        </w:tc>
        <w:tc>
          <w:tcPr>
            <w:tcW w:w="2485" w:type="dxa"/>
            <w:noWrap/>
            <w:hideMark/>
          </w:tcPr>
          <w:p w14:paraId="3C4A26E7" w14:textId="77777777" w:rsidR="006F10A3" w:rsidRPr="008D7A52" w:rsidRDefault="006F10A3" w:rsidP="0059414F">
            <w:pPr>
              <w:rPr>
                <w:sz w:val="20"/>
                <w:szCs w:val="20"/>
              </w:rPr>
            </w:pPr>
            <w:r w:rsidRPr="008D7A52">
              <w:rPr>
                <w:sz w:val="20"/>
                <w:szCs w:val="20"/>
              </w:rPr>
              <w:t>SERVICES</w:t>
            </w:r>
          </w:p>
        </w:tc>
        <w:tc>
          <w:tcPr>
            <w:tcW w:w="986" w:type="dxa"/>
            <w:noWrap/>
            <w:hideMark/>
          </w:tcPr>
          <w:p w14:paraId="03C3302F" w14:textId="77777777" w:rsidR="006F10A3" w:rsidRPr="008D7A52" w:rsidRDefault="006F10A3" w:rsidP="0059414F">
            <w:pPr>
              <w:rPr>
                <w:sz w:val="20"/>
                <w:szCs w:val="20"/>
              </w:rPr>
            </w:pPr>
            <w:r w:rsidRPr="008D7A52">
              <w:rPr>
                <w:sz w:val="20"/>
                <w:szCs w:val="20"/>
              </w:rPr>
              <w:t>NFF31</w:t>
            </w:r>
          </w:p>
        </w:tc>
        <w:tc>
          <w:tcPr>
            <w:tcW w:w="4216" w:type="dxa"/>
            <w:noWrap/>
            <w:hideMark/>
          </w:tcPr>
          <w:p w14:paraId="721C1A64" w14:textId="77777777" w:rsidR="006F10A3" w:rsidRPr="008D7A52" w:rsidRDefault="006F10A3" w:rsidP="0059414F">
            <w:pPr>
              <w:rPr>
                <w:sz w:val="20"/>
                <w:szCs w:val="20"/>
              </w:rPr>
            </w:pPr>
            <w:r w:rsidRPr="008D7A52">
              <w:rPr>
                <w:sz w:val="20"/>
                <w:szCs w:val="20"/>
              </w:rPr>
              <w:t>R T BRISCOE PLC.</w:t>
            </w:r>
          </w:p>
        </w:tc>
      </w:tr>
      <w:tr w:rsidR="008D7A52" w:rsidRPr="008D7A52" w14:paraId="2D0B1091" w14:textId="77777777" w:rsidTr="0059414F">
        <w:trPr>
          <w:trHeight w:val="315"/>
        </w:trPr>
        <w:tc>
          <w:tcPr>
            <w:tcW w:w="670" w:type="dxa"/>
            <w:noWrap/>
            <w:hideMark/>
          </w:tcPr>
          <w:p w14:paraId="5888EE11" w14:textId="77777777" w:rsidR="006F10A3" w:rsidRPr="008D7A52" w:rsidRDefault="006F10A3" w:rsidP="0059414F">
            <w:pPr>
              <w:rPr>
                <w:sz w:val="20"/>
                <w:szCs w:val="20"/>
              </w:rPr>
            </w:pPr>
            <w:r w:rsidRPr="008D7A52">
              <w:rPr>
                <w:sz w:val="20"/>
                <w:szCs w:val="20"/>
              </w:rPr>
              <w:t>32</w:t>
            </w:r>
          </w:p>
        </w:tc>
        <w:tc>
          <w:tcPr>
            <w:tcW w:w="669" w:type="dxa"/>
            <w:noWrap/>
            <w:hideMark/>
          </w:tcPr>
          <w:p w14:paraId="1821E5AF" w14:textId="77777777" w:rsidR="006F10A3" w:rsidRPr="008D7A52" w:rsidRDefault="006F10A3" w:rsidP="0059414F">
            <w:pPr>
              <w:rPr>
                <w:sz w:val="20"/>
                <w:szCs w:val="20"/>
              </w:rPr>
            </w:pPr>
          </w:p>
        </w:tc>
        <w:tc>
          <w:tcPr>
            <w:tcW w:w="2485" w:type="dxa"/>
            <w:noWrap/>
            <w:hideMark/>
          </w:tcPr>
          <w:p w14:paraId="67752671" w14:textId="77777777" w:rsidR="006F10A3" w:rsidRPr="008D7A52" w:rsidRDefault="006F10A3" w:rsidP="0059414F">
            <w:pPr>
              <w:rPr>
                <w:sz w:val="20"/>
                <w:szCs w:val="20"/>
              </w:rPr>
            </w:pPr>
            <w:r w:rsidRPr="008D7A52">
              <w:rPr>
                <w:sz w:val="20"/>
                <w:szCs w:val="20"/>
              </w:rPr>
              <w:t>SERVICES</w:t>
            </w:r>
          </w:p>
        </w:tc>
        <w:tc>
          <w:tcPr>
            <w:tcW w:w="986" w:type="dxa"/>
            <w:noWrap/>
            <w:hideMark/>
          </w:tcPr>
          <w:p w14:paraId="14509BEA" w14:textId="77777777" w:rsidR="006F10A3" w:rsidRPr="008D7A52" w:rsidRDefault="006F10A3" w:rsidP="0059414F">
            <w:pPr>
              <w:rPr>
                <w:sz w:val="20"/>
                <w:szCs w:val="20"/>
              </w:rPr>
            </w:pPr>
            <w:r w:rsidRPr="008D7A52">
              <w:rPr>
                <w:sz w:val="20"/>
                <w:szCs w:val="20"/>
              </w:rPr>
              <w:t>NFF32</w:t>
            </w:r>
          </w:p>
        </w:tc>
        <w:tc>
          <w:tcPr>
            <w:tcW w:w="4216" w:type="dxa"/>
            <w:noWrap/>
            <w:hideMark/>
          </w:tcPr>
          <w:p w14:paraId="737A11D5" w14:textId="77777777" w:rsidR="006F10A3" w:rsidRPr="008D7A52" w:rsidRDefault="006F10A3" w:rsidP="0059414F">
            <w:pPr>
              <w:rPr>
                <w:sz w:val="20"/>
                <w:szCs w:val="20"/>
              </w:rPr>
            </w:pPr>
            <w:r w:rsidRPr="008D7A52">
              <w:rPr>
                <w:sz w:val="20"/>
                <w:szCs w:val="20"/>
              </w:rPr>
              <w:t>SECURE ELECTRONIC TECHNOLOGY PLC</w:t>
            </w:r>
          </w:p>
        </w:tc>
      </w:tr>
      <w:tr w:rsidR="008D7A52" w:rsidRPr="008D7A52" w14:paraId="259E2E59" w14:textId="77777777" w:rsidTr="0059414F">
        <w:trPr>
          <w:trHeight w:val="315"/>
        </w:trPr>
        <w:tc>
          <w:tcPr>
            <w:tcW w:w="670" w:type="dxa"/>
            <w:noWrap/>
            <w:hideMark/>
          </w:tcPr>
          <w:p w14:paraId="1C874BA4" w14:textId="77777777" w:rsidR="006F10A3" w:rsidRPr="008D7A52" w:rsidRDefault="006F10A3" w:rsidP="0059414F">
            <w:pPr>
              <w:rPr>
                <w:sz w:val="20"/>
                <w:szCs w:val="20"/>
              </w:rPr>
            </w:pPr>
            <w:r w:rsidRPr="008D7A52">
              <w:rPr>
                <w:sz w:val="20"/>
                <w:szCs w:val="20"/>
              </w:rPr>
              <w:t>33</w:t>
            </w:r>
          </w:p>
        </w:tc>
        <w:tc>
          <w:tcPr>
            <w:tcW w:w="669" w:type="dxa"/>
            <w:noWrap/>
            <w:hideMark/>
          </w:tcPr>
          <w:p w14:paraId="0D6D9891" w14:textId="77777777" w:rsidR="006F10A3" w:rsidRPr="008D7A52" w:rsidRDefault="006F10A3" w:rsidP="0059414F">
            <w:pPr>
              <w:rPr>
                <w:sz w:val="20"/>
                <w:szCs w:val="20"/>
              </w:rPr>
            </w:pPr>
          </w:p>
        </w:tc>
        <w:tc>
          <w:tcPr>
            <w:tcW w:w="2485" w:type="dxa"/>
            <w:noWrap/>
            <w:hideMark/>
          </w:tcPr>
          <w:p w14:paraId="408298D1" w14:textId="77777777" w:rsidR="006F10A3" w:rsidRPr="008D7A52" w:rsidRDefault="006F10A3" w:rsidP="0059414F">
            <w:pPr>
              <w:rPr>
                <w:sz w:val="20"/>
                <w:szCs w:val="20"/>
              </w:rPr>
            </w:pPr>
            <w:r w:rsidRPr="008D7A52">
              <w:rPr>
                <w:sz w:val="20"/>
                <w:szCs w:val="20"/>
              </w:rPr>
              <w:t>SERVICES</w:t>
            </w:r>
          </w:p>
        </w:tc>
        <w:tc>
          <w:tcPr>
            <w:tcW w:w="986" w:type="dxa"/>
            <w:noWrap/>
            <w:hideMark/>
          </w:tcPr>
          <w:p w14:paraId="6D2D4EDB" w14:textId="77777777" w:rsidR="006F10A3" w:rsidRPr="008D7A52" w:rsidRDefault="006F10A3" w:rsidP="0059414F">
            <w:pPr>
              <w:rPr>
                <w:sz w:val="20"/>
                <w:szCs w:val="20"/>
              </w:rPr>
            </w:pPr>
            <w:r w:rsidRPr="008D7A52">
              <w:rPr>
                <w:sz w:val="20"/>
                <w:szCs w:val="20"/>
              </w:rPr>
              <w:t>NFF33</w:t>
            </w:r>
          </w:p>
        </w:tc>
        <w:tc>
          <w:tcPr>
            <w:tcW w:w="4216" w:type="dxa"/>
            <w:noWrap/>
            <w:hideMark/>
          </w:tcPr>
          <w:p w14:paraId="7E372BF4" w14:textId="392203DF" w:rsidR="006F10A3" w:rsidRPr="008D7A52" w:rsidRDefault="006F10A3" w:rsidP="0059414F">
            <w:pPr>
              <w:rPr>
                <w:sz w:val="20"/>
                <w:szCs w:val="20"/>
              </w:rPr>
            </w:pPr>
            <w:r w:rsidRPr="00DD28F7">
              <w:rPr>
                <w:sz w:val="20"/>
                <w:szCs w:val="20"/>
              </w:rPr>
              <w:t>TRANSCORP HOTELS PLC</w:t>
            </w:r>
          </w:p>
        </w:tc>
      </w:tr>
      <w:tr w:rsidR="008D7A52" w:rsidRPr="008D7A52" w14:paraId="736ADE0B" w14:textId="77777777" w:rsidTr="0059414F">
        <w:trPr>
          <w:trHeight w:val="315"/>
        </w:trPr>
        <w:tc>
          <w:tcPr>
            <w:tcW w:w="670" w:type="dxa"/>
            <w:noWrap/>
            <w:hideMark/>
          </w:tcPr>
          <w:p w14:paraId="4064C5CD" w14:textId="77777777" w:rsidR="006F10A3" w:rsidRPr="008D7A52" w:rsidRDefault="006F10A3" w:rsidP="0059414F">
            <w:pPr>
              <w:rPr>
                <w:sz w:val="20"/>
                <w:szCs w:val="20"/>
              </w:rPr>
            </w:pPr>
            <w:r w:rsidRPr="008D7A52">
              <w:rPr>
                <w:sz w:val="20"/>
                <w:szCs w:val="20"/>
              </w:rPr>
              <w:t>34</w:t>
            </w:r>
          </w:p>
        </w:tc>
        <w:tc>
          <w:tcPr>
            <w:tcW w:w="669" w:type="dxa"/>
            <w:noWrap/>
            <w:hideMark/>
          </w:tcPr>
          <w:p w14:paraId="75052F86" w14:textId="77777777" w:rsidR="006F10A3" w:rsidRPr="008D7A52" w:rsidRDefault="006F10A3" w:rsidP="0059414F">
            <w:pPr>
              <w:rPr>
                <w:sz w:val="20"/>
                <w:szCs w:val="20"/>
              </w:rPr>
            </w:pPr>
          </w:p>
        </w:tc>
        <w:tc>
          <w:tcPr>
            <w:tcW w:w="2485" w:type="dxa"/>
            <w:noWrap/>
            <w:hideMark/>
          </w:tcPr>
          <w:p w14:paraId="62FD10A7" w14:textId="77777777" w:rsidR="006F10A3" w:rsidRPr="008D7A52" w:rsidRDefault="006F10A3" w:rsidP="0059414F">
            <w:pPr>
              <w:rPr>
                <w:sz w:val="20"/>
                <w:szCs w:val="20"/>
              </w:rPr>
            </w:pPr>
            <w:r w:rsidRPr="008D7A52">
              <w:rPr>
                <w:sz w:val="20"/>
                <w:szCs w:val="20"/>
              </w:rPr>
              <w:t>SERVICES</w:t>
            </w:r>
          </w:p>
        </w:tc>
        <w:tc>
          <w:tcPr>
            <w:tcW w:w="986" w:type="dxa"/>
            <w:noWrap/>
            <w:hideMark/>
          </w:tcPr>
          <w:p w14:paraId="2174C2F1" w14:textId="77777777" w:rsidR="006F10A3" w:rsidRPr="008D7A52" w:rsidRDefault="006F10A3" w:rsidP="0059414F">
            <w:pPr>
              <w:rPr>
                <w:sz w:val="20"/>
                <w:szCs w:val="20"/>
              </w:rPr>
            </w:pPr>
            <w:r w:rsidRPr="008D7A52">
              <w:rPr>
                <w:sz w:val="20"/>
                <w:szCs w:val="20"/>
              </w:rPr>
              <w:t>NFF34</w:t>
            </w:r>
          </w:p>
        </w:tc>
        <w:tc>
          <w:tcPr>
            <w:tcW w:w="4216" w:type="dxa"/>
            <w:noWrap/>
            <w:hideMark/>
          </w:tcPr>
          <w:p w14:paraId="17675D16" w14:textId="77777777" w:rsidR="006F10A3" w:rsidRPr="008D7A52" w:rsidRDefault="006F10A3" w:rsidP="0059414F">
            <w:pPr>
              <w:rPr>
                <w:sz w:val="20"/>
                <w:szCs w:val="20"/>
              </w:rPr>
            </w:pPr>
            <w:r w:rsidRPr="008D7A52">
              <w:rPr>
                <w:sz w:val="20"/>
                <w:szCs w:val="20"/>
              </w:rPr>
              <w:t>TRANS-NATIONWIDE EXPRESS PLC.</w:t>
            </w:r>
          </w:p>
        </w:tc>
      </w:tr>
      <w:tr w:rsidR="008D7A52" w:rsidRPr="008D7A52" w14:paraId="7F13F72F" w14:textId="77777777" w:rsidTr="0059414F">
        <w:trPr>
          <w:trHeight w:val="315"/>
        </w:trPr>
        <w:tc>
          <w:tcPr>
            <w:tcW w:w="670" w:type="dxa"/>
            <w:noWrap/>
            <w:hideMark/>
          </w:tcPr>
          <w:p w14:paraId="65D55005" w14:textId="77777777" w:rsidR="006F10A3" w:rsidRPr="008D7A52" w:rsidRDefault="006F10A3" w:rsidP="0059414F">
            <w:pPr>
              <w:rPr>
                <w:sz w:val="20"/>
                <w:szCs w:val="20"/>
              </w:rPr>
            </w:pPr>
            <w:r w:rsidRPr="008D7A52">
              <w:rPr>
                <w:sz w:val="20"/>
                <w:szCs w:val="20"/>
              </w:rPr>
              <w:t>35</w:t>
            </w:r>
          </w:p>
        </w:tc>
        <w:tc>
          <w:tcPr>
            <w:tcW w:w="669" w:type="dxa"/>
            <w:noWrap/>
            <w:hideMark/>
          </w:tcPr>
          <w:p w14:paraId="436BABC1" w14:textId="77777777" w:rsidR="006F10A3" w:rsidRPr="008D7A52" w:rsidRDefault="006F10A3" w:rsidP="0059414F">
            <w:pPr>
              <w:rPr>
                <w:sz w:val="20"/>
                <w:szCs w:val="20"/>
              </w:rPr>
            </w:pPr>
          </w:p>
        </w:tc>
        <w:tc>
          <w:tcPr>
            <w:tcW w:w="2485" w:type="dxa"/>
            <w:noWrap/>
            <w:hideMark/>
          </w:tcPr>
          <w:p w14:paraId="14A8E016" w14:textId="77777777" w:rsidR="006F10A3" w:rsidRPr="008D7A52" w:rsidRDefault="006F10A3" w:rsidP="0059414F">
            <w:pPr>
              <w:rPr>
                <w:sz w:val="20"/>
                <w:szCs w:val="20"/>
              </w:rPr>
            </w:pPr>
            <w:r w:rsidRPr="008D7A52">
              <w:rPr>
                <w:sz w:val="20"/>
                <w:szCs w:val="20"/>
              </w:rPr>
              <w:t>SERVICES</w:t>
            </w:r>
          </w:p>
        </w:tc>
        <w:tc>
          <w:tcPr>
            <w:tcW w:w="986" w:type="dxa"/>
            <w:noWrap/>
            <w:hideMark/>
          </w:tcPr>
          <w:p w14:paraId="2DA95EB8" w14:textId="77777777" w:rsidR="006F10A3" w:rsidRPr="008D7A52" w:rsidRDefault="006F10A3" w:rsidP="0059414F">
            <w:pPr>
              <w:rPr>
                <w:sz w:val="20"/>
                <w:szCs w:val="20"/>
              </w:rPr>
            </w:pPr>
            <w:r w:rsidRPr="008D7A52">
              <w:rPr>
                <w:sz w:val="20"/>
                <w:szCs w:val="20"/>
              </w:rPr>
              <w:t>NFF35</w:t>
            </w:r>
          </w:p>
        </w:tc>
        <w:tc>
          <w:tcPr>
            <w:tcW w:w="4216" w:type="dxa"/>
            <w:noWrap/>
            <w:hideMark/>
          </w:tcPr>
          <w:p w14:paraId="55A3918F" w14:textId="77777777" w:rsidR="006F10A3" w:rsidRPr="008D7A52" w:rsidRDefault="006F10A3" w:rsidP="0059414F">
            <w:pPr>
              <w:rPr>
                <w:sz w:val="20"/>
                <w:szCs w:val="20"/>
              </w:rPr>
            </w:pPr>
            <w:r w:rsidRPr="008D7A52">
              <w:rPr>
                <w:sz w:val="20"/>
                <w:szCs w:val="20"/>
              </w:rPr>
              <w:t>UNIVERSITY PRESS PLC.</w:t>
            </w:r>
          </w:p>
        </w:tc>
      </w:tr>
    </w:tbl>
    <w:p w14:paraId="01AC8461" w14:textId="08AA6EE8" w:rsidR="00D928B0" w:rsidRPr="008D7A52" w:rsidRDefault="006F10A3" w:rsidP="00C75315">
      <w:pPr>
        <w:rPr>
          <w:b/>
          <w:bCs/>
        </w:rPr>
      </w:pPr>
      <w:r w:rsidRPr="008D7A52">
        <w:rPr>
          <w:b/>
          <w:bCs/>
        </w:rPr>
        <w:t>Source: Nigerian Exchange Group Factbook (2014-2023).</w:t>
      </w:r>
    </w:p>
    <w:sectPr w:rsidR="00D928B0" w:rsidRPr="008D7A52" w:rsidSect="00B8491A">
      <w:footerReference w:type="default" r:id="rId2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7992" w14:textId="77777777" w:rsidR="004D6E50" w:rsidRPr="00AD3FEF" w:rsidRDefault="004D6E50" w:rsidP="00922F94">
      <w:r w:rsidRPr="00AD3FEF">
        <w:separator/>
      </w:r>
    </w:p>
  </w:endnote>
  <w:endnote w:type="continuationSeparator" w:id="0">
    <w:p w14:paraId="6DEAAA60" w14:textId="77777777" w:rsidR="004D6E50" w:rsidRPr="00AD3FEF" w:rsidRDefault="004D6E50" w:rsidP="00922F94">
      <w:r w:rsidRPr="00AD3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3477"/>
      <w:docPartObj>
        <w:docPartGallery w:val="Page Numbers (Bottom of Page)"/>
        <w:docPartUnique/>
      </w:docPartObj>
    </w:sdtPr>
    <w:sdtContent>
      <w:p w14:paraId="4F12A9B1" w14:textId="4417473C" w:rsidR="00922F94" w:rsidRPr="00AD3FEF" w:rsidRDefault="00922F94">
        <w:pPr>
          <w:pStyle w:val="Footer"/>
          <w:jc w:val="center"/>
        </w:pPr>
        <w:r w:rsidRPr="00AD3FEF">
          <w:fldChar w:fldCharType="begin"/>
        </w:r>
        <w:r w:rsidRPr="00AD3FEF">
          <w:instrText xml:space="preserve"> PAGE   \* MERGEFORMAT </w:instrText>
        </w:r>
        <w:r w:rsidRPr="00AD3FEF">
          <w:fldChar w:fldCharType="separate"/>
        </w:r>
        <w:r w:rsidRPr="00AD3FEF">
          <w:t>2</w:t>
        </w:r>
        <w:r w:rsidRPr="00AD3FEF">
          <w:fldChar w:fldCharType="end"/>
        </w:r>
      </w:p>
    </w:sdtContent>
  </w:sdt>
  <w:p w14:paraId="40431A3B" w14:textId="77777777" w:rsidR="00922F94" w:rsidRPr="00AD3FEF" w:rsidRDefault="0092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C365" w14:textId="77777777" w:rsidR="004D6E50" w:rsidRPr="00AD3FEF" w:rsidRDefault="004D6E50" w:rsidP="00922F94">
      <w:r w:rsidRPr="00AD3FEF">
        <w:separator/>
      </w:r>
    </w:p>
  </w:footnote>
  <w:footnote w:type="continuationSeparator" w:id="0">
    <w:p w14:paraId="1546F0D8" w14:textId="77777777" w:rsidR="004D6E50" w:rsidRPr="00AD3FEF" w:rsidRDefault="004D6E50" w:rsidP="00922F94">
      <w:r w:rsidRPr="00AD3F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122BA"/>
    <w:multiLevelType w:val="hybridMultilevel"/>
    <w:tmpl w:val="77DE15AE"/>
    <w:lvl w:ilvl="0" w:tplc="17A0C29C">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36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2"/>
    <w:rsid w:val="00000977"/>
    <w:rsid w:val="00002C55"/>
    <w:rsid w:val="000031F2"/>
    <w:rsid w:val="00007093"/>
    <w:rsid w:val="00022D8F"/>
    <w:rsid w:val="00026429"/>
    <w:rsid w:val="00035F9B"/>
    <w:rsid w:val="00045F2E"/>
    <w:rsid w:val="00046DF0"/>
    <w:rsid w:val="00054C02"/>
    <w:rsid w:val="00056575"/>
    <w:rsid w:val="00063B29"/>
    <w:rsid w:val="000752C1"/>
    <w:rsid w:val="000802A3"/>
    <w:rsid w:val="0008242D"/>
    <w:rsid w:val="00085B66"/>
    <w:rsid w:val="000937FE"/>
    <w:rsid w:val="00093B51"/>
    <w:rsid w:val="00096DDA"/>
    <w:rsid w:val="000A630F"/>
    <w:rsid w:val="000B1FE7"/>
    <w:rsid w:val="000B45E6"/>
    <w:rsid w:val="000D529F"/>
    <w:rsid w:val="000E77CD"/>
    <w:rsid w:val="000F0BF8"/>
    <w:rsid w:val="000F1366"/>
    <w:rsid w:val="000F7299"/>
    <w:rsid w:val="00105684"/>
    <w:rsid w:val="00116278"/>
    <w:rsid w:val="00116EA7"/>
    <w:rsid w:val="00121D6A"/>
    <w:rsid w:val="00122232"/>
    <w:rsid w:val="00122CC1"/>
    <w:rsid w:val="001306CA"/>
    <w:rsid w:val="00133BEB"/>
    <w:rsid w:val="00133BFA"/>
    <w:rsid w:val="00135C5B"/>
    <w:rsid w:val="001464C6"/>
    <w:rsid w:val="001471D8"/>
    <w:rsid w:val="001514C9"/>
    <w:rsid w:val="001518F3"/>
    <w:rsid w:val="00152F20"/>
    <w:rsid w:val="00154A69"/>
    <w:rsid w:val="00156161"/>
    <w:rsid w:val="00160758"/>
    <w:rsid w:val="0016384F"/>
    <w:rsid w:val="00166A20"/>
    <w:rsid w:val="00171418"/>
    <w:rsid w:val="001A3C4E"/>
    <w:rsid w:val="001A4A4B"/>
    <w:rsid w:val="001A4E75"/>
    <w:rsid w:val="001A5F24"/>
    <w:rsid w:val="001B3824"/>
    <w:rsid w:val="001C0470"/>
    <w:rsid w:val="001C4D36"/>
    <w:rsid w:val="001D0AE5"/>
    <w:rsid w:val="001D174F"/>
    <w:rsid w:val="001D4A9B"/>
    <w:rsid w:val="001D5264"/>
    <w:rsid w:val="001D66C1"/>
    <w:rsid w:val="001E0923"/>
    <w:rsid w:val="002039E2"/>
    <w:rsid w:val="00205A82"/>
    <w:rsid w:val="00207B96"/>
    <w:rsid w:val="00221AC6"/>
    <w:rsid w:val="00225606"/>
    <w:rsid w:val="00226D0F"/>
    <w:rsid w:val="00232602"/>
    <w:rsid w:val="0023284F"/>
    <w:rsid w:val="002331C3"/>
    <w:rsid w:val="00237E05"/>
    <w:rsid w:val="0024217B"/>
    <w:rsid w:val="002437F8"/>
    <w:rsid w:val="00254D37"/>
    <w:rsid w:val="00257967"/>
    <w:rsid w:val="00257AF8"/>
    <w:rsid w:val="00275B68"/>
    <w:rsid w:val="00291B72"/>
    <w:rsid w:val="002A13EE"/>
    <w:rsid w:val="002A58C3"/>
    <w:rsid w:val="002A6FA3"/>
    <w:rsid w:val="002A71CD"/>
    <w:rsid w:val="002A7CDD"/>
    <w:rsid w:val="002B5B5A"/>
    <w:rsid w:val="002C4DF6"/>
    <w:rsid w:val="002C651D"/>
    <w:rsid w:val="002E2498"/>
    <w:rsid w:val="002E4CA2"/>
    <w:rsid w:val="002F2645"/>
    <w:rsid w:val="003010DC"/>
    <w:rsid w:val="0030568D"/>
    <w:rsid w:val="00315828"/>
    <w:rsid w:val="0033133E"/>
    <w:rsid w:val="00334C23"/>
    <w:rsid w:val="003430A3"/>
    <w:rsid w:val="00346ED2"/>
    <w:rsid w:val="003502BC"/>
    <w:rsid w:val="00351C92"/>
    <w:rsid w:val="0036131B"/>
    <w:rsid w:val="003668C6"/>
    <w:rsid w:val="00376971"/>
    <w:rsid w:val="003930A4"/>
    <w:rsid w:val="003B002C"/>
    <w:rsid w:val="003C0C4C"/>
    <w:rsid w:val="003C1BFC"/>
    <w:rsid w:val="003C446A"/>
    <w:rsid w:val="003D1B2A"/>
    <w:rsid w:val="003D2579"/>
    <w:rsid w:val="003D4A22"/>
    <w:rsid w:val="003E10DB"/>
    <w:rsid w:val="003E77E4"/>
    <w:rsid w:val="003F1479"/>
    <w:rsid w:val="003F168A"/>
    <w:rsid w:val="003F3A67"/>
    <w:rsid w:val="003F3FB6"/>
    <w:rsid w:val="003F70A4"/>
    <w:rsid w:val="004000ED"/>
    <w:rsid w:val="00401DA0"/>
    <w:rsid w:val="00404A39"/>
    <w:rsid w:val="00410F52"/>
    <w:rsid w:val="00414BB5"/>
    <w:rsid w:val="004168AE"/>
    <w:rsid w:val="00420479"/>
    <w:rsid w:val="004232E8"/>
    <w:rsid w:val="004270F4"/>
    <w:rsid w:val="004319E6"/>
    <w:rsid w:val="00445C8D"/>
    <w:rsid w:val="004516DA"/>
    <w:rsid w:val="00452A32"/>
    <w:rsid w:val="004567D6"/>
    <w:rsid w:val="0047574D"/>
    <w:rsid w:val="00477E3B"/>
    <w:rsid w:val="0049672B"/>
    <w:rsid w:val="004A7AAB"/>
    <w:rsid w:val="004B5C38"/>
    <w:rsid w:val="004C16B9"/>
    <w:rsid w:val="004C212B"/>
    <w:rsid w:val="004C2BC9"/>
    <w:rsid w:val="004C758D"/>
    <w:rsid w:val="004D6E50"/>
    <w:rsid w:val="004E2C00"/>
    <w:rsid w:val="004F1C0D"/>
    <w:rsid w:val="004F383A"/>
    <w:rsid w:val="004F3EC6"/>
    <w:rsid w:val="004F595B"/>
    <w:rsid w:val="005054C0"/>
    <w:rsid w:val="00526197"/>
    <w:rsid w:val="00535A1F"/>
    <w:rsid w:val="005375BB"/>
    <w:rsid w:val="005506D7"/>
    <w:rsid w:val="0055470D"/>
    <w:rsid w:val="0055725F"/>
    <w:rsid w:val="005661C0"/>
    <w:rsid w:val="00572EE9"/>
    <w:rsid w:val="0057394D"/>
    <w:rsid w:val="00595611"/>
    <w:rsid w:val="005970D3"/>
    <w:rsid w:val="00597C1B"/>
    <w:rsid w:val="005A2718"/>
    <w:rsid w:val="005A3D02"/>
    <w:rsid w:val="005A4C75"/>
    <w:rsid w:val="005A795A"/>
    <w:rsid w:val="005B50B8"/>
    <w:rsid w:val="005C5E8D"/>
    <w:rsid w:val="005D007E"/>
    <w:rsid w:val="005D402C"/>
    <w:rsid w:val="005D4744"/>
    <w:rsid w:val="005D72C4"/>
    <w:rsid w:val="005E0DE4"/>
    <w:rsid w:val="005E4816"/>
    <w:rsid w:val="005F03DF"/>
    <w:rsid w:val="005F7A63"/>
    <w:rsid w:val="005F7AE3"/>
    <w:rsid w:val="00600E33"/>
    <w:rsid w:val="00601A89"/>
    <w:rsid w:val="00602860"/>
    <w:rsid w:val="00606541"/>
    <w:rsid w:val="006159DC"/>
    <w:rsid w:val="00621C1F"/>
    <w:rsid w:val="00632605"/>
    <w:rsid w:val="00632D6F"/>
    <w:rsid w:val="0063403D"/>
    <w:rsid w:val="006402D1"/>
    <w:rsid w:val="00654332"/>
    <w:rsid w:val="00667961"/>
    <w:rsid w:val="006752AA"/>
    <w:rsid w:val="00677C2A"/>
    <w:rsid w:val="00682FF1"/>
    <w:rsid w:val="006B16B3"/>
    <w:rsid w:val="006B3270"/>
    <w:rsid w:val="006B69A2"/>
    <w:rsid w:val="006B7D20"/>
    <w:rsid w:val="006C484F"/>
    <w:rsid w:val="006E1A27"/>
    <w:rsid w:val="006E3F4D"/>
    <w:rsid w:val="006F10A3"/>
    <w:rsid w:val="006F35AC"/>
    <w:rsid w:val="006F35F2"/>
    <w:rsid w:val="006F70BA"/>
    <w:rsid w:val="006F7314"/>
    <w:rsid w:val="00700B6D"/>
    <w:rsid w:val="00712B49"/>
    <w:rsid w:val="00716F10"/>
    <w:rsid w:val="0071771E"/>
    <w:rsid w:val="0072405E"/>
    <w:rsid w:val="007409D3"/>
    <w:rsid w:val="0074310E"/>
    <w:rsid w:val="007522F0"/>
    <w:rsid w:val="0075382B"/>
    <w:rsid w:val="007538E4"/>
    <w:rsid w:val="00760D1B"/>
    <w:rsid w:val="00766A31"/>
    <w:rsid w:val="00774C63"/>
    <w:rsid w:val="00784FAE"/>
    <w:rsid w:val="00786668"/>
    <w:rsid w:val="007924F7"/>
    <w:rsid w:val="00797E95"/>
    <w:rsid w:val="007B022A"/>
    <w:rsid w:val="007B5D69"/>
    <w:rsid w:val="007D3D43"/>
    <w:rsid w:val="007E1399"/>
    <w:rsid w:val="007F0994"/>
    <w:rsid w:val="007F33F5"/>
    <w:rsid w:val="00810AA5"/>
    <w:rsid w:val="0081707F"/>
    <w:rsid w:val="0081781F"/>
    <w:rsid w:val="0082472F"/>
    <w:rsid w:val="008267A6"/>
    <w:rsid w:val="0082689A"/>
    <w:rsid w:val="00832895"/>
    <w:rsid w:val="00834A31"/>
    <w:rsid w:val="0083627D"/>
    <w:rsid w:val="00841069"/>
    <w:rsid w:val="0087367C"/>
    <w:rsid w:val="00876D5A"/>
    <w:rsid w:val="00877054"/>
    <w:rsid w:val="008A29CD"/>
    <w:rsid w:val="008A3C68"/>
    <w:rsid w:val="008B2F40"/>
    <w:rsid w:val="008B77E1"/>
    <w:rsid w:val="008C192C"/>
    <w:rsid w:val="008C359D"/>
    <w:rsid w:val="008D1209"/>
    <w:rsid w:val="008D1B03"/>
    <w:rsid w:val="008D5F97"/>
    <w:rsid w:val="008D7A52"/>
    <w:rsid w:val="008E1BDE"/>
    <w:rsid w:val="008E24F9"/>
    <w:rsid w:val="008E2BC9"/>
    <w:rsid w:val="008E32F4"/>
    <w:rsid w:val="008F37F5"/>
    <w:rsid w:val="008F79F6"/>
    <w:rsid w:val="00900CAF"/>
    <w:rsid w:val="00910D31"/>
    <w:rsid w:val="00912CB4"/>
    <w:rsid w:val="00916487"/>
    <w:rsid w:val="00920E96"/>
    <w:rsid w:val="00922F94"/>
    <w:rsid w:val="00930177"/>
    <w:rsid w:val="00930852"/>
    <w:rsid w:val="00941BE8"/>
    <w:rsid w:val="00947AF3"/>
    <w:rsid w:val="009574B0"/>
    <w:rsid w:val="00957C58"/>
    <w:rsid w:val="009600A0"/>
    <w:rsid w:val="0097147B"/>
    <w:rsid w:val="00972EC9"/>
    <w:rsid w:val="00976970"/>
    <w:rsid w:val="0097713D"/>
    <w:rsid w:val="009816EA"/>
    <w:rsid w:val="00984F28"/>
    <w:rsid w:val="009878B0"/>
    <w:rsid w:val="009879E9"/>
    <w:rsid w:val="0099156D"/>
    <w:rsid w:val="00993CA4"/>
    <w:rsid w:val="009A4192"/>
    <w:rsid w:val="009B2C7D"/>
    <w:rsid w:val="009B4948"/>
    <w:rsid w:val="009B4E16"/>
    <w:rsid w:val="009C1A63"/>
    <w:rsid w:val="009C64EE"/>
    <w:rsid w:val="009D2937"/>
    <w:rsid w:val="009D4DA6"/>
    <w:rsid w:val="009D58E2"/>
    <w:rsid w:val="009E169B"/>
    <w:rsid w:val="00A01AC2"/>
    <w:rsid w:val="00A113E1"/>
    <w:rsid w:val="00A14BEE"/>
    <w:rsid w:val="00A166A5"/>
    <w:rsid w:val="00A21599"/>
    <w:rsid w:val="00A3095F"/>
    <w:rsid w:val="00A32282"/>
    <w:rsid w:val="00A40960"/>
    <w:rsid w:val="00A4307F"/>
    <w:rsid w:val="00A51AE6"/>
    <w:rsid w:val="00A62A34"/>
    <w:rsid w:val="00A62F17"/>
    <w:rsid w:val="00A722D3"/>
    <w:rsid w:val="00A97548"/>
    <w:rsid w:val="00AA4665"/>
    <w:rsid w:val="00AA76E5"/>
    <w:rsid w:val="00AB0F9F"/>
    <w:rsid w:val="00AB15CB"/>
    <w:rsid w:val="00AB292E"/>
    <w:rsid w:val="00AC0857"/>
    <w:rsid w:val="00AC6929"/>
    <w:rsid w:val="00AC6F9A"/>
    <w:rsid w:val="00AD0C48"/>
    <w:rsid w:val="00AD151E"/>
    <w:rsid w:val="00AD3A2E"/>
    <w:rsid w:val="00AD3FEF"/>
    <w:rsid w:val="00AE1B04"/>
    <w:rsid w:val="00AE5252"/>
    <w:rsid w:val="00AF35B0"/>
    <w:rsid w:val="00AF5085"/>
    <w:rsid w:val="00B0042B"/>
    <w:rsid w:val="00B057B2"/>
    <w:rsid w:val="00B2158E"/>
    <w:rsid w:val="00B22C9C"/>
    <w:rsid w:val="00B23A96"/>
    <w:rsid w:val="00B26906"/>
    <w:rsid w:val="00B26C34"/>
    <w:rsid w:val="00B42106"/>
    <w:rsid w:val="00B43044"/>
    <w:rsid w:val="00B469B6"/>
    <w:rsid w:val="00B47D66"/>
    <w:rsid w:val="00B63173"/>
    <w:rsid w:val="00B821F3"/>
    <w:rsid w:val="00B8491A"/>
    <w:rsid w:val="00B84BDC"/>
    <w:rsid w:val="00B85143"/>
    <w:rsid w:val="00B8724E"/>
    <w:rsid w:val="00B9525B"/>
    <w:rsid w:val="00B96063"/>
    <w:rsid w:val="00B96247"/>
    <w:rsid w:val="00BA08ED"/>
    <w:rsid w:val="00BA0B99"/>
    <w:rsid w:val="00BA27CB"/>
    <w:rsid w:val="00BA3D07"/>
    <w:rsid w:val="00BA4B28"/>
    <w:rsid w:val="00BA5527"/>
    <w:rsid w:val="00BD2A1F"/>
    <w:rsid w:val="00BD5762"/>
    <w:rsid w:val="00BD7315"/>
    <w:rsid w:val="00BD7EA3"/>
    <w:rsid w:val="00BF602C"/>
    <w:rsid w:val="00C00973"/>
    <w:rsid w:val="00C00C54"/>
    <w:rsid w:val="00C01E86"/>
    <w:rsid w:val="00C078F6"/>
    <w:rsid w:val="00C10E26"/>
    <w:rsid w:val="00C158A5"/>
    <w:rsid w:val="00C165B4"/>
    <w:rsid w:val="00C33397"/>
    <w:rsid w:val="00C41FB1"/>
    <w:rsid w:val="00C42FC6"/>
    <w:rsid w:val="00C44548"/>
    <w:rsid w:val="00C47CEE"/>
    <w:rsid w:val="00C53C24"/>
    <w:rsid w:val="00C64BE4"/>
    <w:rsid w:val="00C653F0"/>
    <w:rsid w:val="00C6619F"/>
    <w:rsid w:val="00C66311"/>
    <w:rsid w:val="00C75315"/>
    <w:rsid w:val="00C84031"/>
    <w:rsid w:val="00C848F1"/>
    <w:rsid w:val="00C8562D"/>
    <w:rsid w:val="00C97781"/>
    <w:rsid w:val="00C97982"/>
    <w:rsid w:val="00CA1F29"/>
    <w:rsid w:val="00CC1F05"/>
    <w:rsid w:val="00CC76A1"/>
    <w:rsid w:val="00CD1771"/>
    <w:rsid w:val="00CD1D6F"/>
    <w:rsid w:val="00CD591E"/>
    <w:rsid w:val="00CD7A86"/>
    <w:rsid w:val="00CE0D54"/>
    <w:rsid w:val="00D00A55"/>
    <w:rsid w:val="00D02097"/>
    <w:rsid w:val="00D17296"/>
    <w:rsid w:val="00D212C0"/>
    <w:rsid w:val="00D301C6"/>
    <w:rsid w:val="00D44C5C"/>
    <w:rsid w:val="00D511BC"/>
    <w:rsid w:val="00D7106E"/>
    <w:rsid w:val="00D813DC"/>
    <w:rsid w:val="00D86687"/>
    <w:rsid w:val="00D928B0"/>
    <w:rsid w:val="00D9351D"/>
    <w:rsid w:val="00D93A5D"/>
    <w:rsid w:val="00DD28F7"/>
    <w:rsid w:val="00DD361C"/>
    <w:rsid w:val="00DD50D7"/>
    <w:rsid w:val="00DD7ACE"/>
    <w:rsid w:val="00DE689A"/>
    <w:rsid w:val="00DF24ED"/>
    <w:rsid w:val="00DF5D69"/>
    <w:rsid w:val="00DF76A4"/>
    <w:rsid w:val="00E14614"/>
    <w:rsid w:val="00E17F42"/>
    <w:rsid w:val="00E45E5C"/>
    <w:rsid w:val="00E54244"/>
    <w:rsid w:val="00E548DD"/>
    <w:rsid w:val="00E603D2"/>
    <w:rsid w:val="00E6104B"/>
    <w:rsid w:val="00E93626"/>
    <w:rsid w:val="00EA7540"/>
    <w:rsid w:val="00EB4C52"/>
    <w:rsid w:val="00EC40FB"/>
    <w:rsid w:val="00ED0D2C"/>
    <w:rsid w:val="00ED5F14"/>
    <w:rsid w:val="00ED73D4"/>
    <w:rsid w:val="00EE05E9"/>
    <w:rsid w:val="00EE337B"/>
    <w:rsid w:val="00EE358E"/>
    <w:rsid w:val="00EE5DB0"/>
    <w:rsid w:val="00EF333A"/>
    <w:rsid w:val="00F167A9"/>
    <w:rsid w:val="00F170A7"/>
    <w:rsid w:val="00F24281"/>
    <w:rsid w:val="00F24996"/>
    <w:rsid w:val="00F26BC2"/>
    <w:rsid w:val="00F2728D"/>
    <w:rsid w:val="00F27464"/>
    <w:rsid w:val="00F3000A"/>
    <w:rsid w:val="00F3078A"/>
    <w:rsid w:val="00F316D2"/>
    <w:rsid w:val="00F3178E"/>
    <w:rsid w:val="00F3536B"/>
    <w:rsid w:val="00F353C7"/>
    <w:rsid w:val="00F438DE"/>
    <w:rsid w:val="00F50177"/>
    <w:rsid w:val="00F534B4"/>
    <w:rsid w:val="00F6002D"/>
    <w:rsid w:val="00F6259C"/>
    <w:rsid w:val="00F82E75"/>
    <w:rsid w:val="00FB0818"/>
    <w:rsid w:val="00FB0FBB"/>
    <w:rsid w:val="00FB261D"/>
    <w:rsid w:val="00FC00ED"/>
    <w:rsid w:val="00FC313D"/>
    <w:rsid w:val="00FC4960"/>
    <w:rsid w:val="00FD2D13"/>
    <w:rsid w:val="00FD35A3"/>
    <w:rsid w:val="00FE3C27"/>
    <w:rsid w:val="00FF01B5"/>
    <w:rsid w:val="00FF4CB4"/>
    <w:rsid w:val="00FF5A11"/>
    <w:rsid w:val="00FF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22AE"/>
  <w15:chartTrackingRefBased/>
  <w15:docId w15:val="{4324440E-4343-42B4-9A79-C1EB5FE1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C9"/>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F94"/>
    <w:pPr>
      <w:tabs>
        <w:tab w:val="center" w:pos="4680"/>
        <w:tab w:val="right" w:pos="9360"/>
      </w:tabs>
    </w:pPr>
  </w:style>
  <w:style w:type="character" w:customStyle="1" w:styleId="HeaderChar">
    <w:name w:val="Header Char"/>
    <w:basedOn w:val="DefaultParagraphFont"/>
    <w:link w:val="Header"/>
    <w:uiPriority w:val="99"/>
    <w:rsid w:val="00922F94"/>
    <w:rPr>
      <w:lang w:val="en-GB"/>
    </w:rPr>
  </w:style>
  <w:style w:type="paragraph" w:styleId="Footer">
    <w:name w:val="footer"/>
    <w:basedOn w:val="Normal"/>
    <w:link w:val="FooterChar"/>
    <w:uiPriority w:val="99"/>
    <w:unhideWhenUsed/>
    <w:rsid w:val="00922F94"/>
    <w:pPr>
      <w:tabs>
        <w:tab w:val="center" w:pos="4680"/>
        <w:tab w:val="right" w:pos="9360"/>
      </w:tabs>
    </w:pPr>
  </w:style>
  <w:style w:type="character" w:customStyle="1" w:styleId="FooterChar">
    <w:name w:val="Footer Char"/>
    <w:basedOn w:val="DefaultParagraphFont"/>
    <w:link w:val="Footer"/>
    <w:uiPriority w:val="99"/>
    <w:rsid w:val="00922F94"/>
    <w:rPr>
      <w:lang w:val="en-GB"/>
    </w:rPr>
  </w:style>
  <w:style w:type="paragraph" w:styleId="NormalWeb">
    <w:name w:val="Normal (Web)"/>
    <w:basedOn w:val="Normal"/>
    <w:uiPriority w:val="99"/>
    <w:semiHidden/>
    <w:unhideWhenUsed/>
    <w:rsid w:val="00116EA7"/>
    <w:pPr>
      <w:spacing w:before="100" w:beforeAutospacing="1" w:after="100" w:afterAutospacing="1"/>
    </w:pPr>
  </w:style>
  <w:style w:type="character" w:customStyle="1" w:styleId="overflow-hidden">
    <w:name w:val="overflow-hidden"/>
    <w:basedOn w:val="DefaultParagraphFont"/>
    <w:rsid w:val="00116EA7"/>
  </w:style>
  <w:style w:type="paragraph" w:customStyle="1" w:styleId="Default">
    <w:name w:val="Default"/>
    <w:rsid w:val="0083627D"/>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link w:val="NoSpacingChar"/>
    <w:uiPriority w:val="1"/>
    <w:qFormat/>
    <w:rsid w:val="0083627D"/>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83627D"/>
    <w:rPr>
      <w:rFonts w:ascii="Calibri" w:eastAsia="Calibri" w:hAnsi="Calibri" w:cs="Times New Roman"/>
      <w:kern w:val="0"/>
      <w14:ligatures w14:val="none"/>
    </w:rPr>
  </w:style>
  <w:style w:type="paragraph" w:styleId="BalloonText">
    <w:name w:val="Balloon Text"/>
    <w:basedOn w:val="Normal"/>
    <w:link w:val="BalloonTextChar"/>
    <w:uiPriority w:val="99"/>
    <w:unhideWhenUsed/>
    <w:rsid w:val="00FB0818"/>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B0818"/>
    <w:rPr>
      <w:rFonts w:ascii="Tahoma" w:hAnsi="Tahoma" w:cs="Tahoma"/>
      <w:kern w:val="0"/>
      <w:sz w:val="16"/>
      <w:szCs w:val="16"/>
      <w:lang w:val="en-GB"/>
      <w14:ligatures w14:val="none"/>
    </w:rPr>
  </w:style>
  <w:style w:type="table" w:styleId="TableGrid">
    <w:name w:val="Table Grid"/>
    <w:basedOn w:val="TableNormal"/>
    <w:uiPriority w:val="39"/>
    <w:rsid w:val="008A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3F70A4"/>
    <w:pPr>
      <w:spacing w:before="100" w:beforeAutospacing="1" w:after="100" w:afterAutospacing="1"/>
    </w:pPr>
    <w:rPr>
      <w:lang w:val="en-US"/>
    </w:rPr>
  </w:style>
  <w:style w:type="character" w:styleId="Hyperlink">
    <w:name w:val="Hyperlink"/>
    <w:basedOn w:val="DefaultParagraphFont"/>
    <w:uiPriority w:val="99"/>
    <w:unhideWhenUsed/>
    <w:rsid w:val="00832895"/>
    <w:rPr>
      <w:color w:val="0563C1" w:themeColor="hyperlink"/>
      <w:u w:val="single"/>
    </w:rPr>
  </w:style>
  <w:style w:type="character" w:styleId="UnresolvedMention">
    <w:name w:val="Unresolved Mention"/>
    <w:basedOn w:val="DefaultParagraphFont"/>
    <w:uiPriority w:val="99"/>
    <w:semiHidden/>
    <w:unhideWhenUsed/>
    <w:rsid w:val="0055725F"/>
    <w:rPr>
      <w:color w:val="605E5C"/>
      <w:shd w:val="clear" w:color="auto" w:fill="E1DFDD"/>
    </w:rPr>
  </w:style>
  <w:style w:type="character" w:styleId="FollowedHyperlink">
    <w:name w:val="FollowedHyperlink"/>
    <w:basedOn w:val="DefaultParagraphFont"/>
    <w:uiPriority w:val="99"/>
    <w:semiHidden/>
    <w:unhideWhenUsed/>
    <w:rsid w:val="00AA7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5894">
      <w:bodyDiv w:val="1"/>
      <w:marLeft w:val="0"/>
      <w:marRight w:val="0"/>
      <w:marTop w:val="0"/>
      <w:marBottom w:val="0"/>
      <w:divBdr>
        <w:top w:val="none" w:sz="0" w:space="0" w:color="auto"/>
        <w:left w:val="none" w:sz="0" w:space="0" w:color="auto"/>
        <w:bottom w:val="none" w:sz="0" w:space="0" w:color="auto"/>
        <w:right w:val="none" w:sz="0" w:space="0" w:color="auto"/>
      </w:divBdr>
    </w:div>
    <w:div w:id="60832251">
      <w:bodyDiv w:val="1"/>
      <w:marLeft w:val="0"/>
      <w:marRight w:val="0"/>
      <w:marTop w:val="0"/>
      <w:marBottom w:val="0"/>
      <w:divBdr>
        <w:top w:val="none" w:sz="0" w:space="0" w:color="auto"/>
        <w:left w:val="none" w:sz="0" w:space="0" w:color="auto"/>
        <w:bottom w:val="none" w:sz="0" w:space="0" w:color="auto"/>
        <w:right w:val="none" w:sz="0" w:space="0" w:color="auto"/>
      </w:divBdr>
      <w:divsChild>
        <w:div w:id="1696075090">
          <w:marLeft w:val="0"/>
          <w:marRight w:val="0"/>
          <w:marTop w:val="0"/>
          <w:marBottom w:val="0"/>
          <w:divBdr>
            <w:top w:val="none" w:sz="0" w:space="0" w:color="auto"/>
            <w:left w:val="none" w:sz="0" w:space="0" w:color="auto"/>
            <w:bottom w:val="none" w:sz="0" w:space="0" w:color="auto"/>
            <w:right w:val="none" w:sz="0" w:space="0" w:color="auto"/>
          </w:divBdr>
          <w:divsChild>
            <w:div w:id="782917308">
              <w:marLeft w:val="0"/>
              <w:marRight w:val="0"/>
              <w:marTop w:val="0"/>
              <w:marBottom w:val="0"/>
              <w:divBdr>
                <w:top w:val="none" w:sz="0" w:space="0" w:color="auto"/>
                <w:left w:val="none" w:sz="0" w:space="0" w:color="auto"/>
                <w:bottom w:val="none" w:sz="0" w:space="0" w:color="auto"/>
                <w:right w:val="none" w:sz="0" w:space="0" w:color="auto"/>
              </w:divBdr>
              <w:divsChild>
                <w:div w:id="549148356">
                  <w:marLeft w:val="0"/>
                  <w:marRight w:val="0"/>
                  <w:marTop w:val="0"/>
                  <w:marBottom w:val="0"/>
                  <w:divBdr>
                    <w:top w:val="none" w:sz="0" w:space="0" w:color="auto"/>
                    <w:left w:val="none" w:sz="0" w:space="0" w:color="auto"/>
                    <w:bottom w:val="none" w:sz="0" w:space="0" w:color="auto"/>
                    <w:right w:val="none" w:sz="0" w:space="0" w:color="auto"/>
                  </w:divBdr>
                  <w:divsChild>
                    <w:div w:id="1953512963">
                      <w:marLeft w:val="0"/>
                      <w:marRight w:val="0"/>
                      <w:marTop w:val="0"/>
                      <w:marBottom w:val="0"/>
                      <w:divBdr>
                        <w:top w:val="none" w:sz="0" w:space="0" w:color="auto"/>
                        <w:left w:val="none" w:sz="0" w:space="0" w:color="auto"/>
                        <w:bottom w:val="none" w:sz="0" w:space="0" w:color="auto"/>
                        <w:right w:val="none" w:sz="0" w:space="0" w:color="auto"/>
                      </w:divBdr>
                      <w:divsChild>
                        <w:div w:id="1494563446">
                          <w:marLeft w:val="0"/>
                          <w:marRight w:val="0"/>
                          <w:marTop w:val="0"/>
                          <w:marBottom w:val="0"/>
                          <w:divBdr>
                            <w:top w:val="none" w:sz="0" w:space="0" w:color="auto"/>
                            <w:left w:val="none" w:sz="0" w:space="0" w:color="auto"/>
                            <w:bottom w:val="none" w:sz="0" w:space="0" w:color="auto"/>
                            <w:right w:val="none" w:sz="0" w:space="0" w:color="auto"/>
                          </w:divBdr>
                          <w:divsChild>
                            <w:div w:id="172845055">
                              <w:marLeft w:val="0"/>
                              <w:marRight w:val="0"/>
                              <w:marTop w:val="0"/>
                              <w:marBottom w:val="0"/>
                              <w:divBdr>
                                <w:top w:val="none" w:sz="0" w:space="0" w:color="auto"/>
                                <w:left w:val="none" w:sz="0" w:space="0" w:color="auto"/>
                                <w:bottom w:val="none" w:sz="0" w:space="0" w:color="auto"/>
                                <w:right w:val="none" w:sz="0" w:space="0" w:color="auto"/>
                              </w:divBdr>
                              <w:divsChild>
                                <w:div w:id="903222594">
                                  <w:marLeft w:val="0"/>
                                  <w:marRight w:val="0"/>
                                  <w:marTop w:val="0"/>
                                  <w:marBottom w:val="0"/>
                                  <w:divBdr>
                                    <w:top w:val="none" w:sz="0" w:space="0" w:color="auto"/>
                                    <w:left w:val="none" w:sz="0" w:space="0" w:color="auto"/>
                                    <w:bottom w:val="none" w:sz="0" w:space="0" w:color="auto"/>
                                    <w:right w:val="none" w:sz="0" w:space="0" w:color="auto"/>
                                  </w:divBdr>
                                  <w:divsChild>
                                    <w:div w:id="5794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7994">
                          <w:marLeft w:val="0"/>
                          <w:marRight w:val="0"/>
                          <w:marTop w:val="0"/>
                          <w:marBottom w:val="0"/>
                          <w:divBdr>
                            <w:top w:val="none" w:sz="0" w:space="0" w:color="auto"/>
                            <w:left w:val="none" w:sz="0" w:space="0" w:color="auto"/>
                            <w:bottom w:val="none" w:sz="0" w:space="0" w:color="auto"/>
                            <w:right w:val="none" w:sz="0" w:space="0" w:color="auto"/>
                          </w:divBdr>
                          <w:divsChild>
                            <w:div w:id="484472810">
                              <w:marLeft w:val="0"/>
                              <w:marRight w:val="0"/>
                              <w:marTop w:val="0"/>
                              <w:marBottom w:val="0"/>
                              <w:divBdr>
                                <w:top w:val="none" w:sz="0" w:space="0" w:color="auto"/>
                                <w:left w:val="none" w:sz="0" w:space="0" w:color="auto"/>
                                <w:bottom w:val="none" w:sz="0" w:space="0" w:color="auto"/>
                                <w:right w:val="none" w:sz="0" w:space="0" w:color="auto"/>
                              </w:divBdr>
                              <w:divsChild>
                                <w:div w:id="15891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9108">
      <w:bodyDiv w:val="1"/>
      <w:marLeft w:val="0"/>
      <w:marRight w:val="0"/>
      <w:marTop w:val="0"/>
      <w:marBottom w:val="0"/>
      <w:divBdr>
        <w:top w:val="none" w:sz="0" w:space="0" w:color="auto"/>
        <w:left w:val="none" w:sz="0" w:space="0" w:color="auto"/>
        <w:bottom w:val="none" w:sz="0" w:space="0" w:color="auto"/>
        <w:right w:val="none" w:sz="0" w:space="0" w:color="auto"/>
      </w:divBdr>
    </w:div>
    <w:div w:id="207884712">
      <w:bodyDiv w:val="1"/>
      <w:marLeft w:val="0"/>
      <w:marRight w:val="0"/>
      <w:marTop w:val="0"/>
      <w:marBottom w:val="0"/>
      <w:divBdr>
        <w:top w:val="none" w:sz="0" w:space="0" w:color="auto"/>
        <w:left w:val="none" w:sz="0" w:space="0" w:color="auto"/>
        <w:bottom w:val="none" w:sz="0" w:space="0" w:color="auto"/>
        <w:right w:val="none" w:sz="0" w:space="0" w:color="auto"/>
      </w:divBdr>
    </w:div>
    <w:div w:id="266043058">
      <w:bodyDiv w:val="1"/>
      <w:marLeft w:val="0"/>
      <w:marRight w:val="0"/>
      <w:marTop w:val="0"/>
      <w:marBottom w:val="0"/>
      <w:divBdr>
        <w:top w:val="none" w:sz="0" w:space="0" w:color="auto"/>
        <w:left w:val="none" w:sz="0" w:space="0" w:color="auto"/>
        <w:bottom w:val="none" w:sz="0" w:space="0" w:color="auto"/>
        <w:right w:val="none" w:sz="0" w:space="0" w:color="auto"/>
      </w:divBdr>
      <w:divsChild>
        <w:div w:id="387537543">
          <w:marLeft w:val="0"/>
          <w:marRight w:val="0"/>
          <w:marTop w:val="0"/>
          <w:marBottom w:val="0"/>
          <w:divBdr>
            <w:top w:val="none" w:sz="0" w:space="0" w:color="auto"/>
            <w:left w:val="none" w:sz="0" w:space="0" w:color="auto"/>
            <w:bottom w:val="none" w:sz="0" w:space="0" w:color="auto"/>
            <w:right w:val="none" w:sz="0" w:space="0" w:color="auto"/>
          </w:divBdr>
          <w:divsChild>
            <w:div w:id="170948360">
              <w:marLeft w:val="0"/>
              <w:marRight w:val="0"/>
              <w:marTop w:val="0"/>
              <w:marBottom w:val="0"/>
              <w:divBdr>
                <w:top w:val="none" w:sz="0" w:space="0" w:color="auto"/>
                <w:left w:val="none" w:sz="0" w:space="0" w:color="auto"/>
                <w:bottom w:val="none" w:sz="0" w:space="0" w:color="auto"/>
                <w:right w:val="none" w:sz="0" w:space="0" w:color="auto"/>
              </w:divBdr>
              <w:divsChild>
                <w:div w:id="1186482358">
                  <w:marLeft w:val="0"/>
                  <w:marRight w:val="0"/>
                  <w:marTop w:val="0"/>
                  <w:marBottom w:val="0"/>
                  <w:divBdr>
                    <w:top w:val="none" w:sz="0" w:space="0" w:color="auto"/>
                    <w:left w:val="none" w:sz="0" w:space="0" w:color="auto"/>
                    <w:bottom w:val="none" w:sz="0" w:space="0" w:color="auto"/>
                    <w:right w:val="none" w:sz="0" w:space="0" w:color="auto"/>
                  </w:divBdr>
                  <w:divsChild>
                    <w:div w:id="1400440013">
                      <w:marLeft w:val="0"/>
                      <w:marRight w:val="0"/>
                      <w:marTop w:val="0"/>
                      <w:marBottom w:val="0"/>
                      <w:divBdr>
                        <w:top w:val="none" w:sz="0" w:space="0" w:color="auto"/>
                        <w:left w:val="none" w:sz="0" w:space="0" w:color="auto"/>
                        <w:bottom w:val="none" w:sz="0" w:space="0" w:color="auto"/>
                        <w:right w:val="none" w:sz="0" w:space="0" w:color="auto"/>
                      </w:divBdr>
                      <w:divsChild>
                        <w:div w:id="1477331148">
                          <w:marLeft w:val="0"/>
                          <w:marRight w:val="0"/>
                          <w:marTop w:val="0"/>
                          <w:marBottom w:val="0"/>
                          <w:divBdr>
                            <w:top w:val="none" w:sz="0" w:space="0" w:color="auto"/>
                            <w:left w:val="none" w:sz="0" w:space="0" w:color="auto"/>
                            <w:bottom w:val="none" w:sz="0" w:space="0" w:color="auto"/>
                            <w:right w:val="none" w:sz="0" w:space="0" w:color="auto"/>
                          </w:divBdr>
                          <w:divsChild>
                            <w:div w:id="1155030151">
                              <w:marLeft w:val="0"/>
                              <w:marRight w:val="0"/>
                              <w:marTop w:val="0"/>
                              <w:marBottom w:val="0"/>
                              <w:divBdr>
                                <w:top w:val="none" w:sz="0" w:space="0" w:color="auto"/>
                                <w:left w:val="none" w:sz="0" w:space="0" w:color="auto"/>
                                <w:bottom w:val="none" w:sz="0" w:space="0" w:color="auto"/>
                                <w:right w:val="none" w:sz="0" w:space="0" w:color="auto"/>
                              </w:divBdr>
                              <w:divsChild>
                                <w:div w:id="201409806">
                                  <w:marLeft w:val="0"/>
                                  <w:marRight w:val="0"/>
                                  <w:marTop w:val="0"/>
                                  <w:marBottom w:val="0"/>
                                  <w:divBdr>
                                    <w:top w:val="none" w:sz="0" w:space="0" w:color="auto"/>
                                    <w:left w:val="none" w:sz="0" w:space="0" w:color="auto"/>
                                    <w:bottom w:val="none" w:sz="0" w:space="0" w:color="auto"/>
                                    <w:right w:val="none" w:sz="0" w:space="0" w:color="auto"/>
                                  </w:divBdr>
                                  <w:divsChild>
                                    <w:div w:id="8714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19728">
                          <w:marLeft w:val="0"/>
                          <w:marRight w:val="0"/>
                          <w:marTop w:val="0"/>
                          <w:marBottom w:val="0"/>
                          <w:divBdr>
                            <w:top w:val="none" w:sz="0" w:space="0" w:color="auto"/>
                            <w:left w:val="none" w:sz="0" w:space="0" w:color="auto"/>
                            <w:bottom w:val="none" w:sz="0" w:space="0" w:color="auto"/>
                            <w:right w:val="none" w:sz="0" w:space="0" w:color="auto"/>
                          </w:divBdr>
                          <w:divsChild>
                            <w:div w:id="689600405">
                              <w:marLeft w:val="0"/>
                              <w:marRight w:val="0"/>
                              <w:marTop w:val="0"/>
                              <w:marBottom w:val="0"/>
                              <w:divBdr>
                                <w:top w:val="none" w:sz="0" w:space="0" w:color="auto"/>
                                <w:left w:val="none" w:sz="0" w:space="0" w:color="auto"/>
                                <w:bottom w:val="none" w:sz="0" w:space="0" w:color="auto"/>
                                <w:right w:val="none" w:sz="0" w:space="0" w:color="auto"/>
                              </w:divBdr>
                              <w:divsChild>
                                <w:div w:id="15270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86654">
      <w:bodyDiv w:val="1"/>
      <w:marLeft w:val="0"/>
      <w:marRight w:val="0"/>
      <w:marTop w:val="0"/>
      <w:marBottom w:val="0"/>
      <w:divBdr>
        <w:top w:val="none" w:sz="0" w:space="0" w:color="auto"/>
        <w:left w:val="none" w:sz="0" w:space="0" w:color="auto"/>
        <w:bottom w:val="none" w:sz="0" w:space="0" w:color="auto"/>
        <w:right w:val="none" w:sz="0" w:space="0" w:color="auto"/>
      </w:divBdr>
    </w:div>
    <w:div w:id="319238772">
      <w:bodyDiv w:val="1"/>
      <w:marLeft w:val="0"/>
      <w:marRight w:val="0"/>
      <w:marTop w:val="0"/>
      <w:marBottom w:val="0"/>
      <w:divBdr>
        <w:top w:val="none" w:sz="0" w:space="0" w:color="auto"/>
        <w:left w:val="none" w:sz="0" w:space="0" w:color="auto"/>
        <w:bottom w:val="none" w:sz="0" w:space="0" w:color="auto"/>
        <w:right w:val="none" w:sz="0" w:space="0" w:color="auto"/>
      </w:divBdr>
    </w:div>
    <w:div w:id="327564286">
      <w:bodyDiv w:val="1"/>
      <w:marLeft w:val="0"/>
      <w:marRight w:val="0"/>
      <w:marTop w:val="0"/>
      <w:marBottom w:val="0"/>
      <w:divBdr>
        <w:top w:val="none" w:sz="0" w:space="0" w:color="auto"/>
        <w:left w:val="none" w:sz="0" w:space="0" w:color="auto"/>
        <w:bottom w:val="none" w:sz="0" w:space="0" w:color="auto"/>
        <w:right w:val="none" w:sz="0" w:space="0" w:color="auto"/>
      </w:divBdr>
    </w:div>
    <w:div w:id="349137986">
      <w:bodyDiv w:val="1"/>
      <w:marLeft w:val="0"/>
      <w:marRight w:val="0"/>
      <w:marTop w:val="0"/>
      <w:marBottom w:val="0"/>
      <w:divBdr>
        <w:top w:val="none" w:sz="0" w:space="0" w:color="auto"/>
        <w:left w:val="none" w:sz="0" w:space="0" w:color="auto"/>
        <w:bottom w:val="none" w:sz="0" w:space="0" w:color="auto"/>
        <w:right w:val="none" w:sz="0" w:space="0" w:color="auto"/>
      </w:divBdr>
      <w:divsChild>
        <w:div w:id="24137130">
          <w:marLeft w:val="0"/>
          <w:marRight w:val="0"/>
          <w:marTop w:val="0"/>
          <w:marBottom w:val="0"/>
          <w:divBdr>
            <w:top w:val="none" w:sz="0" w:space="0" w:color="auto"/>
            <w:left w:val="none" w:sz="0" w:space="0" w:color="auto"/>
            <w:bottom w:val="none" w:sz="0" w:space="0" w:color="auto"/>
            <w:right w:val="none" w:sz="0" w:space="0" w:color="auto"/>
          </w:divBdr>
          <w:divsChild>
            <w:div w:id="1835099263">
              <w:marLeft w:val="0"/>
              <w:marRight w:val="0"/>
              <w:marTop w:val="0"/>
              <w:marBottom w:val="0"/>
              <w:divBdr>
                <w:top w:val="none" w:sz="0" w:space="0" w:color="auto"/>
                <w:left w:val="none" w:sz="0" w:space="0" w:color="auto"/>
                <w:bottom w:val="none" w:sz="0" w:space="0" w:color="auto"/>
                <w:right w:val="none" w:sz="0" w:space="0" w:color="auto"/>
              </w:divBdr>
              <w:divsChild>
                <w:div w:id="1605728290">
                  <w:marLeft w:val="0"/>
                  <w:marRight w:val="0"/>
                  <w:marTop w:val="0"/>
                  <w:marBottom w:val="0"/>
                  <w:divBdr>
                    <w:top w:val="none" w:sz="0" w:space="0" w:color="auto"/>
                    <w:left w:val="none" w:sz="0" w:space="0" w:color="auto"/>
                    <w:bottom w:val="none" w:sz="0" w:space="0" w:color="auto"/>
                    <w:right w:val="none" w:sz="0" w:space="0" w:color="auto"/>
                  </w:divBdr>
                  <w:divsChild>
                    <w:div w:id="6098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1322">
          <w:marLeft w:val="0"/>
          <w:marRight w:val="0"/>
          <w:marTop w:val="0"/>
          <w:marBottom w:val="0"/>
          <w:divBdr>
            <w:top w:val="none" w:sz="0" w:space="0" w:color="auto"/>
            <w:left w:val="none" w:sz="0" w:space="0" w:color="auto"/>
            <w:bottom w:val="none" w:sz="0" w:space="0" w:color="auto"/>
            <w:right w:val="none" w:sz="0" w:space="0" w:color="auto"/>
          </w:divBdr>
          <w:divsChild>
            <w:div w:id="498664743">
              <w:marLeft w:val="0"/>
              <w:marRight w:val="0"/>
              <w:marTop w:val="0"/>
              <w:marBottom w:val="0"/>
              <w:divBdr>
                <w:top w:val="none" w:sz="0" w:space="0" w:color="auto"/>
                <w:left w:val="none" w:sz="0" w:space="0" w:color="auto"/>
                <w:bottom w:val="none" w:sz="0" w:space="0" w:color="auto"/>
                <w:right w:val="none" w:sz="0" w:space="0" w:color="auto"/>
              </w:divBdr>
              <w:divsChild>
                <w:div w:id="419837830">
                  <w:marLeft w:val="0"/>
                  <w:marRight w:val="0"/>
                  <w:marTop w:val="0"/>
                  <w:marBottom w:val="0"/>
                  <w:divBdr>
                    <w:top w:val="none" w:sz="0" w:space="0" w:color="auto"/>
                    <w:left w:val="none" w:sz="0" w:space="0" w:color="auto"/>
                    <w:bottom w:val="none" w:sz="0" w:space="0" w:color="auto"/>
                    <w:right w:val="none" w:sz="0" w:space="0" w:color="auto"/>
                  </w:divBdr>
                  <w:divsChild>
                    <w:div w:id="5660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44590">
      <w:bodyDiv w:val="1"/>
      <w:marLeft w:val="0"/>
      <w:marRight w:val="0"/>
      <w:marTop w:val="0"/>
      <w:marBottom w:val="0"/>
      <w:divBdr>
        <w:top w:val="none" w:sz="0" w:space="0" w:color="auto"/>
        <w:left w:val="none" w:sz="0" w:space="0" w:color="auto"/>
        <w:bottom w:val="none" w:sz="0" w:space="0" w:color="auto"/>
        <w:right w:val="none" w:sz="0" w:space="0" w:color="auto"/>
      </w:divBdr>
      <w:divsChild>
        <w:div w:id="2021393186">
          <w:marLeft w:val="0"/>
          <w:marRight w:val="0"/>
          <w:marTop w:val="0"/>
          <w:marBottom w:val="0"/>
          <w:divBdr>
            <w:top w:val="none" w:sz="0" w:space="0" w:color="auto"/>
            <w:left w:val="none" w:sz="0" w:space="0" w:color="auto"/>
            <w:bottom w:val="none" w:sz="0" w:space="0" w:color="auto"/>
            <w:right w:val="none" w:sz="0" w:space="0" w:color="auto"/>
          </w:divBdr>
          <w:divsChild>
            <w:div w:id="561060072">
              <w:marLeft w:val="0"/>
              <w:marRight w:val="0"/>
              <w:marTop w:val="0"/>
              <w:marBottom w:val="0"/>
              <w:divBdr>
                <w:top w:val="none" w:sz="0" w:space="0" w:color="auto"/>
                <w:left w:val="none" w:sz="0" w:space="0" w:color="auto"/>
                <w:bottom w:val="none" w:sz="0" w:space="0" w:color="auto"/>
                <w:right w:val="none" w:sz="0" w:space="0" w:color="auto"/>
              </w:divBdr>
              <w:divsChild>
                <w:div w:id="734546443">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99083">
          <w:marLeft w:val="0"/>
          <w:marRight w:val="0"/>
          <w:marTop w:val="0"/>
          <w:marBottom w:val="0"/>
          <w:divBdr>
            <w:top w:val="none" w:sz="0" w:space="0" w:color="auto"/>
            <w:left w:val="none" w:sz="0" w:space="0" w:color="auto"/>
            <w:bottom w:val="none" w:sz="0" w:space="0" w:color="auto"/>
            <w:right w:val="none" w:sz="0" w:space="0" w:color="auto"/>
          </w:divBdr>
          <w:divsChild>
            <w:div w:id="1967270364">
              <w:marLeft w:val="0"/>
              <w:marRight w:val="0"/>
              <w:marTop w:val="0"/>
              <w:marBottom w:val="0"/>
              <w:divBdr>
                <w:top w:val="none" w:sz="0" w:space="0" w:color="auto"/>
                <w:left w:val="none" w:sz="0" w:space="0" w:color="auto"/>
                <w:bottom w:val="none" w:sz="0" w:space="0" w:color="auto"/>
                <w:right w:val="none" w:sz="0" w:space="0" w:color="auto"/>
              </w:divBdr>
              <w:divsChild>
                <w:div w:id="357707902">
                  <w:marLeft w:val="0"/>
                  <w:marRight w:val="0"/>
                  <w:marTop w:val="0"/>
                  <w:marBottom w:val="0"/>
                  <w:divBdr>
                    <w:top w:val="none" w:sz="0" w:space="0" w:color="auto"/>
                    <w:left w:val="none" w:sz="0" w:space="0" w:color="auto"/>
                    <w:bottom w:val="none" w:sz="0" w:space="0" w:color="auto"/>
                    <w:right w:val="none" w:sz="0" w:space="0" w:color="auto"/>
                  </w:divBdr>
                  <w:divsChild>
                    <w:div w:id="11786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6767">
      <w:bodyDiv w:val="1"/>
      <w:marLeft w:val="0"/>
      <w:marRight w:val="0"/>
      <w:marTop w:val="0"/>
      <w:marBottom w:val="0"/>
      <w:divBdr>
        <w:top w:val="none" w:sz="0" w:space="0" w:color="auto"/>
        <w:left w:val="none" w:sz="0" w:space="0" w:color="auto"/>
        <w:bottom w:val="none" w:sz="0" w:space="0" w:color="auto"/>
        <w:right w:val="none" w:sz="0" w:space="0" w:color="auto"/>
      </w:divBdr>
    </w:div>
    <w:div w:id="509683994">
      <w:bodyDiv w:val="1"/>
      <w:marLeft w:val="0"/>
      <w:marRight w:val="0"/>
      <w:marTop w:val="0"/>
      <w:marBottom w:val="0"/>
      <w:divBdr>
        <w:top w:val="none" w:sz="0" w:space="0" w:color="auto"/>
        <w:left w:val="none" w:sz="0" w:space="0" w:color="auto"/>
        <w:bottom w:val="none" w:sz="0" w:space="0" w:color="auto"/>
        <w:right w:val="none" w:sz="0" w:space="0" w:color="auto"/>
      </w:divBdr>
    </w:div>
    <w:div w:id="561059660">
      <w:bodyDiv w:val="1"/>
      <w:marLeft w:val="0"/>
      <w:marRight w:val="0"/>
      <w:marTop w:val="0"/>
      <w:marBottom w:val="0"/>
      <w:divBdr>
        <w:top w:val="none" w:sz="0" w:space="0" w:color="auto"/>
        <w:left w:val="none" w:sz="0" w:space="0" w:color="auto"/>
        <w:bottom w:val="none" w:sz="0" w:space="0" w:color="auto"/>
        <w:right w:val="none" w:sz="0" w:space="0" w:color="auto"/>
      </w:divBdr>
    </w:div>
    <w:div w:id="573591985">
      <w:bodyDiv w:val="1"/>
      <w:marLeft w:val="0"/>
      <w:marRight w:val="0"/>
      <w:marTop w:val="0"/>
      <w:marBottom w:val="0"/>
      <w:divBdr>
        <w:top w:val="none" w:sz="0" w:space="0" w:color="auto"/>
        <w:left w:val="none" w:sz="0" w:space="0" w:color="auto"/>
        <w:bottom w:val="none" w:sz="0" w:space="0" w:color="auto"/>
        <w:right w:val="none" w:sz="0" w:space="0" w:color="auto"/>
      </w:divBdr>
      <w:divsChild>
        <w:div w:id="241649103">
          <w:marLeft w:val="0"/>
          <w:marRight w:val="0"/>
          <w:marTop w:val="0"/>
          <w:marBottom w:val="0"/>
          <w:divBdr>
            <w:top w:val="none" w:sz="0" w:space="0" w:color="auto"/>
            <w:left w:val="none" w:sz="0" w:space="0" w:color="auto"/>
            <w:bottom w:val="none" w:sz="0" w:space="0" w:color="auto"/>
            <w:right w:val="none" w:sz="0" w:space="0" w:color="auto"/>
          </w:divBdr>
          <w:divsChild>
            <w:div w:id="1051727403">
              <w:marLeft w:val="0"/>
              <w:marRight w:val="0"/>
              <w:marTop w:val="0"/>
              <w:marBottom w:val="0"/>
              <w:divBdr>
                <w:top w:val="none" w:sz="0" w:space="0" w:color="auto"/>
                <w:left w:val="none" w:sz="0" w:space="0" w:color="auto"/>
                <w:bottom w:val="none" w:sz="0" w:space="0" w:color="auto"/>
                <w:right w:val="none" w:sz="0" w:space="0" w:color="auto"/>
              </w:divBdr>
              <w:divsChild>
                <w:div w:id="1830368585">
                  <w:marLeft w:val="0"/>
                  <w:marRight w:val="0"/>
                  <w:marTop w:val="0"/>
                  <w:marBottom w:val="0"/>
                  <w:divBdr>
                    <w:top w:val="none" w:sz="0" w:space="0" w:color="auto"/>
                    <w:left w:val="none" w:sz="0" w:space="0" w:color="auto"/>
                    <w:bottom w:val="none" w:sz="0" w:space="0" w:color="auto"/>
                    <w:right w:val="none" w:sz="0" w:space="0" w:color="auto"/>
                  </w:divBdr>
                  <w:divsChild>
                    <w:div w:id="494731420">
                      <w:marLeft w:val="0"/>
                      <w:marRight w:val="0"/>
                      <w:marTop w:val="0"/>
                      <w:marBottom w:val="0"/>
                      <w:divBdr>
                        <w:top w:val="none" w:sz="0" w:space="0" w:color="auto"/>
                        <w:left w:val="none" w:sz="0" w:space="0" w:color="auto"/>
                        <w:bottom w:val="none" w:sz="0" w:space="0" w:color="auto"/>
                        <w:right w:val="none" w:sz="0" w:space="0" w:color="auto"/>
                      </w:divBdr>
                      <w:divsChild>
                        <w:div w:id="696588903">
                          <w:marLeft w:val="0"/>
                          <w:marRight w:val="0"/>
                          <w:marTop w:val="0"/>
                          <w:marBottom w:val="0"/>
                          <w:divBdr>
                            <w:top w:val="none" w:sz="0" w:space="0" w:color="auto"/>
                            <w:left w:val="none" w:sz="0" w:space="0" w:color="auto"/>
                            <w:bottom w:val="none" w:sz="0" w:space="0" w:color="auto"/>
                            <w:right w:val="none" w:sz="0" w:space="0" w:color="auto"/>
                          </w:divBdr>
                          <w:divsChild>
                            <w:div w:id="1721325105">
                              <w:marLeft w:val="0"/>
                              <w:marRight w:val="0"/>
                              <w:marTop w:val="0"/>
                              <w:marBottom w:val="0"/>
                              <w:divBdr>
                                <w:top w:val="none" w:sz="0" w:space="0" w:color="auto"/>
                                <w:left w:val="none" w:sz="0" w:space="0" w:color="auto"/>
                                <w:bottom w:val="none" w:sz="0" w:space="0" w:color="auto"/>
                                <w:right w:val="none" w:sz="0" w:space="0" w:color="auto"/>
                              </w:divBdr>
                              <w:divsChild>
                                <w:div w:id="2063095903">
                                  <w:marLeft w:val="0"/>
                                  <w:marRight w:val="0"/>
                                  <w:marTop w:val="0"/>
                                  <w:marBottom w:val="0"/>
                                  <w:divBdr>
                                    <w:top w:val="none" w:sz="0" w:space="0" w:color="auto"/>
                                    <w:left w:val="none" w:sz="0" w:space="0" w:color="auto"/>
                                    <w:bottom w:val="none" w:sz="0" w:space="0" w:color="auto"/>
                                    <w:right w:val="none" w:sz="0" w:space="0" w:color="auto"/>
                                  </w:divBdr>
                                  <w:divsChild>
                                    <w:div w:id="1734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3875">
                          <w:marLeft w:val="0"/>
                          <w:marRight w:val="0"/>
                          <w:marTop w:val="0"/>
                          <w:marBottom w:val="0"/>
                          <w:divBdr>
                            <w:top w:val="none" w:sz="0" w:space="0" w:color="auto"/>
                            <w:left w:val="none" w:sz="0" w:space="0" w:color="auto"/>
                            <w:bottom w:val="none" w:sz="0" w:space="0" w:color="auto"/>
                            <w:right w:val="none" w:sz="0" w:space="0" w:color="auto"/>
                          </w:divBdr>
                          <w:divsChild>
                            <w:div w:id="17659324">
                              <w:marLeft w:val="0"/>
                              <w:marRight w:val="0"/>
                              <w:marTop w:val="0"/>
                              <w:marBottom w:val="0"/>
                              <w:divBdr>
                                <w:top w:val="none" w:sz="0" w:space="0" w:color="auto"/>
                                <w:left w:val="none" w:sz="0" w:space="0" w:color="auto"/>
                                <w:bottom w:val="none" w:sz="0" w:space="0" w:color="auto"/>
                                <w:right w:val="none" w:sz="0" w:space="0" w:color="auto"/>
                              </w:divBdr>
                              <w:divsChild>
                                <w:div w:id="1653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393670">
      <w:bodyDiv w:val="1"/>
      <w:marLeft w:val="0"/>
      <w:marRight w:val="0"/>
      <w:marTop w:val="0"/>
      <w:marBottom w:val="0"/>
      <w:divBdr>
        <w:top w:val="none" w:sz="0" w:space="0" w:color="auto"/>
        <w:left w:val="none" w:sz="0" w:space="0" w:color="auto"/>
        <w:bottom w:val="none" w:sz="0" w:space="0" w:color="auto"/>
        <w:right w:val="none" w:sz="0" w:space="0" w:color="auto"/>
      </w:divBdr>
    </w:div>
    <w:div w:id="766147631">
      <w:bodyDiv w:val="1"/>
      <w:marLeft w:val="0"/>
      <w:marRight w:val="0"/>
      <w:marTop w:val="0"/>
      <w:marBottom w:val="0"/>
      <w:divBdr>
        <w:top w:val="none" w:sz="0" w:space="0" w:color="auto"/>
        <w:left w:val="none" w:sz="0" w:space="0" w:color="auto"/>
        <w:bottom w:val="none" w:sz="0" w:space="0" w:color="auto"/>
        <w:right w:val="none" w:sz="0" w:space="0" w:color="auto"/>
      </w:divBdr>
      <w:divsChild>
        <w:div w:id="334380077">
          <w:marLeft w:val="0"/>
          <w:marRight w:val="0"/>
          <w:marTop w:val="0"/>
          <w:marBottom w:val="0"/>
          <w:divBdr>
            <w:top w:val="none" w:sz="0" w:space="0" w:color="auto"/>
            <w:left w:val="none" w:sz="0" w:space="0" w:color="auto"/>
            <w:bottom w:val="none" w:sz="0" w:space="0" w:color="auto"/>
            <w:right w:val="none" w:sz="0" w:space="0" w:color="auto"/>
          </w:divBdr>
          <w:divsChild>
            <w:div w:id="1636523522">
              <w:marLeft w:val="0"/>
              <w:marRight w:val="0"/>
              <w:marTop w:val="0"/>
              <w:marBottom w:val="0"/>
              <w:divBdr>
                <w:top w:val="none" w:sz="0" w:space="0" w:color="auto"/>
                <w:left w:val="none" w:sz="0" w:space="0" w:color="auto"/>
                <w:bottom w:val="none" w:sz="0" w:space="0" w:color="auto"/>
                <w:right w:val="none" w:sz="0" w:space="0" w:color="auto"/>
              </w:divBdr>
              <w:divsChild>
                <w:div w:id="635841285">
                  <w:marLeft w:val="0"/>
                  <w:marRight w:val="0"/>
                  <w:marTop w:val="0"/>
                  <w:marBottom w:val="0"/>
                  <w:divBdr>
                    <w:top w:val="none" w:sz="0" w:space="0" w:color="auto"/>
                    <w:left w:val="none" w:sz="0" w:space="0" w:color="auto"/>
                    <w:bottom w:val="none" w:sz="0" w:space="0" w:color="auto"/>
                    <w:right w:val="none" w:sz="0" w:space="0" w:color="auto"/>
                  </w:divBdr>
                  <w:divsChild>
                    <w:div w:id="1608852510">
                      <w:marLeft w:val="0"/>
                      <w:marRight w:val="0"/>
                      <w:marTop w:val="0"/>
                      <w:marBottom w:val="0"/>
                      <w:divBdr>
                        <w:top w:val="none" w:sz="0" w:space="0" w:color="auto"/>
                        <w:left w:val="none" w:sz="0" w:space="0" w:color="auto"/>
                        <w:bottom w:val="none" w:sz="0" w:space="0" w:color="auto"/>
                        <w:right w:val="none" w:sz="0" w:space="0" w:color="auto"/>
                      </w:divBdr>
                      <w:divsChild>
                        <w:div w:id="1754203095">
                          <w:marLeft w:val="0"/>
                          <w:marRight w:val="0"/>
                          <w:marTop w:val="0"/>
                          <w:marBottom w:val="0"/>
                          <w:divBdr>
                            <w:top w:val="none" w:sz="0" w:space="0" w:color="auto"/>
                            <w:left w:val="none" w:sz="0" w:space="0" w:color="auto"/>
                            <w:bottom w:val="none" w:sz="0" w:space="0" w:color="auto"/>
                            <w:right w:val="none" w:sz="0" w:space="0" w:color="auto"/>
                          </w:divBdr>
                          <w:divsChild>
                            <w:div w:id="313998553">
                              <w:marLeft w:val="0"/>
                              <w:marRight w:val="0"/>
                              <w:marTop w:val="0"/>
                              <w:marBottom w:val="0"/>
                              <w:divBdr>
                                <w:top w:val="none" w:sz="0" w:space="0" w:color="auto"/>
                                <w:left w:val="none" w:sz="0" w:space="0" w:color="auto"/>
                                <w:bottom w:val="none" w:sz="0" w:space="0" w:color="auto"/>
                                <w:right w:val="none" w:sz="0" w:space="0" w:color="auto"/>
                              </w:divBdr>
                              <w:divsChild>
                                <w:div w:id="1872570451">
                                  <w:marLeft w:val="0"/>
                                  <w:marRight w:val="0"/>
                                  <w:marTop w:val="0"/>
                                  <w:marBottom w:val="0"/>
                                  <w:divBdr>
                                    <w:top w:val="none" w:sz="0" w:space="0" w:color="auto"/>
                                    <w:left w:val="none" w:sz="0" w:space="0" w:color="auto"/>
                                    <w:bottom w:val="none" w:sz="0" w:space="0" w:color="auto"/>
                                    <w:right w:val="none" w:sz="0" w:space="0" w:color="auto"/>
                                  </w:divBdr>
                                  <w:divsChild>
                                    <w:div w:id="16262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0810">
                          <w:marLeft w:val="0"/>
                          <w:marRight w:val="0"/>
                          <w:marTop w:val="0"/>
                          <w:marBottom w:val="0"/>
                          <w:divBdr>
                            <w:top w:val="none" w:sz="0" w:space="0" w:color="auto"/>
                            <w:left w:val="none" w:sz="0" w:space="0" w:color="auto"/>
                            <w:bottom w:val="none" w:sz="0" w:space="0" w:color="auto"/>
                            <w:right w:val="none" w:sz="0" w:space="0" w:color="auto"/>
                          </w:divBdr>
                          <w:divsChild>
                            <w:div w:id="1511944323">
                              <w:marLeft w:val="0"/>
                              <w:marRight w:val="0"/>
                              <w:marTop w:val="0"/>
                              <w:marBottom w:val="0"/>
                              <w:divBdr>
                                <w:top w:val="none" w:sz="0" w:space="0" w:color="auto"/>
                                <w:left w:val="none" w:sz="0" w:space="0" w:color="auto"/>
                                <w:bottom w:val="none" w:sz="0" w:space="0" w:color="auto"/>
                                <w:right w:val="none" w:sz="0" w:space="0" w:color="auto"/>
                              </w:divBdr>
                              <w:divsChild>
                                <w:div w:id="13933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307386">
      <w:bodyDiv w:val="1"/>
      <w:marLeft w:val="0"/>
      <w:marRight w:val="0"/>
      <w:marTop w:val="0"/>
      <w:marBottom w:val="0"/>
      <w:divBdr>
        <w:top w:val="none" w:sz="0" w:space="0" w:color="auto"/>
        <w:left w:val="none" w:sz="0" w:space="0" w:color="auto"/>
        <w:bottom w:val="none" w:sz="0" w:space="0" w:color="auto"/>
        <w:right w:val="none" w:sz="0" w:space="0" w:color="auto"/>
      </w:divBdr>
      <w:divsChild>
        <w:div w:id="2059279266">
          <w:marLeft w:val="0"/>
          <w:marRight w:val="0"/>
          <w:marTop w:val="0"/>
          <w:marBottom w:val="0"/>
          <w:divBdr>
            <w:top w:val="none" w:sz="0" w:space="0" w:color="auto"/>
            <w:left w:val="none" w:sz="0" w:space="0" w:color="auto"/>
            <w:bottom w:val="none" w:sz="0" w:space="0" w:color="auto"/>
            <w:right w:val="none" w:sz="0" w:space="0" w:color="auto"/>
          </w:divBdr>
          <w:divsChild>
            <w:div w:id="881407136">
              <w:marLeft w:val="0"/>
              <w:marRight w:val="0"/>
              <w:marTop w:val="0"/>
              <w:marBottom w:val="0"/>
              <w:divBdr>
                <w:top w:val="none" w:sz="0" w:space="0" w:color="auto"/>
                <w:left w:val="none" w:sz="0" w:space="0" w:color="auto"/>
                <w:bottom w:val="none" w:sz="0" w:space="0" w:color="auto"/>
                <w:right w:val="none" w:sz="0" w:space="0" w:color="auto"/>
              </w:divBdr>
              <w:divsChild>
                <w:div w:id="601302720">
                  <w:marLeft w:val="0"/>
                  <w:marRight w:val="0"/>
                  <w:marTop w:val="0"/>
                  <w:marBottom w:val="0"/>
                  <w:divBdr>
                    <w:top w:val="none" w:sz="0" w:space="0" w:color="auto"/>
                    <w:left w:val="none" w:sz="0" w:space="0" w:color="auto"/>
                    <w:bottom w:val="none" w:sz="0" w:space="0" w:color="auto"/>
                    <w:right w:val="none" w:sz="0" w:space="0" w:color="auto"/>
                  </w:divBdr>
                  <w:divsChild>
                    <w:div w:id="1808618589">
                      <w:marLeft w:val="0"/>
                      <w:marRight w:val="0"/>
                      <w:marTop w:val="0"/>
                      <w:marBottom w:val="0"/>
                      <w:divBdr>
                        <w:top w:val="none" w:sz="0" w:space="0" w:color="auto"/>
                        <w:left w:val="none" w:sz="0" w:space="0" w:color="auto"/>
                        <w:bottom w:val="none" w:sz="0" w:space="0" w:color="auto"/>
                        <w:right w:val="none" w:sz="0" w:space="0" w:color="auto"/>
                      </w:divBdr>
                      <w:divsChild>
                        <w:div w:id="526335076">
                          <w:marLeft w:val="0"/>
                          <w:marRight w:val="0"/>
                          <w:marTop w:val="0"/>
                          <w:marBottom w:val="0"/>
                          <w:divBdr>
                            <w:top w:val="none" w:sz="0" w:space="0" w:color="auto"/>
                            <w:left w:val="none" w:sz="0" w:space="0" w:color="auto"/>
                            <w:bottom w:val="none" w:sz="0" w:space="0" w:color="auto"/>
                            <w:right w:val="none" w:sz="0" w:space="0" w:color="auto"/>
                          </w:divBdr>
                          <w:divsChild>
                            <w:div w:id="1474059778">
                              <w:marLeft w:val="0"/>
                              <w:marRight w:val="0"/>
                              <w:marTop w:val="0"/>
                              <w:marBottom w:val="0"/>
                              <w:divBdr>
                                <w:top w:val="none" w:sz="0" w:space="0" w:color="auto"/>
                                <w:left w:val="none" w:sz="0" w:space="0" w:color="auto"/>
                                <w:bottom w:val="none" w:sz="0" w:space="0" w:color="auto"/>
                                <w:right w:val="none" w:sz="0" w:space="0" w:color="auto"/>
                              </w:divBdr>
                              <w:divsChild>
                                <w:div w:id="831020431">
                                  <w:marLeft w:val="0"/>
                                  <w:marRight w:val="0"/>
                                  <w:marTop w:val="0"/>
                                  <w:marBottom w:val="0"/>
                                  <w:divBdr>
                                    <w:top w:val="none" w:sz="0" w:space="0" w:color="auto"/>
                                    <w:left w:val="none" w:sz="0" w:space="0" w:color="auto"/>
                                    <w:bottom w:val="none" w:sz="0" w:space="0" w:color="auto"/>
                                    <w:right w:val="none" w:sz="0" w:space="0" w:color="auto"/>
                                  </w:divBdr>
                                  <w:divsChild>
                                    <w:div w:id="9596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42631">
                          <w:marLeft w:val="0"/>
                          <w:marRight w:val="0"/>
                          <w:marTop w:val="0"/>
                          <w:marBottom w:val="0"/>
                          <w:divBdr>
                            <w:top w:val="none" w:sz="0" w:space="0" w:color="auto"/>
                            <w:left w:val="none" w:sz="0" w:space="0" w:color="auto"/>
                            <w:bottom w:val="none" w:sz="0" w:space="0" w:color="auto"/>
                            <w:right w:val="none" w:sz="0" w:space="0" w:color="auto"/>
                          </w:divBdr>
                          <w:divsChild>
                            <w:div w:id="215556477">
                              <w:marLeft w:val="0"/>
                              <w:marRight w:val="0"/>
                              <w:marTop w:val="0"/>
                              <w:marBottom w:val="0"/>
                              <w:divBdr>
                                <w:top w:val="none" w:sz="0" w:space="0" w:color="auto"/>
                                <w:left w:val="none" w:sz="0" w:space="0" w:color="auto"/>
                                <w:bottom w:val="none" w:sz="0" w:space="0" w:color="auto"/>
                                <w:right w:val="none" w:sz="0" w:space="0" w:color="auto"/>
                              </w:divBdr>
                              <w:divsChild>
                                <w:div w:id="16402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333589">
      <w:bodyDiv w:val="1"/>
      <w:marLeft w:val="0"/>
      <w:marRight w:val="0"/>
      <w:marTop w:val="0"/>
      <w:marBottom w:val="0"/>
      <w:divBdr>
        <w:top w:val="none" w:sz="0" w:space="0" w:color="auto"/>
        <w:left w:val="none" w:sz="0" w:space="0" w:color="auto"/>
        <w:bottom w:val="none" w:sz="0" w:space="0" w:color="auto"/>
        <w:right w:val="none" w:sz="0" w:space="0" w:color="auto"/>
      </w:divBdr>
    </w:div>
    <w:div w:id="909192125">
      <w:bodyDiv w:val="1"/>
      <w:marLeft w:val="0"/>
      <w:marRight w:val="0"/>
      <w:marTop w:val="0"/>
      <w:marBottom w:val="0"/>
      <w:divBdr>
        <w:top w:val="none" w:sz="0" w:space="0" w:color="auto"/>
        <w:left w:val="none" w:sz="0" w:space="0" w:color="auto"/>
        <w:bottom w:val="none" w:sz="0" w:space="0" w:color="auto"/>
        <w:right w:val="none" w:sz="0" w:space="0" w:color="auto"/>
      </w:divBdr>
    </w:div>
    <w:div w:id="912937383">
      <w:bodyDiv w:val="1"/>
      <w:marLeft w:val="0"/>
      <w:marRight w:val="0"/>
      <w:marTop w:val="0"/>
      <w:marBottom w:val="0"/>
      <w:divBdr>
        <w:top w:val="none" w:sz="0" w:space="0" w:color="auto"/>
        <w:left w:val="none" w:sz="0" w:space="0" w:color="auto"/>
        <w:bottom w:val="none" w:sz="0" w:space="0" w:color="auto"/>
        <w:right w:val="none" w:sz="0" w:space="0" w:color="auto"/>
      </w:divBdr>
    </w:div>
    <w:div w:id="92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6598640">
          <w:marLeft w:val="0"/>
          <w:marRight w:val="0"/>
          <w:marTop w:val="0"/>
          <w:marBottom w:val="0"/>
          <w:divBdr>
            <w:top w:val="none" w:sz="0" w:space="0" w:color="auto"/>
            <w:left w:val="none" w:sz="0" w:space="0" w:color="auto"/>
            <w:bottom w:val="none" w:sz="0" w:space="0" w:color="auto"/>
            <w:right w:val="none" w:sz="0" w:space="0" w:color="auto"/>
          </w:divBdr>
          <w:divsChild>
            <w:div w:id="1229077318">
              <w:marLeft w:val="0"/>
              <w:marRight w:val="0"/>
              <w:marTop w:val="0"/>
              <w:marBottom w:val="0"/>
              <w:divBdr>
                <w:top w:val="none" w:sz="0" w:space="0" w:color="auto"/>
                <w:left w:val="none" w:sz="0" w:space="0" w:color="auto"/>
                <w:bottom w:val="none" w:sz="0" w:space="0" w:color="auto"/>
                <w:right w:val="none" w:sz="0" w:space="0" w:color="auto"/>
              </w:divBdr>
              <w:divsChild>
                <w:div w:id="358745203">
                  <w:marLeft w:val="0"/>
                  <w:marRight w:val="0"/>
                  <w:marTop w:val="0"/>
                  <w:marBottom w:val="0"/>
                  <w:divBdr>
                    <w:top w:val="none" w:sz="0" w:space="0" w:color="auto"/>
                    <w:left w:val="none" w:sz="0" w:space="0" w:color="auto"/>
                    <w:bottom w:val="none" w:sz="0" w:space="0" w:color="auto"/>
                    <w:right w:val="none" w:sz="0" w:space="0" w:color="auto"/>
                  </w:divBdr>
                  <w:divsChild>
                    <w:div w:id="1629892432">
                      <w:marLeft w:val="0"/>
                      <w:marRight w:val="0"/>
                      <w:marTop w:val="0"/>
                      <w:marBottom w:val="0"/>
                      <w:divBdr>
                        <w:top w:val="none" w:sz="0" w:space="0" w:color="auto"/>
                        <w:left w:val="none" w:sz="0" w:space="0" w:color="auto"/>
                        <w:bottom w:val="none" w:sz="0" w:space="0" w:color="auto"/>
                        <w:right w:val="none" w:sz="0" w:space="0" w:color="auto"/>
                      </w:divBdr>
                      <w:divsChild>
                        <w:div w:id="991760681">
                          <w:marLeft w:val="0"/>
                          <w:marRight w:val="0"/>
                          <w:marTop w:val="0"/>
                          <w:marBottom w:val="0"/>
                          <w:divBdr>
                            <w:top w:val="none" w:sz="0" w:space="0" w:color="auto"/>
                            <w:left w:val="none" w:sz="0" w:space="0" w:color="auto"/>
                            <w:bottom w:val="none" w:sz="0" w:space="0" w:color="auto"/>
                            <w:right w:val="none" w:sz="0" w:space="0" w:color="auto"/>
                          </w:divBdr>
                          <w:divsChild>
                            <w:div w:id="246041150">
                              <w:marLeft w:val="0"/>
                              <w:marRight w:val="0"/>
                              <w:marTop w:val="0"/>
                              <w:marBottom w:val="0"/>
                              <w:divBdr>
                                <w:top w:val="none" w:sz="0" w:space="0" w:color="auto"/>
                                <w:left w:val="none" w:sz="0" w:space="0" w:color="auto"/>
                                <w:bottom w:val="none" w:sz="0" w:space="0" w:color="auto"/>
                                <w:right w:val="none" w:sz="0" w:space="0" w:color="auto"/>
                              </w:divBdr>
                              <w:divsChild>
                                <w:div w:id="1466310772">
                                  <w:marLeft w:val="0"/>
                                  <w:marRight w:val="0"/>
                                  <w:marTop w:val="0"/>
                                  <w:marBottom w:val="0"/>
                                  <w:divBdr>
                                    <w:top w:val="none" w:sz="0" w:space="0" w:color="auto"/>
                                    <w:left w:val="none" w:sz="0" w:space="0" w:color="auto"/>
                                    <w:bottom w:val="none" w:sz="0" w:space="0" w:color="auto"/>
                                    <w:right w:val="none" w:sz="0" w:space="0" w:color="auto"/>
                                  </w:divBdr>
                                  <w:divsChild>
                                    <w:div w:id="6944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7068">
      <w:bodyDiv w:val="1"/>
      <w:marLeft w:val="0"/>
      <w:marRight w:val="0"/>
      <w:marTop w:val="0"/>
      <w:marBottom w:val="0"/>
      <w:divBdr>
        <w:top w:val="none" w:sz="0" w:space="0" w:color="auto"/>
        <w:left w:val="none" w:sz="0" w:space="0" w:color="auto"/>
        <w:bottom w:val="none" w:sz="0" w:space="0" w:color="auto"/>
        <w:right w:val="none" w:sz="0" w:space="0" w:color="auto"/>
      </w:divBdr>
      <w:divsChild>
        <w:div w:id="1733962056">
          <w:marLeft w:val="0"/>
          <w:marRight w:val="0"/>
          <w:marTop w:val="0"/>
          <w:marBottom w:val="0"/>
          <w:divBdr>
            <w:top w:val="none" w:sz="0" w:space="0" w:color="auto"/>
            <w:left w:val="none" w:sz="0" w:space="0" w:color="auto"/>
            <w:bottom w:val="none" w:sz="0" w:space="0" w:color="auto"/>
            <w:right w:val="none" w:sz="0" w:space="0" w:color="auto"/>
          </w:divBdr>
          <w:divsChild>
            <w:div w:id="68506512">
              <w:marLeft w:val="0"/>
              <w:marRight w:val="0"/>
              <w:marTop w:val="0"/>
              <w:marBottom w:val="0"/>
              <w:divBdr>
                <w:top w:val="none" w:sz="0" w:space="0" w:color="auto"/>
                <w:left w:val="none" w:sz="0" w:space="0" w:color="auto"/>
                <w:bottom w:val="none" w:sz="0" w:space="0" w:color="auto"/>
                <w:right w:val="none" w:sz="0" w:space="0" w:color="auto"/>
              </w:divBdr>
              <w:divsChild>
                <w:div w:id="1558009268">
                  <w:marLeft w:val="0"/>
                  <w:marRight w:val="0"/>
                  <w:marTop w:val="0"/>
                  <w:marBottom w:val="0"/>
                  <w:divBdr>
                    <w:top w:val="none" w:sz="0" w:space="0" w:color="auto"/>
                    <w:left w:val="none" w:sz="0" w:space="0" w:color="auto"/>
                    <w:bottom w:val="none" w:sz="0" w:space="0" w:color="auto"/>
                    <w:right w:val="none" w:sz="0" w:space="0" w:color="auto"/>
                  </w:divBdr>
                  <w:divsChild>
                    <w:div w:id="2010013752">
                      <w:marLeft w:val="0"/>
                      <w:marRight w:val="0"/>
                      <w:marTop w:val="0"/>
                      <w:marBottom w:val="0"/>
                      <w:divBdr>
                        <w:top w:val="none" w:sz="0" w:space="0" w:color="auto"/>
                        <w:left w:val="none" w:sz="0" w:space="0" w:color="auto"/>
                        <w:bottom w:val="none" w:sz="0" w:space="0" w:color="auto"/>
                        <w:right w:val="none" w:sz="0" w:space="0" w:color="auto"/>
                      </w:divBdr>
                      <w:divsChild>
                        <w:div w:id="1130634794">
                          <w:marLeft w:val="0"/>
                          <w:marRight w:val="0"/>
                          <w:marTop w:val="0"/>
                          <w:marBottom w:val="0"/>
                          <w:divBdr>
                            <w:top w:val="none" w:sz="0" w:space="0" w:color="auto"/>
                            <w:left w:val="none" w:sz="0" w:space="0" w:color="auto"/>
                            <w:bottom w:val="none" w:sz="0" w:space="0" w:color="auto"/>
                            <w:right w:val="none" w:sz="0" w:space="0" w:color="auto"/>
                          </w:divBdr>
                          <w:divsChild>
                            <w:div w:id="558829087">
                              <w:marLeft w:val="0"/>
                              <w:marRight w:val="0"/>
                              <w:marTop w:val="0"/>
                              <w:marBottom w:val="0"/>
                              <w:divBdr>
                                <w:top w:val="none" w:sz="0" w:space="0" w:color="auto"/>
                                <w:left w:val="none" w:sz="0" w:space="0" w:color="auto"/>
                                <w:bottom w:val="none" w:sz="0" w:space="0" w:color="auto"/>
                                <w:right w:val="none" w:sz="0" w:space="0" w:color="auto"/>
                              </w:divBdr>
                              <w:divsChild>
                                <w:div w:id="1762095339">
                                  <w:marLeft w:val="0"/>
                                  <w:marRight w:val="0"/>
                                  <w:marTop w:val="0"/>
                                  <w:marBottom w:val="0"/>
                                  <w:divBdr>
                                    <w:top w:val="none" w:sz="0" w:space="0" w:color="auto"/>
                                    <w:left w:val="none" w:sz="0" w:space="0" w:color="auto"/>
                                    <w:bottom w:val="none" w:sz="0" w:space="0" w:color="auto"/>
                                    <w:right w:val="none" w:sz="0" w:space="0" w:color="auto"/>
                                  </w:divBdr>
                                  <w:divsChild>
                                    <w:div w:id="17059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15880">
                          <w:marLeft w:val="0"/>
                          <w:marRight w:val="0"/>
                          <w:marTop w:val="0"/>
                          <w:marBottom w:val="0"/>
                          <w:divBdr>
                            <w:top w:val="none" w:sz="0" w:space="0" w:color="auto"/>
                            <w:left w:val="none" w:sz="0" w:space="0" w:color="auto"/>
                            <w:bottom w:val="none" w:sz="0" w:space="0" w:color="auto"/>
                            <w:right w:val="none" w:sz="0" w:space="0" w:color="auto"/>
                          </w:divBdr>
                          <w:divsChild>
                            <w:div w:id="1023632976">
                              <w:marLeft w:val="0"/>
                              <w:marRight w:val="0"/>
                              <w:marTop w:val="0"/>
                              <w:marBottom w:val="0"/>
                              <w:divBdr>
                                <w:top w:val="none" w:sz="0" w:space="0" w:color="auto"/>
                                <w:left w:val="none" w:sz="0" w:space="0" w:color="auto"/>
                                <w:bottom w:val="none" w:sz="0" w:space="0" w:color="auto"/>
                                <w:right w:val="none" w:sz="0" w:space="0" w:color="auto"/>
                              </w:divBdr>
                              <w:divsChild>
                                <w:div w:id="13183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97178">
      <w:bodyDiv w:val="1"/>
      <w:marLeft w:val="0"/>
      <w:marRight w:val="0"/>
      <w:marTop w:val="0"/>
      <w:marBottom w:val="0"/>
      <w:divBdr>
        <w:top w:val="none" w:sz="0" w:space="0" w:color="auto"/>
        <w:left w:val="none" w:sz="0" w:space="0" w:color="auto"/>
        <w:bottom w:val="none" w:sz="0" w:space="0" w:color="auto"/>
        <w:right w:val="none" w:sz="0" w:space="0" w:color="auto"/>
      </w:divBdr>
      <w:divsChild>
        <w:div w:id="2097433890">
          <w:marLeft w:val="0"/>
          <w:marRight w:val="0"/>
          <w:marTop w:val="0"/>
          <w:marBottom w:val="0"/>
          <w:divBdr>
            <w:top w:val="none" w:sz="0" w:space="0" w:color="auto"/>
            <w:left w:val="none" w:sz="0" w:space="0" w:color="auto"/>
            <w:bottom w:val="none" w:sz="0" w:space="0" w:color="auto"/>
            <w:right w:val="none" w:sz="0" w:space="0" w:color="auto"/>
          </w:divBdr>
          <w:divsChild>
            <w:div w:id="1297447614">
              <w:marLeft w:val="0"/>
              <w:marRight w:val="0"/>
              <w:marTop w:val="0"/>
              <w:marBottom w:val="0"/>
              <w:divBdr>
                <w:top w:val="none" w:sz="0" w:space="0" w:color="auto"/>
                <w:left w:val="none" w:sz="0" w:space="0" w:color="auto"/>
                <w:bottom w:val="none" w:sz="0" w:space="0" w:color="auto"/>
                <w:right w:val="none" w:sz="0" w:space="0" w:color="auto"/>
              </w:divBdr>
              <w:divsChild>
                <w:div w:id="338821839">
                  <w:marLeft w:val="0"/>
                  <w:marRight w:val="0"/>
                  <w:marTop w:val="0"/>
                  <w:marBottom w:val="0"/>
                  <w:divBdr>
                    <w:top w:val="none" w:sz="0" w:space="0" w:color="auto"/>
                    <w:left w:val="none" w:sz="0" w:space="0" w:color="auto"/>
                    <w:bottom w:val="none" w:sz="0" w:space="0" w:color="auto"/>
                    <w:right w:val="none" w:sz="0" w:space="0" w:color="auto"/>
                  </w:divBdr>
                  <w:divsChild>
                    <w:div w:id="18827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7288">
          <w:marLeft w:val="0"/>
          <w:marRight w:val="0"/>
          <w:marTop w:val="0"/>
          <w:marBottom w:val="0"/>
          <w:divBdr>
            <w:top w:val="none" w:sz="0" w:space="0" w:color="auto"/>
            <w:left w:val="none" w:sz="0" w:space="0" w:color="auto"/>
            <w:bottom w:val="none" w:sz="0" w:space="0" w:color="auto"/>
            <w:right w:val="none" w:sz="0" w:space="0" w:color="auto"/>
          </w:divBdr>
          <w:divsChild>
            <w:div w:id="2112847120">
              <w:marLeft w:val="0"/>
              <w:marRight w:val="0"/>
              <w:marTop w:val="0"/>
              <w:marBottom w:val="0"/>
              <w:divBdr>
                <w:top w:val="none" w:sz="0" w:space="0" w:color="auto"/>
                <w:left w:val="none" w:sz="0" w:space="0" w:color="auto"/>
                <w:bottom w:val="none" w:sz="0" w:space="0" w:color="auto"/>
                <w:right w:val="none" w:sz="0" w:space="0" w:color="auto"/>
              </w:divBdr>
              <w:divsChild>
                <w:div w:id="386605899">
                  <w:marLeft w:val="0"/>
                  <w:marRight w:val="0"/>
                  <w:marTop w:val="0"/>
                  <w:marBottom w:val="0"/>
                  <w:divBdr>
                    <w:top w:val="none" w:sz="0" w:space="0" w:color="auto"/>
                    <w:left w:val="none" w:sz="0" w:space="0" w:color="auto"/>
                    <w:bottom w:val="none" w:sz="0" w:space="0" w:color="auto"/>
                    <w:right w:val="none" w:sz="0" w:space="0" w:color="auto"/>
                  </w:divBdr>
                  <w:divsChild>
                    <w:div w:id="7928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7924">
      <w:bodyDiv w:val="1"/>
      <w:marLeft w:val="0"/>
      <w:marRight w:val="0"/>
      <w:marTop w:val="0"/>
      <w:marBottom w:val="0"/>
      <w:divBdr>
        <w:top w:val="none" w:sz="0" w:space="0" w:color="auto"/>
        <w:left w:val="none" w:sz="0" w:space="0" w:color="auto"/>
        <w:bottom w:val="none" w:sz="0" w:space="0" w:color="auto"/>
        <w:right w:val="none" w:sz="0" w:space="0" w:color="auto"/>
      </w:divBdr>
    </w:div>
    <w:div w:id="1030112132">
      <w:bodyDiv w:val="1"/>
      <w:marLeft w:val="0"/>
      <w:marRight w:val="0"/>
      <w:marTop w:val="0"/>
      <w:marBottom w:val="0"/>
      <w:divBdr>
        <w:top w:val="none" w:sz="0" w:space="0" w:color="auto"/>
        <w:left w:val="none" w:sz="0" w:space="0" w:color="auto"/>
        <w:bottom w:val="none" w:sz="0" w:space="0" w:color="auto"/>
        <w:right w:val="none" w:sz="0" w:space="0" w:color="auto"/>
      </w:divBdr>
      <w:divsChild>
        <w:div w:id="971447696">
          <w:marLeft w:val="0"/>
          <w:marRight w:val="0"/>
          <w:marTop w:val="0"/>
          <w:marBottom w:val="0"/>
          <w:divBdr>
            <w:top w:val="none" w:sz="0" w:space="0" w:color="auto"/>
            <w:left w:val="none" w:sz="0" w:space="0" w:color="auto"/>
            <w:bottom w:val="none" w:sz="0" w:space="0" w:color="auto"/>
            <w:right w:val="none" w:sz="0" w:space="0" w:color="auto"/>
          </w:divBdr>
          <w:divsChild>
            <w:div w:id="106702852">
              <w:marLeft w:val="0"/>
              <w:marRight w:val="0"/>
              <w:marTop w:val="0"/>
              <w:marBottom w:val="0"/>
              <w:divBdr>
                <w:top w:val="none" w:sz="0" w:space="0" w:color="auto"/>
                <w:left w:val="none" w:sz="0" w:space="0" w:color="auto"/>
                <w:bottom w:val="none" w:sz="0" w:space="0" w:color="auto"/>
                <w:right w:val="none" w:sz="0" w:space="0" w:color="auto"/>
              </w:divBdr>
              <w:divsChild>
                <w:div w:id="400832850">
                  <w:marLeft w:val="0"/>
                  <w:marRight w:val="0"/>
                  <w:marTop w:val="0"/>
                  <w:marBottom w:val="0"/>
                  <w:divBdr>
                    <w:top w:val="none" w:sz="0" w:space="0" w:color="auto"/>
                    <w:left w:val="none" w:sz="0" w:space="0" w:color="auto"/>
                    <w:bottom w:val="none" w:sz="0" w:space="0" w:color="auto"/>
                    <w:right w:val="none" w:sz="0" w:space="0" w:color="auto"/>
                  </w:divBdr>
                  <w:divsChild>
                    <w:div w:id="11091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4586">
          <w:marLeft w:val="0"/>
          <w:marRight w:val="0"/>
          <w:marTop w:val="0"/>
          <w:marBottom w:val="0"/>
          <w:divBdr>
            <w:top w:val="none" w:sz="0" w:space="0" w:color="auto"/>
            <w:left w:val="none" w:sz="0" w:space="0" w:color="auto"/>
            <w:bottom w:val="none" w:sz="0" w:space="0" w:color="auto"/>
            <w:right w:val="none" w:sz="0" w:space="0" w:color="auto"/>
          </w:divBdr>
          <w:divsChild>
            <w:div w:id="288903539">
              <w:marLeft w:val="0"/>
              <w:marRight w:val="0"/>
              <w:marTop w:val="0"/>
              <w:marBottom w:val="0"/>
              <w:divBdr>
                <w:top w:val="none" w:sz="0" w:space="0" w:color="auto"/>
                <w:left w:val="none" w:sz="0" w:space="0" w:color="auto"/>
                <w:bottom w:val="none" w:sz="0" w:space="0" w:color="auto"/>
                <w:right w:val="none" w:sz="0" w:space="0" w:color="auto"/>
              </w:divBdr>
              <w:divsChild>
                <w:div w:id="350378584">
                  <w:marLeft w:val="0"/>
                  <w:marRight w:val="0"/>
                  <w:marTop w:val="0"/>
                  <w:marBottom w:val="0"/>
                  <w:divBdr>
                    <w:top w:val="none" w:sz="0" w:space="0" w:color="auto"/>
                    <w:left w:val="none" w:sz="0" w:space="0" w:color="auto"/>
                    <w:bottom w:val="none" w:sz="0" w:space="0" w:color="auto"/>
                    <w:right w:val="none" w:sz="0" w:space="0" w:color="auto"/>
                  </w:divBdr>
                  <w:divsChild>
                    <w:div w:id="6138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02">
      <w:bodyDiv w:val="1"/>
      <w:marLeft w:val="0"/>
      <w:marRight w:val="0"/>
      <w:marTop w:val="0"/>
      <w:marBottom w:val="0"/>
      <w:divBdr>
        <w:top w:val="none" w:sz="0" w:space="0" w:color="auto"/>
        <w:left w:val="none" w:sz="0" w:space="0" w:color="auto"/>
        <w:bottom w:val="none" w:sz="0" w:space="0" w:color="auto"/>
        <w:right w:val="none" w:sz="0" w:space="0" w:color="auto"/>
      </w:divBdr>
    </w:div>
    <w:div w:id="1121071763">
      <w:bodyDiv w:val="1"/>
      <w:marLeft w:val="0"/>
      <w:marRight w:val="0"/>
      <w:marTop w:val="0"/>
      <w:marBottom w:val="0"/>
      <w:divBdr>
        <w:top w:val="none" w:sz="0" w:space="0" w:color="auto"/>
        <w:left w:val="none" w:sz="0" w:space="0" w:color="auto"/>
        <w:bottom w:val="none" w:sz="0" w:space="0" w:color="auto"/>
        <w:right w:val="none" w:sz="0" w:space="0" w:color="auto"/>
      </w:divBdr>
      <w:divsChild>
        <w:div w:id="1673099314">
          <w:marLeft w:val="0"/>
          <w:marRight w:val="0"/>
          <w:marTop w:val="0"/>
          <w:marBottom w:val="0"/>
          <w:divBdr>
            <w:top w:val="none" w:sz="0" w:space="0" w:color="auto"/>
            <w:left w:val="none" w:sz="0" w:space="0" w:color="auto"/>
            <w:bottom w:val="none" w:sz="0" w:space="0" w:color="auto"/>
            <w:right w:val="none" w:sz="0" w:space="0" w:color="auto"/>
          </w:divBdr>
          <w:divsChild>
            <w:div w:id="390159889">
              <w:marLeft w:val="0"/>
              <w:marRight w:val="0"/>
              <w:marTop w:val="0"/>
              <w:marBottom w:val="0"/>
              <w:divBdr>
                <w:top w:val="none" w:sz="0" w:space="0" w:color="auto"/>
                <w:left w:val="none" w:sz="0" w:space="0" w:color="auto"/>
                <w:bottom w:val="none" w:sz="0" w:space="0" w:color="auto"/>
                <w:right w:val="none" w:sz="0" w:space="0" w:color="auto"/>
              </w:divBdr>
              <w:divsChild>
                <w:div w:id="1035227776">
                  <w:marLeft w:val="0"/>
                  <w:marRight w:val="0"/>
                  <w:marTop w:val="0"/>
                  <w:marBottom w:val="0"/>
                  <w:divBdr>
                    <w:top w:val="none" w:sz="0" w:space="0" w:color="auto"/>
                    <w:left w:val="none" w:sz="0" w:space="0" w:color="auto"/>
                    <w:bottom w:val="none" w:sz="0" w:space="0" w:color="auto"/>
                    <w:right w:val="none" w:sz="0" w:space="0" w:color="auto"/>
                  </w:divBdr>
                  <w:divsChild>
                    <w:div w:id="994604362">
                      <w:marLeft w:val="0"/>
                      <w:marRight w:val="0"/>
                      <w:marTop w:val="0"/>
                      <w:marBottom w:val="0"/>
                      <w:divBdr>
                        <w:top w:val="none" w:sz="0" w:space="0" w:color="auto"/>
                        <w:left w:val="none" w:sz="0" w:space="0" w:color="auto"/>
                        <w:bottom w:val="none" w:sz="0" w:space="0" w:color="auto"/>
                        <w:right w:val="none" w:sz="0" w:space="0" w:color="auto"/>
                      </w:divBdr>
                      <w:divsChild>
                        <w:div w:id="888416590">
                          <w:marLeft w:val="0"/>
                          <w:marRight w:val="0"/>
                          <w:marTop w:val="0"/>
                          <w:marBottom w:val="0"/>
                          <w:divBdr>
                            <w:top w:val="none" w:sz="0" w:space="0" w:color="auto"/>
                            <w:left w:val="none" w:sz="0" w:space="0" w:color="auto"/>
                            <w:bottom w:val="none" w:sz="0" w:space="0" w:color="auto"/>
                            <w:right w:val="none" w:sz="0" w:space="0" w:color="auto"/>
                          </w:divBdr>
                          <w:divsChild>
                            <w:div w:id="2001305297">
                              <w:marLeft w:val="0"/>
                              <w:marRight w:val="0"/>
                              <w:marTop w:val="0"/>
                              <w:marBottom w:val="0"/>
                              <w:divBdr>
                                <w:top w:val="none" w:sz="0" w:space="0" w:color="auto"/>
                                <w:left w:val="none" w:sz="0" w:space="0" w:color="auto"/>
                                <w:bottom w:val="none" w:sz="0" w:space="0" w:color="auto"/>
                                <w:right w:val="none" w:sz="0" w:space="0" w:color="auto"/>
                              </w:divBdr>
                              <w:divsChild>
                                <w:div w:id="818693788">
                                  <w:marLeft w:val="0"/>
                                  <w:marRight w:val="0"/>
                                  <w:marTop w:val="0"/>
                                  <w:marBottom w:val="0"/>
                                  <w:divBdr>
                                    <w:top w:val="none" w:sz="0" w:space="0" w:color="auto"/>
                                    <w:left w:val="none" w:sz="0" w:space="0" w:color="auto"/>
                                    <w:bottom w:val="none" w:sz="0" w:space="0" w:color="auto"/>
                                    <w:right w:val="none" w:sz="0" w:space="0" w:color="auto"/>
                                  </w:divBdr>
                                  <w:divsChild>
                                    <w:div w:id="3239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4060">
                          <w:marLeft w:val="0"/>
                          <w:marRight w:val="0"/>
                          <w:marTop w:val="0"/>
                          <w:marBottom w:val="0"/>
                          <w:divBdr>
                            <w:top w:val="none" w:sz="0" w:space="0" w:color="auto"/>
                            <w:left w:val="none" w:sz="0" w:space="0" w:color="auto"/>
                            <w:bottom w:val="none" w:sz="0" w:space="0" w:color="auto"/>
                            <w:right w:val="none" w:sz="0" w:space="0" w:color="auto"/>
                          </w:divBdr>
                          <w:divsChild>
                            <w:div w:id="2027444888">
                              <w:marLeft w:val="0"/>
                              <w:marRight w:val="0"/>
                              <w:marTop w:val="0"/>
                              <w:marBottom w:val="0"/>
                              <w:divBdr>
                                <w:top w:val="none" w:sz="0" w:space="0" w:color="auto"/>
                                <w:left w:val="none" w:sz="0" w:space="0" w:color="auto"/>
                                <w:bottom w:val="none" w:sz="0" w:space="0" w:color="auto"/>
                                <w:right w:val="none" w:sz="0" w:space="0" w:color="auto"/>
                              </w:divBdr>
                              <w:divsChild>
                                <w:div w:id="398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81325">
      <w:bodyDiv w:val="1"/>
      <w:marLeft w:val="0"/>
      <w:marRight w:val="0"/>
      <w:marTop w:val="0"/>
      <w:marBottom w:val="0"/>
      <w:divBdr>
        <w:top w:val="none" w:sz="0" w:space="0" w:color="auto"/>
        <w:left w:val="none" w:sz="0" w:space="0" w:color="auto"/>
        <w:bottom w:val="none" w:sz="0" w:space="0" w:color="auto"/>
        <w:right w:val="none" w:sz="0" w:space="0" w:color="auto"/>
      </w:divBdr>
      <w:divsChild>
        <w:div w:id="1254123225">
          <w:marLeft w:val="0"/>
          <w:marRight w:val="0"/>
          <w:marTop w:val="0"/>
          <w:marBottom w:val="0"/>
          <w:divBdr>
            <w:top w:val="none" w:sz="0" w:space="0" w:color="auto"/>
            <w:left w:val="none" w:sz="0" w:space="0" w:color="auto"/>
            <w:bottom w:val="none" w:sz="0" w:space="0" w:color="auto"/>
            <w:right w:val="none" w:sz="0" w:space="0" w:color="auto"/>
          </w:divBdr>
          <w:divsChild>
            <w:div w:id="440884492">
              <w:marLeft w:val="0"/>
              <w:marRight w:val="0"/>
              <w:marTop w:val="0"/>
              <w:marBottom w:val="0"/>
              <w:divBdr>
                <w:top w:val="none" w:sz="0" w:space="0" w:color="auto"/>
                <w:left w:val="none" w:sz="0" w:space="0" w:color="auto"/>
                <w:bottom w:val="none" w:sz="0" w:space="0" w:color="auto"/>
                <w:right w:val="none" w:sz="0" w:space="0" w:color="auto"/>
              </w:divBdr>
              <w:divsChild>
                <w:div w:id="383722319">
                  <w:marLeft w:val="0"/>
                  <w:marRight w:val="0"/>
                  <w:marTop w:val="0"/>
                  <w:marBottom w:val="0"/>
                  <w:divBdr>
                    <w:top w:val="none" w:sz="0" w:space="0" w:color="auto"/>
                    <w:left w:val="none" w:sz="0" w:space="0" w:color="auto"/>
                    <w:bottom w:val="none" w:sz="0" w:space="0" w:color="auto"/>
                    <w:right w:val="none" w:sz="0" w:space="0" w:color="auto"/>
                  </w:divBdr>
                  <w:divsChild>
                    <w:div w:id="8075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78692">
      <w:bodyDiv w:val="1"/>
      <w:marLeft w:val="0"/>
      <w:marRight w:val="0"/>
      <w:marTop w:val="0"/>
      <w:marBottom w:val="0"/>
      <w:divBdr>
        <w:top w:val="none" w:sz="0" w:space="0" w:color="auto"/>
        <w:left w:val="none" w:sz="0" w:space="0" w:color="auto"/>
        <w:bottom w:val="none" w:sz="0" w:space="0" w:color="auto"/>
        <w:right w:val="none" w:sz="0" w:space="0" w:color="auto"/>
      </w:divBdr>
    </w:div>
    <w:div w:id="1193962722">
      <w:bodyDiv w:val="1"/>
      <w:marLeft w:val="0"/>
      <w:marRight w:val="0"/>
      <w:marTop w:val="0"/>
      <w:marBottom w:val="0"/>
      <w:divBdr>
        <w:top w:val="none" w:sz="0" w:space="0" w:color="auto"/>
        <w:left w:val="none" w:sz="0" w:space="0" w:color="auto"/>
        <w:bottom w:val="none" w:sz="0" w:space="0" w:color="auto"/>
        <w:right w:val="none" w:sz="0" w:space="0" w:color="auto"/>
      </w:divBdr>
      <w:divsChild>
        <w:div w:id="2116947971">
          <w:marLeft w:val="0"/>
          <w:marRight w:val="0"/>
          <w:marTop w:val="0"/>
          <w:marBottom w:val="0"/>
          <w:divBdr>
            <w:top w:val="none" w:sz="0" w:space="0" w:color="auto"/>
            <w:left w:val="none" w:sz="0" w:space="0" w:color="auto"/>
            <w:bottom w:val="none" w:sz="0" w:space="0" w:color="auto"/>
            <w:right w:val="none" w:sz="0" w:space="0" w:color="auto"/>
          </w:divBdr>
          <w:divsChild>
            <w:div w:id="885023214">
              <w:marLeft w:val="0"/>
              <w:marRight w:val="0"/>
              <w:marTop w:val="0"/>
              <w:marBottom w:val="0"/>
              <w:divBdr>
                <w:top w:val="none" w:sz="0" w:space="0" w:color="auto"/>
                <w:left w:val="none" w:sz="0" w:space="0" w:color="auto"/>
                <w:bottom w:val="none" w:sz="0" w:space="0" w:color="auto"/>
                <w:right w:val="none" w:sz="0" w:space="0" w:color="auto"/>
              </w:divBdr>
              <w:divsChild>
                <w:div w:id="1356276056">
                  <w:marLeft w:val="0"/>
                  <w:marRight w:val="0"/>
                  <w:marTop w:val="0"/>
                  <w:marBottom w:val="0"/>
                  <w:divBdr>
                    <w:top w:val="none" w:sz="0" w:space="0" w:color="auto"/>
                    <w:left w:val="none" w:sz="0" w:space="0" w:color="auto"/>
                    <w:bottom w:val="none" w:sz="0" w:space="0" w:color="auto"/>
                    <w:right w:val="none" w:sz="0" w:space="0" w:color="auto"/>
                  </w:divBdr>
                  <w:divsChild>
                    <w:div w:id="2146123539">
                      <w:marLeft w:val="0"/>
                      <w:marRight w:val="0"/>
                      <w:marTop w:val="0"/>
                      <w:marBottom w:val="0"/>
                      <w:divBdr>
                        <w:top w:val="none" w:sz="0" w:space="0" w:color="auto"/>
                        <w:left w:val="none" w:sz="0" w:space="0" w:color="auto"/>
                        <w:bottom w:val="none" w:sz="0" w:space="0" w:color="auto"/>
                        <w:right w:val="none" w:sz="0" w:space="0" w:color="auto"/>
                      </w:divBdr>
                      <w:divsChild>
                        <w:div w:id="1769348872">
                          <w:marLeft w:val="0"/>
                          <w:marRight w:val="0"/>
                          <w:marTop w:val="0"/>
                          <w:marBottom w:val="0"/>
                          <w:divBdr>
                            <w:top w:val="none" w:sz="0" w:space="0" w:color="auto"/>
                            <w:left w:val="none" w:sz="0" w:space="0" w:color="auto"/>
                            <w:bottom w:val="none" w:sz="0" w:space="0" w:color="auto"/>
                            <w:right w:val="none" w:sz="0" w:space="0" w:color="auto"/>
                          </w:divBdr>
                          <w:divsChild>
                            <w:div w:id="1973291442">
                              <w:marLeft w:val="0"/>
                              <w:marRight w:val="0"/>
                              <w:marTop w:val="0"/>
                              <w:marBottom w:val="0"/>
                              <w:divBdr>
                                <w:top w:val="none" w:sz="0" w:space="0" w:color="auto"/>
                                <w:left w:val="none" w:sz="0" w:space="0" w:color="auto"/>
                                <w:bottom w:val="none" w:sz="0" w:space="0" w:color="auto"/>
                                <w:right w:val="none" w:sz="0" w:space="0" w:color="auto"/>
                              </w:divBdr>
                              <w:divsChild>
                                <w:div w:id="9335926">
                                  <w:marLeft w:val="0"/>
                                  <w:marRight w:val="0"/>
                                  <w:marTop w:val="0"/>
                                  <w:marBottom w:val="0"/>
                                  <w:divBdr>
                                    <w:top w:val="none" w:sz="0" w:space="0" w:color="auto"/>
                                    <w:left w:val="none" w:sz="0" w:space="0" w:color="auto"/>
                                    <w:bottom w:val="none" w:sz="0" w:space="0" w:color="auto"/>
                                    <w:right w:val="none" w:sz="0" w:space="0" w:color="auto"/>
                                  </w:divBdr>
                                  <w:divsChild>
                                    <w:div w:id="1722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516132">
      <w:bodyDiv w:val="1"/>
      <w:marLeft w:val="0"/>
      <w:marRight w:val="0"/>
      <w:marTop w:val="0"/>
      <w:marBottom w:val="0"/>
      <w:divBdr>
        <w:top w:val="none" w:sz="0" w:space="0" w:color="auto"/>
        <w:left w:val="none" w:sz="0" w:space="0" w:color="auto"/>
        <w:bottom w:val="none" w:sz="0" w:space="0" w:color="auto"/>
        <w:right w:val="none" w:sz="0" w:space="0" w:color="auto"/>
      </w:divBdr>
    </w:div>
    <w:div w:id="1237939791">
      <w:bodyDiv w:val="1"/>
      <w:marLeft w:val="0"/>
      <w:marRight w:val="0"/>
      <w:marTop w:val="0"/>
      <w:marBottom w:val="0"/>
      <w:divBdr>
        <w:top w:val="none" w:sz="0" w:space="0" w:color="auto"/>
        <w:left w:val="none" w:sz="0" w:space="0" w:color="auto"/>
        <w:bottom w:val="none" w:sz="0" w:space="0" w:color="auto"/>
        <w:right w:val="none" w:sz="0" w:space="0" w:color="auto"/>
      </w:divBdr>
    </w:div>
    <w:div w:id="1252199134">
      <w:bodyDiv w:val="1"/>
      <w:marLeft w:val="0"/>
      <w:marRight w:val="0"/>
      <w:marTop w:val="0"/>
      <w:marBottom w:val="0"/>
      <w:divBdr>
        <w:top w:val="none" w:sz="0" w:space="0" w:color="auto"/>
        <w:left w:val="none" w:sz="0" w:space="0" w:color="auto"/>
        <w:bottom w:val="none" w:sz="0" w:space="0" w:color="auto"/>
        <w:right w:val="none" w:sz="0" w:space="0" w:color="auto"/>
      </w:divBdr>
    </w:div>
    <w:div w:id="1315262762">
      <w:bodyDiv w:val="1"/>
      <w:marLeft w:val="0"/>
      <w:marRight w:val="0"/>
      <w:marTop w:val="0"/>
      <w:marBottom w:val="0"/>
      <w:divBdr>
        <w:top w:val="none" w:sz="0" w:space="0" w:color="auto"/>
        <w:left w:val="none" w:sz="0" w:space="0" w:color="auto"/>
        <w:bottom w:val="none" w:sz="0" w:space="0" w:color="auto"/>
        <w:right w:val="none" w:sz="0" w:space="0" w:color="auto"/>
      </w:divBdr>
    </w:div>
    <w:div w:id="1328824868">
      <w:bodyDiv w:val="1"/>
      <w:marLeft w:val="0"/>
      <w:marRight w:val="0"/>
      <w:marTop w:val="0"/>
      <w:marBottom w:val="0"/>
      <w:divBdr>
        <w:top w:val="none" w:sz="0" w:space="0" w:color="auto"/>
        <w:left w:val="none" w:sz="0" w:space="0" w:color="auto"/>
        <w:bottom w:val="none" w:sz="0" w:space="0" w:color="auto"/>
        <w:right w:val="none" w:sz="0" w:space="0" w:color="auto"/>
      </w:divBdr>
    </w:div>
    <w:div w:id="1347177373">
      <w:bodyDiv w:val="1"/>
      <w:marLeft w:val="0"/>
      <w:marRight w:val="0"/>
      <w:marTop w:val="0"/>
      <w:marBottom w:val="0"/>
      <w:divBdr>
        <w:top w:val="none" w:sz="0" w:space="0" w:color="auto"/>
        <w:left w:val="none" w:sz="0" w:space="0" w:color="auto"/>
        <w:bottom w:val="none" w:sz="0" w:space="0" w:color="auto"/>
        <w:right w:val="none" w:sz="0" w:space="0" w:color="auto"/>
      </w:divBdr>
    </w:div>
    <w:div w:id="1370643164">
      <w:bodyDiv w:val="1"/>
      <w:marLeft w:val="0"/>
      <w:marRight w:val="0"/>
      <w:marTop w:val="0"/>
      <w:marBottom w:val="0"/>
      <w:divBdr>
        <w:top w:val="none" w:sz="0" w:space="0" w:color="auto"/>
        <w:left w:val="none" w:sz="0" w:space="0" w:color="auto"/>
        <w:bottom w:val="none" w:sz="0" w:space="0" w:color="auto"/>
        <w:right w:val="none" w:sz="0" w:space="0" w:color="auto"/>
      </w:divBdr>
    </w:div>
    <w:div w:id="1392191281">
      <w:bodyDiv w:val="1"/>
      <w:marLeft w:val="0"/>
      <w:marRight w:val="0"/>
      <w:marTop w:val="0"/>
      <w:marBottom w:val="0"/>
      <w:divBdr>
        <w:top w:val="none" w:sz="0" w:space="0" w:color="auto"/>
        <w:left w:val="none" w:sz="0" w:space="0" w:color="auto"/>
        <w:bottom w:val="none" w:sz="0" w:space="0" w:color="auto"/>
        <w:right w:val="none" w:sz="0" w:space="0" w:color="auto"/>
      </w:divBdr>
    </w:div>
    <w:div w:id="1456022184">
      <w:bodyDiv w:val="1"/>
      <w:marLeft w:val="0"/>
      <w:marRight w:val="0"/>
      <w:marTop w:val="0"/>
      <w:marBottom w:val="0"/>
      <w:divBdr>
        <w:top w:val="none" w:sz="0" w:space="0" w:color="auto"/>
        <w:left w:val="none" w:sz="0" w:space="0" w:color="auto"/>
        <w:bottom w:val="none" w:sz="0" w:space="0" w:color="auto"/>
        <w:right w:val="none" w:sz="0" w:space="0" w:color="auto"/>
      </w:divBdr>
    </w:div>
    <w:div w:id="1527140189">
      <w:bodyDiv w:val="1"/>
      <w:marLeft w:val="0"/>
      <w:marRight w:val="0"/>
      <w:marTop w:val="0"/>
      <w:marBottom w:val="0"/>
      <w:divBdr>
        <w:top w:val="none" w:sz="0" w:space="0" w:color="auto"/>
        <w:left w:val="none" w:sz="0" w:space="0" w:color="auto"/>
        <w:bottom w:val="none" w:sz="0" w:space="0" w:color="auto"/>
        <w:right w:val="none" w:sz="0" w:space="0" w:color="auto"/>
      </w:divBdr>
      <w:divsChild>
        <w:div w:id="830752729">
          <w:marLeft w:val="0"/>
          <w:marRight w:val="0"/>
          <w:marTop w:val="0"/>
          <w:marBottom w:val="0"/>
          <w:divBdr>
            <w:top w:val="none" w:sz="0" w:space="0" w:color="auto"/>
            <w:left w:val="none" w:sz="0" w:space="0" w:color="auto"/>
            <w:bottom w:val="none" w:sz="0" w:space="0" w:color="auto"/>
            <w:right w:val="none" w:sz="0" w:space="0" w:color="auto"/>
          </w:divBdr>
          <w:divsChild>
            <w:div w:id="849412414">
              <w:marLeft w:val="0"/>
              <w:marRight w:val="0"/>
              <w:marTop w:val="0"/>
              <w:marBottom w:val="0"/>
              <w:divBdr>
                <w:top w:val="none" w:sz="0" w:space="0" w:color="auto"/>
                <w:left w:val="none" w:sz="0" w:space="0" w:color="auto"/>
                <w:bottom w:val="none" w:sz="0" w:space="0" w:color="auto"/>
                <w:right w:val="none" w:sz="0" w:space="0" w:color="auto"/>
              </w:divBdr>
              <w:divsChild>
                <w:div w:id="306783479">
                  <w:marLeft w:val="0"/>
                  <w:marRight w:val="0"/>
                  <w:marTop w:val="0"/>
                  <w:marBottom w:val="0"/>
                  <w:divBdr>
                    <w:top w:val="none" w:sz="0" w:space="0" w:color="auto"/>
                    <w:left w:val="none" w:sz="0" w:space="0" w:color="auto"/>
                    <w:bottom w:val="none" w:sz="0" w:space="0" w:color="auto"/>
                    <w:right w:val="none" w:sz="0" w:space="0" w:color="auto"/>
                  </w:divBdr>
                  <w:divsChild>
                    <w:div w:id="1459958658">
                      <w:marLeft w:val="0"/>
                      <w:marRight w:val="0"/>
                      <w:marTop w:val="0"/>
                      <w:marBottom w:val="0"/>
                      <w:divBdr>
                        <w:top w:val="none" w:sz="0" w:space="0" w:color="auto"/>
                        <w:left w:val="none" w:sz="0" w:space="0" w:color="auto"/>
                        <w:bottom w:val="none" w:sz="0" w:space="0" w:color="auto"/>
                        <w:right w:val="none" w:sz="0" w:space="0" w:color="auto"/>
                      </w:divBdr>
                      <w:divsChild>
                        <w:div w:id="284041671">
                          <w:marLeft w:val="0"/>
                          <w:marRight w:val="0"/>
                          <w:marTop w:val="0"/>
                          <w:marBottom w:val="0"/>
                          <w:divBdr>
                            <w:top w:val="none" w:sz="0" w:space="0" w:color="auto"/>
                            <w:left w:val="none" w:sz="0" w:space="0" w:color="auto"/>
                            <w:bottom w:val="none" w:sz="0" w:space="0" w:color="auto"/>
                            <w:right w:val="none" w:sz="0" w:space="0" w:color="auto"/>
                          </w:divBdr>
                          <w:divsChild>
                            <w:div w:id="669330575">
                              <w:marLeft w:val="0"/>
                              <w:marRight w:val="0"/>
                              <w:marTop w:val="0"/>
                              <w:marBottom w:val="0"/>
                              <w:divBdr>
                                <w:top w:val="none" w:sz="0" w:space="0" w:color="auto"/>
                                <w:left w:val="none" w:sz="0" w:space="0" w:color="auto"/>
                                <w:bottom w:val="none" w:sz="0" w:space="0" w:color="auto"/>
                                <w:right w:val="none" w:sz="0" w:space="0" w:color="auto"/>
                              </w:divBdr>
                              <w:divsChild>
                                <w:div w:id="935553503">
                                  <w:marLeft w:val="0"/>
                                  <w:marRight w:val="0"/>
                                  <w:marTop w:val="0"/>
                                  <w:marBottom w:val="0"/>
                                  <w:divBdr>
                                    <w:top w:val="none" w:sz="0" w:space="0" w:color="auto"/>
                                    <w:left w:val="none" w:sz="0" w:space="0" w:color="auto"/>
                                    <w:bottom w:val="none" w:sz="0" w:space="0" w:color="auto"/>
                                    <w:right w:val="none" w:sz="0" w:space="0" w:color="auto"/>
                                  </w:divBdr>
                                  <w:divsChild>
                                    <w:div w:id="16498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725888">
      <w:bodyDiv w:val="1"/>
      <w:marLeft w:val="0"/>
      <w:marRight w:val="0"/>
      <w:marTop w:val="0"/>
      <w:marBottom w:val="0"/>
      <w:divBdr>
        <w:top w:val="none" w:sz="0" w:space="0" w:color="auto"/>
        <w:left w:val="none" w:sz="0" w:space="0" w:color="auto"/>
        <w:bottom w:val="none" w:sz="0" w:space="0" w:color="auto"/>
        <w:right w:val="none" w:sz="0" w:space="0" w:color="auto"/>
      </w:divBdr>
    </w:div>
    <w:div w:id="1543639458">
      <w:bodyDiv w:val="1"/>
      <w:marLeft w:val="0"/>
      <w:marRight w:val="0"/>
      <w:marTop w:val="0"/>
      <w:marBottom w:val="0"/>
      <w:divBdr>
        <w:top w:val="none" w:sz="0" w:space="0" w:color="auto"/>
        <w:left w:val="none" w:sz="0" w:space="0" w:color="auto"/>
        <w:bottom w:val="none" w:sz="0" w:space="0" w:color="auto"/>
        <w:right w:val="none" w:sz="0" w:space="0" w:color="auto"/>
      </w:divBdr>
    </w:div>
    <w:div w:id="1605844114">
      <w:bodyDiv w:val="1"/>
      <w:marLeft w:val="0"/>
      <w:marRight w:val="0"/>
      <w:marTop w:val="0"/>
      <w:marBottom w:val="0"/>
      <w:divBdr>
        <w:top w:val="none" w:sz="0" w:space="0" w:color="auto"/>
        <w:left w:val="none" w:sz="0" w:space="0" w:color="auto"/>
        <w:bottom w:val="none" w:sz="0" w:space="0" w:color="auto"/>
        <w:right w:val="none" w:sz="0" w:space="0" w:color="auto"/>
      </w:divBdr>
    </w:div>
    <w:div w:id="1605923039">
      <w:bodyDiv w:val="1"/>
      <w:marLeft w:val="0"/>
      <w:marRight w:val="0"/>
      <w:marTop w:val="0"/>
      <w:marBottom w:val="0"/>
      <w:divBdr>
        <w:top w:val="none" w:sz="0" w:space="0" w:color="auto"/>
        <w:left w:val="none" w:sz="0" w:space="0" w:color="auto"/>
        <w:bottom w:val="none" w:sz="0" w:space="0" w:color="auto"/>
        <w:right w:val="none" w:sz="0" w:space="0" w:color="auto"/>
      </w:divBdr>
    </w:div>
    <w:div w:id="1649048030">
      <w:bodyDiv w:val="1"/>
      <w:marLeft w:val="0"/>
      <w:marRight w:val="0"/>
      <w:marTop w:val="0"/>
      <w:marBottom w:val="0"/>
      <w:divBdr>
        <w:top w:val="none" w:sz="0" w:space="0" w:color="auto"/>
        <w:left w:val="none" w:sz="0" w:space="0" w:color="auto"/>
        <w:bottom w:val="none" w:sz="0" w:space="0" w:color="auto"/>
        <w:right w:val="none" w:sz="0" w:space="0" w:color="auto"/>
      </w:divBdr>
    </w:div>
    <w:div w:id="1653172093">
      <w:bodyDiv w:val="1"/>
      <w:marLeft w:val="0"/>
      <w:marRight w:val="0"/>
      <w:marTop w:val="0"/>
      <w:marBottom w:val="0"/>
      <w:divBdr>
        <w:top w:val="none" w:sz="0" w:space="0" w:color="auto"/>
        <w:left w:val="none" w:sz="0" w:space="0" w:color="auto"/>
        <w:bottom w:val="none" w:sz="0" w:space="0" w:color="auto"/>
        <w:right w:val="none" w:sz="0" w:space="0" w:color="auto"/>
      </w:divBdr>
    </w:div>
    <w:div w:id="1720203628">
      <w:bodyDiv w:val="1"/>
      <w:marLeft w:val="0"/>
      <w:marRight w:val="0"/>
      <w:marTop w:val="0"/>
      <w:marBottom w:val="0"/>
      <w:divBdr>
        <w:top w:val="none" w:sz="0" w:space="0" w:color="auto"/>
        <w:left w:val="none" w:sz="0" w:space="0" w:color="auto"/>
        <w:bottom w:val="none" w:sz="0" w:space="0" w:color="auto"/>
        <w:right w:val="none" w:sz="0" w:space="0" w:color="auto"/>
      </w:divBdr>
    </w:div>
    <w:div w:id="1724864605">
      <w:bodyDiv w:val="1"/>
      <w:marLeft w:val="0"/>
      <w:marRight w:val="0"/>
      <w:marTop w:val="0"/>
      <w:marBottom w:val="0"/>
      <w:divBdr>
        <w:top w:val="none" w:sz="0" w:space="0" w:color="auto"/>
        <w:left w:val="none" w:sz="0" w:space="0" w:color="auto"/>
        <w:bottom w:val="none" w:sz="0" w:space="0" w:color="auto"/>
        <w:right w:val="none" w:sz="0" w:space="0" w:color="auto"/>
      </w:divBdr>
    </w:div>
    <w:div w:id="1728258842">
      <w:bodyDiv w:val="1"/>
      <w:marLeft w:val="0"/>
      <w:marRight w:val="0"/>
      <w:marTop w:val="0"/>
      <w:marBottom w:val="0"/>
      <w:divBdr>
        <w:top w:val="none" w:sz="0" w:space="0" w:color="auto"/>
        <w:left w:val="none" w:sz="0" w:space="0" w:color="auto"/>
        <w:bottom w:val="none" w:sz="0" w:space="0" w:color="auto"/>
        <w:right w:val="none" w:sz="0" w:space="0" w:color="auto"/>
      </w:divBdr>
    </w:div>
    <w:div w:id="1738164869">
      <w:bodyDiv w:val="1"/>
      <w:marLeft w:val="0"/>
      <w:marRight w:val="0"/>
      <w:marTop w:val="0"/>
      <w:marBottom w:val="0"/>
      <w:divBdr>
        <w:top w:val="none" w:sz="0" w:space="0" w:color="auto"/>
        <w:left w:val="none" w:sz="0" w:space="0" w:color="auto"/>
        <w:bottom w:val="none" w:sz="0" w:space="0" w:color="auto"/>
        <w:right w:val="none" w:sz="0" w:space="0" w:color="auto"/>
      </w:divBdr>
      <w:divsChild>
        <w:div w:id="615407415">
          <w:marLeft w:val="0"/>
          <w:marRight w:val="0"/>
          <w:marTop w:val="0"/>
          <w:marBottom w:val="0"/>
          <w:divBdr>
            <w:top w:val="none" w:sz="0" w:space="0" w:color="auto"/>
            <w:left w:val="none" w:sz="0" w:space="0" w:color="auto"/>
            <w:bottom w:val="none" w:sz="0" w:space="0" w:color="auto"/>
            <w:right w:val="none" w:sz="0" w:space="0" w:color="auto"/>
          </w:divBdr>
          <w:divsChild>
            <w:div w:id="843397205">
              <w:marLeft w:val="0"/>
              <w:marRight w:val="0"/>
              <w:marTop w:val="0"/>
              <w:marBottom w:val="0"/>
              <w:divBdr>
                <w:top w:val="none" w:sz="0" w:space="0" w:color="auto"/>
                <w:left w:val="none" w:sz="0" w:space="0" w:color="auto"/>
                <w:bottom w:val="none" w:sz="0" w:space="0" w:color="auto"/>
                <w:right w:val="none" w:sz="0" w:space="0" w:color="auto"/>
              </w:divBdr>
              <w:divsChild>
                <w:div w:id="1670985983">
                  <w:marLeft w:val="0"/>
                  <w:marRight w:val="0"/>
                  <w:marTop w:val="0"/>
                  <w:marBottom w:val="0"/>
                  <w:divBdr>
                    <w:top w:val="none" w:sz="0" w:space="0" w:color="auto"/>
                    <w:left w:val="none" w:sz="0" w:space="0" w:color="auto"/>
                    <w:bottom w:val="none" w:sz="0" w:space="0" w:color="auto"/>
                    <w:right w:val="none" w:sz="0" w:space="0" w:color="auto"/>
                  </w:divBdr>
                  <w:divsChild>
                    <w:div w:id="5022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19475">
      <w:bodyDiv w:val="1"/>
      <w:marLeft w:val="0"/>
      <w:marRight w:val="0"/>
      <w:marTop w:val="0"/>
      <w:marBottom w:val="0"/>
      <w:divBdr>
        <w:top w:val="none" w:sz="0" w:space="0" w:color="auto"/>
        <w:left w:val="none" w:sz="0" w:space="0" w:color="auto"/>
        <w:bottom w:val="none" w:sz="0" w:space="0" w:color="auto"/>
        <w:right w:val="none" w:sz="0" w:space="0" w:color="auto"/>
      </w:divBdr>
    </w:div>
    <w:div w:id="1794327639">
      <w:bodyDiv w:val="1"/>
      <w:marLeft w:val="0"/>
      <w:marRight w:val="0"/>
      <w:marTop w:val="0"/>
      <w:marBottom w:val="0"/>
      <w:divBdr>
        <w:top w:val="none" w:sz="0" w:space="0" w:color="auto"/>
        <w:left w:val="none" w:sz="0" w:space="0" w:color="auto"/>
        <w:bottom w:val="none" w:sz="0" w:space="0" w:color="auto"/>
        <w:right w:val="none" w:sz="0" w:space="0" w:color="auto"/>
      </w:divBdr>
    </w:div>
    <w:div w:id="1804344927">
      <w:bodyDiv w:val="1"/>
      <w:marLeft w:val="0"/>
      <w:marRight w:val="0"/>
      <w:marTop w:val="0"/>
      <w:marBottom w:val="0"/>
      <w:divBdr>
        <w:top w:val="none" w:sz="0" w:space="0" w:color="auto"/>
        <w:left w:val="none" w:sz="0" w:space="0" w:color="auto"/>
        <w:bottom w:val="none" w:sz="0" w:space="0" w:color="auto"/>
        <w:right w:val="none" w:sz="0" w:space="0" w:color="auto"/>
      </w:divBdr>
    </w:div>
    <w:div w:id="1811820602">
      <w:bodyDiv w:val="1"/>
      <w:marLeft w:val="0"/>
      <w:marRight w:val="0"/>
      <w:marTop w:val="0"/>
      <w:marBottom w:val="0"/>
      <w:divBdr>
        <w:top w:val="none" w:sz="0" w:space="0" w:color="auto"/>
        <w:left w:val="none" w:sz="0" w:space="0" w:color="auto"/>
        <w:bottom w:val="none" w:sz="0" w:space="0" w:color="auto"/>
        <w:right w:val="none" w:sz="0" w:space="0" w:color="auto"/>
      </w:divBdr>
      <w:divsChild>
        <w:div w:id="2081900858">
          <w:marLeft w:val="0"/>
          <w:marRight w:val="0"/>
          <w:marTop w:val="0"/>
          <w:marBottom w:val="0"/>
          <w:divBdr>
            <w:top w:val="none" w:sz="0" w:space="0" w:color="auto"/>
            <w:left w:val="none" w:sz="0" w:space="0" w:color="auto"/>
            <w:bottom w:val="none" w:sz="0" w:space="0" w:color="auto"/>
            <w:right w:val="none" w:sz="0" w:space="0" w:color="auto"/>
          </w:divBdr>
          <w:divsChild>
            <w:div w:id="838040955">
              <w:marLeft w:val="0"/>
              <w:marRight w:val="0"/>
              <w:marTop w:val="0"/>
              <w:marBottom w:val="0"/>
              <w:divBdr>
                <w:top w:val="none" w:sz="0" w:space="0" w:color="auto"/>
                <w:left w:val="none" w:sz="0" w:space="0" w:color="auto"/>
                <w:bottom w:val="none" w:sz="0" w:space="0" w:color="auto"/>
                <w:right w:val="none" w:sz="0" w:space="0" w:color="auto"/>
              </w:divBdr>
              <w:divsChild>
                <w:div w:id="2029476922">
                  <w:marLeft w:val="0"/>
                  <w:marRight w:val="0"/>
                  <w:marTop w:val="0"/>
                  <w:marBottom w:val="0"/>
                  <w:divBdr>
                    <w:top w:val="none" w:sz="0" w:space="0" w:color="auto"/>
                    <w:left w:val="none" w:sz="0" w:space="0" w:color="auto"/>
                    <w:bottom w:val="none" w:sz="0" w:space="0" w:color="auto"/>
                    <w:right w:val="none" w:sz="0" w:space="0" w:color="auto"/>
                  </w:divBdr>
                  <w:divsChild>
                    <w:div w:id="18046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67179">
          <w:marLeft w:val="0"/>
          <w:marRight w:val="0"/>
          <w:marTop w:val="0"/>
          <w:marBottom w:val="0"/>
          <w:divBdr>
            <w:top w:val="none" w:sz="0" w:space="0" w:color="auto"/>
            <w:left w:val="none" w:sz="0" w:space="0" w:color="auto"/>
            <w:bottom w:val="none" w:sz="0" w:space="0" w:color="auto"/>
            <w:right w:val="none" w:sz="0" w:space="0" w:color="auto"/>
          </w:divBdr>
          <w:divsChild>
            <w:div w:id="462190850">
              <w:marLeft w:val="0"/>
              <w:marRight w:val="0"/>
              <w:marTop w:val="0"/>
              <w:marBottom w:val="0"/>
              <w:divBdr>
                <w:top w:val="none" w:sz="0" w:space="0" w:color="auto"/>
                <w:left w:val="none" w:sz="0" w:space="0" w:color="auto"/>
                <w:bottom w:val="none" w:sz="0" w:space="0" w:color="auto"/>
                <w:right w:val="none" w:sz="0" w:space="0" w:color="auto"/>
              </w:divBdr>
              <w:divsChild>
                <w:div w:id="1920211567">
                  <w:marLeft w:val="0"/>
                  <w:marRight w:val="0"/>
                  <w:marTop w:val="0"/>
                  <w:marBottom w:val="0"/>
                  <w:divBdr>
                    <w:top w:val="none" w:sz="0" w:space="0" w:color="auto"/>
                    <w:left w:val="none" w:sz="0" w:space="0" w:color="auto"/>
                    <w:bottom w:val="none" w:sz="0" w:space="0" w:color="auto"/>
                    <w:right w:val="none" w:sz="0" w:space="0" w:color="auto"/>
                  </w:divBdr>
                  <w:divsChild>
                    <w:div w:id="13306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940896">
      <w:bodyDiv w:val="1"/>
      <w:marLeft w:val="0"/>
      <w:marRight w:val="0"/>
      <w:marTop w:val="0"/>
      <w:marBottom w:val="0"/>
      <w:divBdr>
        <w:top w:val="none" w:sz="0" w:space="0" w:color="auto"/>
        <w:left w:val="none" w:sz="0" w:space="0" w:color="auto"/>
        <w:bottom w:val="none" w:sz="0" w:space="0" w:color="auto"/>
        <w:right w:val="none" w:sz="0" w:space="0" w:color="auto"/>
      </w:divBdr>
    </w:div>
    <w:div w:id="1839730960">
      <w:bodyDiv w:val="1"/>
      <w:marLeft w:val="0"/>
      <w:marRight w:val="0"/>
      <w:marTop w:val="0"/>
      <w:marBottom w:val="0"/>
      <w:divBdr>
        <w:top w:val="none" w:sz="0" w:space="0" w:color="auto"/>
        <w:left w:val="none" w:sz="0" w:space="0" w:color="auto"/>
        <w:bottom w:val="none" w:sz="0" w:space="0" w:color="auto"/>
        <w:right w:val="none" w:sz="0" w:space="0" w:color="auto"/>
      </w:divBdr>
    </w:div>
    <w:div w:id="1844196469">
      <w:bodyDiv w:val="1"/>
      <w:marLeft w:val="0"/>
      <w:marRight w:val="0"/>
      <w:marTop w:val="0"/>
      <w:marBottom w:val="0"/>
      <w:divBdr>
        <w:top w:val="none" w:sz="0" w:space="0" w:color="auto"/>
        <w:left w:val="none" w:sz="0" w:space="0" w:color="auto"/>
        <w:bottom w:val="none" w:sz="0" w:space="0" w:color="auto"/>
        <w:right w:val="none" w:sz="0" w:space="0" w:color="auto"/>
      </w:divBdr>
      <w:divsChild>
        <w:div w:id="920798839">
          <w:marLeft w:val="0"/>
          <w:marRight w:val="0"/>
          <w:marTop w:val="0"/>
          <w:marBottom w:val="0"/>
          <w:divBdr>
            <w:top w:val="none" w:sz="0" w:space="0" w:color="auto"/>
            <w:left w:val="none" w:sz="0" w:space="0" w:color="auto"/>
            <w:bottom w:val="none" w:sz="0" w:space="0" w:color="auto"/>
            <w:right w:val="none" w:sz="0" w:space="0" w:color="auto"/>
          </w:divBdr>
          <w:divsChild>
            <w:div w:id="692222923">
              <w:marLeft w:val="0"/>
              <w:marRight w:val="0"/>
              <w:marTop w:val="0"/>
              <w:marBottom w:val="0"/>
              <w:divBdr>
                <w:top w:val="none" w:sz="0" w:space="0" w:color="auto"/>
                <w:left w:val="none" w:sz="0" w:space="0" w:color="auto"/>
                <w:bottom w:val="none" w:sz="0" w:space="0" w:color="auto"/>
                <w:right w:val="none" w:sz="0" w:space="0" w:color="auto"/>
              </w:divBdr>
              <w:divsChild>
                <w:div w:id="1232889674">
                  <w:marLeft w:val="0"/>
                  <w:marRight w:val="0"/>
                  <w:marTop w:val="0"/>
                  <w:marBottom w:val="0"/>
                  <w:divBdr>
                    <w:top w:val="none" w:sz="0" w:space="0" w:color="auto"/>
                    <w:left w:val="none" w:sz="0" w:space="0" w:color="auto"/>
                    <w:bottom w:val="none" w:sz="0" w:space="0" w:color="auto"/>
                    <w:right w:val="none" w:sz="0" w:space="0" w:color="auto"/>
                  </w:divBdr>
                  <w:divsChild>
                    <w:div w:id="89540">
                      <w:marLeft w:val="0"/>
                      <w:marRight w:val="0"/>
                      <w:marTop w:val="0"/>
                      <w:marBottom w:val="0"/>
                      <w:divBdr>
                        <w:top w:val="none" w:sz="0" w:space="0" w:color="auto"/>
                        <w:left w:val="none" w:sz="0" w:space="0" w:color="auto"/>
                        <w:bottom w:val="none" w:sz="0" w:space="0" w:color="auto"/>
                        <w:right w:val="none" w:sz="0" w:space="0" w:color="auto"/>
                      </w:divBdr>
                      <w:divsChild>
                        <w:div w:id="327250981">
                          <w:marLeft w:val="0"/>
                          <w:marRight w:val="0"/>
                          <w:marTop w:val="0"/>
                          <w:marBottom w:val="0"/>
                          <w:divBdr>
                            <w:top w:val="none" w:sz="0" w:space="0" w:color="auto"/>
                            <w:left w:val="none" w:sz="0" w:space="0" w:color="auto"/>
                            <w:bottom w:val="none" w:sz="0" w:space="0" w:color="auto"/>
                            <w:right w:val="none" w:sz="0" w:space="0" w:color="auto"/>
                          </w:divBdr>
                          <w:divsChild>
                            <w:div w:id="1344017059">
                              <w:marLeft w:val="0"/>
                              <w:marRight w:val="0"/>
                              <w:marTop w:val="0"/>
                              <w:marBottom w:val="0"/>
                              <w:divBdr>
                                <w:top w:val="none" w:sz="0" w:space="0" w:color="auto"/>
                                <w:left w:val="none" w:sz="0" w:space="0" w:color="auto"/>
                                <w:bottom w:val="none" w:sz="0" w:space="0" w:color="auto"/>
                                <w:right w:val="none" w:sz="0" w:space="0" w:color="auto"/>
                              </w:divBdr>
                              <w:divsChild>
                                <w:div w:id="2097939108">
                                  <w:marLeft w:val="0"/>
                                  <w:marRight w:val="0"/>
                                  <w:marTop w:val="0"/>
                                  <w:marBottom w:val="0"/>
                                  <w:divBdr>
                                    <w:top w:val="none" w:sz="0" w:space="0" w:color="auto"/>
                                    <w:left w:val="none" w:sz="0" w:space="0" w:color="auto"/>
                                    <w:bottom w:val="none" w:sz="0" w:space="0" w:color="auto"/>
                                    <w:right w:val="none" w:sz="0" w:space="0" w:color="auto"/>
                                  </w:divBdr>
                                  <w:divsChild>
                                    <w:div w:id="5617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8038">
                          <w:marLeft w:val="0"/>
                          <w:marRight w:val="0"/>
                          <w:marTop w:val="0"/>
                          <w:marBottom w:val="0"/>
                          <w:divBdr>
                            <w:top w:val="none" w:sz="0" w:space="0" w:color="auto"/>
                            <w:left w:val="none" w:sz="0" w:space="0" w:color="auto"/>
                            <w:bottom w:val="none" w:sz="0" w:space="0" w:color="auto"/>
                            <w:right w:val="none" w:sz="0" w:space="0" w:color="auto"/>
                          </w:divBdr>
                          <w:divsChild>
                            <w:div w:id="462770950">
                              <w:marLeft w:val="0"/>
                              <w:marRight w:val="0"/>
                              <w:marTop w:val="0"/>
                              <w:marBottom w:val="0"/>
                              <w:divBdr>
                                <w:top w:val="none" w:sz="0" w:space="0" w:color="auto"/>
                                <w:left w:val="none" w:sz="0" w:space="0" w:color="auto"/>
                                <w:bottom w:val="none" w:sz="0" w:space="0" w:color="auto"/>
                                <w:right w:val="none" w:sz="0" w:space="0" w:color="auto"/>
                              </w:divBdr>
                              <w:divsChild>
                                <w:div w:id="1431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94374">
      <w:bodyDiv w:val="1"/>
      <w:marLeft w:val="0"/>
      <w:marRight w:val="0"/>
      <w:marTop w:val="0"/>
      <w:marBottom w:val="0"/>
      <w:divBdr>
        <w:top w:val="none" w:sz="0" w:space="0" w:color="auto"/>
        <w:left w:val="none" w:sz="0" w:space="0" w:color="auto"/>
        <w:bottom w:val="none" w:sz="0" w:space="0" w:color="auto"/>
        <w:right w:val="none" w:sz="0" w:space="0" w:color="auto"/>
      </w:divBdr>
      <w:divsChild>
        <w:div w:id="63572192">
          <w:marLeft w:val="0"/>
          <w:marRight w:val="0"/>
          <w:marTop w:val="0"/>
          <w:marBottom w:val="0"/>
          <w:divBdr>
            <w:top w:val="none" w:sz="0" w:space="0" w:color="auto"/>
            <w:left w:val="none" w:sz="0" w:space="0" w:color="auto"/>
            <w:bottom w:val="none" w:sz="0" w:space="0" w:color="auto"/>
            <w:right w:val="none" w:sz="0" w:space="0" w:color="auto"/>
          </w:divBdr>
          <w:divsChild>
            <w:div w:id="2132699133">
              <w:marLeft w:val="0"/>
              <w:marRight w:val="0"/>
              <w:marTop w:val="0"/>
              <w:marBottom w:val="0"/>
              <w:divBdr>
                <w:top w:val="none" w:sz="0" w:space="0" w:color="auto"/>
                <w:left w:val="none" w:sz="0" w:space="0" w:color="auto"/>
                <w:bottom w:val="none" w:sz="0" w:space="0" w:color="auto"/>
                <w:right w:val="none" w:sz="0" w:space="0" w:color="auto"/>
              </w:divBdr>
              <w:divsChild>
                <w:div w:id="1286813279">
                  <w:marLeft w:val="0"/>
                  <w:marRight w:val="0"/>
                  <w:marTop w:val="0"/>
                  <w:marBottom w:val="0"/>
                  <w:divBdr>
                    <w:top w:val="none" w:sz="0" w:space="0" w:color="auto"/>
                    <w:left w:val="none" w:sz="0" w:space="0" w:color="auto"/>
                    <w:bottom w:val="none" w:sz="0" w:space="0" w:color="auto"/>
                    <w:right w:val="none" w:sz="0" w:space="0" w:color="auto"/>
                  </w:divBdr>
                  <w:divsChild>
                    <w:div w:id="12838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2990">
          <w:marLeft w:val="0"/>
          <w:marRight w:val="0"/>
          <w:marTop w:val="0"/>
          <w:marBottom w:val="0"/>
          <w:divBdr>
            <w:top w:val="none" w:sz="0" w:space="0" w:color="auto"/>
            <w:left w:val="none" w:sz="0" w:space="0" w:color="auto"/>
            <w:bottom w:val="none" w:sz="0" w:space="0" w:color="auto"/>
            <w:right w:val="none" w:sz="0" w:space="0" w:color="auto"/>
          </w:divBdr>
          <w:divsChild>
            <w:div w:id="113253917">
              <w:marLeft w:val="0"/>
              <w:marRight w:val="0"/>
              <w:marTop w:val="0"/>
              <w:marBottom w:val="0"/>
              <w:divBdr>
                <w:top w:val="none" w:sz="0" w:space="0" w:color="auto"/>
                <w:left w:val="none" w:sz="0" w:space="0" w:color="auto"/>
                <w:bottom w:val="none" w:sz="0" w:space="0" w:color="auto"/>
                <w:right w:val="none" w:sz="0" w:space="0" w:color="auto"/>
              </w:divBdr>
              <w:divsChild>
                <w:div w:id="1917016003">
                  <w:marLeft w:val="0"/>
                  <w:marRight w:val="0"/>
                  <w:marTop w:val="0"/>
                  <w:marBottom w:val="0"/>
                  <w:divBdr>
                    <w:top w:val="none" w:sz="0" w:space="0" w:color="auto"/>
                    <w:left w:val="none" w:sz="0" w:space="0" w:color="auto"/>
                    <w:bottom w:val="none" w:sz="0" w:space="0" w:color="auto"/>
                    <w:right w:val="none" w:sz="0" w:space="0" w:color="auto"/>
                  </w:divBdr>
                  <w:divsChild>
                    <w:div w:id="294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18969">
      <w:bodyDiv w:val="1"/>
      <w:marLeft w:val="0"/>
      <w:marRight w:val="0"/>
      <w:marTop w:val="0"/>
      <w:marBottom w:val="0"/>
      <w:divBdr>
        <w:top w:val="none" w:sz="0" w:space="0" w:color="auto"/>
        <w:left w:val="none" w:sz="0" w:space="0" w:color="auto"/>
        <w:bottom w:val="none" w:sz="0" w:space="0" w:color="auto"/>
        <w:right w:val="none" w:sz="0" w:space="0" w:color="auto"/>
      </w:divBdr>
    </w:div>
    <w:div w:id="1953391428">
      <w:bodyDiv w:val="1"/>
      <w:marLeft w:val="0"/>
      <w:marRight w:val="0"/>
      <w:marTop w:val="0"/>
      <w:marBottom w:val="0"/>
      <w:divBdr>
        <w:top w:val="none" w:sz="0" w:space="0" w:color="auto"/>
        <w:left w:val="none" w:sz="0" w:space="0" w:color="auto"/>
        <w:bottom w:val="none" w:sz="0" w:space="0" w:color="auto"/>
        <w:right w:val="none" w:sz="0" w:space="0" w:color="auto"/>
      </w:divBdr>
      <w:divsChild>
        <w:div w:id="583034845">
          <w:marLeft w:val="0"/>
          <w:marRight w:val="0"/>
          <w:marTop w:val="0"/>
          <w:marBottom w:val="0"/>
          <w:divBdr>
            <w:top w:val="none" w:sz="0" w:space="0" w:color="auto"/>
            <w:left w:val="none" w:sz="0" w:space="0" w:color="auto"/>
            <w:bottom w:val="none" w:sz="0" w:space="0" w:color="auto"/>
            <w:right w:val="none" w:sz="0" w:space="0" w:color="auto"/>
          </w:divBdr>
          <w:divsChild>
            <w:div w:id="1951011579">
              <w:marLeft w:val="0"/>
              <w:marRight w:val="0"/>
              <w:marTop w:val="0"/>
              <w:marBottom w:val="0"/>
              <w:divBdr>
                <w:top w:val="none" w:sz="0" w:space="0" w:color="auto"/>
                <w:left w:val="none" w:sz="0" w:space="0" w:color="auto"/>
                <w:bottom w:val="none" w:sz="0" w:space="0" w:color="auto"/>
                <w:right w:val="none" w:sz="0" w:space="0" w:color="auto"/>
              </w:divBdr>
              <w:divsChild>
                <w:div w:id="1005354182">
                  <w:marLeft w:val="0"/>
                  <w:marRight w:val="0"/>
                  <w:marTop w:val="0"/>
                  <w:marBottom w:val="0"/>
                  <w:divBdr>
                    <w:top w:val="none" w:sz="0" w:space="0" w:color="auto"/>
                    <w:left w:val="none" w:sz="0" w:space="0" w:color="auto"/>
                    <w:bottom w:val="none" w:sz="0" w:space="0" w:color="auto"/>
                    <w:right w:val="none" w:sz="0" w:space="0" w:color="auto"/>
                  </w:divBdr>
                  <w:divsChild>
                    <w:div w:id="16448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6512">
          <w:marLeft w:val="0"/>
          <w:marRight w:val="0"/>
          <w:marTop w:val="0"/>
          <w:marBottom w:val="0"/>
          <w:divBdr>
            <w:top w:val="none" w:sz="0" w:space="0" w:color="auto"/>
            <w:left w:val="none" w:sz="0" w:space="0" w:color="auto"/>
            <w:bottom w:val="none" w:sz="0" w:space="0" w:color="auto"/>
            <w:right w:val="none" w:sz="0" w:space="0" w:color="auto"/>
          </w:divBdr>
          <w:divsChild>
            <w:div w:id="996343926">
              <w:marLeft w:val="0"/>
              <w:marRight w:val="0"/>
              <w:marTop w:val="0"/>
              <w:marBottom w:val="0"/>
              <w:divBdr>
                <w:top w:val="none" w:sz="0" w:space="0" w:color="auto"/>
                <w:left w:val="none" w:sz="0" w:space="0" w:color="auto"/>
                <w:bottom w:val="none" w:sz="0" w:space="0" w:color="auto"/>
                <w:right w:val="none" w:sz="0" w:space="0" w:color="auto"/>
              </w:divBdr>
              <w:divsChild>
                <w:div w:id="317614896">
                  <w:marLeft w:val="0"/>
                  <w:marRight w:val="0"/>
                  <w:marTop w:val="0"/>
                  <w:marBottom w:val="0"/>
                  <w:divBdr>
                    <w:top w:val="none" w:sz="0" w:space="0" w:color="auto"/>
                    <w:left w:val="none" w:sz="0" w:space="0" w:color="auto"/>
                    <w:bottom w:val="none" w:sz="0" w:space="0" w:color="auto"/>
                    <w:right w:val="none" w:sz="0" w:space="0" w:color="auto"/>
                  </w:divBdr>
                  <w:divsChild>
                    <w:div w:id="10006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70176">
      <w:bodyDiv w:val="1"/>
      <w:marLeft w:val="0"/>
      <w:marRight w:val="0"/>
      <w:marTop w:val="0"/>
      <w:marBottom w:val="0"/>
      <w:divBdr>
        <w:top w:val="none" w:sz="0" w:space="0" w:color="auto"/>
        <w:left w:val="none" w:sz="0" w:space="0" w:color="auto"/>
        <w:bottom w:val="none" w:sz="0" w:space="0" w:color="auto"/>
        <w:right w:val="none" w:sz="0" w:space="0" w:color="auto"/>
      </w:divBdr>
    </w:div>
    <w:div w:id="1991786228">
      <w:bodyDiv w:val="1"/>
      <w:marLeft w:val="0"/>
      <w:marRight w:val="0"/>
      <w:marTop w:val="0"/>
      <w:marBottom w:val="0"/>
      <w:divBdr>
        <w:top w:val="none" w:sz="0" w:space="0" w:color="auto"/>
        <w:left w:val="none" w:sz="0" w:space="0" w:color="auto"/>
        <w:bottom w:val="none" w:sz="0" w:space="0" w:color="auto"/>
        <w:right w:val="none" w:sz="0" w:space="0" w:color="auto"/>
      </w:divBdr>
    </w:div>
    <w:div w:id="2024739801">
      <w:bodyDiv w:val="1"/>
      <w:marLeft w:val="0"/>
      <w:marRight w:val="0"/>
      <w:marTop w:val="0"/>
      <w:marBottom w:val="0"/>
      <w:divBdr>
        <w:top w:val="none" w:sz="0" w:space="0" w:color="auto"/>
        <w:left w:val="none" w:sz="0" w:space="0" w:color="auto"/>
        <w:bottom w:val="none" w:sz="0" w:space="0" w:color="auto"/>
        <w:right w:val="none" w:sz="0" w:space="0" w:color="auto"/>
      </w:divBdr>
    </w:div>
    <w:div w:id="2087067480">
      <w:bodyDiv w:val="1"/>
      <w:marLeft w:val="0"/>
      <w:marRight w:val="0"/>
      <w:marTop w:val="0"/>
      <w:marBottom w:val="0"/>
      <w:divBdr>
        <w:top w:val="none" w:sz="0" w:space="0" w:color="auto"/>
        <w:left w:val="none" w:sz="0" w:space="0" w:color="auto"/>
        <w:bottom w:val="none" w:sz="0" w:space="0" w:color="auto"/>
        <w:right w:val="none" w:sz="0" w:space="0" w:color="auto"/>
      </w:divBdr>
      <w:divsChild>
        <w:div w:id="323508647">
          <w:marLeft w:val="0"/>
          <w:marRight w:val="0"/>
          <w:marTop w:val="0"/>
          <w:marBottom w:val="0"/>
          <w:divBdr>
            <w:top w:val="none" w:sz="0" w:space="0" w:color="auto"/>
            <w:left w:val="none" w:sz="0" w:space="0" w:color="auto"/>
            <w:bottom w:val="none" w:sz="0" w:space="0" w:color="auto"/>
            <w:right w:val="none" w:sz="0" w:space="0" w:color="auto"/>
          </w:divBdr>
          <w:divsChild>
            <w:div w:id="1058670633">
              <w:marLeft w:val="0"/>
              <w:marRight w:val="0"/>
              <w:marTop w:val="0"/>
              <w:marBottom w:val="0"/>
              <w:divBdr>
                <w:top w:val="none" w:sz="0" w:space="0" w:color="auto"/>
                <w:left w:val="none" w:sz="0" w:space="0" w:color="auto"/>
                <w:bottom w:val="none" w:sz="0" w:space="0" w:color="auto"/>
                <w:right w:val="none" w:sz="0" w:space="0" w:color="auto"/>
              </w:divBdr>
              <w:divsChild>
                <w:div w:id="1589922012">
                  <w:marLeft w:val="0"/>
                  <w:marRight w:val="0"/>
                  <w:marTop w:val="0"/>
                  <w:marBottom w:val="0"/>
                  <w:divBdr>
                    <w:top w:val="none" w:sz="0" w:space="0" w:color="auto"/>
                    <w:left w:val="none" w:sz="0" w:space="0" w:color="auto"/>
                    <w:bottom w:val="none" w:sz="0" w:space="0" w:color="auto"/>
                    <w:right w:val="none" w:sz="0" w:space="0" w:color="auto"/>
                  </w:divBdr>
                  <w:divsChild>
                    <w:div w:id="752892064">
                      <w:marLeft w:val="0"/>
                      <w:marRight w:val="0"/>
                      <w:marTop w:val="0"/>
                      <w:marBottom w:val="0"/>
                      <w:divBdr>
                        <w:top w:val="none" w:sz="0" w:space="0" w:color="auto"/>
                        <w:left w:val="none" w:sz="0" w:space="0" w:color="auto"/>
                        <w:bottom w:val="none" w:sz="0" w:space="0" w:color="auto"/>
                        <w:right w:val="none" w:sz="0" w:space="0" w:color="auto"/>
                      </w:divBdr>
                      <w:divsChild>
                        <w:div w:id="1646354333">
                          <w:marLeft w:val="0"/>
                          <w:marRight w:val="0"/>
                          <w:marTop w:val="0"/>
                          <w:marBottom w:val="0"/>
                          <w:divBdr>
                            <w:top w:val="none" w:sz="0" w:space="0" w:color="auto"/>
                            <w:left w:val="none" w:sz="0" w:space="0" w:color="auto"/>
                            <w:bottom w:val="none" w:sz="0" w:space="0" w:color="auto"/>
                            <w:right w:val="none" w:sz="0" w:space="0" w:color="auto"/>
                          </w:divBdr>
                          <w:divsChild>
                            <w:div w:id="1338459947">
                              <w:marLeft w:val="0"/>
                              <w:marRight w:val="0"/>
                              <w:marTop w:val="0"/>
                              <w:marBottom w:val="0"/>
                              <w:divBdr>
                                <w:top w:val="none" w:sz="0" w:space="0" w:color="auto"/>
                                <w:left w:val="none" w:sz="0" w:space="0" w:color="auto"/>
                                <w:bottom w:val="none" w:sz="0" w:space="0" w:color="auto"/>
                                <w:right w:val="none" w:sz="0" w:space="0" w:color="auto"/>
                              </w:divBdr>
                              <w:divsChild>
                                <w:div w:id="1132014494">
                                  <w:marLeft w:val="0"/>
                                  <w:marRight w:val="0"/>
                                  <w:marTop w:val="0"/>
                                  <w:marBottom w:val="0"/>
                                  <w:divBdr>
                                    <w:top w:val="none" w:sz="0" w:space="0" w:color="auto"/>
                                    <w:left w:val="none" w:sz="0" w:space="0" w:color="auto"/>
                                    <w:bottom w:val="none" w:sz="0" w:space="0" w:color="auto"/>
                                    <w:right w:val="none" w:sz="0" w:space="0" w:color="auto"/>
                                  </w:divBdr>
                                  <w:divsChild>
                                    <w:div w:id="15786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b.2033" TargetMode="External"/><Relationship Id="rId13" Type="http://schemas.openxmlformats.org/officeDocument/2006/relationships/hyperlink" Target="https://ec.europa.eu/info/strategy/priorities-2019-2024/european-green-deal_en" TargetMode="External"/><Relationship Id="rId18" Type="http://schemas.openxmlformats.org/officeDocument/2006/relationships/hyperlink" Target="https://www.worldbank.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loitte.com" TargetMode="External"/><Relationship Id="rId17" Type="http://schemas.openxmlformats.org/officeDocument/2006/relationships/hyperlink" Target="https://www.undp.org" TargetMode="External"/><Relationship Id="rId2" Type="http://schemas.openxmlformats.org/officeDocument/2006/relationships/numbering" Target="numbering.xml"/><Relationship Id="rId16" Type="http://schemas.openxmlformats.org/officeDocument/2006/relationships/hyperlink" Target="https://www.pwc.com/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310543" TargetMode="External"/><Relationship Id="rId5" Type="http://schemas.openxmlformats.org/officeDocument/2006/relationships/webSettings" Target="webSettings.xml"/><Relationship Id="rId15" Type="http://schemas.openxmlformats.org/officeDocument/2006/relationships/hyperlink" Target="https://www.pwc.com/ng" TargetMode="External"/><Relationship Id="rId10" Type="http://schemas.openxmlformats.org/officeDocument/2006/relationships/hyperlink" Target="https://doi.org/10.1016/j.jeem.2022.03.007" TargetMode="External"/><Relationship Id="rId19" Type="http://schemas.openxmlformats.org/officeDocument/2006/relationships/hyperlink" Target="https://www.worldbank.org" TargetMode="External"/><Relationship Id="rId4" Type="http://schemas.openxmlformats.org/officeDocument/2006/relationships/settings" Target="settings.xml"/><Relationship Id="rId9" Type="http://schemas.openxmlformats.org/officeDocument/2006/relationships/hyperlink" Target="https://doi.org/10.1080/jsb.2022.0425879" TargetMode="External"/><Relationship Id="rId14" Type="http://schemas.openxmlformats.org/officeDocument/2006/relationships/hyperlink" Target="https://fastercapital.com/content/Business-value-creation--Measuring-and-Enhancing-Business-Value-Creation--Metrics-and-Method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78D1-72FC-4D06-A639-80CE3952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15019</Words>
  <Characters>85614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Sunday Oluwafemi</dc:creator>
  <cp:keywords/>
  <dc:description/>
  <cp:lastModifiedBy>Sunday Oluwafemi</cp:lastModifiedBy>
  <cp:revision>12</cp:revision>
  <cp:lastPrinted>2026-01-26T12:43:00Z</cp:lastPrinted>
  <dcterms:created xsi:type="dcterms:W3CDTF">2026-06-13T17:05:00Z</dcterms:created>
  <dcterms:modified xsi:type="dcterms:W3CDTF">2026-06-17T20:05:00Z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a72f8684c4861b0b8c4e46b9c146e7cbdac0667509de9588556b801b1b673405</vt:lpwstr>
  </property>
</Properties>
</file>