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BF91" w14:textId="77777777" w:rsidR="00E22455" w:rsidRDefault="00E22455" w:rsidP="00E22455">
      <w:pPr>
        <w:rPr>
          <w:rFonts w:ascii="Times New Roman" w:hAnsi="Times New Roman" w:cs="Times New Roman"/>
          <w:b/>
        </w:rPr>
      </w:pPr>
      <w:r w:rsidRPr="00157C7D">
        <w:rPr>
          <w:rFonts w:ascii="Times New Roman" w:hAnsi="Times New Roman" w:cs="Times New Roman"/>
          <w:b/>
        </w:rPr>
        <w:t>AN EFFICACY STUDY ON THE EFFECT OF AGBO IBA HERBAL DECOCTION AND ACETAMINOPHEN ADMINISTRAT</w:t>
      </w:r>
      <w:r w:rsidR="001E49F2">
        <w:rPr>
          <w:rFonts w:ascii="Times New Roman" w:hAnsi="Times New Roman" w:cs="Times New Roman"/>
          <w:b/>
        </w:rPr>
        <w:t>IONS ON</w:t>
      </w:r>
      <w:r w:rsidRPr="00157C7D">
        <w:rPr>
          <w:rFonts w:ascii="Times New Roman" w:hAnsi="Times New Roman" w:cs="Times New Roman"/>
          <w:b/>
        </w:rPr>
        <w:t xml:space="preserve"> PRO-INFLAMMATORY AND NOCICEPTION IN MALE WISTAR RATS AFTER FREUND’S INCOMPLETE IMMUNE ACTIVATION (FIA). </w:t>
      </w:r>
    </w:p>
    <w:p w14:paraId="4619E8C1" w14:textId="77777777" w:rsidR="00E22455" w:rsidRPr="00A55774" w:rsidRDefault="00E22455" w:rsidP="00E22455">
      <w:pPr>
        <w:rPr>
          <w:rFonts w:ascii="Times New Roman" w:hAnsi="Times New Roman" w:cs="Times New Roman"/>
          <w:b/>
          <w:i/>
          <w:iCs/>
        </w:rPr>
      </w:pPr>
      <w:r w:rsidRPr="00A55774">
        <w:rPr>
          <w:rFonts w:ascii="Times New Roman" w:hAnsi="Times New Roman" w:cs="Times New Roman"/>
          <w:b/>
          <w:i/>
          <w:iCs/>
        </w:rPr>
        <w:t/>
      </w:r>
      <w:r w:rsidRPr="00A55774">
        <w:rPr>
          <w:rFonts w:ascii="Times New Roman" w:hAnsi="Times New Roman" w:cs="Times New Roman"/>
          <w:b/>
          <w:i/>
          <w:iCs/>
          <w:vertAlign w:val="superscript"/>
        </w:rPr>
        <w:t/>
      </w:r>
      <w:r w:rsidRPr="00A55774">
        <w:rPr>
          <w:rFonts w:ascii="Times New Roman" w:hAnsi="Times New Roman" w:cs="Times New Roman"/>
          <w:b/>
          <w:i/>
          <w:iCs/>
        </w:rPr>
        <w:t/>
      </w:r>
      <w:r w:rsidRPr="00A55774">
        <w:rPr>
          <w:rFonts w:ascii="Times New Roman" w:hAnsi="Times New Roman" w:cs="Times New Roman"/>
          <w:b/>
          <w:i/>
          <w:iCs/>
          <w:vertAlign w:val="superscript"/>
        </w:rPr>
        <w:t/>
      </w:r>
      <w:r w:rsidRPr="00A55774">
        <w:rPr>
          <w:rFonts w:ascii="Times New Roman" w:hAnsi="Times New Roman" w:cs="Times New Roman"/>
          <w:b/>
          <w:i/>
          <w:iCs/>
        </w:rPr>
        <w:t/>
      </w:r>
      <w:r w:rsidRPr="00A55774">
        <w:rPr>
          <w:rFonts w:ascii="Times New Roman" w:hAnsi="Times New Roman" w:cs="Times New Roman"/>
          <w:b/>
          <w:i/>
          <w:iCs/>
          <w:vertAlign w:val="superscript"/>
        </w:rPr>
        <w:t/>
      </w:r>
      <w:r w:rsidRPr="00A55774">
        <w:rPr>
          <w:rFonts w:ascii="Times New Roman" w:hAnsi="Times New Roman" w:cs="Times New Roman"/>
          <w:b/>
          <w:i/>
          <w:iCs/>
        </w:rPr>
        <w:t/>
      </w:r>
    </w:p>
    <w:p w14:paraId="6B030E1A" w14:textId="77777777" w:rsidR="00E22455" w:rsidRPr="00A55774" w:rsidRDefault="00E22455" w:rsidP="00E22455">
      <w:pPr>
        <w:rPr>
          <w:rFonts w:ascii="Times New Roman" w:hAnsi="Times New Roman" w:cs="Times New Roman"/>
          <w:b/>
          <w:i/>
          <w:iCs/>
        </w:rPr>
      </w:pPr>
      <w:r w:rsidRPr="00A55774">
        <w:rPr>
          <w:rFonts w:ascii="Times New Roman" w:hAnsi="Times New Roman" w:cs="Times New Roman"/>
          <w:b/>
          <w:i/>
          <w:iCs/>
        </w:rPr>
        <w:t/>
      </w:r>
      <w:r w:rsidRPr="00A55774">
        <w:rPr>
          <w:rFonts w:ascii="Times New Roman" w:hAnsi="Times New Roman" w:cs="Times New Roman"/>
          <w:b/>
          <w:i/>
          <w:iCs/>
          <w:vertAlign w:val="superscript"/>
        </w:rPr>
        <w:t xml:space="preserve"/>
      </w:r>
      <w:r w:rsidRPr="00A55774">
        <w:rPr>
          <w:rFonts w:ascii="Times New Roman" w:hAnsi="Times New Roman" w:cs="Times New Roman"/>
          <w:b/>
          <w:i/>
          <w:iCs/>
        </w:rPr>
        <w:t/>
      </w:r>
      <w:r>
        <w:rPr>
          <w:rFonts w:ascii="Times New Roman" w:hAnsi="Times New Roman" w:cs="Times New Roman"/>
          <w:b/>
          <w:i/>
          <w:iCs/>
        </w:rPr>
        <w:t/>
      </w:r>
    </w:p>
    <w:p w14:paraId="6F40DB0D" w14:textId="77777777" w:rsidR="00E22455" w:rsidRDefault="00E22455" w:rsidP="00E22455">
      <w:pPr>
        <w:pStyle w:val="NormalWeb"/>
        <w:jc w:val="both"/>
      </w:pPr>
      <w:r w:rsidRPr="00A55774">
        <w:rPr>
          <w:b/>
          <w:bCs/>
        </w:rPr>
        <w:t/>
      </w:r>
      <w:r>
        <w:t/>
      </w:r>
      <w:r w:rsidR="00E57AA9">
        <w:t xml:space="preserve"/>
      </w:r>
      <w:r>
        <w:t xml:space="preserve"/>
      </w:r>
      <w:r w:rsidR="00E57AA9">
        <w:t xml:space="preserve"/>
      </w:r>
      <w:r>
        <w:t/>
      </w:r>
      <w:r w:rsidR="00E57AA9">
        <w:t/>
      </w:r>
      <w:r>
        <w:t/>
      </w:r>
    </w:p>
    <w:p w14:paraId="2620793C" w14:textId="77777777" w:rsidR="00E22455" w:rsidRPr="00A55774" w:rsidRDefault="00E22455" w:rsidP="00E22455">
      <w:pPr>
        <w:pStyle w:val="NormalWeb"/>
        <w:rPr>
          <w:i/>
          <w:iCs/>
        </w:rPr>
      </w:pPr>
      <w:r w:rsidRPr="00A55774">
        <w:rPr>
          <w:rStyle w:val="Strong"/>
          <w:i/>
          <w:iCs/>
        </w:rPr>
        <w:t/>
      </w:r>
      <w:r w:rsidRPr="00A55774">
        <w:rPr>
          <w:i/>
          <w:iCs/>
        </w:rPr>
        <w:t/>
      </w:r>
      <w:r w:rsidR="00E57AA9">
        <w:rPr>
          <w:i/>
          <w:iCs/>
        </w:rPr>
        <w:t/>
      </w:r>
      <w:r w:rsidRPr="00A55774">
        <w:rPr>
          <w:i/>
          <w:iCs/>
        </w:rPr>
        <w:t/>
      </w:r>
    </w:p>
    <w:p w14:paraId="46D7C1D9" w14:textId="77777777" w:rsidR="00E22455" w:rsidRPr="00A55774" w:rsidRDefault="00E22455" w:rsidP="00E22455">
      <w:pPr>
        <w:pStyle w:val="NormalWeb"/>
        <w:rPr>
          <w:i/>
          <w:iCs/>
        </w:rPr>
      </w:pPr>
      <w:r w:rsidRPr="00A55774">
        <w:rPr>
          <w:i/>
          <w:iCs/>
        </w:rPr>
        <w:t xml:space="preserve"/>
      </w:r>
      <w:hyperlink r:id="rId5" w:history="1">
        <w:r w:rsidRPr="00A269E6">
          <w:rPr>
            <w:rStyle w:val="Hyperlink"/>
          </w:rPr>
          <w:t/>
        </w:r>
      </w:hyperlink>
      <w:r w:rsidRPr="00A55774">
        <w:rPr>
          <w:i/>
          <w:iCs/>
        </w:rPr>
        <w:t/>
      </w:r>
      <w:r>
        <w:rPr>
          <w:i/>
          <w:iCs/>
        </w:rPr>
        <w:t xml:space="preserve"/>
      </w:r>
      <w:r w:rsidRPr="00A55774">
        <w:rPr>
          <w:i/>
          <w:iCs/>
        </w:rPr>
        <w:t xml:space="preserve"/>
      </w:r>
    </w:p>
    <w:p w14:paraId="5E346D82" w14:textId="77777777" w:rsidR="00E22455" w:rsidRPr="00157C7D" w:rsidRDefault="00E22455" w:rsidP="00E22455">
      <w:pPr>
        <w:rPr>
          <w:rFonts w:ascii="Times New Roman" w:hAnsi="Times New Roman" w:cs="Times New Roman"/>
        </w:rPr>
      </w:pPr>
    </w:p>
    <w:p w14:paraId="1C59FF9A" w14:textId="77777777" w:rsidR="00E22455" w:rsidRPr="00157C7D" w:rsidRDefault="00E22455" w:rsidP="00E22455">
      <w:pPr>
        <w:jc w:val="center"/>
        <w:rPr>
          <w:rFonts w:ascii="Times New Roman" w:hAnsi="Times New Roman" w:cs="Times New Roman"/>
          <w:b/>
          <w:sz w:val="24"/>
          <w:szCs w:val="24"/>
        </w:rPr>
      </w:pPr>
      <w:r w:rsidRPr="00157C7D">
        <w:rPr>
          <w:rFonts w:ascii="Times New Roman" w:hAnsi="Times New Roman" w:cs="Times New Roman"/>
          <w:b/>
          <w:sz w:val="24"/>
          <w:szCs w:val="24"/>
        </w:rPr>
        <w:t>INTRODUCTION</w:t>
      </w:r>
    </w:p>
    <w:p w14:paraId="43AF7596" w14:textId="77777777" w:rsidR="00E22455" w:rsidRPr="00157C7D" w:rsidRDefault="00E22455" w:rsidP="00E22455">
      <w:pPr>
        <w:jc w:val="both"/>
        <w:rPr>
          <w:rFonts w:ascii="Times New Roman" w:hAnsi="Times New Roman" w:cs="Times New Roman"/>
          <w:sz w:val="24"/>
          <w:szCs w:val="24"/>
        </w:rPr>
      </w:pPr>
      <w:r w:rsidRPr="00157C7D">
        <w:rPr>
          <w:rFonts w:ascii="Times New Roman" w:hAnsi="Times New Roman" w:cs="Times New Roman"/>
          <w:sz w:val="24"/>
          <w:szCs w:val="24"/>
        </w:rPr>
        <w:t>Acetaminophen (paracetamol) is one of the most commonly used antipyretic and analgesic agents worldwide, but its therapeutic index is narrow, and its metabolism is highly sensitive to hepatic oxidative stress and inflammatory states (Ohashi</w:t>
      </w:r>
      <w:r w:rsidRPr="00157C7D">
        <w:rPr>
          <w:rFonts w:ascii="Times New Roman" w:hAnsi="Times New Roman" w:cs="Times New Roman"/>
          <w:i/>
          <w:sz w:val="24"/>
          <w:szCs w:val="24"/>
        </w:rPr>
        <w:t xml:space="preserve"> et al </w:t>
      </w:r>
      <w:r w:rsidRPr="00157C7D">
        <w:rPr>
          <w:rFonts w:ascii="Times New Roman" w:hAnsi="Times New Roman" w:cs="Times New Roman"/>
          <w:sz w:val="24"/>
          <w:szCs w:val="24"/>
        </w:rPr>
        <w:t>., 2020). The risk of hepatotoxicity increases when acetaminophen is administered alongside substances that modulate cytochrome P450 enzymes, glutathione levels, or pro-inflammatory cytokines. Traditional polyherbal preparations such as Agbo Iba, widely used in Nigeria for fever, malaria, and inflammatory conditions, contain multiple phytochemicals capable of altering antioxidant pathways, hepatic enzymes, and immune responses (Nwabuisi</w:t>
      </w:r>
      <w:r w:rsidRPr="00157C7D">
        <w:rPr>
          <w:rFonts w:ascii="Times New Roman" w:hAnsi="Times New Roman" w:cs="Times New Roman"/>
          <w:i/>
          <w:sz w:val="24"/>
          <w:szCs w:val="24"/>
        </w:rPr>
        <w:t xml:space="preserve"> et al </w:t>
      </w:r>
      <w:r w:rsidRPr="00157C7D">
        <w:rPr>
          <w:rFonts w:ascii="Times New Roman" w:hAnsi="Times New Roman" w:cs="Times New Roman"/>
          <w:sz w:val="24"/>
          <w:szCs w:val="24"/>
        </w:rPr>
        <w:t>., 2002; Erhunse</w:t>
      </w:r>
      <w:r w:rsidRPr="00157C7D">
        <w:rPr>
          <w:rFonts w:ascii="Times New Roman" w:hAnsi="Times New Roman" w:cs="Times New Roman"/>
          <w:i/>
          <w:sz w:val="24"/>
          <w:szCs w:val="24"/>
        </w:rPr>
        <w:t xml:space="preserve"> et al</w:t>
      </w:r>
      <w:r w:rsidRPr="00157C7D">
        <w:rPr>
          <w:rFonts w:ascii="Times New Roman" w:hAnsi="Times New Roman" w:cs="Times New Roman"/>
          <w:sz w:val="24"/>
          <w:szCs w:val="24"/>
        </w:rPr>
        <w:t>., 2023). However, the combined effect of Agbo Iba and acetaminophen remains poorly characterized, especially under conditions of immune activation.</w:t>
      </w:r>
    </w:p>
    <w:p w14:paraId="3D3ECFA3" w14:textId="77777777" w:rsidR="00E22455" w:rsidRPr="00157C7D" w:rsidRDefault="00E22455" w:rsidP="00E22455">
      <w:pPr>
        <w:framePr w:hSpace="180" w:wrap="around" w:vAnchor="text" w:hAnchor="margin" w:y="312"/>
        <w:jc w:val="both"/>
        <w:rPr>
          <w:rFonts w:ascii="Times New Roman" w:hAnsi="Times New Roman" w:cs="Times New Roman"/>
          <w:sz w:val="24"/>
          <w:szCs w:val="24"/>
        </w:rPr>
      </w:pPr>
      <w:r w:rsidRPr="00157C7D">
        <w:rPr>
          <w:rFonts w:ascii="Times New Roman" w:hAnsi="Times New Roman" w:cs="Times New Roman"/>
          <w:sz w:val="24"/>
          <w:szCs w:val="24"/>
        </w:rPr>
        <w:t>Freund’s Incomplete Adjuvant (FIA) is known to induce localized inflammatory responses and mild systemic immune stimulation, including upregulation of cytokines and enhancement of antigen processing (Billiau &amp; Matthys, 2001). Immune activation is a critical modifier of drug metabolism because inflammatory cytokines can suppress hepatic enzyme activity and alter pharmacokinetics, potentially intensifying drug-induced liver injury. The interaction between herbal mixtures and acetaminophen may therefore be significantly different in the presence of immune stimulation from FIA.</w:t>
      </w:r>
    </w:p>
    <w:p w14:paraId="2DB07962" w14:textId="77777777" w:rsidR="00E22455" w:rsidRPr="00157C7D" w:rsidRDefault="00E22455" w:rsidP="00E22455">
      <w:pPr>
        <w:jc w:val="both"/>
        <w:rPr>
          <w:rFonts w:ascii="Times New Roman" w:hAnsi="Times New Roman" w:cs="Times New Roman"/>
        </w:rPr>
      </w:pPr>
      <w:r w:rsidRPr="00157C7D">
        <w:rPr>
          <w:rFonts w:ascii="Times New Roman" w:hAnsi="Times New Roman" w:cs="Times New Roman"/>
          <w:sz w:val="24"/>
          <w:szCs w:val="24"/>
        </w:rPr>
        <w:t xml:space="preserve">Despite the widespread use of Agbo Iba in febrile and inflammatory states—conditions where acetaminophen is also commonly used—there is a lack of experimental studies evaluating the co-administration of these agents under an activated immune environment. This gap limits the ability </w:t>
      </w:r>
      <w:r w:rsidRPr="00157C7D">
        <w:rPr>
          <w:rFonts w:ascii="Times New Roman" w:hAnsi="Times New Roman" w:cs="Times New Roman"/>
        </w:rPr>
        <w:t xml:space="preserve">The </w:t>
      </w:r>
      <w:r w:rsidR="00CA590C" w:rsidRPr="00157C7D">
        <w:rPr>
          <w:rFonts w:ascii="Times New Roman" w:hAnsi="Times New Roman" w:cs="Times New Roman"/>
        </w:rPr>
        <w:t>combined of</w:t>
      </w:r>
      <w:r w:rsidRPr="00157C7D">
        <w:rPr>
          <w:rFonts w:ascii="Times New Roman" w:hAnsi="Times New Roman" w:cs="Times New Roman"/>
        </w:rPr>
        <w:t xml:space="preserve"> Agbo–paracetamol sequential-administration and usage is a common </w:t>
      </w:r>
      <w:r w:rsidR="00CA590C">
        <w:rPr>
          <w:rFonts w:ascii="Times New Roman" w:hAnsi="Times New Roman" w:cs="Times New Roman"/>
        </w:rPr>
        <w:t>practice in Nigeria notably at W</w:t>
      </w:r>
      <w:r w:rsidRPr="00157C7D">
        <w:rPr>
          <w:rFonts w:ascii="Times New Roman" w:hAnsi="Times New Roman" w:cs="Times New Roman"/>
        </w:rPr>
        <w:t xml:space="preserve">est-North region of Nigeria. </w:t>
      </w:r>
      <w:r w:rsidR="00CA590C" w:rsidRPr="00157C7D">
        <w:rPr>
          <w:rFonts w:ascii="Times New Roman" w:hAnsi="Times New Roman" w:cs="Times New Roman"/>
        </w:rPr>
        <w:t>Some of</w:t>
      </w:r>
      <w:r w:rsidRPr="00157C7D">
        <w:rPr>
          <w:rFonts w:ascii="Times New Roman" w:hAnsi="Times New Roman" w:cs="Times New Roman"/>
        </w:rPr>
        <w:t xml:space="preserve"> these practices have even been seen in the South-East Region of Nigeria, largely because of the belief that such combination relieves one of malaria, fever and the symptoms that come with it. Paracetamol is the most common used Acetaminophen, which is why it will be used for this study. It presents its own challenges, most notably on the liver, though there is evidence of toxicity on other tissue. A l</w:t>
      </w:r>
      <w:r w:rsidR="00CA590C">
        <w:rPr>
          <w:rFonts w:ascii="Times New Roman" w:hAnsi="Times New Roman" w:cs="Times New Roman"/>
        </w:rPr>
        <w:t>imited  number of researches have</w:t>
      </w:r>
      <w:r w:rsidRPr="00157C7D">
        <w:rPr>
          <w:rFonts w:ascii="Times New Roman" w:hAnsi="Times New Roman" w:cs="Times New Roman"/>
        </w:rPr>
        <w:t xml:space="preserve"> been carried out on Agbo Iba especially in a model involving a challenging health situation mimic like in Freund’s Incomplete Adjuvant Stimulation to better represent a study on   systemic inflammatory activation in different systems like those of the reproductive functions (notably since there are global concerns on  healthy population  growth index) </w:t>
      </w:r>
      <w:r w:rsidR="00CA590C">
        <w:rPr>
          <w:rFonts w:ascii="Times New Roman" w:hAnsi="Times New Roman" w:cs="Times New Roman"/>
        </w:rPr>
        <w:t>.</w:t>
      </w:r>
      <w:r w:rsidRPr="00157C7D">
        <w:rPr>
          <w:rFonts w:ascii="Times New Roman" w:hAnsi="Times New Roman" w:cs="Times New Roman"/>
        </w:rPr>
        <w:t xml:space="preserve">This study not only presents that situation but creates an investigative platform for its interaction with Acetaminophen. The result from this study will further elucidate how paracetamol  actually works alone and interacts with the herbal decoction in an inflammatory situation. This </w:t>
      </w:r>
      <w:r w:rsidR="00CA590C" w:rsidRPr="00157C7D">
        <w:rPr>
          <w:rFonts w:ascii="Times New Roman" w:hAnsi="Times New Roman" w:cs="Times New Roman"/>
        </w:rPr>
        <w:t>work will</w:t>
      </w:r>
      <w:r w:rsidRPr="00157C7D">
        <w:rPr>
          <w:rFonts w:ascii="Times New Roman" w:hAnsi="Times New Roman" w:cs="Times New Roman"/>
        </w:rPr>
        <w:t xml:space="preserve"> be useful to researchers,  orthodox and modern medicine in planning dosages, usages, purification, extraction and therapies of </w:t>
      </w:r>
      <w:r>
        <w:rPr>
          <w:rFonts w:ascii="Times New Roman" w:hAnsi="Times New Roman" w:cs="Times New Roman"/>
        </w:rPr>
        <w:t>Agbo Iba</w:t>
      </w:r>
      <w:r w:rsidRPr="00157C7D">
        <w:rPr>
          <w:rFonts w:ascii="Times New Roman" w:hAnsi="Times New Roman" w:cs="Times New Roman"/>
        </w:rPr>
        <w:t xml:space="preserve"> with or without Acetaminophen.  </w:t>
      </w:r>
    </w:p>
    <w:p w14:paraId="662D5DEB" w14:textId="77777777" w:rsidR="00E22455" w:rsidRPr="00157C7D" w:rsidRDefault="00E22455" w:rsidP="00E22455">
      <w:pPr>
        <w:rPr>
          <w:rFonts w:ascii="Times New Roman" w:hAnsi="Times New Roman" w:cs="Times New Roman"/>
        </w:rPr>
      </w:pPr>
    </w:p>
    <w:p w14:paraId="7578FED9" w14:textId="77777777" w:rsidR="00E22455" w:rsidRPr="00157C7D" w:rsidRDefault="00E22455" w:rsidP="00E22455">
      <w:pPr>
        <w:jc w:val="center"/>
        <w:rPr>
          <w:rFonts w:ascii="Times New Roman" w:hAnsi="Times New Roman" w:cs="Times New Roman"/>
          <w:b/>
        </w:rPr>
      </w:pPr>
      <w:r w:rsidRPr="00157C7D">
        <w:rPr>
          <w:rFonts w:ascii="Times New Roman" w:hAnsi="Times New Roman" w:cs="Times New Roman"/>
          <w:b/>
        </w:rPr>
        <w:t>MATERIALS AND METHOD</w:t>
      </w:r>
    </w:p>
    <w:p w14:paraId="3DD5BC0D" w14:textId="77777777" w:rsidR="00E22455" w:rsidRPr="00157C7D" w:rsidRDefault="00E22455" w:rsidP="00E22455">
      <w:pPr>
        <w:spacing w:before="240" w:line="240" w:lineRule="auto"/>
        <w:ind w:left="-5" w:right="58"/>
        <w:jc w:val="both"/>
        <w:rPr>
          <w:rFonts w:ascii="Times New Roman" w:hAnsi="Times New Roman" w:cs="Times New Roman"/>
          <w:sz w:val="24"/>
          <w:szCs w:val="24"/>
        </w:rPr>
      </w:pPr>
      <w:r w:rsidRPr="00157C7D">
        <w:rPr>
          <w:rFonts w:ascii="Times New Roman" w:hAnsi="Times New Roman" w:cs="Times New Roman"/>
          <w:sz w:val="24"/>
          <w:szCs w:val="24"/>
        </w:rPr>
        <w:t xml:space="preserve">A Total of fifty-four (54) Male Wistar rats, housed under standard conditions, were used for the main study. They were 8–10 weeks old with weight range of 200–250 g.  They were obtained from the laboratory animal production unit of the Department Zoology and Environmental Biology, Michael Okpara University of Agriculture, Umudike. They were used for the different segments of the study.  Additional Twenty (20)   rats will be used for sub toxicity study of Agbor. The animals were housed in aluminum cages, under standard conditions 12/12h light-dark cycle at temperature of 25±2oC and were fed with rat chow (Grand Cereals Ltd, Abia State). They had access to clean drinking water for seven days of acclimatization into the initiation of experiment. All experiments were carried out in accordance with International Guideline for Biomedical Research and as approved by the Department of Physiology and University Ethical Committee in Abia State University, Uturu. </w:t>
      </w:r>
    </w:p>
    <w:p w14:paraId="4B9C03E2" w14:textId="77777777" w:rsidR="00E22455" w:rsidRPr="00157C7D" w:rsidRDefault="00E22455" w:rsidP="00E22455">
      <w:pPr>
        <w:pStyle w:val="Heading2"/>
        <w:spacing w:after="160" w:line="276" w:lineRule="auto"/>
        <w:ind w:left="-5"/>
        <w:jc w:val="both"/>
        <w:rPr>
          <w:rFonts w:ascii="Times New Roman" w:hAnsi="Times New Roman"/>
          <w:color w:val="auto"/>
          <w:sz w:val="24"/>
          <w:szCs w:val="24"/>
        </w:rPr>
      </w:pPr>
      <w:r w:rsidRPr="00157C7D">
        <w:rPr>
          <w:rFonts w:ascii="Times New Roman" w:hAnsi="Times New Roman"/>
          <w:color w:val="auto"/>
          <w:sz w:val="24"/>
          <w:szCs w:val="24"/>
        </w:rPr>
        <w:t xml:space="preserve"> Inclusion and Exclusion Criteria</w:t>
      </w:r>
    </w:p>
    <w:p w14:paraId="3B4DC1AE" w14:textId="77777777" w:rsidR="00E22455" w:rsidRPr="00157C7D" w:rsidRDefault="00E22455" w:rsidP="00E22455">
      <w:pPr>
        <w:spacing w:after="0" w:line="240" w:lineRule="auto"/>
        <w:jc w:val="both"/>
        <w:rPr>
          <w:rFonts w:ascii="Times New Roman" w:hAnsi="Times New Roman" w:cs="Times New Roman"/>
          <w:sz w:val="24"/>
          <w:szCs w:val="24"/>
        </w:rPr>
      </w:pPr>
      <w:r w:rsidRPr="00157C7D">
        <w:rPr>
          <w:rFonts w:ascii="Times New Roman" w:hAnsi="Times New Roman" w:cs="Times New Roman"/>
          <w:sz w:val="24"/>
          <w:szCs w:val="24"/>
        </w:rPr>
        <w:t>The animals were examined for the following criteria to determine involvement in the study:</w:t>
      </w:r>
    </w:p>
    <w:p w14:paraId="310BFC1D" w14:textId="77777777" w:rsidR="00E22455" w:rsidRPr="00157C7D" w:rsidRDefault="00E22455" w:rsidP="00E22455">
      <w:pPr>
        <w:numPr>
          <w:ilvl w:val="0"/>
          <w:numId w:val="1"/>
        </w:numPr>
        <w:spacing w:before="240" w:after="0" w:line="240" w:lineRule="auto"/>
        <w:ind w:left="360"/>
        <w:jc w:val="both"/>
        <w:rPr>
          <w:rFonts w:ascii="Times New Roman" w:eastAsia="Times New Roman" w:hAnsi="Times New Roman" w:cs="Times New Roman"/>
          <w:sz w:val="24"/>
          <w:szCs w:val="24"/>
        </w:rPr>
      </w:pPr>
      <w:r w:rsidRPr="00157C7D">
        <w:rPr>
          <w:rFonts w:ascii="Times New Roman" w:eastAsia="Times New Roman" w:hAnsi="Times New Roman" w:cs="Times New Roman"/>
          <w:sz w:val="24"/>
          <w:szCs w:val="24"/>
        </w:rPr>
        <w:t>Sex and species:  Only male Wistar rats (</w:t>
      </w:r>
      <w:r w:rsidRPr="00157C7D">
        <w:rPr>
          <w:rFonts w:ascii="Times New Roman" w:eastAsia="Times New Roman" w:hAnsi="Times New Roman" w:cs="Times New Roman"/>
          <w:i/>
          <w:sz w:val="24"/>
          <w:szCs w:val="24"/>
        </w:rPr>
        <w:t>Rattus norvegicus</w:t>
      </w:r>
      <w:r w:rsidR="00CA590C">
        <w:rPr>
          <w:rFonts w:ascii="Times New Roman" w:eastAsia="Times New Roman" w:hAnsi="Times New Roman" w:cs="Times New Roman"/>
          <w:sz w:val="24"/>
          <w:szCs w:val="24"/>
        </w:rPr>
        <w:t>) were</w:t>
      </w:r>
      <w:r w:rsidRPr="00157C7D">
        <w:rPr>
          <w:rFonts w:ascii="Times New Roman" w:eastAsia="Times New Roman" w:hAnsi="Times New Roman" w:cs="Times New Roman"/>
          <w:sz w:val="24"/>
          <w:szCs w:val="24"/>
        </w:rPr>
        <w:t xml:space="preserve"> used for this study</w:t>
      </w:r>
    </w:p>
    <w:p w14:paraId="33D3BE73" w14:textId="77777777" w:rsidR="00E22455" w:rsidRPr="00157C7D" w:rsidRDefault="00E22455" w:rsidP="00E22455">
      <w:pPr>
        <w:pStyle w:val="ListParagraph"/>
        <w:numPr>
          <w:ilvl w:val="0"/>
          <w:numId w:val="1"/>
        </w:numPr>
        <w:spacing w:line="240" w:lineRule="auto"/>
        <w:ind w:left="360"/>
        <w:rPr>
          <w:rFonts w:ascii="Times New Roman" w:eastAsia="Times New Roman" w:hAnsi="Times New Roman" w:cs="Times New Roman"/>
          <w:sz w:val="24"/>
          <w:szCs w:val="24"/>
        </w:rPr>
      </w:pPr>
      <w:r w:rsidRPr="00157C7D">
        <w:rPr>
          <w:rFonts w:ascii="Times New Roman" w:eastAsia="Times New Roman" w:hAnsi="Times New Roman" w:cs="Times New Roman"/>
          <w:sz w:val="24"/>
          <w:szCs w:val="24"/>
        </w:rPr>
        <w:t>Weight:  Rats weighing between 200-250 grams at the start of the experiment were used for this study</w:t>
      </w:r>
    </w:p>
    <w:p w14:paraId="5D3E1A6B" w14:textId="77777777" w:rsidR="00E22455" w:rsidRPr="00157C7D" w:rsidRDefault="00E22455" w:rsidP="00E22455">
      <w:pPr>
        <w:numPr>
          <w:ilvl w:val="0"/>
          <w:numId w:val="1"/>
        </w:numPr>
        <w:spacing w:after="0" w:line="240" w:lineRule="auto"/>
        <w:ind w:left="360"/>
        <w:jc w:val="both"/>
        <w:rPr>
          <w:rFonts w:ascii="Times New Roman" w:eastAsia="Times New Roman" w:hAnsi="Times New Roman" w:cs="Times New Roman"/>
          <w:sz w:val="24"/>
          <w:szCs w:val="24"/>
        </w:rPr>
      </w:pPr>
      <w:r w:rsidRPr="00157C7D">
        <w:rPr>
          <w:rFonts w:ascii="Times New Roman" w:eastAsia="Times New Roman" w:hAnsi="Times New Roman" w:cs="Times New Roman"/>
          <w:sz w:val="24"/>
          <w:szCs w:val="24"/>
        </w:rPr>
        <w:t>Drug Exposure: Only rats with no prior drug exposure were included in the study to prevent interference with experimental outcomes.</w:t>
      </w:r>
    </w:p>
    <w:p w14:paraId="32885024" w14:textId="77777777" w:rsidR="00E22455" w:rsidRPr="00157C7D" w:rsidRDefault="00E22455" w:rsidP="00E22455">
      <w:pPr>
        <w:numPr>
          <w:ilvl w:val="0"/>
          <w:numId w:val="1"/>
        </w:numPr>
        <w:spacing w:after="0" w:line="240" w:lineRule="auto"/>
        <w:ind w:left="360"/>
        <w:jc w:val="both"/>
        <w:rPr>
          <w:rFonts w:ascii="Times New Roman" w:eastAsia="Times New Roman" w:hAnsi="Times New Roman" w:cs="Times New Roman"/>
          <w:sz w:val="24"/>
          <w:szCs w:val="24"/>
        </w:rPr>
      </w:pPr>
      <w:r w:rsidRPr="00157C7D">
        <w:rPr>
          <w:rFonts w:ascii="Times New Roman" w:eastAsia="Times New Roman" w:hAnsi="Times New Roman" w:cs="Times New Roman"/>
          <w:sz w:val="24"/>
          <w:szCs w:val="24"/>
        </w:rPr>
        <w:t xml:space="preserve">Acclimatization:  only rats that have undergone an acclimatization period of at least 7 days under standard laboratory conditions before treatment began, were used for this study. </w:t>
      </w:r>
    </w:p>
    <w:p w14:paraId="327743AE" w14:textId="77777777" w:rsidR="00E22455" w:rsidRPr="00157C7D" w:rsidRDefault="00CA590C" w:rsidP="00E22455">
      <w:pPr>
        <w:numPr>
          <w:ilvl w:val="0"/>
          <w:numId w:val="1"/>
        </w:numPr>
        <w:spacing w:after="0" w:line="240" w:lineRule="auto"/>
        <w:ind w:left="360"/>
        <w:jc w:val="both"/>
        <w:rPr>
          <w:rFonts w:ascii="Times New Roman" w:eastAsia="Times New Roman" w:hAnsi="Times New Roman" w:cs="Times New Roman"/>
          <w:sz w:val="24"/>
          <w:szCs w:val="24"/>
        </w:rPr>
      </w:pPr>
      <w:r w:rsidRPr="00157C7D">
        <w:rPr>
          <w:rFonts w:ascii="Times New Roman" w:eastAsia="Times New Roman" w:hAnsi="Times New Roman" w:cs="Times New Roman"/>
          <w:sz w:val="24"/>
          <w:szCs w:val="24"/>
        </w:rPr>
        <w:t>Viability</w:t>
      </w:r>
      <w:r w:rsidR="00E22455" w:rsidRPr="00157C7D">
        <w:rPr>
          <w:rFonts w:ascii="Times New Roman" w:eastAsia="Times New Roman" w:hAnsi="Times New Roman" w:cs="Times New Roman"/>
          <w:sz w:val="24"/>
          <w:szCs w:val="24"/>
        </w:rPr>
        <w:t xml:space="preserve">: Rats with physical inflamed damage prior or after acclimatization were </w:t>
      </w:r>
      <w:r>
        <w:rPr>
          <w:rFonts w:ascii="Times New Roman" w:eastAsia="Times New Roman" w:hAnsi="Times New Roman" w:cs="Times New Roman"/>
          <w:sz w:val="24"/>
          <w:szCs w:val="24"/>
        </w:rPr>
        <w:t xml:space="preserve">not </w:t>
      </w:r>
      <w:r w:rsidR="00E22455" w:rsidRPr="00157C7D">
        <w:rPr>
          <w:rFonts w:ascii="Times New Roman" w:eastAsia="Times New Roman" w:hAnsi="Times New Roman" w:cs="Times New Roman"/>
          <w:sz w:val="24"/>
          <w:szCs w:val="24"/>
        </w:rPr>
        <w:t>used for this study. This is to reduce  error in result as the work involves induction of mild  systemic inflammation</w:t>
      </w:r>
    </w:p>
    <w:p w14:paraId="246C3272" w14:textId="77777777" w:rsidR="00E22455" w:rsidRPr="00157C7D" w:rsidRDefault="00E22455" w:rsidP="00E22455">
      <w:pPr>
        <w:pStyle w:val="Heading2"/>
        <w:tabs>
          <w:tab w:val="center" w:pos="1774"/>
        </w:tabs>
        <w:spacing w:line="276" w:lineRule="auto"/>
        <w:ind w:left="-15"/>
        <w:jc w:val="both"/>
        <w:rPr>
          <w:rFonts w:ascii="Times New Roman" w:hAnsi="Times New Roman"/>
          <w:color w:val="auto"/>
          <w:sz w:val="24"/>
          <w:szCs w:val="24"/>
        </w:rPr>
      </w:pPr>
      <w:r w:rsidRPr="00157C7D">
        <w:rPr>
          <w:rFonts w:ascii="Times New Roman" w:hAnsi="Times New Roman"/>
          <w:color w:val="auto"/>
          <w:sz w:val="24"/>
          <w:szCs w:val="24"/>
        </w:rPr>
        <w:t>Experimental  induction Design</w:t>
      </w:r>
    </w:p>
    <w:p w14:paraId="65D7F6C9" w14:textId="77777777" w:rsidR="00E22455" w:rsidRPr="00157C7D" w:rsidRDefault="00E22455" w:rsidP="00E22455">
      <w:pPr>
        <w:pStyle w:val="NormalWeb"/>
        <w:jc w:val="both"/>
      </w:pPr>
      <w:r w:rsidRPr="00157C7D">
        <w:t>Induction of  Incomplete Freund’s Adjuvant (FIA) was in accordance with previously published method (Kolstad,</w:t>
      </w:r>
      <w:r w:rsidRPr="00157C7D">
        <w:rPr>
          <w:i/>
        </w:rPr>
        <w:t xml:space="preserve"> et al , </w:t>
      </w:r>
      <w:r w:rsidRPr="00157C7D">
        <w:t xml:space="preserve">2012). Incomplete Freund’s Adjuvant (FIA) was administered via </w:t>
      </w:r>
      <w:r w:rsidRPr="00157C7D">
        <w:rPr>
          <w:rStyle w:val="Strong"/>
        </w:rPr>
        <w:t>subcutaneous injection</w:t>
      </w:r>
      <w:r w:rsidRPr="00157C7D">
        <w:t xml:space="preserve">. Each rat will receive </w:t>
      </w:r>
      <w:r w:rsidRPr="00157C7D">
        <w:rPr>
          <w:rStyle w:val="Strong"/>
        </w:rPr>
        <w:t>0.1 mL of FIA per injection site</w:t>
      </w:r>
      <w:r w:rsidRPr="00157C7D">
        <w:t xml:space="preserve">, with injections delivered at the </w:t>
      </w:r>
      <w:r w:rsidRPr="00157C7D">
        <w:rPr>
          <w:rStyle w:val="Strong"/>
        </w:rPr>
        <w:t>base of the tail</w:t>
      </w:r>
      <w:r w:rsidRPr="00157C7D">
        <w:t xml:space="preserve"> to produce localized mild inflammation while minimizing systemic toxicity. Acetaminophen and </w:t>
      </w:r>
      <w:r w:rsidRPr="00157C7D">
        <w:rPr>
          <w:rStyle w:val="Emphasis"/>
        </w:rPr>
        <w:t>Agbo Iba</w:t>
      </w:r>
      <w:r w:rsidRPr="00157C7D">
        <w:t xml:space="preserve"> was  administered orally  in their respective doses a day following FIA injection and daily thereafter for the study duration. This approach is designed to produce a measurable pain-like response without inducing severe arthritis, thereby enabling the evaluation of the analgesic and protective effects of the test agents. The induction of FIA was used to mimic the chronic inflammation involving pyrogenic ( fever-causing) cytokines such as </w:t>
      </w:r>
      <w:r w:rsidRPr="00157C7D">
        <w:rPr>
          <w:color w:val="000000" w:themeColor="text1"/>
        </w:rPr>
        <w:t>TNF-α and IL-6 (</w:t>
      </w:r>
      <w:r w:rsidRPr="00157C7D">
        <w:t>Kolstad,</w:t>
      </w:r>
      <w:r w:rsidRPr="00157C7D">
        <w:rPr>
          <w:i/>
        </w:rPr>
        <w:t xml:space="preserve"> et al , </w:t>
      </w:r>
      <w:r w:rsidRPr="00157C7D">
        <w:t>2012, Billiau and Matthys, 2001)</w:t>
      </w:r>
    </w:p>
    <w:p w14:paraId="29235FC7" w14:textId="77777777" w:rsidR="00E22455" w:rsidRPr="00157C7D" w:rsidRDefault="00E22455" w:rsidP="00E22455">
      <w:pPr>
        <w:rPr>
          <w:rFonts w:ascii="Times New Roman" w:hAnsi="Times New Roman" w:cs="Times New Roman"/>
          <w:b/>
        </w:rPr>
      </w:pPr>
      <w:r w:rsidRPr="00157C7D">
        <w:rPr>
          <w:rFonts w:ascii="Times New Roman" w:hAnsi="Times New Roman" w:cs="Times New Roman"/>
          <w:b/>
          <w:sz w:val="24"/>
          <w:szCs w:val="24"/>
        </w:rPr>
        <w:t>The Agbo Iba Preparation</w:t>
      </w:r>
    </w:p>
    <w:p w14:paraId="4D1E1834" w14:textId="77777777" w:rsidR="00E22455" w:rsidRPr="00157C7D" w:rsidRDefault="00E22455" w:rsidP="00E22455">
      <w:pPr>
        <w:jc w:val="both"/>
        <w:rPr>
          <w:rFonts w:ascii="Times New Roman" w:hAnsi="Times New Roman" w:cs="Times New Roman"/>
        </w:rPr>
      </w:pPr>
      <w:r w:rsidRPr="00157C7D">
        <w:rPr>
          <w:rFonts w:ascii="Times New Roman" w:hAnsi="Times New Roman" w:cs="Times New Roman"/>
          <w:sz w:val="24"/>
          <w:szCs w:val="24"/>
        </w:rPr>
        <w:t>Agbo Iba is a standard decoction of neem leave or dogonyaro (</w:t>
      </w:r>
      <w:r w:rsidRPr="00157C7D">
        <w:rPr>
          <w:rFonts w:ascii="Times New Roman" w:hAnsi="Times New Roman" w:cs="Times New Roman"/>
          <w:i/>
          <w:sz w:val="24"/>
          <w:szCs w:val="24"/>
        </w:rPr>
        <w:t>Azadiracta Indica</w:t>
      </w:r>
      <w:r w:rsidRPr="00157C7D">
        <w:rPr>
          <w:rFonts w:ascii="Times New Roman" w:hAnsi="Times New Roman" w:cs="Times New Roman"/>
          <w:sz w:val="24"/>
          <w:szCs w:val="24"/>
        </w:rPr>
        <w:t>), mango bark (</w:t>
      </w:r>
      <w:r w:rsidRPr="00157C7D">
        <w:rPr>
          <w:rFonts w:ascii="Times New Roman" w:hAnsi="Times New Roman" w:cs="Times New Roman"/>
          <w:i/>
          <w:sz w:val="24"/>
          <w:szCs w:val="24"/>
        </w:rPr>
        <w:t>mangifera indica</w:t>
      </w:r>
      <w:r w:rsidRPr="00157C7D">
        <w:rPr>
          <w:rFonts w:ascii="Times New Roman" w:hAnsi="Times New Roman" w:cs="Times New Roman"/>
          <w:sz w:val="24"/>
          <w:szCs w:val="24"/>
        </w:rPr>
        <w:t>), guava (</w:t>
      </w:r>
      <w:r w:rsidRPr="00157C7D">
        <w:rPr>
          <w:rFonts w:ascii="Times New Roman" w:hAnsi="Times New Roman" w:cs="Times New Roman"/>
          <w:i/>
          <w:sz w:val="24"/>
          <w:szCs w:val="24"/>
        </w:rPr>
        <w:t>Psidium guajava</w:t>
      </w:r>
      <w:r w:rsidRPr="00157C7D">
        <w:rPr>
          <w:rFonts w:ascii="Times New Roman" w:hAnsi="Times New Roman" w:cs="Times New Roman"/>
          <w:sz w:val="24"/>
          <w:szCs w:val="24"/>
        </w:rPr>
        <w:t>) leaves, lemon grass (</w:t>
      </w:r>
      <w:r w:rsidRPr="00157C7D">
        <w:rPr>
          <w:rFonts w:ascii="Times New Roman" w:hAnsi="Times New Roman" w:cs="Times New Roman"/>
          <w:i/>
          <w:sz w:val="24"/>
          <w:szCs w:val="24"/>
        </w:rPr>
        <w:t>Cymbopogon citratus</w:t>
      </w:r>
      <w:r w:rsidRPr="00157C7D">
        <w:rPr>
          <w:rFonts w:ascii="Times New Roman" w:hAnsi="Times New Roman" w:cs="Times New Roman"/>
          <w:sz w:val="24"/>
          <w:szCs w:val="24"/>
        </w:rPr>
        <w:t>) and bitter leaf (</w:t>
      </w:r>
      <w:r w:rsidRPr="00157C7D">
        <w:rPr>
          <w:rFonts w:ascii="Times New Roman" w:hAnsi="Times New Roman" w:cs="Times New Roman"/>
          <w:i/>
          <w:sz w:val="24"/>
          <w:szCs w:val="24"/>
        </w:rPr>
        <w:t>vernonia amygdalina)</w:t>
      </w:r>
      <w:r w:rsidRPr="00157C7D">
        <w:rPr>
          <w:rFonts w:ascii="Times New Roman" w:hAnsi="Times New Roman" w:cs="Times New Roman"/>
          <w:sz w:val="24"/>
          <w:szCs w:val="24"/>
        </w:rPr>
        <w:t xml:space="preserve">.  The preparation doesn’t have a standardize herbs, dosage or concentration, even though some herbs are common in the preparations. In addition, the selected plant was in accordance with the work of </w:t>
      </w:r>
      <w:r w:rsidRPr="00157C7D">
        <w:rPr>
          <w:rFonts w:ascii="Times New Roman" w:hAnsi="Times New Roman" w:cs="Times New Roman"/>
        </w:rPr>
        <w:t xml:space="preserve">Iyama and Idu (2017). This w was selected because the plant component could be found almost anywhere within the region. </w:t>
      </w:r>
    </w:p>
    <w:p w14:paraId="1693649A" w14:textId="77777777" w:rsidR="00E22455" w:rsidRPr="00157C7D" w:rsidRDefault="00E22455" w:rsidP="00E22455">
      <w:pPr>
        <w:jc w:val="both"/>
        <w:rPr>
          <w:rFonts w:ascii="Times New Roman" w:hAnsi="Times New Roman" w:cs="Times New Roman"/>
          <w:sz w:val="24"/>
          <w:szCs w:val="24"/>
        </w:rPr>
      </w:pPr>
      <w:r w:rsidRPr="00157C7D">
        <w:rPr>
          <w:rFonts w:ascii="Times New Roman" w:hAnsi="Times New Roman" w:cs="Times New Roman"/>
          <w:sz w:val="24"/>
          <w:szCs w:val="24"/>
        </w:rPr>
        <w:t>The polyherbal decoction was prepared based on  recommendations  including that of World Health Organization for Herbal Preparations (Monaga,</w:t>
      </w:r>
      <w:r w:rsidRPr="00157C7D">
        <w:rPr>
          <w:rFonts w:ascii="Times New Roman" w:hAnsi="Times New Roman" w:cs="Times New Roman"/>
          <w:i/>
          <w:sz w:val="24"/>
          <w:szCs w:val="24"/>
        </w:rPr>
        <w:t xml:space="preserve"> et al </w:t>
      </w:r>
      <w:r w:rsidRPr="00157C7D">
        <w:rPr>
          <w:rFonts w:ascii="Times New Roman" w:hAnsi="Times New Roman" w:cs="Times New Roman"/>
          <w:sz w:val="24"/>
          <w:szCs w:val="24"/>
        </w:rPr>
        <w:t>., 2022; WHO, 2018).</w:t>
      </w:r>
      <w:r w:rsidRPr="00157C7D">
        <w:rPr>
          <w:rFonts w:ascii="Times New Roman" w:hAnsi="Times New Roman" w:cs="Times New Roman"/>
        </w:rPr>
        <w:t xml:space="preserve"> </w:t>
      </w:r>
      <w:r w:rsidRPr="00157C7D">
        <w:rPr>
          <w:rFonts w:ascii="Times New Roman" w:hAnsi="Times New Roman" w:cs="Times New Roman"/>
          <w:sz w:val="24"/>
          <w:szCs w:val="24"/>
        </w:rPr>
        <w:t xml:space="preserve">The plants parts were freshly collected and dried under the sun (to avoid denature that may come from dryer or oven heat). They were mixed in   1:1:1:1:1 mass  ratio and grinded to powder. In the powder form, they were soaked in water (ethanol is a better solvent for extraction but it was not used so as to avoid false results due to ethanol toxicity). The mixture was boiled for 30 minutes.  The extract was concentrated and dried to obtain a measurable yield for administration. This was adopted to better utilize the active ingredients (as ethanol was not used).  </w:t>
      </w:r>
    </w:p>
    <w:p w14:paraId="2F871607" w14:textId="77777777" w:rsidR="00E22455" w:rsidRPr="00157C7D" w:rsidRDefault="00E22455" w:rsidP="00E22455">
      <w:pPr>
        <w:pStyle w:val="Heading2"/>
        <w:spacing w:after="160" w:line="276" w:lineRule="auto"/>
        <w:ind w:left="-5"/>
        <w:jc w:val="both"/>
        <w:rPr>
          <w:rFonts w:ascii="Times New Roman" w:hAnsi="Times New Roman"/>
          <w:color w:val="auto"/>
          <w:sz w:val="24"/>
          <w:szCs w:val="24"/>
        </w:rPr>
      </w:pPr>
      <w:r w:rsidRPr="00157C7D">
        <w:rPr>
          <w:rFonts w:ascii="Times New Roman" w:hAnsi="Times New Roman"/>
          <w:color w:val="auto"/>
          <w:sz w:val="24"/>
          <w:szCs w:val="24"/>
        </w:rPr>
        <w:t xml:space="preserve">Determination of Sub-acute toxicity (LD50) effect of the extracts </w:t>
      </w:r>
    </w:p>
    <w:p w14:paraId="6C64D937" w14:textId="77777777" w:rsidR="00E22455" w:rsidRPr="00157C7D" w:rsidRDefault="00E22455" w:rsidP="00E22455">
      <w:pPr>
        <w:ind w:left="-5" w:right="58"/>
        <w:jc w:val="both"/>
        <w:rPr>
          <w:rFonts w:ascii="Times New Roman" w:hAnsi="Times New Roman" w:cs="Times New Roman"/>
          <w:sz w:val="24"/>
          <w:szCs w:val="24"/>
        </w:rPr>
      </w:pPr>
      <w:r w:rsidRPr="00157C7D">
        <w:rPr>
          <w:rFonts w:ascii="Times New Roman" w:hAnsi="Times New Roman" w:cs="Times New Roman"/>
          <w:sz w:val="24"/>
          <w:szCs w:val="24"/>
        </w:rPr>
        <w:t>The acute toxicity of the each extract was determined in rats using the method of Lorke (1983) as reported by Orieke</w:t>
      </w:r>
      <w:r w:rsidRPr="00157C7D">
        <w:rPr>
          <w:rFonts w:ascii="Times New Roman" w:hAnsi="Times New Roman" w:cs="Times New Roman"/>
          <w:i/>
          <w:sz w:val="24"/>
          <w:szCs w:val="24"/>
        </w:rPr>
        <w:t xml:space="preserve"> </w:t>
      </w:r>
      <w:r w:rsidRPr="00157C7D">
        <w:rPr>
          <w:rFonts w:ascii="Times New Roman" w:hAnsi="Times New Roman" w:cs="Times New Roman"/>
          <w:sz w:val="24"/>
          <w:szCs w:val="24"/>
        </w:rPr>
        <w:t>et al</w:t>
      </w:r>
      <w:r w:rsidRPr="00157C7D">
        <w:rPr>
          <w:rFonts w:ascii="Times New Roman" w:hAnsi="Times New Roman" w:cs="Times New Roman"/>
          <w:i/>
          <w:sz w:val="24"/>
          <w:szCs w:val="24"/>
        </w:rPr>
        <w:t xml:space="preserve"> </w:t>
      </w:r>
      <w:r w:rsidRPr="00157C7D">
        <w:rPr>
          <w:rFonts w:ascii="Times New Roman" w:hAnsi="Times New Roman" w:cs="Times New Roman"/>
          <w:sz w:val="24"/>
          <w:szCs w:val="24"/>
        </w:rPr>
        <w:t xml:space="preserve">(2019). The tests involve two phases. In the first phase, 9 rats assigned to 3 groups were given 10, 100 and 1000 mg/kg body weight oral doses of the extract. The death or survival records in first phase was determined the doses used for the second phase. In the second phase, another set of 9 rats also assigned to 3 groups of 3 rats each were treated with 1600, 2900 and 5000 mg/kg body weight of the extract respectively if death doesn’t occur in the first phase. The treated animals were observed for 24hours and a further 7 days for signs of toxicity and lethality. </w:t>
      </w:r>
    </w:p>
    <w:p w14:paraId="73EE088A" w14:textId="77777777" w:rsidR="00E22455" w:rsidRPr="00157C7D" w:rsidRDefault="00E22455" w:rsidP="00E22455">
      <w:pPr>
        <w:rPr>
          <w:rFonts w:ascii="Times New Roman" w:hAnsi="Times New Roman" w:cs="Times New Roman"/>
          <w:sz w:val="24"/>
          <w:szCs w:val="24"/>
        </w:rPr>
      </w:pPr>
      <w:r w:rsidRPr="00157C7D">
        <w:rPr>
          <w:rFonts w:ascii="Times New Roman" w:hAnsi="Times New Roman" w:cs="Times New Roman"/>
          <w:sz w:val="24"/>
          <w:szCs w:val="24"/>
        </w:rPr>
        <w:t xml:space="preserve">The lethal dose of the herbal extract was found to be greater than 5000mg/kg.  500mg/kg  of the herbal extract was selected for comparison of  efficacy and not doses. The dose of Agbor represents only one-tenth of the 5000mg/kg for which its lethal dose is above. In addition, doses within this range are commonly employed in experimental studies involving crude plant extracts. </w:t>
      </w:r>
    </w:p>
    <w:p w14:paraId="0DCA9630" w14:textId="77777777" w:rsidR="00E22455" w:rsidRPr="00157C7D" w:rsidRDefault="00E22455" w:rsidP="00E22455">
      <w:pPr>
        <w:rPr>
          <w:rFonts w:ascii="Times New Roman" w:hAnsi="Times New Roman" w:cs="Times New Roman"/>
          <w:b/>
          <w:sz w:val="24"/>
          <w:szCs w:val="24"/>
        </w:rPr>
      </w:pPr>
      <w:r w:rsidRPr="00157C7D">
        <w:rPr>
          <w:rFonts w:ascii="Times New Roman" w:hAnsi="Times New Roman" w:cs="Times New Roman"/>
          <w:b/>
          <w:sz w:val="24"/>
          <w:szCs w:val="24"/>
        </w:rPr>
        <w:t>Acetaminophen and Vitamin C Administration</w:t>
      </w:r>
    </w:p>
    <w:p w14:paraId="2FF07340" w14:textId="77777777" w:rsidR="00E22455" w:rsidRPr="00157C7D" w:rsidRDefault="00E22455" w:rsidP="00E22455">
      <w:pPr>
        <w:ind w:left="-5" w:right="58"/>
        <w:jc w:val="both"/>
        <w:rPr>
          <w:rFonts w:ascii="Times New Roman" w:hAnsi="Times New Roman" w:cs="Times New Roman"/>
          <w:sz w:val="24"/>
          <w:szCs w:val="24"/>
        </w:rPr>
      </w:pPr>
      <w:r w:rsidRPr="00157C7D">
        <w:rPr>
          <w:rFonts w:ascii="Times New Roman" w:hAnsi="Times New Roman" w:cs="Times New Roman"/>
          <w:sz w:val="24"/>
          <w:szCs w:val="24"/>
        </w:rPr>
        <w:t>Acetaminophen  and  white Vitamin C  tablet will be bought from a pharmacy in Umuahia, Abia State. They will be concentrated as 10mg/ mil of water. A dose of 300mg/kg of Acetaminophen and 100mg/kg of vitamin C will be for the groups and positive group respectively. Administration of Agbo Iba, Acetaminophen and Vitamin C will be for 14 days. These dose were used to reflect a dose for 14 days study of notable biochemical effect with no record of mortality  (Yakubu,</w:t>
      </w:r>
      <w:r w:rsidRPr="00157C7D">
        <w:rPr>
          <w:rFonts w:ascii="Times New Roman" w:hAnsi="Times New Roman" w:cs="Times New Roman"/>
          <w:i/>
          <w:sz w:val="24"/>
          <w:szCs w:val="24"/>
        </w:rPr>
        <w:t xml:space="preserve"> et al </w:t>
      </w:r>
      <w:r w:rsidRPr="00157C7D">
        <w:rPr>
          <w:rFonts w:ascii="Times New Roman" w:hAnsi="Times New Roman" w:cs="Times New Roman"/>
          <w:sz w:val="24"/>
          <w:szCs w:val="24"/>
        </w:rPr>
        <w:t xml:space="preserve">., 2013,  </w:t>
      </w:r>
      <w:r w:rsidRPr="00157C7D">
        <w:rPr>
          <w:rFonts w:ascii="Times New Roman" w:eastAsia="Times New Roman" w:hAnsi="Times New Roman" w:cs="Times New Roman"/>
          <w:bCs/>
          <w:sz w:val="24"/>
          <w:szCs w:val="24"/>
        </w:rPr>
        <w:t>Akinmoladun</w:t>
      </w:r>
      <w:r w:rsidRPr="00157C7D">
        <w:rPr>
          <w:rFonts w:ascii="Times New Roman" w:hAnsi="Times New Roman" w:cs="Times New Roman"/>
          <w:sz w:val="24"/>
          <w:szCs w:val="24"/>
        </w:rPr>
        <w:t>,</w:t>
      </w:r>
      <w:r w:rsidRPr="00157C7D">
        <w:rPr>
          <w:rFonts w:ascii="Times New Roman" w:hAnsi="Times New Roman" w:cs="Times New Roman"/>
          <w:i/>
          <w:sz w:val="24"/>
          <w:szCs w:val="24"/>
        </w:rPr>
        <w:t xml:space="preserve"> et al </w:t>
      </w:r>
      <w:r w:rsidRPr="00157C7D">
        <w:rPr>
          <w:rFonts w:ascii="Times New Roman" w:hAnsi="Times New Roman" w:cs="Times New Roman"/>
          <w:sz w:val="24"/>
          <w:szCs w:val="24"/>
        </w:rPr>
        <w:t xml:space="preserve">., 2017, </w:t>
      </w:r>
      <w:r w:rsidRPr="00157C7D">
        <w:rPr>
          <w:rFonts w:ascii="Times New Roman" w:eastAsia="Times New Roman" w:hAnsi="Times New Roman" w:cs="Times New Roman"/>
          <w:bCs/>
          <w:sz w:val="24"/>
          <w:szCs w:val="24"/>
        </w:rPr>
        <w:t>Ezeja,</w:t>
      </w:r>
      <w:r w:rsidRPr="00157C7D">
        <w:rPr>
          <w:rFonts w:ascii="Times New Roman" w:eastAsia="Times New Roman" w:hAnsi="Times New Roman" w:cs="Times New Roman"/>
          <w:bCs/>
          <w:i/>
          <w:sz w:val="24"/>
          <w:szCs w:val="24"/>
        </w:rPr>
        <w:t xml:space="preserve"> et al., </w:t>
      </w:r>
      <w:r w:rsidRPr="00157C7D">
        <w:rPr>
          <w:rFonts w:ascii="Times New Roman" w:eastAsia="Times New Roman" w:hAnsi="Times New Roman" w:cs="Times New Roman"/>
          <w:bCs/>
          <w:sz w:val="24"/>
          <w:szCs w:val="24"/>
        </w:rPr>
        <w:t>2015</w:t>
      </w:r>
      <w:r w:rsidRPr="00157C7D">
        <w:rPr>
          <w:rFonts w:ascii="Times New Roman" w:hAnsi="Times New Roman" w:cs="Times New Roman"/>
          <w:sz w:val="24"/>
          <w:szCs w:val="24"/>
        </w:rPr>
        <w:t>)</w:t>
      </w:r>
    </w:p>
    <w:p w14:paraId="3682207D" w14:textId="77777777" w:rsidR="00E22455" w:rsidRPr="00157C7D" w:rsidRDefault="00E22455" w:rsidP="00E22455">
      <w:pPr>
        <w:rPr>
          <w:rFonts w:ascii="Times New Roman" w:hAnsi="Times New Roman" w:cs="Times New Roman"/>
          <w:b/>
          <w:sz w:val="24"/>
          <w:szCs w:val="24"/>
        </w:rPr>
      </w:pPr>
      <w:r w:rsidRPr="00157C7D">
        <w:rPr>
          <w:rFonts w:ascii="Times New Roman" w:hAnsi="Times New Roman" w:cs="Times New Roman"/>
          <w:b/>
          <w:sz w:val="24"/>
          <w:szCs w:val="24"/>
        </w:rPr>
        <w:t>Administration Sequence And Animal use</w:t>
      </w:r>
    </w:p>
    <w:p w14:paraId="392524C4" w14:textId="77777777" w:rsidR="00E22455" w:rsidRPr="00157C7D" w:rsidRDefault="00E22455" w:rsidP="00E22455">
      <w:pPr>
        <w:rPr>
          <w:rFonts w:ascii="Times New Roman" w:hAnsi="Times New Roman" w:cs="Times New Roman"/>
          <w:sz w:val="24"/>
          <w:szCs w:val="24"/>
        </w:rPr>
      </w:pPr>
      <w:r w:rsidRPr="00157C7D">
        <w:rPr>
          <w:rFonts w:ascii="Times New Roman" w:hAnsi="Times New Roman" w:cs="Times New Roman"/>
          <w:sz w:val="24"/>
          <w:szCs w:val="24"/>
        </w:rPr>
        <w:t>To mimic human administrative pattern,  and to maximize intera</w:t>
      </w:r>
      <w:r w:rsidR="00CA590C">
        <w:rPr>
          <w:rFonts w:ascii="Times New Roman" w:hAnsi="Times New Roman" w:cs="Times New Roman"/>
          <w:sz w:val="24"/>
          <w:szCs w:val="24"/>
        </w:rPr>
        <w:t>ction, Agbo Iba were</w:t>
      </w:r>
      <w:r w:rsidRPr="00157C7D">
        <w:rPr>
          <w:rFonts w:ascii="Times New Roman" w:hAnsi="Times New Roman" w:cs="Times New Roman"/>
          <w:sz w:val="24"/>
          <w:szCs w:val="24"/>
        </w:rPr>
        <w:t xml:space="preserve"> given first. 30 minu</w:t>
      </w:r>
      <w:r w:rsidR="00CA590C">
        <w:rPr>
          <w:rFonts w:ascii="Times New Roman" w:hAnsi="Times New Roman" w:cs="Times New Roman"/>
          <w:sz w:val="24"/>
          <w:szCs w:val="24"/>
        </w:rPr>
        <w:t>tes later, Acetaminophen</w:t>
      </w:r>
      <w:r w:rsidRPr="00157C7D">
        <w:rPr>
          <w:rFonts w:ascii="Times New Roman" w:hAnsi="Times New Roman" w:cs="Times New Roman"/>
          <w:sz w:val="24"/>
          <w:szCs w:val="24"/>
        </w:rPr>
        <w:t xml:space="preserve"> given after which</w:t>
      </w:r>
      <w:r w:rsidR="00CA590C">
        <w:rPr>
          <w:rFonts w:ascii="Times New Roman" w:hAnsi="Times New Roman" w:cs="Times New Roman"/>
          <w:sz w:val="24"/>
          <w:szCs w:val="24"/>
        </w:rPr>
        <w:t xml:space="preserve">  Vitamin C (100 mg/kg) </w:t>
      </w:r>
      <w:r w:rsidRPr="00157C7D">
        <w:rPr>
          <w:rFonts w:ascii="Times New Roman" w:hAnsi="Times New Roman" w:cs="Times New Roman"/>
          <w:sz w:val="24"/>
          <w:szCs w:val="24"/>
        </w:rPr>
        <w:t xml:space="preserve">administered. </w:t>
      </w:r>
    </w:p>
    <w:p w14:paraId="6100465F" w14:textId="77777777" w:rsidR="00E22455" w:rsidRPr="00157C7D" w:rsidRDefault="00E22455" w:rsidP="00E22455">
      <w:pPr>
        <w:rPr>
          <w:rFonts w:ascii="Times New Roman" w:hAnsi="Times New Roman" w:cs="Times New Roman"/>
        </w:rPr>
      </w:pPr>
      <w:r w:rsidRPr="00157C7D">
        <w:rPr>
          <w:rFonts w:ascii="Times New Roman" w:hAnsi="Times New Roman" w:cs="Times New Roman"/>
        </w:rPr>
        <w:t xml:space="preserve"> </w:t>
      </w:r>
    </w:p>
    <w:p w14:paraId="62989C2D" w14:textId="77777777" w:rsidR="00E22455" w:rsidRPr="00157C7D" w:rsidRDefault="00E22455" w:rsidP="00E22455">
      <w:pPr>
        <w:ind w:left="-5" w:right="58"/>
        <w:rPr>
          <w:rFonts w:ascii="Times New Roman" w:hAnsi="Times New Roman" w:cs="Times New Roman"/>
          <w:sz w:val="24"/>
          <w:szCs w:val="24"/>
        </w:rPr>
      </w:pPr>
      <w:r w:rsidRPr="00157C7D">
        <w:rPr>
          <w:rFonts w:ascii="Times New Roman" w:hAnsi="Times New Roman" w:cs="Times New Roman"/>
          <w:b/>
          <w:bCs/>
          <w:sz w:val="24"/>
          <w:szCs w:val="24"/>
        </w:rPr>
        <w:t>Table 1</w:t>
      </w:r>
      <w:r>
        <w:rPr>
          <w:rFonts w:ascii="Times New Roman" w:hAnsi="Times New Roman" w:cs="Times New Roman"/>
          <w:b/>
          <w:bCs/>
          <w:sz w:val="24"/>
          <w:szCs w:val="24"/>
        </w:rPr>
        <w:t>a</w:t>
      </w:r>
      <w:r w:rsidRPr="00157C7D">
        <w:rPr>
          <w:rFonts w:ascii="Times New Roman" w:hAnsi="Times New Roman" w:cs="Times New Roman"/>
          <w:b/>
          <w:bCs/>
          <w:sz w:val="24"/>
          <w:szCs w:val="24"/>
        </w:rPr>
        <w:t xml:space="preserve">:  </w:t>
      </w:r>
      <w:r w:rsidRPr="00157C7D">
        <w:rPr>
          <w:rFonts w:ascii="Times New Roman" w:hAnsi="Times New Roman" w:cs="Times New Roman"/>
          <w:sz w:val="24"/>
          <w:szCs w:val="24"/>
        </w:rPr>
        <w:t>Groups of the Experimental animals with treatments of each groups</w:t>
      </w:r>
    </w:p>
    <w:tbl>
      <w:tblPr>
        <w:tblW w:w="91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353"/>
        <w:gridCol w:w="4680"/>
      </w:tblGrid>
      <w:tr w:rsidR="00E22455" w:rsidRPr="00157C7D" w14:paraId="60241983" w14:textId="77777777" w:rsidTr="00E57AA9">
        <w:trPr>
          <w:trHeight w:val="432"/>
        </w:trPr>
        <w:tc>
          <w:tcPr>
            <w:tcW w:w="1080" w:type="dxa"/>
          </w:tcPr>
          <w:p w14:paraId="13AC593F"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b/>
                <w:bCs/>
                <w:color w:val="auto"/>
                <w:lang w:val="fr-FR" w:eastAsia="fr-FR"/>
              </w:rPr>
              <w:t xml:space="preserve">Group </w:t>
            </w:r>
          </w:p>
        </w:tc>
        <w:tc>
          <w:tcPr>
            <w:tcW w:w="3353" w:type="dxa"/>
          </w:tcPr>
          <w:p w14:paraId="55E872C5" w14:textId="77777777" w:rsidR="00E22455" w:rsidRPr="00157C7D" w:rsidRDefault="00E22455" w:rsidP="00E57AA9">
            <w:pPr>
              <w:pStyle w:val="Default"/>
              <w:jc w:val="both"/>
              <w:rPr>
                <w:rFonts w:ascii="Times New Roman" w:hAnsi="Times New Roman" w:cs="Times New Roman"/>
                <w:b/>
                <w:bCs/>
                <w:color w:val="auto"/>
                <w:lang w:val="fr-FR" w:eastAsia="fr-FR"/>
              </w:rPr>
            </w:pPr>
            <w:r w:rsidRPr="00157C7D">
              <w:rPr>
                <w:rFonts w:ascii="Times New Roman" w:hAnsi="Times New Roman" w:cs="Times New Roman"/>
                <w:b/>
                <w:bCs/>
                <w:color w:val="auto"/>
                <w:lang w:val="fr-FR" w:eastAsia="fr-FR"/>
              </w:rPr>
              <w:t>Group Name</w:t>
            </w:r>
          </w:p>
        </w:tc>
        <w:tc>
          <w:tcPr>
            <w:tcW w:w="4680" w:type="dxa"/>
          </w:tcPr>
          <w:p w14:paraId="5187C1D6"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b/>
                <w:bCs/>
                <w:color w:val="auto"/>
                <w:lang w:val="fr-FR" w:eastAsia="fr-FR"/>
              </w:rPr>
              <w:t xml:space="preserve">Treatment/Drug Administered </w:t>
            </w:r>
          </w:p>
        </w:tc>
      </w:tr>
      <w:tr w:rsidR="00E22455" w:rsidRPr="00157C7D" w14:paraId="4C5164BC" w14:textId="77777777" w:rsidTr="00E57AA9">
        <w:trPr>
          <w:trHeight w:val="350"/>
        </w:trPr>
        <w:tc>
          <w:tcPr>
            <w:tcW w:w="1080" w:type="dxa"/>
          </w:tcPr>
          <w:p w14:paraId="63F3B092"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 xml:space="preserve">Group 1 </w:t>
            </w:r>
          </w:p>
        </w:tc>
        <w:tc>
          <w:tcPr>
            <w:tcW w:w="3353" w:type="dxa"/>
          </w:tcPr>
          <w:p w14:paraId="16C9C628"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rPr>
              <w:t>Vehicle control</w:t>
            </w:r>
          </w:p>
        </w:tc>
        <w:tc>
          <w:tcPr>
            <w:tcW w:w="4680" w:type="dxa"/>
          </w:tcPr>
          <w:p w14:paraId="55C39C56"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 xml:space="preserve">Normal Saline </w:t>
            </w:r>
          </w:p>
        </w:tc>
      </w:tr>
      <w:tr w:rsidR="00E22455" w:rsidRPr="00157C7D" w14:paraId="54C1C071" w14:textId="77777777" w:rsidTr="00E57AA9">
        <w:trPr>
          <w:trHeight w:val="432"/>
        </w:trPr>
        <w:tc>
          <w:tcPr>
            <w:tcW w:w="1080" w:type="dxa"/>
          </w:tcPr>
          <w:p w14:paraId="699263CD"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 xml:space="preserve">Group 2 </w:t>
            </w:r>
          </w:p>
        </w:tc>
        <w:tc>
          <w:tcPr>
            <w:tcW w:w="3353" w:type="dxa"/>
          </w:tcPr>
          <w:p w14:paraId="300B91B4" w14:textId="77777777" w:rsidR="00E22455" w:rsidRPr="00157C7D" w:rsidRDefault="00E22455" w:rsidP="00E57AA9">
            <w:pPr>
              <w:pStyle w:val="Default"/>
              <w:tabs>
                <w:tab w:val="left" w:pos="2490"/>
              </w:tabs>
              <w:jc w:val="both"/>
              <w:rPr>
                <w:rFonts w:ascii="Times New Roman" w:hAnsi="Times New Roman" w:cs="Times New Roman"/>
                <w:color w:val="auto"/>
                <w:lang w:val="fr-FR" w:eastAsia="fr-FR"/>
              </w:rPr>
            </w:pPr>
            <w:r w:rsidRPr="00157C7D">
              <w:rPr>
                <w:rFonts w:ascii="Times New Roman" w:hAnsi="Times New Roman" w:cs="Times New Roman"/>
                <w:color w:val="auto"/>
              </w:rPr>
              <w:t>Negative control</w:t>
            </w:r>
          </w:p>
        </w:tc>
        <w:tc>
          <w:tcPr>
            <w:tcW w:w="4680" w:type="dxa"/>
          </w:tcPr>
          <w:p w14:paraId="46E18540" w14:textId="77777777" w:rsidR="00E22455" w:rsidRPr="00157C7D" w:rsidRDefault="00E22455" w:rsidP="00E57AA9">
            <w:pPr>
              <w:pStyle w:val="Default"/>
              <w:tabs>
                <w:tab w:val="left" w:pos="2490"/>
              </w:tabs>
              <w:jc w:val="both"/>
              <w:rPr>
                <w:rFonts w:ascii="Times New Roman" w:hAnsi="Times New Roman" w:cs="Times New Roman"/>
                <w:color w:val="auto"/>
                <w:lang w:val="fr-FR" w:eastAsia="fr-FR"/>
              </w:rPr>
            </w:pPr>
            <w:r w:rsidRPr="00157C7D">
              <w:rPr>
                <w:rFonts w:ascii="Times New Roman" w:hAnsi="Times New Roman" w:cs="Times New Roman"/>
                <w:color w:val="auto"/>
              </w:rPr>
              <w:t xml:space="preserve">Freund’s Incomplete Adjuvant (FIA)  </w:t>
            </w:r>
          </w:p>
        </w:tc>
      </w:tr>
      <w:tr w:rsidR="00E22455" w:rsidRPr="00157C7D" w14:paraId="2C28825C" w14:textId="77777777" w:rsidTr="00E57AA9">
        <w:trPr>
          <w:trHeight w:val="432"/>
        </w:trPr>
        <w:tc>
          <w:tcPr>
            <w:tcW w:w="1080" w:type="dxa"/>
          </w:tcPr>
          <w:p w14:paraId="280080E0"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Group 3</w:t>
            </w:r>
          </w:p>
        </w:tc>
        <w:tc>
          <w:tcPr>
            <w:tcW w:w="3353" w:type="dxa"/>
          </w:tcPr>
          <w:p w14:paraId="365CD257" w14:textId="77777777" w:rsidR="00E22455" w:rsidRPr="00157C7D" w:rsidRDefault="00E22455" w:rsidP="00E57AA9">
            <w:pPr>
              <w:pStyle w:val="Default"/>
              <w:tabs>
                <w:tab w:val="left" w:pos="2490"/>
              </w:tabs>
              <w:jc w:val="both"/>
              <w:rPr>
                <w:rFonts w:ascii="Times New Roman" w:hAnsi="Times New Roman" w:cs="Times New Roman"/>
                <w:color w:val="auto"/>
              </w:rPr>
            </w:pPr>
            <w:r w:rsidRPr="00157C7D">
              <w:rPr>
                <w:rFonts w:ascii="Times New Roman" w:hAnsi="Times New Roman" w:cs="Times New Roman"/>
                <w:color w:val="auto"/>
              </w:rPr>
              <w:t>Positive Control</w:t>
            </w:r>
          </w:p>
        </w:tc>
        <w:tc>
          <w:tcPr>
            <w:tcW w:w="4680" w:type="dxa"/>
          </w:tcPr>
          <w:p w14:paraId="21FE1997" w14:textId="77777777" w:rsidR="00E22455" w:rsidRPr="00157C7D" w:rsidRDefault="00E22455" w:rsidP="00E57AA9">
            <w:pPr>
              <w:pStyle w:val="Default"/>
              <w:tabs>
                <w:tab w:val="left" w:pos="2490"/>
              </w:tabs>
              <w:jc w:val="both"/>
              <w:rPr>
                <w:rFonts w:ascii="Times New Roman" w:hAnsi="Times New Roman" w:cs="Times New Roman"/>
                <w:color w:val="auto"/>
                <w:lang w:val="fr-FR" w:eastAsia="fr-FR"/>
              </w:rPr>
            </w:pPr>
            <w:r w:rsidRPr="00157C7D">
              <w:rPr>
                <w:rFonts w:ascii="Times New Roman" w:hAnsi="Times New Roman" w:cs="Times New Roman"/>
                <w:color w:val="auto"/>
              </w:rPr>
              <w:t>FIA + Vitamin C (100mg/kg/ day)</w:t>
            </w:r>
          </w:p>
        </w:tc>
      </w:tr>
      <w:tr w:rsidR="00E22455" w:rsidRPr="00157C7D" w14:paraId="62AC7D56" w14:textId="77777777" w:rsidTr="00E57AA9">
        <w:trPr>
          <w:trHeight w:val="432"/>
        </w:trPr>
        <w:tc>
          <w:tcPr>
            <w:tcW w:w="1080" w:type="dxa"/>
          </w:tcPr>
          <w:p w14:paraId="291DC85C"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 xml:space="preserve">Group 4 </w:t>
            </w:r>
          </w:p>
        </w:tc>
        <w:tc>
          <w:tcPr>
            <w:tcW w:w="3353" w:type="dxa"/>
          </w:tcPr>
          <w:p w14:paraId="769C2917"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Acetaminophen  group</w:t>
            </w:r>
          </w:p>
        </w:tc>
        <w:tc>
          <w:tcPr>
            <w:tcW w:w="4680" w:type="dxa"/>
          </w:tcPr>
          <w:p w14:paraId="5FE155FC"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Acetaminophen (300mg/kg/day)</w:t>
            </w:r>
          </w:p>
        </w:tc>
      </w:tr>
      <w:tr w:rsidR="00E22455" w:rsidRPr="00157C7D" w14:paraId="7F158B5A" w14:textId="77777777" w:rsidTr="00E57AA9">
        <w:trPr>
          <w:trHeight w:val="432"/>
        </w:trPr>
        <w:tc>
          <w:tcPr>
            <w:tcW w:w="1080" w:type="dxa"/>
          </w:tcPr>
          <w:p w14:paraId="0E512F73"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 xml:space="preserve">Group 5 </w:t>
            </w:r>
          </w:p>
        </w:tc>
        <w:tc>
          <w:tcPr>
            <w:tcW w:w="3353" w:type="dxa"/>
          </w:tcPr>
          <w:p w14:paraId="5B961522"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Agbo Iba group</w:t>
            </w:r>
          </w:p>
        </w:tc>
        <w:tc>
          <w:tcPr>
            <w:tcW w:w="4680" w:type="dxa"/>
          </w:tcPr>
          <w:p w14:paraId="27B5A8B2"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Agbo Iba</w:t>
            </w:r>
          </w:p>
        </w:tc>
      </w:tr>
      <w:tr w:rsidR="00E22455" w:rsidRPr="00157C7D" w14:paraId="1F831764" w14:textId="77777777" w:rsidTr="00E57AA9">
        <w:trPr>
          <w:trHeight w:val="432"/>
        </w:trPr>
        <w:tc>
          <w:tcPr>
            <w:tcW w:w="1080" w:type="dxa"/>
          </w:tcPr>
          <w:p w14:paraId="789001F7"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 xml:space="preserve">Group 6 </w:t>
            </w:r>
          </w:p>
        </w:tc>
        <w:tc>
          <w:tcPr>
            <w:tcW w:w="3353" w:type="dxa"/>
          </w:tcPr>
          <w:p w14:paraId="47A84DC0"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Mixed   Acetaminophen  group</w:t>
            </w:r>
          </w:p>
        </w:tc>
        <w:tc>
          <w:tcPr>
            <w:tcW w:w="4680" w:type="dxa"/>
          </w:tcPr>
          <w:p w14:paraId="1EBBA3AE"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Acetaminophen (300mg/kg/day) +  Agbo Iba</w:t>
            </w:r>
          </w:p>
        </w:tc>
      </w:tr>
      <w:tr w:rsidR="00E22455" w:rsidRPr="00157C7D" w14:paraId="7DD7E1F3" w14:textId="77777777" w:rsidTr="00E57AA9">
        <w:trPr>
          <w:trHeight w:val="432"/>
        </w:trPr>
        <w:tc>
          <w:tcPr>
            <w:tcW w:w="1080" w:type="dxa"/>
          </w:tcPr>
          <w:p w14:paraId="03250E41"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Group 7</w:t>
            </w:r>
          </w:p>
        </w:tc>
        <w:tc>
          <w:tcPr>
            <w:tcW w:w="3353" w:type="dxa"/>
          </w:tcPr>
          <w:p w14:paraId="3FA08C8F"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Adjuvant Agbo group</w:t>
            </w:r>
          </w:p>
        </w:tc>
        <w:tc>
          <w:tcPr>
            <w:tcW w:w="4680" w:type="dxa"/>
          </w:tcPr>
          <w:p w14:paraId="0D3D2598"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FIA + Agbo Iba</w:t>
            </w:r>
          </w:p>
        </w:tc>
      </w:tr>
      <w:tr w:rsidR="00E22455" w:rsidRPr="00157C7D" w14:paraId="5F02FB0C" w14:textId="77777777" w:rsidTr="00E57AA9">
        <w:trPr>
          <w:trHeight w:val="432"/>
        </w:trPr>
        <w:tc>
          <w:tcPr>
            <w:tcW w:w="1080" w:type="dxa"/>
          </w:tcPr>
          <w:p w14:paraId="5E042E26"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Group 8</w:t>
            </w:r>
          </w:p>
        </w:tc>
        <w:tc>
          <w:tcPr>
            <w:tcW w:w="3353" w:type="dxa"/>
          </w:tcPr>
          <w:p w14:paraId="616B3FD8"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Mixed Adjuvant Acetaminophen group</w:t>
            </w:r>
          </w:p>
        </w:tc>
        <w:tc>
          <w:tcPr>
            <w:tcW w:w="4680" w:type="dxa"/>
          </w:tcPr>
          <w:p w14:paraId="6A7D2BB7"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rPr>
              <w:t xml:space="preserve">FIA + Acetaminophen </w:t>
            </w:r>
            <w:r w:rsidRPr="00157C7D">
              <w:rPr>
                <w:rFonts w:ascii="Times New Roman" w:hAnsi="Times New Roman" w:cs="Times New Roman"/>
                <w:color w:val="auto"/>
                <w:lang w:val="fr-FR" w:eastAsia="fr-FR"/>
              </w:rPr>
              <w:t>(300mg/kg/day)</w:t>
            </w:r>
          </w:p>
        </w:tc>
      </w:tr>
      <w:tr w:rsidR="00E22455" w:rsidRPr="00157C7D" w14:paraId="61697DA6" w14:textId="77777777" w:rsidTr="00E57AA9">
        <w:trPr>
          <w:trHeight w:val="432"/>
        </w:trPr>
        <w:tc>
          <w:tcPr>
            <w:tcW w:w="1080" w:type="dxa"/>
          </w:tcPr>
          <w:p w14:paraId="1065E6F6" w14:textId="77777777" w:rsidR="00E22455" w:rsidRPr="00157C7D" w:rsidRDefault="00E22455" w:rsidP="00E57AA9">
            <w:pPr>
              <w:pStyle w:val="Default"/>
              <w:jc w:val="both"/>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Group 9</w:t>
            </w:r>
          </w:p>
        </w:tc>
        <w:tc>
          <w:tcPr>
            <w:tcW w:w="3353" w:type="dxa"/>
          </w:tcPr>
          <w:p w14:paraId="305A188D" w14:textId="77777777" w:rsidR="00E22455" w:rsidRPr="00157C7D" w:rsidRDefault="00E22455" w:rsidP="00E57AA9">
            <w:pPr>
              <w:pStyle w:val="Default"/>
              <w:rPr>
                <w:rFonts w:ascii="Times New Roman" w:hAnsi="Times New Roman" w:cs="Times New Roman"/>
                <w:color w:val="auto"/>
                <w:lang w:val="fr-FR" w:eastAsia="fr-FR"/>
              </w:rPr>
            </w:pPr>
            <w:r w:rsidRPr="00157C7D">
              <w:rPr>
                <w:rFonts w:ascii="Times New Roman" w:hAnsi="Times New Roman" w:cs="Times New Roman"/>
                <w:color w:val="auto"/>
                <w:lang w:val="fr-FR" w:eastAsia="fr-FR"/>
              </w:rPr>
              <w:t>Mixed Adjuvant Treament group</w:t>
            </w:r>
          </w:p>
        </w:tc>
        <w:tc>
          <w:tcPr>
            <w:tcW w:w="4680" w:type="dxa"/>
          </w:tcPr>
          <w:p w14:paraId="0B6CA102" w14:textId="77777777" w:rsidR="00E22455" w:rsidRPr="00157C7D" w:rsidRDefault="00E22455" w:rsidP="00E57AA9">
            <w:pPr>
              <w:pStyle w:val="Default"/>
              <w:rPr>
                <w:rFonts w:ascii="Times New Roman" w:hAnsi="Times New Roman" w:cs="Times New Roman"/>
                <w:color w:val="auto"/>
                <w:lang w:val="fr-FR" w:eastAsia="fr-FR"/>
              </w:rPr>
            </w:pPr>
            <w:r w:rsidRPr="00157C7D">
              <w:rPr>
                <w:rFonts w:ascii="Times New Roman" w:hAnsi="Times New Roman" w:cs="Times New Roman"/>
                <w:color w:val="auto"/>
              </w:rPr>
              <w:t xml:space="preserve">FIA + Acetaminophen </w:t>
            </w:r>
            <w:r w:rsidRPr="00157C7D">
              <w:rPr>
                <w:rFonts w:ascii="Times New Roman" w:hAnsi="Times New Roman" w:cs="Times New Roman"/>
                <w:color w:val="auto"/>
                <w:lang w:val="fr-FR" w:eastAsia="fr-FR"/>
              </w:rPr>
              <w:t>(300mg/kg/day) + Agbo Iba</w:t>
            </w:r>
          </w:p>
        </w:tc>
      </w:tr>
    </w:tbl>
    <w:p w14:paraId="270644CA" w14:textId="77777777" w:rsidR="00E22455" w:rsidRPr="00157C7D" w:rsidRDefault="00E22455" w:rsidP="00E22455">
      <w:pPr>
        <w:spacing w:after="0"/>
        <w:ind w:left="360" w:right="746"/>
        <w:jc w:val="both"/>
        <w:rPr>
          <w:rFonts w:ascii="Times New Roman" w:hAnsi="Times New Roman" w:cs="Times New Roman"/>
          <w:sz w:val="24"/>
          <w:szCs w:val="24"/>
        </w:rPr>
      </w:pPr>
      <w:r w:rsidRPr="00157C7D">
        <w:rPr>
          <w:rFonts w:ascii="Times New Roman" w:hAnsi="Times New Roman" w:cs="Times New Roman"/>
          <w:sz w:val="24"/>
          <w:szCs w:val="24"/>
        </w:rPr>
        <w:t>n= 6</w:t>
      </w:r>
    </w:p>
    <w:p w14:paraId="3689BA0C" w14:textId="77777777" w:rsidR="00E22455" w:rsidRPr="00157C7D" w:rsidRDefault="00E22455" w:rsidP="00E22455">
      <w:pPr>
        <w:rPr>
          <w:rFonts w:ascii="Times New Roman" w:hAnsi="Times New Roman" w:cs="Times New Roman"/>
        </w:rPr>
      </w:pPr>
    </w:p>
    <w:p w14:paraId="5CB32ED5" w14:textId="77777777" w:rsidR="00E22455" w:rsidRPr="00157C7D" w:rsidRDefault="00E22455" w:rsidP="00E22455">
      <w:pPr>
        <w:rPr>
          <w:rFonts w:ascii="Times New Roman" w:hAnsi="Times New Roman" w:cs="Times New Roman"/>
          <w:sz w:val="24"/>
          <w:szCs w:val="24"/>
        </w:rPr>
      </w:pPr>
      <w:r w:rsidRPr="00157C7D">
        <w:rPr>
          <w:rFonts w:ascii="Times New Roman" w:hAnsi="Times New Roman" w:cs="Times New Roman"/>
          <w:sz w:val="24"/>
          <w:szCs w:val="24"/>
        </w:rPr>
        <w:t xml:space="preserve">At the end of treatment, animals  were assessed for nociception using acetic induced writhing test after which they were  sacrificed and blood samples collected into EDTA and plain bottles for biochemical analysis.  For the later (blood contained in plain bottles), the blood was allowed to clot and retract within two hours and then centrifuged at 3000 rpm for 10 minutes to obtain </w:t>
      </w:r>
      <w:r w:rsidR="00CA590C">
        <w:rPr>
          <w:rFonts w:ascii="Times New Roman" w:hAnsi="Times New Roman" w:cs="Times New Roman"/>
          <w:sz w:val="24"/>
          <w:szCs w:val="24"/>
        </w:rPr>
        <w:t>clear sera samples which were</w:t>
      </w:r>
      <w:r w:rsidRPr="00157C7D">
        <w:rPr>
          <w:rFonts w:ascii="Times New Roman" w:hAnsi="Times New Roman" w:cs="Times New Roman"/>
          <w:sz w:val="24"/>
          <w:szCs w:val="24"/>
        </w:rPr>
        <w:t xml:space="preserve"> used for the various biochemical analyses of  bioma</w:t>
      </w:r>
      <w:r w:rsidR="00CA590C">
        <w:rPr>
          <w:rFonts w:ascii="Times New Roman" w:hAnsi="Times New Roman" w:cs="Times New Roman"/>
          <w:sz w:val="24"/>
          <w:szCs w:val="24"/>
        </w:rPr>
        <w:t>rkers of inflammation and  other</w:t>
      </w:r>
      <w:r w:rsidRPr="00157C7D">
        <w:rPr>
          <w:rFonts w:ascii="Times New Roman" w:hAnsi="Times New Roman" w:cs="Times New Roman"/>
          <w:sz w:val="24"/>
          <w:szCs w:val="24"/>
        </w:rPr>
        <w:t xml:space="preserve"> functions. </w:t>
      </w:r>
    </w:p>
    <w:p w14:paraId="61187E5D" w14:textId="77777777" w:rsidR="00E22455" w:rsidRPr="00157C7D" w:rsidRDefault="00E22455" w:rsidP="00E22455">
      <w:pPr>
        <w:ind w:right="270"/>
        <w:jc w:val="both"/>
        <w:rPr>
          <w:rFonts w:ascii="Times New Roman" w:hAnsi="Times New Roman" w:cs="Times New Roman"/>
          <w:sz w:val="24"/>
          <w:szCs w:val="24"/>
        </w:rPr>
      </w:pPr>
      <w:r w:rsidRPr="00157C7D">
        <w:rPr>
          <w:rFonts w:ascii="Times New Roman" w:hAnsi="Times New Roman" w:cs="Times New Roman"/>
          <w:b/>
          <w:bCs/>
          <w:sz w:val="24"/>
          <w:szCs w:val="24"/>
        </w:rPr>
        <w:t xml:space="preserve">Ethical Clearance </w:t>
      </w:r>
    </w:p>
    <w:p w14:paraId="03B49F97" w14:textId="77777777" w:rsidR="00E22455" w:rsidRPr="00157C7D" w:rsidRDefault="00CA590C" w:rsidP="00E22455">
      <w:pPr>
        <w:ind w:right="270"/>
        <w:jc w:val="both"/>
        <w:rPr>
          <w:rFonts w:ascii="Times New Roman" w:hAnsi="Times New Roman" w:cs="Times New Roman"/>
          <w:sz w:val="24"/>
          <w:szCs w:val="24"/>
        </w:rPr>
      </w:pPr>
      <w:r>
        <w:rPr>
          <w:rFonts w:ascii="Times New Roman" w:hAnsi="Times New Roman" w:cs="Times New Roman"/>
          <w:sz w:val="24"/>
          <w:szCs w:val="24"/>
        </w:rPr>
        <w:t xml:space="preserve">Ethical clearance was sought </w:t>
      </w:r>
      <w:r w:rsidR="0027477B">
        <w:rPr>
          <w:rFonts w:ascii="Times New Roman" w:hAnsi="Times New Roman" w:cs="Times New Roman"/>
          <w:sz w:val="24"/>
          <w:szCs w:val="24"/>
        </w:rPr>
        <w:t xml:space="preserve">and </w:t>
      </w:r>
      <w:r w:rsidR="0027477B" w:rsidRPr="00157C7D">
        <w:rPr>
          <w:rFonts w:ascii="Times New Roman" w:hAnsi="Times New Roman" w:cs="Times New Roman"/>
          <w:sz w:val="24"/>
          <w:szCs w:val="24"/>
        </w:rPr>
        <w:t>obtained</w:t>
      </w:r>
      <w:r w:rsidR="00E22455" w:rsidRPr="00157C7D">
        <w:rPr>
          <w:rFonts w:ascii="Times New Roman" w:hAnsi="Times New Roman" w:cs="Times New Roman"/>
          <w:sz w:val="24"/>
          <w:szCs w:val="24"/>
        </w:rPr>
        <w:t xml:space="preserve"> from the University Ethical Committee, Directorate of Research and Publications, Abia State University, Uturu.</w:t>
      </w:r>
    </w:p>
    <w:p w14:paraId="435B0340" w14:textId="77777777" w:rsidR="00E22455" w:rsidRPr="00157C7D" w:rsidRDefault="00E22455" w:rsidP="00E22455">
      <w:pPr>
        <w:ind w:left="-5" w:right="58"/>
        <w:jc w:val="both"/>
        <w:rPr>
          <w:rFonts w:ascii="Times New Roman" w:hAnsi="Times New Roman" w:cs="Times New Roman"/>
          <w:b/>
          <w:sz w:val="24"/>
          <w:szCs w:val="24"/>
        </w:rPr>
      </w:pPr>
      <w:r w:rsidRPr="00157C7D">
        <w:rPr>
          <w:rFonts w:ascii="Times New Roman" w:hAnsi="Times New Roman" w:cs="Times New Roman"/>
          <w:sz w:val="24"/>
          <w:szCs w:val="24"/>
        </w:rPr>
        <w:t xml:space="preserve"> </w:t>
      </w:r>
      <w:r w:rsidRPr="00157C7D">
        <w:rPr>
          <w:rFonts w:ascii="Times New Roman" w:hAnsi="Times New Roman" w:cs="Times New Roman"/>
          <w:b/>
          <w:sz w:val="24"/>
          <w:szCs w:val="24"/>
        </w:rPr>
        <w:t xml:space="preserve">Statistical Analysis </w:t>
      </w:r>
    </w:p>
    <w:p w14:paraId="15988C37" w14:textId="77777777" w:rsidR="00E22455" w:rsidRPr="00157C7D" w:rsidRDefault="00E22455" w:rsidP="00E22455">
      <w:pPr>
        <w:pStyle w:val="NormalWeb"/>
        <w:spacing w:after="160" w:afterAutospacing="0" w:line="276" w:lineRule="auto"/>
        <w:jc w:val="both"/>
        <w:rPr>
          <w:b/>
        </w:rPr>
      </w:pPr>
      <w:r w:rsidRPr="00157C7D">
        <w:t>Statistical analysis was performed with IBM SPSS version 23. The results were determined using One Way Analysis of Variance (ANOVA), followed by student Newman- Keul’s Post-hoc test, complemented by Duncan  Mulitple Range Test. Data was presented in tables, and as mean ± standard error of mean (SEM) where applicable.  Mean of Values at P ˂ 0.05 was considered statistically significant.</w:t>
      </w:r>
    </w:p>
    <w:p w14:paraId="1847C4EB" w14:textId="77777777" w:rsidR="00E22455" w:rsidRPr="00157C7D" w:rsidRDefault="00E22455" w:rsidP="00E22455">
      <w:pPr>
        <w:jc w:val="center"/>
        <w:rPr>
          <w:rFonts w:ascii="Times New Roman" w:hAnsi="Times New Roman" w:cs="Times New Roman"/>
        </w:rPr>
      </w:pPr>
      <w:r w:rsidRPr="00157C7D">
        <w:rPr>
          <w:rFonts w:ascii="Times New Roman" w:hAnsi="Times New Roman" w:cs="Times New Roman"/>
          <w:b/>
        </w:rPr>
        <w:t>RESULTS OF THE STUDY</w:t>
      </w:r>
      <w:r w:rsidRPr="00157C7D">
        <w:rPr>
          <w:rFonts w:ascii="Times New Roman" w:hAnsi="Times New Roman" w:cs="Times New Roman"/>
        </w:rPr>
        <w:t>.</w:t>
      </w:r>
    </w:p>
    <w:p w14:paraId="145A21EC" w14:textId="77777777" w:rsidR="00E22455" w:rsidRPr="00157C7D" w:rsidRDefault="00E22455" w:rsidP="00E22455">
      <w:pPr>
        <w:rPr>
          <w:rFonts w:ascii="Times New Roman" w:hAnsi="Times New Roman" w:cs="Times New Roman"/>
        </w:rPr>
      </w:pPr>
      <w:r w:rsidRPr="00157C7D">
        <w:rPr>
          <w:rFonts w:ascii="Times New Roman" w:hAnsi="Times New Roman" w:cs="Times New Roman"/>
        </w:rPr>
        <w:t>The result of the physiological and biochemical parameters were analyzed and comparison</w:t>
      </w:r>
      <w:r>
        <w:rPr>
          <w:rFonts w:ascii="Times New Roman" w:hAnsi="Times New Roman" w:cs="Times New Roman"/>
        </w:rPr>
        <w:t>s</w:t>
      </w:r>
      <w:r w:rsidRPr="00157C7D">
        <w:rPr>
          <w:rFonts w:ascii="Times New Roman" w:hAnsi="Times New Roman" w:cs="Times New Roman"/>
        </w:rPr>
        <w:t xml:space="preserve"> were reported on the significant level </w:t>
      </w:r>
      <w:r w:rsidR="0027477B" w:rsidRPr="00157C7D">
        <w:rPr>
          <w:rFonts w:ascii="Times New Roman" w:hAnsi="Times New Roman" w:cs="Times New Roman"/>
        </w:rPr>
        <w:t>of P</w:t>
      </w:r>
      <w:r w:rsidRPr="00157C7D">
        <w:rPr>
          <w:rFonts w:ascii="Times New Roman" w:hAnsi="Times New Roman" w:cs="Times New Roman"/>
          <w:sz w:val="24"/>
          <w:szCs w:val="24"/>
        </w:rPr>
        <w:t>˂0.05 as significant and</w:t>
      </w:r>
      <w:r w:rsidR="0027477B" w:rsidRPr="0027477B">
        <w:rPr>
          <w:rFonts w:ascii="Times New Roman" w:hAnsi="Times New Roman" w:cs="Times New Roman"/>
        </w:rPr>
        <w:t xml:space="preserve"> </w:t>
      </w:r>
      <w:r w:rsidR="0027477B" w:rsidRPr="00157C7D">
        <w:rPr>
          <w:rFonts w:ascii="Times New Roman" w:hAnsi="Times New Roman" w:cs="Times New Roman"/>
        </w:rPr>
        <w:t>P</w:t>
      </w:r>
      <w:r w:rsidR="0027477B">
        <w:rPr>
          <w:rFonts w:ascii="Times New Roman" w:hAnsi="Times New Roman" w:cs="Times New Roman"/>
          <w:sz w:val="24"/>
          <w:szCs w:val="24"/>
        </w:rPr>
        <w:t>&gt;</w:t>
      </w:r>
      <w:r w:rsidR="0027477B" w:rsidRPr="00157C7D">
        <w:rPr>
          <w:rFonts w:ascii="Times New Roman" w:hAnsi="Times New Roman" w:cs="Times New Roman"/>
          <w:sz w:val="24"/>
          <w:szCs w:val="24"/>
        </w:rPr>
        <w:t>0.05 not</w:t>
      </w:r>
      <w:r w:rsidRPr="00157C7D">
        <w:rPr>
          <w:rFonts w:ascii="Times New Roman" w:hAnsi="Times New Roman" w:cs="Times New Roman"/>
          <w:sz w:val="24"/>
          <w:szCs w:val="24"/>
        </w:rPr>
        <w:t xml:space="preserve"> significant.</w:t>
      </w:r>
    </w:p>
    <w:p w14:paraId="60D41733" w14:textId="77777777" w:rsidR="00E22455" w:rsidRPr="00157C7D" w:rsidRDefault="00E22455" w:rsidP="00E22455">
      <w:pPr>
        <w:spacing w:line="240" w:lineRule="auto"/>
        <w:jc w:val="both"/>
        <w:rPr>
          <w:rFonts w:ascii="Times New Roman" w:hAnsi="Times New Roman" w:cs="Times New Roman"/>
          <w:b/>
          <w:sz w:val="24"/>
          <w:szCs w:val="24"/>
        </w:rPr>
      </w:pPr>
      <w:r w:rsidRPr="00157C7D">
        <w:rPr>
          <w:rFonts w:ascii="Times New Roman" w:hAnsi="Times New Roman" w:cs="Times New Roman"/>
          <w:b/>
          <w:sz w:val="24"/>
          <w:szCs w:val="24"/>
        </w:rPr>
        <w:t>Table 1</w:t>
      </w:r>
      <w:r w:rsidR="0027477B">
        <w:rPr>
          <w:rFonts w:ascii="Times New Roman" w:hAnsi="Times New Roman" w:cs="Times New Roman"/>
          <w:b/>
          <w:sz w:val="24"/>
          <w:szCs w:val="24"/>
        </w:rPr>
        <w:t>a</w:t>
      </w:r>
      <w:r w:rsidRPr="00157C7D">
        <w:rPr>
          <w:rFonts w:ascii="Times New Roman" w:hAnsi="Times New Roman" w:cs="Times New Roman"/>
          <w:b/>
          <w:sz w:val="24"/>
          <w:szCs w:val="24"/>
        </w:rPr>
        <w:t>: Qualitative and Quantitative phytochemical contents of Agbo-Iba Herbal decoction</w:t>
      </w:r>
      <w:r w:rsidRPr="00157C7D">
        <w:rPr>
          <w:rFonts w:ascii="Times New Roman" w:hAnsi="Times New Roman" w:cs="Times New Roman"/>
          <w:b/>
          <w:i/>
          <w:sz w:val="24"/>
          <w:szCs w:val="24"/>
        </w:rPr>
        <w:t xml:space="preserve"> </w:t>
      </w:r>
    </w:p>
    <w:tbl>
      <w:tblPr>
        <w:tblStyle w:val="TableGrid"/>
        <w:tblW w:w="712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620"/>
        <w:gridCol w:w="2520"/>
      </w:tblGrid>
      <w:tr w:rsidR="00E22455" w:rsidRPr="00157C7D" w14:paraId="0C509711" w14:textId="77777777" w:rsidTr="00E57AA9">
        <w:trPr>
          <w:trHeight w:val="273"/>
        </w:trPr>
        <w:tc>
          <w:tcPr>
            <w:tcW w:w="2988" w:type="dxa"/>
            <w:tcBorders>
              <w:top w:val="single" w:sz="12" w:space="0" w:color="auto"/>
              <w:bottom w:val="single" w:sz="12" w:space="0" w:color="auto"/>
            </w:tcBorders>
            <w:noWrap/>
            <w:hideMark/>
          </w:tcPr>
          <w:p w14:paraId="438AEFC5"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Phytochemicals</w:t>
            </w:r>
          </w:p>
        </w:tc>
        <w:tc>
          <w:tcPr>
            <w:tcW w:w="1620" w:type="dxa"/>
            <w:tcBorders>
              <w:top w:val="single" w:sz="12" w:space="0" w:color="auto"/>
              <w:bottom w:val="single" w:sz="12" w:space="0" w:color="auto"/>
            </w:tcBorders>
            <w:noWrap/>
            <w:hideMark/>
          </w:tcPr>
          <w:p w14:paraId="441D3627"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Inference  </w:t>
            </w:r>
          </w:p>
        </w:tc>
        <w:tc>
          <w:tcPr>
            <w:tcW w:w="2520" w:type="dxa"/>
            <w:tcBorders>
              <w:top w:val="single" w:sz="12" w:space="0" w:color="auto"/>
              <w:bottom w:val="single" w:sz="12" w:space="0" w:color="auto"/>
            </w:tcBorders>
          </w:tcPr>
          <w:p w14:paraId="2FB34AFD" w14:textId="77777777" w:rsidR="00E22455" w:rsidRPr="00157C7D" w:rsidRDefault="00E22455" w:rsidP="00E57AA9">
            <w:pPr>
              <w:jc w:val="both"/>
              <w:rPr>
                <w:rFonts w:ascii="Times New Roman" w:hAnsi="Times New Roman" w:cs="Times New Roman"/>
                <w:sz w:val="24"/>
                <w:szCs w:val="24"/>
              </w:rPr>
            </w:pPr>
            <w:r w:rsidRPr="00157C7D">
              <w:rPr>
                <w:rFonts w:ascii="Times New Roman" w:hAnsi="Times New Roman" w:cs="Times New Roman"/>
                <w:sz w:val="24"/>
                <w:szCs w:val="24"/>
              </w:rPr>
              <w:t>Quantitative availability (mg/100 g)</w:t>
            </w:r>
          </w:p>
        </w:tc>
      </w:tr>
      <w:tr w:rsidR="00E22455" w:rsidRPr="00157C7D" w14:paraId="25B6FC20" w14:textId="77777777" w:rsidTr="00E57AA9">
        <w:trPr>
          <w:trHeight w:val="273"/>
        </w:trPr>
        <w:tc>
          <w:tcPr>
            <w:tcW w:w="2988" w:type="dxa"/>
            <w:tcBorders>
              <w:top w:val="single" w:sz="12" w:space="0" w:color="auto"/>
            </w:tcBorders>
            <w:noWrap/>
            <w:hideMark/>
          </w:tcPr>
          <w:p w14:paraId="0AC021C6"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Saponins </w:t>
            </w:r>
          </w:p>
        </w:tc>
        <w:tc>
          <w:tcPr>
            <w:tcW w:w="1620" w:type="dxa"/>
            <w:tcBorders>
              <w:top w:val="single" w:sz="12" w:space="0" w:color="auto"/>
            </w:tcBorders>
            <w:noWrap/>
            <w:hideMark/>
          </w:tcPr>
          <w:p w14:paraId="07DC5E0F"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w:t>
            </w:r>
          </w:p>
        </w:tc>
        <w:tc>
          <w:tcPr>
            <w:tcW w:w="2520" w:type="dxa"/>
            <w:tcBorders>
              <w:top w:val="single" w:sz="12" w:space="0" w:color="auto"/>
            </w:tcBorders>
          </w:tcPr>
          <w:p w14:paraId="2C11109C" w14:textId="77777777" w:rsidR="00E22455" w:rsidRPr="00157C7D" w:rsidRDefault="00E22455" w:rsidP="00E57AA9">
            <w:pPr>
              <w:ind w:left="72"/>
              <w:rPr>
                <w:rFonts w:ascii="Times New Roman" w:hAnsi="Times New Roman" w:cs="Times New Roman"/>
                <w:sz w:val="24"/>
                <w:szCs w:val="24"/>
              </w:rPr>
            </w:pPr>
            <w:r w:rsidRPr="00157C7D">
              <w:rPr>
                <w:rFonts w:ascii="Times New Roman" w:hAnsi="Times New Roman" w:cs="Times New Roman"/>
                <w:sz w:val="24"/>
                <w:szCs w:val="24"/>
              </w:rPr>
              <w:t>16.17±0.19</w:t>
            </w:r>
          </w:p>
        </w:tc>
      </w:tr>
      <w:tr w:rsidR="00E22455" w:rsidRPr="00157C7D" w14:paraId="713FF1AB" w14:textId="77777777" w:rsidTr="00E57AA9">
        <w:trPr>
          <w:trHeight w:val="273"/>
        </w:trPr>
        <w:tc>
          <w:tcPr>
            <w:tcW w:w="2988" w:type="dxa"/>
            <w:noWrap/>
            <w:hideMark/>
          </w:tcPr>
          <w:p w14:paraId="77F32E17"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Tannins </w:t>
            </w:r>
          </w:p>
        </w:tc>
        <w:tc>
          <w:tcPr>
            <w:tcW w:w="1620" w:type="dxa"/>
            <w:noWrap/>
            <w:hideMark/>
          </w:tcPr>
          <w:p w14:paraId="473C19B9"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w:t>
            </w:r>
          </w:p>
        </w:tc>
        <w:tc>
          <w:tcPr>
            <w:tcW w:w="2520" w:type="dxa"/>
          </w:tcPr>
          <w:p w14:paraId="67B3A14D" w14:textId="77777777" w:rsidR="00E22455" w:rsidRPr="00157C7D" w:rsidRDefault="00E22455" w:rsidP="00E57AA9">
            <w:pPr>
              <w:ind w:left="72"/>
              <w:rPr>
                <w:rFonts w:ascii="Times New Roman" w:hAnsi="Times New Roman" w:cs="Times New Roman"/>
                <w:sz w:val="24"/>
                <w:szCs w:val="24"/>
              </w:rPr>
            </w:pPr>
            <w:r w:rsidRPr="00157C7D">
              <w:rPr>
                <w:rFonts w:ascii="Times New Roman" w:hAnsi="Times New Roman" w:cs="Times New Roman"/>
                <w:sz w:val="24"/>
                <w:szCs w:val="24"/>
              </w:rPr>
              <w:t>6.86±0.56</w:t>
            </w:r>
          </w:p>
        </w:tc>
      </w:tr>
      <w:tr w:rsidR="00E22455" w:rsidRPr="00157C7D" w14:paraId="0C923C6E" w14:textId="77777777" w:rsidTr="00E57AA9">
        <w:trPr>
          <w:trHeight w:val="273"/>
        </w:trPr>
        <w:tc>
          <w:tcPr>
            <w:tcW w:w="2988" w:type="dxa"/>
            <w:noWrap/>
            <w:hideMark/>
          </w:tcPr>
          <w:p w14:paraId="3D272023"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Phenolic compounds</w:t>
            </w:r>
          </w:p>
        </w:tc>
        <w:tc>
          <w:tcPr>
            <w:tcW w:w="1620" w:type="dxa"/>
            <w:noWrap/>
            <w:hideMark/>
          </w:tcPr>
          <w:p w14:paraId="2108B1AA"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w:t>
            </w:r>
          </w:p>
        </w:tc>
        <w:tc>
          <w:tcPr>
            <w:tcW w:w="2520" w:type="dxa"/>
          </w:tcPr>
          <w:p w14:paraId="65947D27" w14:textId="77777777" w:rsidR="00E22455" w:rsidRPr="00157C7D" w:rsidRDefault="00E22455" w:rsidP="00E57AA9">
            <w:pPr>
              <w:ind w:left="72"/>
              <w:rPr>
                <w:rFonts w:ascii="Times New Roman" w:hAnsi="Times New Roman" w:cs="Times New Roman"/>
                <w:sz w:val="24"/>
                <w:szCs w:val="24"/>
              </w:rPr>
            </w:pPr>
            <w:r w:rsidRPr="00157C7D">
              <w:rPr>
                <w:rFonts w:ascii="Times New Roman" w:hAnsi="Times New Roman" w:cs="Times New Roman"/>
                <w:sz w:val="24"/>
                <w:szCs w:val="24"/>
              </w:rPr>
              <w:t>23.30±0.93</w:t>
            </w:r>
          </w:p>
        </w:tc>
      </w:tr>
      <w:tr w:rsidR="00E22455" w:rsidRPr="00157C7D" w14:paraId="49F15FE7" w14:textId="77777777" w:rsidTr="00E57AA9">
        <w:trPr>
          <w:trHeight w:val="273"/>
        </w:trPr>
        <w:tc>
          <w:tcPr>
            <w:tcW w:w="2988" w:type="dxa"/>
            <w:noWrap/>
            <w:hideMark/>
          </w:tcPr>
          <w:p w14:paraId="6124F3B8"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Flavonoids </w:t>
            </w:r>
          </w:p>
        </w:tc>
        <w:tc>
          <w:tcPr>
            <w:tcW w:w="1620" w:type="dxa"/>
            <w:noWrap/>
            <w:hideMark/>
          </w:tcPr>
          <w:p w14:paraId="61A6B6AE"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w:t>
            </w:r>
          </w:p>
        </w:tc>
        <w:tc>
          <w:tcPr>
            <w:tcW w:w="2520" w:type="dxa"/>
          </w:tcPr>
          <w:p w14:paraId="53BB0D12" w14:textId="77777777" w:rsidR="00E22455" w:rsidRPr="00157C7D" w:rsidRDefault="00E22455" w:rsidP="00E57AA9">
            <w:pPr>
              <w:ind w:left="72"/>
              <w:rPr>
                <w:rFonts w:ascii="Times New Roman" w:hAnsi="Times New Roman" w:cs="Times New Roman"/>
                <w:sz w:val="24"/>
                <w:szCs w:val="24"/>
              </w:rPr>
            </w:pPr>
            <w:r w:rsidRPr="00157C7D">
              <w:rPr>
                <w:rFonts w:ascii="Times New Roman" w:hAnsi="Times New Roman" w:cs="Times New Roman"/>
                <w:sz w:val="24"/>
                <w:szCs w:val="24"/>
              </w:rPr>
              <w:t>20.83±0.75</w:t>
            </w:r>
          </w:p>
        </w:tc>
      </w:tr>
      <w:tr w:rsidR="00E22455" w:rsidRPr="00157C7D" w14:paraId="3041CA84" w14:textId="77777777" w:rsidTr="00E57AA9">
        <w:trPr>
          <w:trHeight w:val="273"/>
        </w:trPr>
        <w:tc>
          <w:tcPr>
            <w:tcW w:w="2988" w:type="dxa"/>
            <w:noWrap/>
            <w:hideMark/>
          </w:tcPr>
          <w:p w14:paraId="4BF8FE21"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Steroids </w:t>
            </w:r>
          </w:p>
        </w:tc>
        <w:tc>
          <w:tcPr>
            <w:tcW w:w="1620" w:type="dxa"/>
            <w:noWrap/>
            <w:hideMark/>
          </w:tcPr>
          <w:p w14:paraId="2A3A1055"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w:t>
            </w:r>
          </w:p>
        </w:tc>
        <w:tc>
          <w:tcPr>
            <w:tcW w:w="2520" w:type="dxa"/>
          </w:tcPr>
          <w:p w14:paraId="10914647" w14:textId="77777777" w:rsidR="00E22455" w:rsidRPr="00157C7D" w:rsidRDefault="00E22455" w:rsidP="00E57AA9">
            <w:pPr>
              <w:ind w:left="72"/>
              <w:rPr>
                <w:rFonts w:ascii="Times New Roman" w:hAnsi="Times New Roman" w:cs="Times New Roman"/>
                <w:sz w:val="24"/>
                <w:szCs w:val="24"/>
              </w:rPr>
            </w:pPr>
            <w:r w:rsidRPr="00157C7D">
              <w:rPr>
                <w:rFonts w:ascii="Times New Roman" w:hAnsi="Times New Roman" w:cs="Times New Roman"/>
                <w:sz w:val="24"/>
                <w:szCs w:val="24"/>
              </w:rPr>
              <w:t>3.80±0.16</w:t>
            </w:r>
          </w:p>
        </w:tc>
      </w:tr>
      <w:tr w:rsidR="00E22455" w:rsidRPr="00157C7D" w14:paraId="0F8002DD" w14:textId="77777777" w:rsidTr="00E57AA9">
        <w:trPr>
          <w:trHeight w:val="273"/>
        </w:trPr>
        <w:tc>
          <w:tcPr>
            <w:tcW w:w="2988" w:type="dxa"/>
            <w:noWrap/>
            <w:hideMark/>
          </w:tcPr>
          <w:p w14:paraId="6702F0AF"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Terpenoids </w:t>
            </w:r>
          </w:p>
        </w:tc>
        <w:tc>
          <w:tcPr>
            <w:tcW w:w="1620" w:type="dxa"/>
            <w:noWrap/>
            <w:hideMark/>
          </w:tcPr>
          <w:p w14:paraId="76D85565"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w:t>
            </w:r>
          </w:p>
        </w:tc>
        <w:tc>
          <w:tcPr>
            <w:tcW w:w="2520" w:type="dxa"/>
          </w:tcPr>
          <w:p w14:paraId="6450EC24" w14:textId="77777777" w:rsidR="00E22455" w:rsidRPr="00157C7D" w:rsidRDefault="00E22455" w:rsidP="00E57AA9">
            <w:pPr>
              <w:ind w:left="72"/>
              <w:rPr>
                <w:rFonts w:ascii="Times New Roman" w:hAnsi="Times New Roman" w:cs="Times New Roman"/>
                <w:sz w:val="24"/>
                <w:szCs w:val="24"/>
              </w:rPr>
            </w:pPr>
            <w:r w:rsidRPr="00157C7D">
              <w:rPr>
                <w:rFonts w:ascii="Times New Roman" w:hAnsi="Times New Roman" w:cs="Times New Roman"/>
                <w:sz w:val="24"/>
                <w:szCs w:val="24"/>
              </w:rPr>
              <w:t>4.04±0.10</w:t>
            </w:r>
          </w:p>
        </w:tc>
      </w:tr>
      <w:tr w:rsidR="00E22455" w:rsidRPr="00157C7D" w14:paraId="5F3DE2AA" w14:textId="77777777" w:rsidTr="00E57AA9">
        <w:trPr>
          <w:trHeight w:val="273"/>
        </w:trPr>
        <w:tc>
          <w:tcPr>
            <w:tcW w:w="2988" w:type="dxa"/>
            <w:noWrap/>
            <w:hideMark/>
          </w:tcPr>
          <w:p w14:paraId="3CFA8D56"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Glycosides </w:t>
            </w:r>
          </w:p>
        </w:tc>
        <w:tc>
          <w:tcPr>
            <w:tcW w:w="1620" w:type="dxa"/>
            <w:noWrap/>
            <w:hideMark/>
          </w:tcPr>
          <w:p w14:paraId="730CE6CB"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w:t>
            </w:r>
          </w:p>
        </w:tc>
        <w:tc>
          <w:tcPr>
            <w:tcW w:w="2520" w:type="dxa"/>
          </w:tcPr>
          <w:p w14:paraId="50FEEFAF" w14:textId="77777777" w:rsidR="00E22455" w:rsidRPr="00157C7D" w:rsidRDefault="00E22455" w:rsidP="00E57AA9">
            <w:pPr>
              <w:ind w:left="72"/>
              <w:rPr>
                <w:rFonts w:ascii="Times New Roman" w:hAnsi="Times New Roman" w:cs="Times New Roman"/>
                <w:sz w:val="24"/>
                <w:szCs w:val="24"/>
              </w:rPr>
            </w:pPr>
            <w:r w:rsidRPr="00157C7D">
              <w:rPr>
                <w:rFonts w:ascii="Times New Roman" w:hAnsi="Times New Roman" w:cs="Times New Roman"/>
                <w:sz w:val="24"/>
                <w:szCs w:val="24"/>
              </w:rPr>
              <w:t>3.07±0.09</w:t>
            </w:r>
          </w:p>
        </w:tc>
      </w:tr>
      <w:tr w:rsidR="00E22455" w:rsidRPr="00157C7D" w14:paraId="706800C9" w14:textId="77777777" w:rsidTr="00E57AA9">
        <w:trPr>
          <w:trHeight w:val="273"/>
        </w:trPr>
        <w:tc>
          <w:tcPr>
            <w:tcW w:w="2988" w:type="dxa"/>
            <w:noWrap/>
            <w:hideMark/>
          </w:tcPr>
          <w:p w14:paraId="642D88A5"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Alkaloids </w:t>
            </w:r>
          </w:p>
        </w:tc>
        <w:tc>
          <w:tcPr>
            <w:tcW w:w="1620" w:type="dxa"/>
            <w:noWrap/>
            <w:hideMark/>
          </w:tcPr>
          <w:p w14:paraId="41E00991"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w:t>
            </w:r>
          </w:p>
        </w:tc>
        <w:tc>
          <w:tcPr>
            <w:tcW w:w="2520" w:type="dxa"/>
          </w:tcPr>
          <w:p w14:paraId="4ADBE188" w14:textId="77777777" w:rsidR="00E22455" w:rsidRPr="00157C7D" w:rsidRDefault="00E22455" w:rsidP="00E57AA9">
            <w:pPr>
              <w:ind w:left="72"/>
              <w:rPr>
                <w:rFonts w:ascii="Times New Roman" w:hAnsi="Times New Roman" w:cs="Times New Roman"/>
                <w:sz w:val="24"/>
                <w:szCs w:val="24"/>
              </w:rPr>
            </w:pPr>
            <w:r w:rsidRPr="00157C7D">
              <w:rPr>
                <w:rFonts w:ascii="Times New Roman" w:hAnsi="Times New Roman" w:cs="Times New Roman"/>
                <w:sz w:val="24"/>
                <w:szCs w:val="24"/>
              </w:rPr>
              <w:t>39.54±0.89</w:t>
            </w:r>
          </w:p>
        </w:tc>
      </w:tr>
    </w:tbl>
    <w:p w14:paraId="60F30BD0" w14:textId="77777777" w:rsidR="00E22455" w:rsidRPr="00157C7D" w:rsidRDefault="00E22455" w:rsidP="00E22455">
      <w:pPr>
        <w:spacing w:line="360" w:lineRule="auto"/>
        <w:jc w:val="both"/>
        <w:rPr>
          <w:rFonts w:ascii="Times New Roman" w:hAnsi="Times New Roman" w:cs="Times New Roman"/>
          <w:sz w:val="24"/>
          <w:szCs w:val="24"/>
        </w:rPr>
      </w:pPr>
      <w:r w:rsidRPr="00157C7D">
        <w:rPr>
          <w:rFonts w:ascii="Times New Roman" w:hAnsi="Times New Roman" w:cs="Times New Roman"/>
          <w:sz w:val="24"/>
          <w:szCs w:val="24"/>
        </w:rPr>
        <w:t>Values are as mean ± standard deviation (</w:t>
      </w:r>
      <w:r>
        <w:rPr>
          <w:rFonts w:ascii="Times New Roman" w:hAnsi="Times New Roman" w:cs="Times New Roman"/>
          <w:sz w:val="24"/>
          <w:szCs w:val="24"/>
        </w:rPr>
        <w:t>n = 6</w:t>
      </w:r>
      <w:r w:rsidRPr="00157C7D">
        <w:rPr>
          <w:rFonts w:ascii="Times New Roman" w:hAnsi="Times New Roman" w:cs="Times New Roman"/>
          <w:sz w:val="24"/>
          <w:szCs w:val="24"/>
        </w:rPr>
        <w:t>). Keys: + = Present, ++ = more present, +++ = most present.</w:t>
      </w:r>
    </w:p>
    <w:p w14:paraId="671920DF" w14:textId="77777777" w:rsidR="00E22455" w:rsidRPr="00157C7D" w:rsidRDefault="00E22455" w:rsidP="00E22455">
      <w:pPr>
        <w:spacing w:line="240" w:lineRule="auto"/>
        <w:jc w:val="both"/>
        <w:rPr>
          <w:rFonts w:ascii="Times New Roman" w:hAnsi="Times New Roman" w:cs="Times New Roman"/>
          <w:color w:val="000000" w:themeColor="text1"/>
          <w:sz w:val="24"/>
          <w:szCs w:val="24"/>
        </w:rPr>
      </w:pPr>
      <w:r w:rsidRPr="00157C7D">
        <w:rPr>
          <w:rFonts w:ascii="Times New Roman" w:hAnsi="Times New Roman" w:cs="Times New Roman"/>
          <w:color w:val="000000" w:themeColor="text1"/>
          <w:sz w:val="24"/>
          <w:szCs w:val="24"/>
        </w:rPr>
        <w:t xml:space="preserve"> The result of the phytochemical analysis in this study showed that the herbal preparation, </w:t>
      </w:r>
      <w:r>
        <w:rPr>
          <w:rFonts w:ascii="Times New Roman" w:hAnsi="Times New Roman" w:cs="Times New Roman"/>
          <w:color w:val="000000" w:themeColor="text1"/>
          <w:sz w:val="24"/>
          <w:szCs w:val="24"/>
        </w:rPr>
        <w:t>Agbo Iba</w:t>
      </w:r>
      <w:r w:rsidRPr="00157C7D">
        <w:rPr>
          <w:rFonts w:ascii="Times New Roman" w:hAnsi="Times New Roman" w:cs="Times New Roman"/>
          <w:color w:val="000000" w:themeColor="text1"/>
          <w:sz w:val="24"/>
          <w:szCs w:val="24"/>
        </w:rPr>
        <w:t xml:space="preserve"> is rich in Alkaloids, Phenolic compound and flavonoids in decreasing order of content. It is mildly rich in saponins. Alkaloids have shown to possess analgesic, anti-inflammatory and anti-malaria effects especially quinines (</w:t>
      </w:r>
      <w:r w:rsidRPr="00157C7D">
        <w:rPr>
          <w:rFonts w:ascii="Times New Roman" w:hAnsi="Times New Roman" w:cs="Times New Roman"/>
        </w:rPr>
        <w:t>Radulović</w:t>
      </w:r>
      <w:r w:rsidRPr="00157C7D">
        <w:rPr>
          <w:rFonts w:ascii="Times New Roman" w:hAnsi="Times New Roman" w:cs="Times New Roman"/>
          <w:color w:val="000000" w:themeColor="text1"/>
          <w:sz w:val="24"/>
          <w:szCs w:val="24"/>
        </w:rPr>
        <w:t>,</w:t>
      </w:r>
      <w:r w:rsidRPr="00157C7D">
        <w:rPr>
          <w:rFonts w:ascii="Times New Roman" w:hAnsi="Times New Roman" w:cs="Times New Roman"/>
          <w:i/>
          <w:color w:val="000000" w:themeColor="text1"/>
          <w:sz w:val="24"/>
          <w:szCs w:val="24"/>
        </w:rPr>
        <w:t xml:space="preserve"> et al </w:t>
      </w:r>
      <w:r w:rsidRPr="00157C7D">
        <w:rPr>
          <w:rFonts w:ascii="Times New Roman" w:hAnsi="Times New Roman" w:cs="Times New Roman"/>
          <w:color w:val="000000" w:themeColor="text1"/>
          <w:sz w:val="24"/>
          <w:szCs w:val="24"/>
        </w:rPr>
        <w:t>., 2013; Sireesha,</w:t>
      </w:r>
      <w:r w:rsidRPr="00157C7D">
        <w:rPr>
          <w:rFonts w:ascii="Times New Roman" w:hAnsi="Times New Roman" w:cs="Times New Roman"/>
          <w:i/>
          <w:color w:val="000000" w:themeColor="text1"/>
          <w:sz w:val="24"/>
          <w:szCs w:val="24"/>
        </w:rPr>
        <w:t xml:space="preserve"> et al </w:t>
      </w:r>
      <w:r w:rsidRPr="00157C7D">
        <w:rPr>
          <w:rFonts w:ascii="Times New Roman" w:hAnsi="Times New Roman" w:cs="Times New Roman"/>
          <w:color w:val="000000" w:themeColor="text1"/>
          <w:sz w:val="24"/>
          <w:szCs w:val="24"/>
        </w:rPr>
        <w:t>., 2019; Barbosa-Filho,</w:t>
      </w:r>
      <w:r w:rsidRPr="00157C7D">
        <w:rPr>
          <w:rFonts w:ascii="Times New Roman" w:hAnsi="Times New Roman" w:cs="Times New Roman"/>
          <w:i/>
          <w:color w:val="000000" w:themeColor="text1"/>
          <w:sz w:val="24"/>
          <w:szCs w:val="24"/>
        </w:rPr>
        <w:t xml:space="preserve"> et al </w:t>
      </w:r>
      <w:r w:rsidRPr="00157C7D">
        <w:rPr>
          <w:rFonts w:ascii="Times New Roman" w:hAnsi="Times New Roman" w:cs="Times New Roman"/>
          <w:color w:val="000000" w:themeColor="text1"/>
          <w:sz w:val="24"/>
          <w:szCs w:val="24"/>
        </w:rPr>
        <w:t>., 2006,).</w:t>
      </w:r>
    </w:p>
    <w:p w14:paraId="4A0F03F2" w14:textId="77777777" w:rsidR="00E22455" w:rsidRPr="00157C7D" w:rsidRDefault="00E22455" w:rsidP="00E22455">
      <w:pPr>
        <w:spacing w:line="240" w:lineRule="auto"/>
        <w:jc w:val="both"/>
        <w:rPr>
          <w:rFonts w:ascii="Times New Roman" w:hAnsi="Times New Roman" w:cs="Times New Roman"/>
          <w:color w:val="000000" w:themeColor="text1"/>
          <w:sz w:val="24"/>
          <w:szCs w:val="24"/>
        </w:rPr>
      </w:pPr>
      <w:r w:rsidRPr="00157C7D">
        <w:rPr>
          <w:rFonts w:ascii="Times New Roman" w:hAnsi="Times New Roman" w:cs="Times New Roman"/>
          <w:color w:val="000000" w:themeColor="text1"/>
          <w:sz w:val="24"/>
          <w:szCs w:val="24"/>
        </w:rPr>
        <w:t>Phenolic Compounds are well known for their antioxidant and anti-inflammatory effects with significant immunomodulatory properties ( Zhang,</w:t>
      </w:r>
      <w:r w:rsidRPr="00157C7D">
        <w:rPr>
          <w:rFonts w:ascii="Times New Roman" w:hAnsi="Times New Roman" w:cs="Times New Roman"/>
          <w:i/>
          <w:color w:val="000000" w:themeColor="text1"/>
          <w:sz w:val="24"/>
          <w:szCs w:val="24"/>
        </w:rPr>
        <w:t xml:space="preserve"> et al </w:t>
      </w:r>
      <w:r w:rsidRPr="00157C7D">
        <w:rPr>
          <w:rFonts w:ascii="Times New Roman" w:hAnsi="Times New Roman" w:cs="Times New Roman"/>
          <w:color w:val="000000" w:themeColor="text1"/>
          <w:sz w:val="24"/>
          <w:szCs w:val="24"/>
        </w:rPr>
        <w:t>., 2022; Yahfoufi,</w:t>
      </w:r>
      <w:r w:rsidRPr="00157C7D">
        <w:rPr>
          <w:rFonts w:ascii="Times New Roman" w:hAnsi="Times New Roman" w:cs="Times New Roman"/>
          <w:i/>
          <w:color w:val="000000" w:themeColor="text1"/>
          <w:sz w:val="24"/>
          <w:szCs w:val="24"/>
        </w:rPr>
        <w:t xml:space="preserve"> et al</w:t>
      </w:r>
      <w:r w:rsidRPr="00157C7D">
        <w:rPr>
          <w:rFonts w:ascii="Times New Roman" w:hAnsi="Times New Roman" w:cs="Times New Roman"/>
          <w:color w:val="000000" w:themeColor="text1"/>
          <w:sz w:val="24"/>
          <w:szCs w:val="24"/>
        </w:rPr>
        <w:t xml:space="preserve">., 2018) Favonoids just like phenolic compounds exhibit antioxidant, anti-inflammatory and immunomodulatory effects especially on inflammatory cytokines such as </w:t>
      </w:r>
      <w:r w:rsidRPr="00157C7D">
        <w:rPr>
          <w:rFonts w:ascii="Times New Roman" w:hAnsi="Times New Roman" w:cs="Times New Roman"/>
          <w:color w:val="000000" w:themeColor="text1"/>
        </w:rPr>
        <w:t>Tumor necrosis Factor (TNF-α), Interleukin -1βeta (IL-1β) and Interleukin-6 ( IL-6)</w:t>
      </w:r>
    </w:p>
    <w:p w14:paraId="3D173B33" w14:textId="77777777" w:rsidR="00E22455" w:rsidRPr="00157C7D" w:rsidRDefault="00E22455" w:rsidP="00E22455">
      <w:pPr>
        <w:spacing w:line="360" w:lineRule="auto"/>
        <w:jc w:val="both"/>
        <w:rPr>
          <w:rFonts w:ascii="Times New Roman" w:hAnsi="Times New Roman" w:cs="Times New Roman"/>
          <w:color w:val="000000" w:themeColor="text1"/>
          <w:sz w:val="24"/>
          <w:szCs w:val="24"/>
        </w:rPr>
      </w:pPr>
    </w:p>
    <w:p w14:paraId="3F46D6AA" w14:textId="77777777" w:rsidR="00E22455" w:rsidRPr="00157C7D" w:rsidRDefault="00E22455" w:rsidP="00E22455">
      <w:pPr>
        <w:spacing w:line="240" w:lineRule="auto"/>
        <w:jc w:val="both"/>
        <w:rPr>
          <w:rFonts w:ascii="Times New Roman" w:hAnsi="Times New Roman" w:cs="Times New Roman"/>
          <w:b/>
          <w:color w:val="000000" w:themeColor="text1"/>
          <w:sz w:val="24"/>
          <w:szCs w:val="24"/>
        </w:rPr>
      </w:pPr>
      <w:r w:rsidRPr="00157C7D">
        <w:rPr>
          <w:rFonts w:ascii="Times New Roman" w:hAnsi="Times New Roman" w:cs="Times New Roman"/>
          <w:b/>
          <w:color w:val="000000" w:themeColor="text1"/>
          <w:sz w:val="24"/>
          <w:szCs w:val="24"/>
        </w:rPr>
        <w:t>Table 1</w:t>
      </w:r>
      <w:r w:rsidR="0027477B">
        <w:rPr>
          <w:rFonts w:ascii="Times New Roman" w:hAnsi="Times New Roman" w:cs="Times New Roman"/>
          <w:b/>
          <w:color w:val="000000" w:themeColor="text1"/>
          <w:sz w:val="24"/>
          <w:szCs w:val="24"/>
        </w:rPr>
        <w:t>b</w:t>
      </w:r>
      <w:r w:rsidRPr="00157C7D">
        <w:rPr>
          <w:rFonts w:ascii="Times New Roman" w:hAnsi="Times New Roman" w:cs="Times New Roman"/>
          <w:b/>
          <w:color w:val="000000" w:themeColor="text1"/>
          <w:sz w:val="24"/>
          <w:szCs w:val="24"/>
        </w:rPr>
        <w:t xml:space="preserve">: Quantitative phytochemical content of </w:t>
      </w:r>
      <w:r w:rsidRPr="00157C7D">
        <w:rPr>
          <w:rFonts w:ascii="Times New Roman" w:hAnsi="Times New Roman" w:cs="Times New Roman"/>
          <w:b/>
          <w:sz w:val="24"/>
          <w:szCs w:val="24"/>
        </w:rPr>
        <w:t>Agbo-Iba formular</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2"/>
      </w:tblGrid>
      <w:tr w:rsidR="00E22455" w:rsidRPr="00157C7D" w14:paraId="21286100" w14:textId="77777777" w:rsidTr="00E57AA9">
        <w:trPr>
          <w:trHeight w:val="273"/>
        </w:trPr>
        <w:tc>
          <w:tcPr>
            <w:tcW w:w="3402" w:type="dxa"/>
            <w:tcBorders>
              <w:top w:val="single" w:sz="12" w:space="0" w:color="auto"/>
              <w:bottom w:val="single" w:sz="12" w:space="0" w:color="auto"/>
            </w:tcBorders>
            <w:noWrap/>
            <w:hideMark/>
          </w:tcPr>
          <w:p w14:paraId="1BA60802"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Phytochemicals</w:t>
            </w:r>
          </w:p>
        </w:tc>
        <w:tc>
          <w:tcPr>
            <w:tcW w:w="4252" w:type="dxa"/>
            <w:tcBorders>
              <w:top w:val="single" w:sz="12" w:space="0" w:color="auto"/>
              <w:bottom w:val="single" w:sz="12" w:space="0" w:color="auto"/>
            </w:tcBorders>
            <w:noWrap/>
            <w:hideMark/>
          </w:tcPr>
          <w:p w14:paraId="4B8DFCCF"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Quantitative availability (mg/100 g)</w:t>
            </w:r>
          </w:p>
        </w:tc>
      </w:tr>
      <w:tr w:rsidR="00E22455" w:rsidRPr="00157C7D" w14:paraId="06E327A1" w14:textId="77777777" w:rsidTr="00E57AA9">
        <w:trPr>
          <w:trHeight w:val="273"/>
        </w:trPr>
        <w:tc>
          <w:tcPr>
            <w:tcW w:w="3402" w:type="dxa"/>
            <w:tcBorders>
              <w:top w:val="single" w:sz="12" w:space="0" w:color="auto"/>
            </w:tcBorders>
            <w:noWrap/>
            <w:hideMark/>
          </w:tcPr>
          <w:p w14:paraId="251E01A3"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Saponins </w:t>
            </w:r>
          </w:p>
        </w:tc>
        <w:tc>
          <w:tcPr>
            <w:tcW w:w="4252" w:type="dxa"/>
            <w:tcBorders>
              <w:top w:val="single" w:sz="12" w:space="0" w:color="auto"/>
            </w:tcBorders>
            <w:noWrap/>
            <w:hideMark/>
          </w:tcPr>
          <w:p w14:paraId="0B318C61" w14:textId="77777777" w:rsidR="00E22455" w:rsidRPr="00157C7D" w:rsidRDefault="00E22455" w:rsidP="00E57AA9">
            <w:pPr>
              <w:ind w:left="454"/>
              <w:jc w:val="center"/>
              <w:rPr>
                <w:rFonts w:ascii="Times New Roman" w:hAnsi="Times New Roman" w:cs="Times New Roman"/>
                <w:sz w:val="24"/>
                <w:szCs w:val="24"/>
              </w:rPr>
            </w:pPr>
            <w:r w:rsidRPr="00157C7D">
              <w:rPr>
                <w:rFonts w:ascii="Times New Roman" w:hAnsi="Times New Roman" w:cs="Times New Roman"/>
                <w:sz w:val="24"/>
                <w:szCs w:val="24"/>
              </w:rPr>
              <w:t>16.17±0.19</w:t>
            </w:r>
          </w:p>
        </w:tc>
      </w:tr>
      <w:tr w:rsidR="00E22455" w:rsidRPr="00157C7D" w14:paraId="67130786" w14:textId="77777777" w:rsidTr="00E57AA9">
        <w:trPr>
          <w:trHeight w:val="273"/>
        </w:trPr>
        <w:tc>
          <w:tcPr>
            <w:tcW w:w="3402" w:type="dxa"/>
            <w:noWrap/>
            <w:hideMark/>
          </w:tcPr>
          <w:p w14:paraId="5373FC6A"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Tannins </w:t>
            </w:r>
          </w:p>
        </w:tc>
        <w:tc>
          <w:tcPr>
            <w:tcW w:w="4252" w:type="dxa"/>
            <w:noWrap/>
            <w:hideMark/>
          </w:tcPr>
          <w:p w14:paraId="23A75FCD" w14:textId="77777777" w:rsidR="00E22455" w:rsidRPr="00157C7D" w:rsidRDefault="00E22455" w:rsidP="00E57AA9">
            <w:pPr>
              <w:ind w:left="454"/>
              <w:jc w:val="center"/>
              <w:rPr>
                <w:rFonts w:ascii="Times New Roman" w:hAnsi="Times New Roman" w:cs="Times New Roman"/>
                <w:sz w:val="24"/>
                <w:szCs w:val="24"/>
              </w:rPr>
            </w:pPr>
            <w:r w:rsidRPr="00157C7D">
              <w:rPr>
                <w:rFonts w:ascii="Times New Roman" w:hAnsi="Times New Roman" w:cs="Times New Roman"/>
                <w:sz w:val="24"/>
                <w:szCs w:val="24"/>
              </w:rPr>
              <w:t>6.86±0.56</w:t>
            </w:r>
          </w:p>
        </w:tc>
      </w:tr>
      <w:tr w:rsidR="00E22455" w:rsidRPr="00157C7D" w14:paraId="344980DB" w14:textId="77777777" w:rsidTr="00E57AA9">
        <w:trPr>
          <w:trHeight w:val="273"/>
        </w:trPr>
        <w:tc>
          <w:tcPr>
            <w:tcW w:w="3402" w:type="dxa"/>
            <w:noWrap/>
            <w:hideMark/>
          </w:tcPr>
          <w:p w14:paraId="60148787"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Phenolic </w:t>
            </w:r>
          </w:p>
        </w:tc>
        <w:tc>
          <w:tcPr>
            <w:tcW w:w="4252" w:type="dxa"/>
            <w:noWrap/>
            <w:hideMark/>
          </w:tcPr>
          <w:p w14:paraId="0EA03CCF" w14:textId="77777777" w:rsidR="00E22455" w:rsidRPr="00157C7D" w:rsidRDefault="00E22455" w:rsidP="00E57AA9">
            <w:pPr>
              <w:ind w:left="454"/>
              <w:jc w:val="center"/>
              <w:rPr>
                <w:rFonts w:ascii="Times New Roman" w:hAnsi="Times New Roman" w:cs="Times New Roman"/>
                <w:sz w:val="24"/>
                <w:szCs w:val="24"/>
              </w:rPr>
            </w:pPr>
            <w:r w:rsidRPr="00157C7D">
              <w:rPr>
                <w:rFonts w:ascii="Times New Roman" w:hAnsi="Times New Roman" w:cs="Times New Roman"/>
                <w:sz w:val="24"/>
                <w:szCs w:val="24"/>
              </w:rPr>
              <w:t>23.30±0.93</w:t>
            </w:r>
          </w:p>
        </w:tc>
      </w:tr>
      <w:tr w:rsidR="00E22455" w:rsidRPr="00157C7D" w14:paraId="19A700A5" w14:textId="77777777" w:rsidTr="00E57AA9">
        <w:trPr>
          <w:trHeight w:val="273"/>
        </w:trPr>
        <w:tc>
          <w:tcPr>
            <w:tcW w:w="3402" w:type="dxa"/>
            <w:noWrap/>
            <w:hideMark/>
          </w:tcPr>
          <w:p w14:paraId="02E1191F"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Flavonoids </w:t>
            </w:r>
          </w:p>
        </w:tc>
        <w:tc>
          <w:tcPr>
            <w:tcW w:w="4252" w:type="dxa"/>
            <w:noWrap/>
            <w:hideMark/>
          </w:tcPr>
          <w:p w14:paraId="108D5949" w14:textId="77777777" w:rsidR="00E22455" w:rsidRPr="00157C7D" w:rsidRDefault="00E22455" w:rsidP="00E57AA9">
            <w:pPr>
              <w:ind w:left="454"/>
              <w:jc w:val="center"/>
              <w:rPr>
                <w:rFonts w:ascii="Times New Roman" w:hAnsi="Times New Roman" w:cs="Times New Roman"/>
                <w:sz w:val="24"/>
                <w:szCs w:val="24"/>
              </w:rPr>
            </w:pPr>
            <w:r w:rsidRPr="00157C7D">
              <w:rPr>
                <w:rFonts w:ascii="Times New Roman" w:hAnsi="Times New Roman" w:cs="Times New Roman"/>
                <w:sz w:val="24"/>
                <w:szCs w:val="24"/>
              </w:rPr>
              <w:t>20.83±0.75</w:t>
            </w:r>
          </w:p>
        </w:tc>
      </w:tr>
      <w:tr w:rsidR="00E22455" w:rsidRPr="00157C7D" w14:paraId="05FD41B3" w14:textId="77777777" w:rsidTr="00E57AA9">
        <w:trPr>
          <w:trHeight w:val="273"/>
        </w:trPr>
        <w:tc>
          <w:tcPr>
            <w:tcW w:w="3402" w:type="dxa"/>
            <w:noWrap/>
            <w:hideMark/>
          </w:tcPr>
          <w:p w14:paraId="36D06A1F"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Steroids </w:t>
            </w:r>
          </w:p>
        </w:tc>
        <w:tc>
          <w:tcPr>
            <w:tcW w:w="4252" w:type="dxa"/>
            <w:noWrap/>
            <w:hideMark/>
          </w:tcPr>
          <w:p w14:paraId="7483F93B" w14:textId="77777777" w:rsidR="00E22455" w:rsidRPr="00157C7D" w:rsidRDefault="00E22455" w:rsidP="00E57AA9">
            <w:pPr>
              <w:ind w:left="454"/>
              <w:jc w:val="center"/>
              <w:rPr>
                <w:rFonts w:ascii="Times New Roman" w:hAnsi="Times New Roman" w:cs="Times New Roman"/>
                <w:sz w:val="24"/>
                <w:szCs w:val="24"/>
              </w:rPr>
            </w:pPr>
            <w:r w:rsidRPr="00157C7D">
              <w:rPr>
                <w:rFonts w:ascii="Times New Roman" w:hAnsi="Times New Roman" w:cs="Times New Roman"/>
                <w:sz w:val="24"/>
                <w:szCs w:val="24"/>
              </w:rPr>
              <w:t>3.80±0.16</w:t>
            </w:r>
          </w:p>
        </w:tc>
      </w:tr>
      <w:tr w:rsidR="00E22455" w:rsidRPr="00157C7D" w14:paraId="3318BF12" w14:textId="77777777" w:rsidTr="00E57AA9">
        <w:trPr>
          <w:trHeight w:val="273"/>
        </w:trPr>
        <w:tc>
          <w:tcPr>
            <w:tcW w:w="3402" w:type="dxa"/>
            <w:noWrap/>
            <w:hideMark/>
          </w:tcPr>
          <w:p w14:paraId="5FCE2DD7"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Terpenoids </w:t>
            </w:r>
          </w:p>
        </w:tc>
        <w:tc>
          <w:tcPr>
            <w:tcW w:w="4252" w:type="dxa"/>
            <w:noWrap/>
            <w:hideMark/>
          </w:tcPr>
          <w:p w14:paraId="03C18BB1" w14:textId="77777777" w:rsidR="00E22455" w:rsidRPr="00157C7D" w:rsidRDefault="00E22455" w:rsidP="00E57AA9">
            <w:pPr>
              <w:ind w:left="454"/>
              <w:jc w:val="center"/>
              <w:rPr>
                <w:rFonts w:ascii="Times New Roman" w:hAnsi="Times New Roman" w:cs="Times New Roman"/>
                <w:sz w:val="24"/>
                <w:szCs w:val="24"/>
              </w:rPr>
            </w:pPr>
            <w:r w:rsidRPr="00157C7D">
              <w:rPr>
                <w:rFonts w:ascii="Times New Roman" w:hAnsi="Times New Roman" w:cs="Times New Roman"/>
                <w:sz w:val="24"/>
                <w:szCs w:val="24"/>
              </w:rPr>
              <w:t>4.04±0.10</w:t>
            </w:r>
          </w:p>
        </w:tc>
      </w:tr>
      <w:tr w:rsidR="00E22455" w:rsidRPr="00157C7D" w14:paraId="5B13A085" w14:textId="77777777" w:rsidTr="00E57AA9">
        <w:trPr>
          <w:trHeight w:val="273"/>
        </w:trPr>
        <w:tc>
          <w:tcPr>
            <w:tcW w:w="3402" w:type="dxa"/>
            <w:noWrap/>
            <w:hideMark/>
          </w:tcPr>
          <w:p w14:paraId="5766F11A"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Glycosides </w:t>
            </w:r>
          </w:p>
        </w:tc>
        <w:tc>
          <w:tcPr>
            <w:tcW w:w="4252" w:type="dxa"/>
            <w:noWrap/>
            <w:hideMark/>
          </w:tcPr>
          <w:p w14:paraId="233C4AF0" w14:textId="77777777" w:rsidR="00E22455" w:rsidRPr="00157C7D" w:rsidRDefault="00E22455" w:rsidP="00E57AA9">
            <w:pPr>
              <w:ind w:left="454"/>
              <w:jc w:val="center"/>
              <w:rPr>
                <w:rFonts w:ascii="Times New Roman" w:hAnsi="Times New Roman" w:cs="Times New Roman"/>
                <w:sz w:val="24"/>
                <w:szCs w:val="24"/>
              </w:rPr>
            </w:pPr>
            <w:r w:rsidRPr="00157C7D">
              <w:rPr>
                <w:rFonts w:ascii="Times New Roman" w:hAnsi="Times New Roman" w:cs="Times New Roman"/>
                <w:sz w:val="24"/>
                <w:szCs w:val="24"/>
              </w:rPr>
              <w:t>3.07±0.09</w:t>
            </w:r>
          </w:p>
        </w:tc>
      </w:tr>
      <w:tr w:rsidR="00E22455" w:rsidRPr="00157C7D" w14:paraId="3590D0A8" w14:textId="77777777" w:rsidTr="00E57AA9">
        <w:trPr>
          <w:trHeight w:val="273"/>
        </w:trPr>
        <w:tc>
          <w:tcPr>
            <w:tcW w:w="3402" w:type="dxa"/>
            <w:noWrap/>
            <w:hideMark/>
          </w:tcPr>
          <w:p w14:paraId="1B01E529" w14:textId="77777777" w:rsidR="00E22455" w:rsidRPr="00157C7D" w:rsidRDefault="00E22455" w:rsidP="00E57AA9">
            <w:pPr>
              <w:ind w:left="454"/>
              <w:jc w:val="both"/>
              <w:rPr>
                <w:rFonts w:ascii="Times New Roman" w:hAnsi="Times New Roman" w:cs="Times New Roman"/>
                <w:sz w:val="24"/>
                <w:szCs w:val="24"/>
              </w:rPr>
            </w:pPr>
            <w:r w:rsidRPr="00157C7D">
              <w:rPr>
                <w:rFonts w:ascii="Times New Roman" w:hAnsi="Times New Roman" w:cs="Times New Roman"/>
                <w:sz w:val="24"/>
                <w:szCs w:val="24"/>
              </w:rPr>
              <w:t xml:space="preserve">Alkaloids </w:t>
            </w:r>
          </w:p>
        </w:tc>
        <w:tc>
          <w:tcPr>
            <w:tcW w:w="4252" w:type="dxa"/>
            <w:noWrap/>
            <w:hideMark/>
          </w:tcPr>
          <w:p w14:paraId="32C11D61" w14:textId="77777777" w:rsidR="00E22455" w:rsidRPr="00157C7D" w:rsidRDefault="00E22455" w:rsidP="00E57AA9">
            <w:pPr>
              <w:ind w:left="454"/>
              <w:jc w:val="center"/>
              <w:rPr>
                <w:rFonts w:ascii="Times New Roman" w:hAnsi="Times New Roman" w:cs="Times New Roman"/>
                <w:sz w:val="24"/>
                <w:szCs w:val="24"/>
              </w:rPr>
            </w:pPr>
            <w:r w:rsidRPr="00157C7D">
              <w:rPr>
                <w:rFonts w:ascii="Times New Roman" w:hAnsi="Times New Roman" w:cs="Times New Roman"/>
                <w:sz w:val="24"/>
                <w:szCs w:val="24"/>
              </w:rPr>
              <w:t>39.54±0.89</w:t>
            </w:r>
          </w:p>
        </w:tc>
      </w:tr>
    </w:tbl>
    <w:p w14:paraId="0FA17C46" w14:textId="77777777" w:rsidR="00E22455" w:rsidRPr="00157C7D" w:rsidRDefault="00E22455" w:rsidP="00E22455">
      <w:pPr>
        <w:spacing w:line="360" w:lineRule="auto"/>
        <w:ind w:left="454"/>
        <w:jc w:val="both"/>
        <w:rPr>
          <w:rFonts w:ascii="Times New Roman" w:hAnsi="Times New Roman" w:cs="Times New Roman"/>
          <w:sz w:val="24"/>
          <w:szCs w:val="24"/>
        </w:rPr>
      </w:pPr>
      <w:r w:rsidRPr="00157C7D">
        <w:rPr>
          <w:rFonts w:ascii="Times New Roman" w:hAnsi="Times New Roman" w:cs="Times New Roman"/>
          <w:sz w:val="24"/>
          <w:szCs w:val="24"/>
        </w:rPr>
        <w:t>Values are as mean ± standard deviation (</w:t>
      </w:r>
      <w:r>
        <w:rPr>
          <w:rFonts w:ascii="Times New Roman" w:hAnsi="Times New Roman" w:cs="Times New Roman"/>
          <w:sz w:val="24"/>
          <w:szCs w:val="24"/>
        </w:rPr>
        <w:t>n = 6</w:t>
      </w:r>
      <w:r w:rsidRPr="00157C7D">
        <w:rPr>
          <w:rFonts w:ascii="Times New Roman" w:hAnsi="Times New Roman" w:cs="Times New Roman"/>
          <w:sz w:val="24"/>
          <w:szCs w:val="24"/>
        </w:rPr>
        <w:t>)</w:t>
      </w:r>
    </w:p>
    <w:p w14:paraId="41294898" w14:textId="77777777" w:rsidR="00E22455" w:rsidRPr="00157C7D" w:rsidRDefault="00E22455" w:rsidP="00E22455">
      <w:pPr>
        <w:jc w:val="both"/>
        <w:rPr>
          <w:rFonts w:ascii="Times New Roman" w:hAnsi="Times New Roman" w:cs="Times New Roman"/>
          <w:b/>
        </w:rPr>
      </w:pPr>
      <w:r>
        <w:rPr>
          <w:rFonts w:ascii="Times New Roman" w:hAnsi="Times New Roman" w:cs="Times New Roman"/>
          <w:b/>
        </w:rPr>
        <w:t xml:space="preserve">Table 2 showing </w:t>
      </w:r>
      <w:r w:rsidRPr="00157C7D">
        <w:rPr>
          <w:rFonts w:ascii="Times New Roman" w:hAnsi="Times New Roman" w:cs="Times New Roman"/>
          <w:b/>
        </w:rPr>
        <w:t>Results of lethal dose evaluation</w:t>
      </w:r>
      <w:r>
        <w:rPr>
          <w:rFonts w:ascii="Times New Roman" w:hAnsi="Times New Roman" w:cs="Times New Roman"/>
          <w:b/>
        </w:rPr>
        <w:t xml:space="preserve"> (</w:t>
      </w:r>
      <w:r w:rsidRPr="00157C7D">
        <w:rPr>
          <w:rFonts w:ascii="Times New Roman" w:eastAsia="Calibri" w:hAnsi="Times New Roman" w:cs="Times New Roman"/>
        </w:rPr>
        <w:t>LD</w:t>
      </w:r>
      <w:r w:rsidRPr="00157C7D">
        <w:rPr>
          <w:rFonts w:ascii="Times New Roman" w:eastAsia="Calibri" w:hAnsi="Times New Roman" w:cs="Times New Roman"/>
          <w:vertAlign w:val="subscript"/>
        </w:rPr>
        <w:t>50</w:t>
      </w:r>
      <w:r>
        <w:rPr>
          <w:rFonts w:ascii="Times New Roman" w:hAnsi="Times New Roman" w:cs="Times New Roman"/>
          <w:b/>
        </w:rPr>
        <w:t>)</w:t>
      </w:r>
      <w:r w:rsidRPr="00157C7D">
        <w:rPr>
          <w:rFonts w:ascii="Times New Roman" w:hAnsi="Times New Roman" w:cs="Times New Roman"/>
          <w:b/>
        </w:rPr>
        <w:t xml:space="preserve"> of Agbo Iba herbal Decoction</w:t>
      </w:r>
      <w:r>
        <w:rPr>
          <w:rFonts w:ascii="Times New Roman" w:hAnsi="Times New Roman" w:cs="Times New Roman"/>
          <w:b/>
        </w:rPr>
        <w:t xml:space="preserve"> Phase 1</w:t>
      </w:r>
    </w:p>
    <w:p w14:paraId="67D2CDC7" w14:textId="77777777" w:rsidR="00E22455" w:rsidRPr="00157C7D" w:rsidRDefault="00E22455" w:rsidP="00E22455">
      <w:pPr>
        <w:spacing w:after="200" w:line="276" w:lineRule="auto"/>
        <w:rPr>
          <w:rFonts w:ascii="Times New Roman" w:eastAsia="Calibri" w:hAnsi="Times New Roman" w:cs="Times New Roman"/>
        </w:rPr>
      </w:pPr>
      <w:r>
        <w:rPr>
          <w:rFonts w:ascii="Times New Roman" w:eastAsia="Calibri" w:hAnsi="Times New Roman" w:cs="Times New Roman"/>
        </w:rPr>
        <w:t xml:space="preserve">                                    </w:t>
      </w:r>
    </w:p>
    <w:tbl>
      <w:tblPr>
        <w:tblStyle w:val="LightShading1"/>
        <w:tblW w:w="9245" w:type="dxa"/>
        <w:shd w:val="clear" w:color="auto" w:fill="FFFFFF"/>
        <w:tblLook w:val="04A0" w:firstRow="1" w:lastRow="0" w:firstColumn="1" w:lastColumn="0" w:noHBand="0" w:noVBand="1"/>
      </w:tblPr>
      <w:tblGrid>
        <w:gridCol w:w="993"/>
        <w:gridCol w:w="1842"/>
        <w:gridCol w:w="1701"/>
        <w:gridCol w:w="4709"/>
      </w:tblGrid>
      <w:tr w:rsidR="00E22455" w:rsidRPr="00157C7D" w14:paraId="0F839300" w14:textId="77777777" w:rsidTr="00E57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hideMark/>
          </w:tcPr>
          <w:p w14:paraId="1D2D2DFA" w14:textId="77777777" w:rsidR="00E22455" w:rsidRPr="00157C7D" w:rsidRDefault="00E22455" w:rsidP="00E57AA9">
            <w:pPr>
              <w:rPr>
                <w:rFonts w:ascii="Times New Roman" w:eastAsia="Calibri" w:hAnsi="Times New Roman"/>
              </w:rPr>
            </w:pPr>
            <w:r w:rsidRPr="00157C7D">
              <w:rPr>
                <w:rFonts w:ascii="Times New Roman" w:eastAsia="Calibri" w:hAnsi="Times New Roman"/>
              </w:rPr>
              <w:t>Group</w:t>
            </w:r>
          </w:p>
        </w:tc>
        <w:tc>
          <w:tcPr>
            <w:tcW w:w="1842" w:type="dxa"/>
            <w:shd w:val="clear" w:color="auto" w:fill="FFFFFF"/>
            <w:hideMark/>
          </w:tcPr>
          <w:p w14:paraId="69498BC3" w14:textId="77777777" w:rsidR="00E22455" w:rsidRPr="00157C7D" w:rsidRDefault="00E22455" w:rsidP="00E57AA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Dose (mg/kg)</w:t>
            </w:r>
          </w:p>
        </w:tc>
        <w:tc>
          <w:tcPr>
            <w:tcW w:w="1701" w:type="dxa"/>
            <w:shd w:val="clear" w:color="auto" w:fill="FFFFFF"/>
            <w:hideMark/>
          </w:tcPr>
          <w:p w14:paraId="45839DAB" w14:textId="77777777" w:rsidR="00E22455" w:rsidRPr="00157C7D" w:rsidRDefault="00E22455" w:rsidP="00E57AA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No. of death</w:t>
            </w:r>
          </w:p>
        </w:tc>
        <w:tc>
          <w:tcPr>
            <w:tcW w:w="4709" w:type="dxa"/>
            <w:shd w:val="clear" w:color="auto" w:fill="FFFFFF"/>
          </w:tcPr>
          <w:p w14:paraId="65447D30" w14:textId="77777777" w:rsidR="00E22455" w:rsidRPr="00157C7D" w:rsidRDefault="00E22455" w:rsidP="00E57AA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 xml:space="preserve">Observation </w:t>
            </w:r>
          </w:p>
        </w:tc>
      </w:tr>
      <w:tr w:rsidR="00E22455" w:rsidRPr="00157C7D" w14:paraId="1A41D282" w14:textId="77777777" w:rsidTr="00E57AA9">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hideMark/>
          </w:tcPr>
          <w:p w14:paraId="45AB2471" w14:textId="77777777" w:rsidR="00E22455" w:rsidRPr="00157C7D" w:rsidRDefault="00E22455" w:rsidP="00E57AA9">
            <w:pPr>
              <w:rPr>
                <w:rFonts w:ascii="Times New Roman" w:eastAsia="Calibri" w:hAnsi="Times New Roman"/>
              </w:rPr>
            </w:pPr>
            <w:r w:rsidRPr="00157C7D">
              <w:rPr>
                <w:rFonts w:ascii="Times New Roman" w:eastAsia="Calibri" w:hAnsi="Times New Roman"/>
              </w:rPr>
              <w:t>1</w:t>
            </w:r>
          </w:p>
        </w:tc>
        <w:tc>
          <w:tcPr>
            <w:tcW w:w="1842" w:type="dxa"/>
            <w:shd w:val="clear" w:color="auto" w:fill="FFFFFF"/>
            <w:hideMark/>
          </w:tcPr>
          <w:p w14:paraId="51A1DACB" w14:textId="77777777" w:rsidR="00E22455" w:rsidRPr="00157C7D" w:rsidRDefault="00E22455" w:rsidP="00E57AA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10</w:t>
            </w:r>
          </w:p>
        </w:tc>
        <w:tc>
          <w:tcPr>
            <w:tcW w:w="1701" w:type="dxa"/>
            <w:shd w:val="clear" w:color="auto" w:fill="FFFFFF"/>
            <w:hideMark/>
          </w:tcPr>
          <w:p w14:paraId="49536C1F" w14:textId="77777777" w:rsidR="00E22455" w:rsidRPr="00157C7D" w:rsidRDefault="00E22455" w:rsidP="00E57AA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0/3</w:t>
            </w:r>
          </w:p>
        </w:tc>
        <w:tc>
          <w:tcPr>
            <w:tcW w:w="4709" w:type="dxa"/>
            <w:shd w:val="clear" w:color="auto" w:fill="FFFFFF"/>
          </w:tcPr>
          <w:p w14:paraId="2067BAF4" w14:textId="77777777" w:rsidR="00E22455" w:rsidRPr="00157C7D" w:rsidRDefault="00E22455" w:rsidP="00E57AA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Animals were active and physically stable. Signs of toxicity like agitations, roughness of hairs, depression, writhing reflexes and death were absent.</w:t>
            </w:r>
          </w:p>
          <w:p w14:paraId="467BE660" w14:textId="77777777" w:rsidR="00E22455" w:rsidRPr="00157C7D" w:rsidRDefault="00E22455" w:rsidP="00E57AA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p>
        </w:tc>
      </w:tr>
      <w:tr w:rsidR="00E22455" w:rsidRPr="00157C7D" w14:paraId="5675942E" w14:textId="77777777" w:rsidTr="00E57AA9">
        <w:tc>
          <w:tcPr>
            <w:cnfStyle w:val="001000000000" w:firstRow="0" w:lastRow="0" w:firstColumn="1" w:lastColumn="0" w:oddVBand="0" w:evenVBand="0" w:oddHBand="0" w:evenHBand="0" w:firstRowFirstColumn="0" w:firstRowLastColumn="0" w:lastRowFirstColumn="0" w:lastRowLastColumn="0"/>
            <w:tcW w:w="993" w:type="dxa"/>
            <w:shd w:val="clear" w:color="auto" w:fill="FFFFFF"/>
            <w:hideMark/>
          </w:tcPr>
          <w:p w14:paraId="6A3592B3" w14:textId="77777777" w:rsidR="00E22455" w:rsidRPr="00157C7D" w:rsidRDefault="00E22455" w:rsidP="00E57AA9">
            <w:pPr>
              <w:rPr>
                <w:rFonts w:ascii="Times New Roman" w:eastAsia="Calibri" w:hAnsi="Times New Roman"/>
              </w:rPr>
            </w:pPr>
            <w:r w:rsidRPr="00157C7D">
              <w:rPr>
                <w:rFonts w:ascii="Times New Roman" w:eastAsia="Calibri" w:hAnsi="Times New Roman"/>
              </w:rPr>
              <w:t>2</w:t>
            </w:r>
          </w:p>
        </w:tc>
        <w:tc>
          <w:tcPr>
            <w:tcW w:w="1842" w:type="dxa"/>
            <w:shd w:val="clear" w:color="auto" w:fill="FFFFFF"/>
            <w:hideMark/>
          </w:tcPr>
          <w:p w14:paraId="2449D630" w14:textId="77777777" w:rsidR="00E22455" w:rsidRPr="00157C7D" w:rsidRDefault="00E22455" w:rsidP="00E57AA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57C7D">
              <w:rPr>
                <w:rFonts w:ascii="Times New Roman" w:eastAsia="Times New Roman" w:hAnsi="Times New Roman"/>
              </w:rPr>
              <w:t>100</w:t>
            </w:r>
          </w:p>
        </w:tc>
        <w:tc>
          <w:tcPr>
            <w:tcW w:w="1701" w:type="dxa"/>
            <w:shd w:val="clear" w:color="auto" w:fill="FFFFFF"/>
            <w:hideMark/>
          </w:tcPr>
          <w:p w14:paraId="3FAABE43" w14:textId="77777777" w:rsidR="00E22455" w:rsidRPr="00157C7D" w:rsidRDefault="00E22455" w:rsidP="00E57AA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0/3</w:t>
            </w:r>
          </w:p>
        </w:tc>
        <w:tc>
          <w:tcPr>
            <w:tcW w:w="4709" w:type="dxa"/>
            <w:shd w:val="clear" w:color="auto" w:fill="FFFFFF"/>
          </w:tcPr>
          <w:p w14:paraId="1451ED7B" w14:textId="77777777" w:rsidR="00E22455" w:rsidRPr="00157C7D" w:rsidRDefault="00E22455" w:rsidP="00E57AA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Animals were active and physically stable. Signs of toxicity like agitations, roughness of hairs, depression, writhing reflexes and death were absent.</w:t>
            </w:r>
          </w:p>
          <w:p w14:paraId="261032B2" w14:textId="77777777" w:rsidR="00E22455" w:rsidRPr="00157C7D" w:rsidRDefault="00E22455" w:rsidP="00E57AA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r>
      <w:tr w:rsidR="00E22455" w:rsidRPr="00157C7D" w14:paraId="15E7978F" w14:textId="77777777" w:rsidTr="00E57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hideMark/>
          </w:tcPr>
          <w:p w14:paraId="77C2876B" w14:textId="77777777" w:rsidR="00E22455" w:rsidRPr="00157C7D" w:rsidRDefault="00E22455" w:rsidP="00E57AA9">
            <w:pPr>
              <w:rPr>
                <w:rFonts w:ascii="Times New Roman" w:eastAsia="Calibri" w:hAnsi="Times New Roman"/>
              </w:rPr>
            </w:pPr>
            <w:r w:rsidRPr="00157C7D">
              <w:rPr>
                <w:rFonts w:ascii="Times New Roman" w:eastAsia="Calibri" w:hAnsi="Times New Roman"/>
              </w:rPr>
              <w:t>3</w:t>
            </w:r>
          </w:p>
        </w:tc>
        <w:tc>
          <w:tcPr>
            <w:tcW w:w="1842" w:type="dxa"/>
            <w:shd w:val="clear" w:color="auto" w:fill="FFFFFF"/>
            <w:hideMark/>
          </w:tcPr>
          <w:p w14:paraId="7CD2047C" w14:textId="77777777" w:rsidR="00E22455" w:rsidRPr="00157C7D" w:rsidRDefault="00E22455" w:rsidP="00E57AA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157C7D">
              <w:rPr>
                <w:rFonts w:ascii="Times New Roman" w:eastAsia="Times New Roman" w:hAnsi="Times New Roman"/>
              </w:rPr>
              <w:t>1000</w:t>
            </w:r>
          </w:p>
        </w:tc>
        <w:tc>
          <w:tcPr>
            <w:tcW w:w="1701" w:type="dxa"/>
            <w:shd w:val="clear" w:color="auto" w:fill="FFFFFF"/>
            <w:hideMark/>
          </w:tcPr>
          <w:p w14:paraId="2003098D" w14:textId="77777777" w:rsidR="00E22455" w:rsidRPr="00157C7D" w:rsidRDefault="00E22455" w:rsidP="00E57AA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0/3</w:t>
            </w:r>
          </w:p>
        </w:tc>
        <w:tc>
          <w:tcPr>
            <w:tcW w:w="4709" w:type="dxa"/>
            <w:shd w:val="clear" w:color="auto" w:fill="FFFFFF"/>
          </w:tcPr>
          <w:p w14:paraId="2F922D7B" w14:textId="77777777" w:rsidR="00E22455" w:rsidRPr="00157C7D" w:rsidRDefault="00E22455" w:rsidP="00E57AA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Animals were active and physically stable. Signs of toxicity like agitations, roughness of hairs, depression, writhing reflexes and death were absent.</w:t>
            </w:r>
          </w:p>
        </w:tc>
      </w:tr>
    </w:tbl>
    <w:p w14:paraId="70AE148D" w14:textId="77777777" w:rsidR="00E22455" w:rsidRPr="00157C7D" w:rsidRDefault="00E22455" w:rsidP="00E22455">
      <w:pPr>
        <w:spacing w:after="200" w:line="276" w:lineRule="auto"/>
        <w:rPr>
          <w:rFonts w:ascii="Times New Roman" w:eastAsia="Calibri" w:hAnsi="Times New Roman" w:cs="Times New Roman"/>
          <w:b/>
        </w:rPr>
      </w:pPr>
    </w:p>
    <w:p w14:paraId="615749A0" w14:textId="77777777" w:rsidR="00E22455" w:rsidRPr="00157C7D" w:rsidRDefault="00E22455" w:rsidP="00E22455">
      <w:pPr>
        <w:jc w:val="both"/>
        <w:rPr>
          <w:rFonts w:ascii="Times New Roman" w:hAnsi="Times New Roman" w:cs="Times New Roman"/>
          <w:b/>
        </w:rPr>
      </w:pPr>
      <w:r w:rsidRPr="00C32C79">
        <w:rPr>
          <w:rFonts w:ascii="Times New Roman" w:hAnsi="Times New Roman" w:cs="Times New Roman"/>
          <w:b/>
        </w:rPr>
        <w:t xml:space="preserve"> </w:t>
      </w:r>
      <w:r>
        <w:rPr>
          <w:rFonts w:ascii="Times New Roman" w:hAnsi="Times New Roman" w:cs="Times New Roman"/>
          <w:b/>
        </w:rPr>
        <w:t xml:space="preserve">Table 2b showing </w:t>
      </w:r>
      <w:r w:rsidRPr="00157C7D">
        <w:rPr>
          <w:rFonts w:ascii="Times New Roman" w:hAnsi="Times New Roman" w:cs="Times New Roman"/>
          <w:b/>
        </w:rPr>
        <w:t>Results of lethal dose evaluation</w:t>
      </w:r>
      <w:r>
        <w:rPr>
          <w:rFonts w:ascii="Times New Roman" w:hAnsi="Times New Roman" w:cs="Times New Roman"/>
          <w:b/>
        </w:rPr>
        <w:t>(</w:t>
      </w:r>
      <w:r w:rsidRPr="00157C7D">
        <w:rPr>
          <w:rFonts w:ascii="Times New Roman" w:eastAsia="Calibri" w:hAnsi="Times New Roman" w:cs="Times New Roman"/>
        </w:rPr>
        <w:t>LD</w:t>
      </w:r>
      <w:r w:rsidRPr="00157C7D">
        <w:rPr>
          <w:rFonts w:ascii="Times New Roman" w:eastAsia="Calibri" w:hAnsi="Times New Roman" w:cs="Times New Roman"/>
          <w:vertAlign w:val="subscript"/>
        </w:rPr>
        <w:t>50</w:t>
      </w:r>
      <w:r>
        <w:rPr>
          <w:rFonts w:ascii="Times New Roman" w:hAnsi="Times New Roman" w:cs="Times New Roman"/>
          <w:b/>
        </w:rPr>
        <w:t>)</w:t>
      </w:r>
      <w:r w:rsidRPr="00157C7D">
        <w:rPr>
          <w:rFonts w:ascii="Times New Roman" w:hAnsi="Times New Roman" w:cs="Times New Roman"/>
          <w:b/>
        </w:rPr>
        <w:t xml:space="preserve"> of Agbo Iba herbal Decoction</w:t>
      </w:r>
      <w:r>
        <w:rPr>
          <w:rFonts w:ascii="Times New Roman" w:hAnsi="Times New Roman" w:cs="Times New Roman"/>
          <w:b/>
        </w:rPr>
        <w:t xml:space="preserve"> Phase 11</w:t>
      </w:r>
    </w:p>
    <w:p w14:paraId="6CB0683F" w14:textId="77777777" w:rsidR="00E22455" w:rsidRPr="00157C7D" w:rsidRDefault="00E22455" w:rsidP="00E22455">
      <w:pPr>
        <w:spacing w:after="200" w:line="276" w:lineRule="auto"/>
        <w:rPr>
          <w:rFonts w:ascii="Times New Roman" w:eastAsia="Calibri" w:hAnsi="Times New Roman" w:cs="Times New Roman"/>
        </w:rPr>
      </w:pPr>
      <w:r>
        <w:rPr>
          <w:rFonts w:ascii="Times New Roman" w:eastAsia="Calibri" w:hAnsi="Times New Roman" w:cs="Times New Roman"/>
        </w:rPr>
        <w:t xml:space="preserve">                                   </w:t>
      </w:r>
    </w:p>
    <w:tbl>
      <w:tblPr>
        <w:tblStyle w:val="LightShading1"/>
        <w:tblW w:w="9245" w:type="dxa"/>
        <w:shd w:val="clear" w:color="auto" w:fill="FFFFFF"/>
        <w:tblLook w:val="04A0" w:firstRow="1" w:lastRow="0" w:firstColumn="1" w:lastColumn="0" w:noHBand="0" w:noVBand="1"/>
      </w:tblPr>
      <w:tblGrid>
        <w:gridCol w:w="912"/>
        <w:gridCol w:w="1782"/>
        <w:gridCol w:w="1701"/>
        <w:gridCol w:w="4850"/>
      </w:tblGrid>
      <w:tr w:rsidR="00E22455" w:rsidRPr="00157C7D" w14:paraId="5E530696" w14:textId="77777777" w:rsidTr="00E57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shd w:val="clear" w:color="auto" w:fill="FFFFFF"/>
            <w:hideMark/>
          </w:tcPr>
          <w:p w14:paraId="469C3305" w14:textId="77777777" w:rsidR="00E22455" w:rsidRPr="00157C7D" w:rsidRDefault="00E22455" w:rsidP="00E57AA9">
            <w:pPr>
              <w:rPr>
                <w:rFonts w:ascii="Times New Roman" w:eastAsia="Calibri" w:hAnsi="Times New Roman"/>
              </w:rPr>
            </w:pPr>
            <w:r w:rsidRPr="00157C7D">
              <w:rPr>
                <w:rFonts w:ascii="Times New Roman" w:eastAsia="Calibri" w:hAnsi="Times New Roman"/>
              </w:rPr>
              <w:t>Group</w:t>
            </w:r>
          </w:p>
        </w:tc>
        <w:tc>
          <w:tcPr>
            <w:tcW w:w="1782" w:type="dxa"/>
            <w:shd w:val="clear" w:color="auto" w:fill="FFFFFF"/>
            <w:hideMark/>
          </w:tcPr>
          <w:p w14:paraId="715E2380" w14:textId="77777777" w:rsidR="00E22455" w:rsidRPr="00157C7D" w:rsidRDefault="00E22455" w:rsidP="00E57AA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Dose (mg/kg)</w:t>
            </w:r>
          </w:p>
        </w:tc>
        <w:tc>
          <w:tcPr>
            <w:tcW w:w="1701" w:type="dxa"/>
            <w:shd w:val="clear" w:color="auto" w:fill="FFFFFF"/>
            <w:hideMark/>
          </w:tcPr>
          <w:p w14:paraId="4384D9CA" w14:textId="77777777" w:rsidR="00E22455" w:rsidRPr="00157C7D" w:rsidRDefault="00E22455" w:rsidP="00E57AA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No. of death</w:t>
            </w:r>
          </w:p>
        </w:tc>
        <w:tc>
          <w:tcPr>
            <w:tcW w:w="4850" w:type="dxa"/>
            <w:shd w:val="clear" w:color="auto" w:fill="FFFFFF"/>
          </w:tcPr>
          <w:p w14:paraId="5AA3F0A0" w14:textId="77777777" w:rsidR="00E22455" w:rsidRPr="00157C7D" w:rsidRDefault="00E22455" w:rsidP="00E57AA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 xml:space="preserve">Observation </w:t>
            </w:r>
          </w:p>
        </w:tc>
      </w:tr>
      <w:tr w:rsidR="00E22455" w:rsidRPr="00157C7D" w14:paraId="0C5060C7" w14:textId="77777777" w:rsidTr="00E57AA9">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12" w:type="dxa"/>
            <w:shd w:val="clear" w:color="auto" w:fill="FFFFFF"/>
            <w:hideMark/>
          </w:tcPr>
          <w:p w14:paraId="323087E1" w14:textId="77777777" w:rsidR="00E22455" w:rsidRPr="00157C7D" w:rsidRDefault="00E22455" w:rsidP="00E57AA9">
            <w:pPr>
              <w:rPr>
                <w:rFonts w:ascii="Times New Roman" w:eastAsia="Calibri" w:hAnsi="Times New Roman"/>
              </w:rPr>
            </w:pPr>
            <w:r w:rsidRPr="00157C7D">
              <w:rPr>
                <w:rFonts w:ascii="Times New Roman" w:eastAsia="Calibri" w:hAnsi="Times New Roman"/>
              </w:rPr>
              <w:t>1</w:t>
            </w:r>
          </w:p>
        </w:tc>
        <w:tc>
          <w:tcPr>
            <w:tcW w:w="1782" w:type="dxa"/>
            <w:shd w:val="clear" w:color="auto" w:fill="FFFFFF"/>
            <w:hideMark/>
          </w:tcPr>
          <w:p w14:paraId="0AD97EFC" w14:textId="77777777" w:rsidR="00E22455" w:rsidRPr="00157C7D" w:rsidRDefault="00E22455" w:rsidP="00E57AA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1600</w:t>
            </w:r>
          </w:p>
        </w:tc>
        <w:tc>
          <w:tcPr>
            <w:tcW w:w="1701" w:type="dxa"/>
            <w:shd w:val="clear" w:color="auto" w:fill="FFFFFF"/>
            <w:hideMark/>
          </w:tcPr>
          <w:p w14:paraId="54E93E85" w14:textId="77777777" w:rsidR="00E22455" w:rsidRPr="00157C7D" w:rsidRDefault="00E22455" w:rsidP="00E57AA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0/3</w:t>
            </w:r>
          </w:p>
        </w:tc>
        <w:tc>
          <w:tcPr>
            <w:tcW w:w="4850" w:type="dxa"/>
            <w:shd w:val="clear" w:color="auto" w:fill="FFFFFF"/>
          </w:tcPr>
          <w:p w14:paraId="13105E45" w14:textId="77777777" w:rsidR="00E22455" w:rsidRPr="00157C7D" w:rsidRDefault="00E22455" w:rsidP="00E57AA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Animals were active and physically stable. Signs of toxicity like agitations, roughness of hairs, depression, writhing reflexes and death were absent.</w:t>
            </w:r>
          </w:p>
          <w:p w14:paraId="75FD2A65" w14:textId="77777777" w:rsidR="00E22455" w:rsidRPr="00157C7D" w:rsidRDefault="00E22455" w:rsidP="00E57AA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p>
        </w:tc>
      </w:tr>
      <w:tr w:rsidR="00E22455" w:rsidRPr="00157C7D" w14:paraId="659BA68C" w14:textId="77777777" w:rsidTr="00E57AA9">
        <w:tc>
          <w:tcPr>
            <w:cnfStyle w:val="001000000000" w:firstRow="0" w:lastRow="0" w:firstColumn="1" w:lastColumn="0" w:oddVBand="0" w:evenVBand="0" w:oddHBand="0" w:evenHBand="0" w:firstRowFirstColumn="0" w:firstRowLastColumn="0" w:lastRowFirstColumn="0" w:lastRowLastColumn="0"/>
            <w:tcW w:w="912" w:type="dxa"/>
            <w:shd w:val="clear" w:color="auto" w:fill="FFFFFF"/>
            <w:hideMark/>
          </w:tcPr>
          <w:p w14:paraId="029D5DFB" w14:textId="77777777" w:rsidR="00E22455" w:rsidRPr="00157C7D" w:rsidRDefault="00E22455" w:rsidP="00E57AA9">
            <w:pPr>
              <w:rPr>
                <w:rFonts w:ascii="Times New Roman" w:eastAsia="Calibri" w:hAnsi="Times New Roman"/>
              </w:rPr>
            </w:pPr>
            <w:r w:rsidRPr="00157C7D">
              <w:rPr>
                <w:rFonts w:ascii="Times New Roman" w:eastAsia="Calibri" w:hAnsi="Times New Roman"/>
              </w:rPr>
              <w:t>2</w:t>
            </w:r>
          </w:p>
        </w:tc>
        <w:tc>
          <w:tcPr>
            <w:tcW w:w="1782" w:type="dxa"/>
            <w:shd w:val="clear" w:color="auto" w:fill="FFFFFF"/>
            <w:hideMark/>
          </w:tcPr>
          <w:p w14:paraId="6A2B15B0" w14:textId="77777777" w:rsidR="00E22455" w:rsidRPr="00157C7D" w:rsidRDefault="00E22455" w:rsidP="00E57AA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57C7D">
              <w:rPr>
                <w:rFonts w:ascii="Times New Roman" w:eastAsia="Times New Roman" w:hAnsi="Times New Roman"/>
              </w:rPr>
              <w:t>2900</w:t>
            </w:r>
          </w:p>
        </w:tc>
        <w:tc>
          <w:tcPr>
            <w:tcW w:w="1701" w:type="dxa"/>
            <w:shd w:val="clear" w:color="auto" w:fill="FFFFFF"/>
            <w:hideMark/>
          </w:tcPr>
          <w:p w14:paraId="11EBE0ED" w14:textId="77777777" w:rsidR="00E22455" w:rsidRPr="00157C7D" w:rsidRDefault="00E22455" w:rsidP="00E57AA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0/3</w:t>
            </w:r>
          </w:p>
        </w:tc>
        <w:tc>
          <w:tcPr>
            <w:tcW w:w="4850" w:type="dxa"/>
            <w:shd w:val="clear" w:color="auto" w:fill="FFFFFF"/>
          </w:tcPr>
          <w:p w14:paraId="2120A25E" w14:textId="77777777" w:rsidR="00E22455" w:rsidRPr="00157C7D" w:rsidRDefault="00E22455" w:rsidP="00E57AA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Animals were active and physically stable. Signs of toxicity like agitations, roughness of hairs, depression, writhing reflexes and death were absent.</w:t>
            </w:r>
          </w:p>
          <w:p w14:paraId="7C01A173" w14:textId="77777777" w:rsidR="00E22455" w:rsidRPr="00157C7D" w:rsidRDefault="00E22455" w:rsidP="00E57AA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r>
      <w:tr w:rsidR="00E22455" w:rsidRPr="00157C7D" w14:paraId="345515C3" w14:textId="77777777" w:rsidTr="00E57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shd w:val="clear" w:color="auto" w:fill="FFFFFF"/>
            <w:hideMark/>
          </w:tcPr>
          <w:p w14:paraId="1F5126BF" w14:textId="77777777" w:rsidR="00E22455" w:rsidRPr="00157C7D" w:rsidRDefault="00E22455" w:rsidP="00E57AA9">
            <w:pPr>
              <w:rPr>
                <w:rFonts w:ascii="Times New Roman" w:eastAsia="Calibri" w:hAnsi="Times New Roman"/>
              </w:rPr>
            </w:pPr>
            <w:r w:rsidRPr="00157C7D">
              <w:rPr>
                <w:rFonts w:ascii="Times New Roman" w:eastAsia="Calibri" w:hAnsi="Times New Roman"/>
              </w:rPr>
              <w:t>3</w:t>
            </w:r>
          </w:p>
        </w:tc>
        <w:tc>
          <w:tcPr>
            <w:tcW w:w="1782" w:type="dxa"/>
            <w:shd w:val="clear" w:color="auto" w:fill="FFFFFF"/>
            <w:hideMark/>
          </w:tcPr>
          <w:p w14:paraId="074837B8" w14:textId="77777777" w:rsidR="00E22455" w:rsidRPr="00157C7D" w:rsidRDefault="00E22455" w:rsidP="00E57AA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157C7D">
              <w:rPr>
                <w:rFonts w:ascii="Times New Roman" w:eastAsia="Times New Roman" w:hAnsi="Times New Roman"/>
              </w:rPr>
              <w:t>5000</w:t>
            </w:r>
          </w:p>
        </w:tc>
        <w:tc>
          <w:tcPr>
            <w:tcW w:w="1701" w:type="dxa"/>
            <w:shd w:val="clear" w:color="auto" w:fill="FFFFFF"/>
            <w:hideMark/>
          </w:tcPr>
          <w:p w14:paraId="788E4882" w14:textId="77777777" w:rsidR="00E22455" w:rsidRPr="00157C7D" w:rsidRDefault="00E22455" w:rsidP="00E57AA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0/3</w:t>
            </w:r>
          </w:p>
        </w:tc>
        <w:tc>
          <w:tcPr>
            <w:tcW w:w="4850" w:type="dxa"/>
            <w:shd w:val="clear" w:color="auto" w:fill="FFFFFF"/>
          </w:tcPr>
          <w:p w14:paraId="0580AC0D" w14:textId="77777777" w:rsidR="00E22455" w:rsidRPr="00157C7D" w:rsidRDefault="00E22455" w:rsidP="00E57AA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rPr>
            </w:pPr>
            <w:r w:rsidRPr="00157C7D">
              <w:rPr>
                <w:rFonts w:ascii="Times New Roman" w:eastAsia="Calibri" w:hAnsi="Times New Roman"/>
              </w:rPr>
              <w:t>Animals were calm for about one hour, but regained physical activity thereafter. Signs of toxicity like agitations, roughness of hairs, depression, writhing reflexes and death were absent.</w:t>
            </w:r>
          </w:p>
        </w:tc>
      </w:tr>
    </w:tbl>
    <w:p w14:paraId="3F30A5AB" w14:textId="77777777" w:rsidR="00E22455" w:rsidRPr="00157C7D" w:rsidRDefault="00E22455" w:rsidP="00E22455">
      <w:pPr>
        <w:rPr>
          <w:rFonts w:ascii="Times New Roman" w:hAnsi="Times New Roman" w:cs="Times New Roman"/>
          <w:sz w:val="24"/>
          <w:szCs w:val="24"/>
        </w:rPr>
      </w:pPr>
      <w:r w:rsidRPr="00157C7D">
        <w:rPr>
          <w:rFonts w:ascii="Times New Roman" w:hAnsi="Times New Roman" w:cs="Times New Roman"/>
          <w:sz w:val="24"/>
          <w:szCs w:val="24"/>
        </w:rPr>
        <w:t>LD</w:t>
      </w:r>
      <w:r w:rsidRPr="00157C7D">
        <w:rPr>
          <w:rFonts w:ascii="Times New Roman" w:hAnsi="Times New Roman" w:cs="Times New Roman"/>
          <w:sz w:val="24"/>
          <w:szCs w:val="24"/>
          <w:vertAlign w:val="subscript"/>
        </w:rPr>
        <w:t>50</w:t>
      </w:r>
      <w:r w:rsidRPr="00157C7D">
        <w:rPr>
          <w:rFonts w:ascii="Times New Roman" w:hAnsi="Times New Roman" w:cs="Times New Roman"/>
          <w:sz w:val="24"/>
          <w:szCs w:val="24"/>
        </w:rPr>
        <w:t>&gt; 5000 mg/kg body weight</w:t>
      </w:r>
    </w:p>
    <w:p w14:paraId="48506411" w14:textId="77777777" w:rsidR="00E22455" w:rsidRPr="00157C7D" w:rsidRDefault="00E22455" w:rsidP="00E22455">
      <w:pPr>
        <w:rPr>
          <w:rFonts w:ascii="Times New Roman" w:hAnsi="Times New Roman" w:cs="Times New Roman"/>
        </w:rPr>
      </w:pPr>
      <w:r w:rsidRPr="00157C7D">
        <w:rPr>
          <w:rFonts w:ascii="Times New Roman" w:hAnsi="Times New Roman" w:cs="Times New Roman"/>
        </w:rPr>
        <w:t xml:space="preserve">The result of the lethal dose test showed that the herbal decoction of Aqueous  </w:t>
      </w:r>
      <w:r>
        <w:rPr>
          <w:rFonts w:ascii="Times New Roman" w:hAnsi="Times New Roman" w:cs="Times New Roman"/>
        </w:rPr>
        <w:t>Agbo Iba</w:t>
      </w:r>
      <w:r w:rsidRPr="00157C7D">
        <w:rPr>
          <w:rFonts w:ascii="Times New Roman" w:hAnsi="Times New Roman" w:cs="Times New Roman"/>
        </w:rPr>
        <w:t xml:space="preserve"> is safe for consumption up to 5000mg/kg of body weight. This shows that it is relatively safe for consumption. </w:t>
      </w:r>
    </w:p>
    <w:p w14:paraId="4F1BBCF0" w14:textId="77777777" w:rsidR="00E22455" w:rsidRPr="00157C7D" w:rsidRDefault="00E22455" w:rsidP="00E22455">
      <w:pPr>
        <w:rPr>
          <w:rFonts w:ascii="Times New Roman" w:hAnsi="Times New Roman" w:cs="Times New Roman"/>
        </w:rPr>
      </w:pPr>
    </w:p>
    <w:p w14:paraId="762C1814" w14:textId="77777777" w:rsidR="00E22455" w:rsidRPr="00157C7D" w:rsidRDefault="00E22455" w:rsidP="00E22455">
      <w:pPr>
        <w:rPr>
          <w:rFonts w:ascii="Times New Roman" w:hAnsi="Times New Roman" w:cs="Times New Roman"/>
          <w:b/>
          <w:color w:val="000000" w:themeColor="text1"/>
        </w:rPr>
      </w:pPr>
      <w:r>
        <w:rPr>
          <w:rFonts w:ascii="Times New Roman" w:hAnsi="Times New Roman" w:cs="Times New Roman"/>
          <w:b/>
          <w:color w:val="000000" w:themeColor="text1"/>
        </w:rPr>
        <w:t>Table 3 showing R</w:t>
      </w:r>
      <w:r w:rsidRPr="00157C7D">
        <w:rPr>
          <w:rFonts w:ascii="Times New Roman" w:hAnsi="Times New Roman" w:cs="Times New Roman"/>
          <w:b/>
          <w:color w:val="000000" w:themeColor="text1"/>
        </w:rPr>
        <w:t>esult</w:t>
      </w:r>
      <w:r>
        <w:rPr>
          <w:rFonts w:ascii="Times New Roman" w:hAnsi="Times New Roman" w:cs="Times New Roman"/>
          <w:b/>
          <w:color w:val="000000" w:themeColor="text1"/>
        </w:rPr>
        <w:t>s</w:t>
      </w:r>
      <w:r w:rsidRPr="00157C7D">
        <w:rPr>
          <w:rFonts w:ascii="Times New Roman" w:hAnsi="Times New Roman" w:cs="Times New Roman"/>
          <w:b/>
          <w:color w:val="000000" w:themeColor="text1"/>
        </w:rPr>
        <w:t xml:space="preserve"> on the </w:t>
      </w:r>
      <w:r w:rsidRPr="00157C7D">
        <w:rPr>
          <w:rFonts w:ascii="Times New Roman" w:hAnsi="Times New Roman" w:cs="Times New Roman"/>
          <w:b/>
        </w:rPr>
        <w:t>Effect of Agbo Iba herbal Decoction and Acetaminophen administrations on Acetic acid-induced writings of Male Wistar rats after Freund’s incomplete Immune activation (FIA).</w:t>
      </w:r>
    </w:p>
    <w:tbl>
      <w:tblPr>
        <w:tblStyle w:val="TableGrid"/>
        <w:tblW w:w="95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2250"/>
        <w:gridCol w:w="1620"/>
      </w:tblGrid>
      <w:tr w:rsidR="00E22455" w:rsidRPr="00157C7D" w14:paraId="70EE4C0E" w14:textId="77777777" w:rsidTr="00E57AA9">
        <w:trPr>
          <w:trHeight w:val="433"/>
        </w:trPr>
        <w:tc>
          <w:tcPr>
            <w:tcW w:w="5688" w:type="dxa"/>
            <w:tcBorders>
              <w:top w:val="single" w:sz="12" w:space="0" w:color="auto"/>
              <w:bottom w:val="single" w:sz="12" w:space="0" w:color="auto"/>
            </w:tcBorders>
            <w:noWrap/>
            <w:hideMark/>
          </w:tcPr>
          <w:p w14:paraId="14A4AFC1" w14:textId="77777777" w:rsidR="00E22455" w:rsidRPr="00157C7D" w:rsidRDefault="00E22455" w:rsidP="00E57AA9">
            <w:pPr>
              <w:rPr>
                <w:rFonts w:ascii="Times New Roman" w:hAnsi="Times New Roman" w:cs="Times New Roman"/>
                <w:b/>
                <w:color w:val="000000" w:themeColor="text1"/>
              </w:rPr>
            </w:pPr>
            <w:r w:rsidRPr="00157C7D">
              <w:rPr>
                <w:rFonts w:ascii="Times New Roman" w:hAnsi="Times New Roman" w:cs="Times New Roman"/>
                <w:b/>
                <w:color w:val="000000" w:themeColor="text1"/>
              </w:rPr>
              <w:t>Treatment groups</w:t>
            </w:r>
          </w:p>
        </w:tc>
        <w:tc>
          <w:tcPr>
            <w:tcW w:w="2250" w:type="dxa"/>
            <w:tcBorders>
              <w:top w:val="single" w:sz="12" w:space="0" w:color="auto"/>
              <w:bottom w:val="single" w:sz="12" w:space="0" w:color="auto"/>
            </w:tcBorders>
            <w:noWrap/>
            <w:hideMark/>
          </w:tcPr>
          <w:p w14:paraId="0CF73597" w14:textId="77777777" w:rsidR="00E22455" w:rsidRPr="00157C7D" w:rsidRDefault="00E22455" w:rsidP="00E57AA9">
            <w:pPr>
              <w:rPr>
                <w:rFonts w:ascii="Times New Roman" w:hAnsi="Times New Roman" w:cs="Times New Roman"/>
                <w:b/>
                <w:color w:val="000000" w:themeColor="text1"/>
              </w:rPr>
            </w:pPr>
            <w:r w:rsidRPr="00157C7D">
              <w:rPr>
                <w:rFonts w:ascii="Times New Roman" w:hAnsi="Times New Roman" w:cs="Times New Roman"/>
                <w:b/>
                <w:color w:val="000000" w:themeColor="text1"/>
              </w:rPr>
              <w:t>Number of writhes in 30 minutes</w:t>
            </w:r>
          </w:p>
        </w:tc>
        <w:tc>
          <w:tcPr>
            <w:tcW w:w="1620" w:type="dxa"/>
            <w:tcBorders>
              <w:top w:val="single" w:sz="12" w:space="0" w:color="auto"/>
              <w:bottom w:val="single" w:sz="12" w:space="0" w:color="auto"/>
            </w:tcBorders>
            <w:noWrap/>
            <w:hideMark/>
          </w:tcPr>
          <w:p w14:paraId="02CF975C" w14:textId="77777777" w:rsidR="00E22455" w:rsidRPr="00157C7D" w:rsidRDefault="00E22455" w:rsidP="00E57AA9">
            <w:pPr>
              <w:rPr>
                <w:rFonts w:ascii="Times New Roman" w:hAnsi="Times New Roman" w:cs="Times New Roman"/>
                <w:b/>
                <w:color w:val="000000" w:themeColor="text1"/>
              </w:rPr>
            </w:pPr>
            <w:r w:rsidRPr="00157C7D">
              <w:rPr>
                <w:rFonts w:ascii="Times New Roman" w:hAnsi="Times New Roman" w:cs="Times New Roman"/>
                <w:b/>
                <w:color w:val="000000" w:themeColor="text1"/>
              </w:rPr>
              <w:t>Percentage inhibition of pain</w:t>
            </w:r>
          </w:p>
        </w:tc>
      </w:tr>
      <w:tr w:rsidR="00E22455" w:rsidRPr="00157C7D" w14:paraId="70ED4D40" w14:textId="77777777" w:rsidTr="00E57AA9">
        <w:trPr>
          <w:trHeight w:val="433"/>
        </w:trPr>
        <w:tc>
          <w:tcPr>
            <w:tcW w:w="5688" w:type="dxa"/>
            <w:tcBorders>
              <w:top w:val="single" w:sz="12" w:space="0" w:color="auto"/>
            </w:tcBorders>
            <w:noWrap/>
            <w:hideMark/>
          </w:tcPr>
          <w:p w14:paraId="00E8B8AB"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Normal Control</w:t>
            </w:r>
          </w:p>
        </w:tc>
        <w:tc>
          <w:tcPr>
            <w:tcW w:w="2250" w:type="dxa"/>
            <w:tcBorders>
              <w:top w:val="single" w:sz="12" w:space="0" w:color="auto"/>
            </w:tcBorders>
            <w:noWrap/>
            <w:hideMark/>
          </w:tcPr>
          <w:p w14:paraId="7B011AA9"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67.67±3.79</w:t>
            </w:r>
            <w:r w:rsidRPr="00157C7D">
              <w:rPr>
                <w:rFonts w:ascii="Times New Roman" w:hAnsi="Times New Roman" w:cs="Times New Roman"/>
                <w:color w:val="000000" w:themeColor="text1"/>
                <w:vertAlign w:val="superscript"/>
              </w:rPr>
              <w:t>d</w:t>
            </w:r>
          </w:p>
        </w:tc>
        <w:tc>
          <w:tcPr>
            <w:tcW w:w="1620" w:type="dxa"/>
            <w:tcBorders>
              <w:top w:val="single" w:sz="12" w:space="0" w:color="auto"/>
            </w:tcBorders>
            <w:noWrap/>
            <w:hideMark/>
          </w:tcPr>
          <w:p w14:paraId="7468BB7B"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0.00±0.00</w:t>
            </w:r>
            <w:r w:rsidRPr="00157C7D">
              <w:rPr>
                <w:rFonts w:ascii="Times New Roman" w:hAnsi="Times New Roman" w:cs="Times New Roman"/>
                <w:color w:val="000000" w:themeColor="text1"/>
                <w:vertAlign w:val="superscript"/>
              </w:rPr>
              <w:t>c</w:t>
            </w:r>
          </w:p>
        </w:tc>
      </w:tr>
      <w:tr w:rsidR="00E22455" w:rsidRPr="00157C7D" w14:paraId="7ADC4032" w14:textId="77777777" w:rsidTr="00E57AA9">
        <w:trPr>
          <w:trHeight w:val="433"/>
        </w:trPr>
        <w:tc>
          <w:tcPr>
            <w:tcW w:w="5688" w:type="dxa"/>
            <w:noWrap/>
            <w:hideMark/>
          </w:tcPr>
          <w:p w14:paraId="5AB97BEC"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Freund’s Incomplete Adjuvant (FIA) only</w:t>
            </w:r>
          </w:p>
        </w:tc>
        <w:tc>
          <w:tcPr>
            <w:tcW w:w="2250" w:type="dxa"/>
            <w:noWrap/>
            <w:hideMark/>
          </w:tcPr>
          <w:p w14:paraId="18D3E753"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84.33±5.03</w:t>
            </w:r>
            <w:r w:rsidRPr="00157C7D">
              <w:rPr>
                <w:rFonts w:ascii="Times New Roman" w:hAnsi="Times New Roman" w:cs="Times New Roman"/>
                <w:color w:val="000000" w:themeColor="text1"/>
                <w:vertAlign w:val="superscript"/>
              </w:rPr>
              <w:t>e</w:t>
            </w:r>
          </w:p>
        </w:tc>
        <w:tc>
          <w:tcPr>
            <w:tcW w:w="1620" w:type="dxa"/>
            <w:noWrap/>
            <w:hideMark/>
          </w:tcPr>
          <w:p w14:paraId="145E25C9"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-25.87±7.51</w:t>
            </w:r>
            <w:r w:rsidRPr="00157C7D">
              <w:rPr>
                <w:rFonts w:ascii="Times New Roman" w:hAnsi="Times New Roman" w:cs="Times New Roman"/>
                <w:color w:val="000000" w:themeColor="text1"/>
                <w:vertAlign w:val="superscript"/>
              </w:rPr>
              <w:t>a</w:t>
            </w:r>
          </w:p>
        </w:tc>
      </w:tr>
      <w:tr w:rsidR="00E22455" w:rsidRPr="00157C7D" w14:paraId="010D5E05" w14:textId="77777777" w:rsidTr="00E57AA9">
        <w:trPr>
          <w:trHeight w:val="433"/>
        </w:trPr>
        <w:tc>
          <w:tcPr>
            <w:tcW w:w="5688" w:type="dxa"/>
            <w:noWrap/>
            <w:hideMark/>
          </w:tcPr>
          <w:p w14:paraId="6E97B67F"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FIA + Vitamin C (100 mg/kg bw)</w:t>
            </w:r>
          </w:p>
        </w:tc>
        <w:tc>
          <w:tcPr>
            <w:tcW w:w="2250" w:type="dxa"/>
            <w:noWrap/>
            <w:hideMark/>
          </w:tcPr>
          <w:p w14:paraId="4D411B66"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74.00±3.61</w:t>
            </w:r>
            <w:r w:rsidRPr="00157C7D">
              <w:rPr>
                <w:rFonts w:ascii="Times New Roman" w:hAnsi="Times New Roman" w:cs="Times New Roman"/>
                <w:color w:val="000000" w:themeColor="text1"/>
                <w:vertAlign w:val="superscript"/>
              </w:rPr>
              <w:t>d</w:t>
            </w:r>
          </w:p>
        </w:tc>
        <w:tc>
          <w:tcPr>
            <w:tcW w:w="1620" w:type="dxa"/>
            <w:noWrap/>
            <w:hideMark/>
          </w:tcPr>
          <w:p w14:paraId="55C4FC3C"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-10.44±5.38</w:t>
            </w:r>
            <w:r w:rsidRPr="00157C7D">
              <w:rPr>
                <w:rFonts w:ascii="Times New Roman" w:hAnsi="Times New Roman" w:cs="Times New Roman"/>
                <w:color w:val="000000" w:themeColor="text1"/>
                <w:vertAlign w:val="superscript"/>
              </w:rPr>
              <w:t>b</w:t>
            </w:r>
          </w:p>
        </w:tc>
      </w:tr>
      <w:tr w:rsidR="00E22455" w:rsidRPr="00157C7D" w14:paraId="7DD4CF2D" w14:textId="77777777" w:rsidTr="00E57AA9">
        <w:trPr>
          <w:trHeight w:val="433"/>
        </w:trPr>
        <w:tc>
          <w:tcPr>
            <w:tcW w:w="5688" w:type="dxa"/>
            <w:noWrap/>
            <w:hideMark/>
          </w:tcPr>
          <w:p w14:paraId="78DC9F95"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Acetaminophen (300 mg/kg bw) only</w:t>
            </w:r>
          </w:p>
        </w:tc>
        <w:tc>
          <w:tcPr>
            <w:tcW w:w="2250" w:type="dxa"/>
            <w:noWrap/>
            <w:hideMark/>
          </w:tcPr>
          <w:p w14:paraId="42E3190E"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23.00±3.00</w:t>
            </w:r>
            <w:r w:rsidRPr="00157C7D">
              <w:rPr>
                <w:rFonts w:ascii="Times New Roman" w:hAnsi="Times New Roman" w:cs="Times New Roman"/>
                <w:color w:val="000000" w:themeColor="text1"/>
                <w:vertAlign w:val="superscript"/>
              </w:rPr>
              <w:t>b</w:t>
            </w:r>
          </w:p>
        </w:tc>
        <w:tc>
          <w:tcPr>
            <w:tcW w:w="1620" w:type="dxa"/>
            <w:noWrap/>
            <w:hideMark/>
          </w:tcPr>
          <w:p w14:paraId="1D45121E"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65.67±4.48</w:t>
            </w:r>
            <w:r w:rsidRPr="00157C7D">
              <w:rPr>
                <w:rFonts w:ascii="Times New Roman" w:hAnsi="Times New Roman" w:cs="Times New Roman"/>
                <w:color w:val="000000" w:themeColor="text1"/>
                <w:vertAlign w:val="superscript"/>
              </w:rPr>
              <w:t>e</w:t>
            </w:r>
          </w:p>
        </w:tc>
      </w:tr>
      <w:tr w:rsidR="00E22455" w:rsidRPr="00157C7D" w14:paraId="1CC64C95" w14:textId="77777777" w:rsidTr="00E57AA9">
        <w:trPr>
          <w:trHeight w:val="433"/>
        </w:trPr>
        <w:tc>
          <w:tcPr>
            <w:tcW w:w="5688" w:type="dxa"/>
            <w:noWrap/>
            <w:hideMark/>
          </w:tcPr>
          <w:p w14:paraId="681D0015"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Agbo Iba (500 mg/kg bw) only</w:t>
            </w:r>
          </w:p>
        </w:tc>
        <w:tc>
          <w:tcPr>
            <w:tcW w:w="2250" w:type="dxa"/>
            <w:noWrap/>
            <w:hideMark/>
          </w:tcPr>
          <w:p w14:paraId="3B9926E1"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19.00±3.00</w:t>
            </w:r>
            <w:r w:rsidRPr="00157C7D">
              <w:rPr>
                <w:rFonts w:ascii="Times New Roman" w:hAnsi="Times New Roman" w:cs="Times New Roman"/>
                <w:color w:val="000000" w:themeColor="text1"/>
                <w:vertAlign w:val="superscript"/>
              </w:rPr>
              <w:t>a,b</w:t>
            </w:r>
          </w:p>
        </w:tc>
        <w:tc>
          <w:tcPr>
            <w:tcW w:w="1620" w:type="dxa"/>
            <w:noWrap/>
            <w:hideMark/>
          </w:tcPr>
          <w:p w14:paraId="7D756C3D"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71.64±4.48</w:t>
            </w:r>
            <w:r w:rsidRPr="00157C7D">
              <w:rPr>
                <w:rFonts w:ascii="Times New Roman" w:hAnsi="Times New Roman" w:cs="Times New Roman"/>
                <w:color w:val="000000" w:themeColor="text1"/>
                <w:vertAlign w:val="superscript"/>
              </w:rPr>
              <w:t>e,f</w:t>
            </w:r>
          </w:p>
        </w:tc>
      </w:tr>
      <w:tr w:rsidR="00E22455" w:rsidRPr="00157C7D" w14:paraId="0E9C9C6A" w14:textId="77777777" w:rsidTr="00E57AA9">
        <w:trPr>
          <w:trHeight w:val="620"/>
        </w:trPr>
        <w:tc>
          <w:tcPr>
            <w:tcW w:w="5688" w:type="dxa"/>
            <w:noWrap/>
            <w:hideMark/>
          </w:tcPr>
          <w:p w14:paraId="7E74C3AC"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Acetaminophen (300 mg/kg) + Agbo Iba (500 mg/kg)</w:t>
            </w:r>
          </w:p>
        </w:tc>
        <w:tc>
          <w:tcPr>
            <w:tcW w:w="2250" w:type="dxa"/>
            <w:noWrap/>
            <w:hideMark/>
          </w:tcPr>
          <w:p w14:paraId="60838BA1"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13.67±2.31</w:t>
            </w:r>
            <w:r w:rsidRPr="00157C7D">
              <w:rPr>
                <w:rFonts w:ascii="Times New Roman" w:hAnsi="Times New Roman" w:cs="Times New Roman"/>
                <w:color w:val="000000" w:themeColor="text1"/>
                <w:vertAlign w:val="superscript"/>
              </w:rPr>
              <w:t>a</w:t>
            </w:r>
          </w:p>
        </w:tc>
        <w:tc>
          <w:tcPr>
            <w:tcW w:w="1620" w:type="dxa"/>
            <w:noWrap/>
            <w:hideMark/>
          </w:tcPr>
          <w:p w14:paraId="319079C7"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79.60±</w:t>
            </w:r>
            <w:r w:rsidRPr="00157C7D">
              <w:rPr>
                <w:rFonts w:ascii="Times New Roman" w:hAnsi="Times New Roman" w:cs="Times New Roman"/>
                <w:bCs/>
                <w:color w:val="000000" w:themeColor="text1"/>
              </w:rPr>
              <w:t>3.45</w:t>
            </w:r>
            <w:r w:rsidRPr="00157C7D">
              <w:rPr>
                <w:rFonts w:ascii="Times New Roman" w:hAnsi="Times New Roman" w:cs="Times New Roman"/>
                <w:bCs/>
                <w:color w:val="000000" w:themeColor="text1"/>
                <w:vertAlign w:val="superscript"/>
              </w:rPr>
              <w:t>f</w:t>
            </w:r>
          </w:p>
        </w:tc>
      </w:tr>
      <w:tr w:rsidR="00E22455" w:rsidRPr="00157C7D" w14:paraId="56B38935" w14:textId="77777777" w:rsidTr="00E57AA9">
        <w:trPr>
          <w:trHeight w:val="433"/>
        </w:trPr>
        <w:tc>
          <w:tcPr>
            <w:tcW w:w="5688" w:type="dxa"/>
            <w:noWrap/>
            <w:hideMark/>
          </w:tcPr>
          <w:p w14:paraId="29294F2C"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FIA + Agbo Iba (500 mg/kg bw)</w:t>
            </w:r>
          </w:p>
        </w:tc>
        <w:tc>
          <w:tcPr>
            <w:tcW w:w="2250" w:type="dxa"/>
            <w:noWrap/>
            <w:hideMark/>
          </w:tcPr>
          <w:p w14:paraId="30CF1B75"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34.67±5.51</w:t>
            </w:r>
            <w:r w:rsidRPr="00157C7D">
              <w:rPr>
                <w:rFonts w:ascii="Times New Roman" w:hAnsi="Times New Roman" w:cs="Times New Roman"/>
                <w:color w:val="000000" w:themeColor="text1"/>
                <w:vertAlign w:val="superscript"/>
              </w:rPr>
              <w:t>c</w:t>
            </w:r>
          </w:p>
        </w:tc>
        <w:tc>
          <w:tcPr>
            <w:tcW w:w="1620" w:type="dxa"/>
            <w:noWrap/>
            <w:hideMark/>
          </w:tcPr>
          <w:p w14:paraId="145D347E"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48.26±8.22</w:t>
            </w:r>
            <w:r w:rsidRPr="00157C7D">
              <w:rPr>
                <w:rFonts w:ascii="Times New Roman" w:hAnsi="Times New Roman" w:cs="Times New Roman"/>
                <w:color w:val="000000" w:themeColor="text1"/>
                <w:vertAlign w:val="superscript"/>
              </w:rPr>
              <w:t>d</w:t>
            </w:r>
          </w:p>
        </w:tc>
      </w:tr>
      <w:tr w:rsidR="00E22455" w:rsidRPr="00157C7D" w14:paraId="6A763D8B" w14:textId="77777777" w:rsidTr="00E57AA9">
        <w:trPr>
          <w:trHeight w:val="433"/>
        </w:trPr>
        <w:tc>
          <w:tcPr>
            <w:tcW w:w="5688" w:type="dxa"/>
            <w:noWrap/>
            <w:hideMark/>
          </w:tcPr>
          <w:p w14:paraId="40A3A260"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FIA + Acetaminophen (300 mg/kg bw)</w:t>
            </w:r>
          </w:p>
        </w:tc>
        <w:tc>
          <w:tcPr>
            <w:tcW w:w="2250" w:type="dxa"/>
            <w:noWrap/>
            <w:hideMark/>
          </w:tcPr>
          <w:p w14:paraId="60991AD5"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29.67±4.04</w:t>
            </w:r>
            <w:r w:rsidRPr="00157C7D">
              <w:rPr>
                <w:rFonts w:ascii="Times New Roman" w:hAnsi="Times New Roman" w:cs="Times New Roman"/>
                <w:color w:val="000000" w:themeColor="text1"/>
                <w:vertAlign w:val="superscript"/>
              </w:rPr>
              <w:t>c</w:t>
            </w:r>
          </w:p>
        </w:tc>
        <w:tc>
          <w:tcPr>
            <w:tcW w:w="1620" w:type="dxa"/>
            <w:noWrap/>
            <w:hideMark/>
          </w:tcPr>
          <w:p w14:paraId="6CA75509"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55.72±6.03</w:t>
            </w:r>
            <w:r w:rsidRPr="00157C7D">
              <w:rPr>
                <w:rFonts w:ascii="Times New Roman" w:hAnsi="Times New Roman" w:cs="Times New Roman"/>
                <w:color w:val="000000" w:themeColor="text1"/>
                <w:vertAlign w:val="superscript"/>
              </w:rPr>
              <w:t>d</w:t>
            </w:r>
          </w:p>
        </w:tc>
      </w:tr>
      <w:tr w:rsidR="00E22455" w:rsidRPr="00157C7D" w14:paraId="0FC3389D" w14:textId="77777777" w:rsidTr="00E57AA9">
        <w:trPr>
          <w:trHeight w:val="433"/>
        </w:trPr>
        <w:tc>
          <w:tcPr>
            <w:tcW w:w="5688" w:type="dxa"/>
            <w:noWrap/>
            <w:hideMark/>
          </w:tcPr>
          <w:p w14:paraId="5523E053"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FIA + Acetaminophen (300 mg/kg bw) + Agbo Iba (500 mg/kg bw)</w:t>
            </w:r>
          </w:p>
        </w:tc>
        <w:tc>
          <w:tcPr>
            <w:tcW w:w="2250" w:type="dxa"/>
            <w:noWrap/>
            <w:hideMark/>
          </w:tcPr>
          <w:p w14:paraId="5C61C065"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14.67±1.16</w:t>
            </w:r>
            <w:r w:rsidRPr="00157C7D">
              <w:rPr>
                <w:rFonts w:ascii="Times New Roman" w:hAnsi="Times New Roman" w:cs="Times New Roman"/>
                <w:color w:val="000000" w:themeColor="text1"/>
                <w:vertAlign w:val="superscript"/>
              </w:rPr>
              <w:t>a</w:t>
            </w:r>
          </w:p>
        </w:tc>
        <w:tc>
          <w:tcPr>
            <w:tcW w:w="1620" w:type="dxa"/>
            <w:noWrap/>
            <w:hideMark/>
          </w:tcPr>
          <w:p w14:paraId="2D1EC047"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78.11±1.72</w:t>
            </w:r>
            <w:r w:rsidRPr="00157C7D">
              <w:rPr>
                <w:rFonts w:ascii="Times New Roman" w:hAnsi="Times New Roman" w:cs="Times New Roman"/>
                <w:color w:val="000000" w:themeColor="text1"/>
                <w:vertAlign w:val="superscript"/>
              </w:rPr>
              <w:t>f</w:t>
            </w:r>
          </w:p>
        </w:tc>
      </w:tr>
    </w:tbl>
    <w:p w14:paraId="4F5FAA30" w14:textId="77777777" w:rsidR="00E22455" w:rsidRPr="00157C7D" w:rsidRDefault="00E22455" w:rsidP="00E22455">
      <w:pPr>
        <w:jc w:val="both"/>
        <w:rPr>
          <w:rFonts w:ascii="Times New Roman" w:hAnsi="Times New Roman" w:cs="Times New Roman"/>
          <w:color w:val="000000" w:themeColor="text1"/>
        </w:rPr>
      </w:pPr>
      <w:r w:rsidRPr="00157C7D">
        <w:rPr>
          <w:rFonts w:ascii="Times New Roman" w:hAnsi="Times New Roman" w:cs="Times New Roman"/>
          <w:color w:val="000000" w:themeColor="text1"/>
        </w:rPr>
        <w:t>Values are presented as mean ± standard deviation (</w:t>
      </w:r>
      <w:r>
        <w:rPr>
          <w:rFonts w:ascii="Times New Roman" w:hAnsi="Times New Roman" w:cs="Times New Roman"/>
          <w:color w:val="000000" w:themeColor="text1"/>
        </w:rPr>
        <w:t>n = 6</w:t>
      </w:r>
      <w:r w:rsidRPr="00157C7D">
        <w:rPr>
          <w:rFonts w:ascii="Times New Roman" w:hAnsi="Times New Roman" w:cs="Times New Roman"/>
          <w:color w:val="000000" w:themeColor="text1"/>
        </w:rPr>
        <w:t>); and values with different letter superscripts are significantly (P &lt; 0.05) different within the column.</w:t>
      </w:r>
    </w:p>
    <w:p w14:paraId="2410D466" w14:textId="77777777" w:rsidR="00E22455" w:rsidRPr="00157C7D" w:rsidRDefault="00E22455" w:rsidP="00E22455">
      <w:pPr>
        <w:rPr>
          <w:rFonts w:ascii="Times New Roman" w:hAnsi="Times New Roman" w:cs="Times New Roman"/>
        </w:rPr>
      </w:pPr>
    </w:p>
    <w:p w14:paraId="34B1022E" w14:textId="77777777" w:rsidR="00E22455" w:rsidRPr="00157C7D" w:rsidRDefault="00E22455" w:rsidP="00E22455">
      <w:pPr>
        <w:jc w:val="both"/>
        <w:rPr>
          <w:rFonts w:ascii="Times New Roman" w:hAnsi="Times New Roman" w:cs="Times New Roman"/>
        </w:rPr>
      </w:pPr>
      <w:r w:rsidRPr="00157C7D">
        <w:rPr>
          <w:rFonts w:ascii="Times New Roman" w:hAnsi="Times New Roman" w:cs="Times New Roman"/>
        </w:rPr>
        <w:t>The acetic acid-induced writhing test is a highly sensitive experimental model of visceral nociception in which abdominal constrictions (writhes) are quantified as an index of pain perception. Increased writhing frequency indicates enhanced nociception or hyperalgesia, while reductions in writhing are indicative of analgesic activity. Despite its high sensitivity, the test is considered relatively non-specific because the response involves multiple inflammatory mediators, including prostaglandins, cytokines, mast cells, and macrophages (Koster</w:t>
      </w:r>
      <w:r w:rsidRPr="00157C7D">
        <w:rPr>
          <w:rFonts w:ascii="Times New Roman" w:hAnsi="Times New Roman" w:cs="Times New Roman"/>
          <w:i/>
        </w:rPr>
        <w:t xml:space="preserve"> et al </w:t>
      </w:r>
      <w:r w:rsidRPr="00157C7D">
        <w:rPr>
          <w:rFonts w:ascii="Times New Roman" w:hAnsi="Times New Roman" w:cs="Times New Roman"/>
        </w:rPr>
        <w:t>., 1959; Ribeiro</w:t>
      </w:r>
      <w:r w:rsidRPr="00157C7D">
        <w:rPr>
          <w:rFonts w:ascii="Times New Roman" w:hAnsi="Times New Roman" w:cs="Times New Roman"/>
          <w:i/>
        </w:rPr>
        <w:t xml:space="preserve"> et al </w:t>
      </w:r>
      <w:r w:rsidRPr="00157C7D">
        <w:rPr>
          <w:rFonts w:ascii="Times New Roman" w:hAnsi="Times New Roman" w:cs="Times New Roman"/>
        </w:rPr>
        <w:t>., 2000; Dzoyem</w:t>
      </w:r>
      <w:r w:rsidRPr="00157C7D">
        <w:rPr>
          <w:rFonts w:ascii="Times New Roman" w:hAnsi="Times New Roman" w:cs="Times New Roman"/>
          <w:i/>
        </w:rPr>
        <w:t xml:space="preserve"> et al </w:t>
      </w:r>
      <w:r w:rsidRPr="00157C7D">
        <w:rPr>
          <w:rFonts w:ascii="Times New Roman" w:hAnsi="Times New Roman" w:cs="Times New Roman"/>
        </w:rPr>
        <w:t>., 2017).</w:t>
      </w:r>
    </w:p>
    <w:p w14:paraId="05AD703D" w14:textId="77777777" w:rsidR="00E22455" w:rsidRPr="00157C7D" w:rsidRDefault="00E22455" w:rsidP="00E22455">
      <w:pPr>
        <w:jc w:val="both"/>
        <w:rPr>
          <w:rFonts w:ascii="Times New Roman" w:hAnsi="Times New Roman" w:cs="Times New Roman"/>
        </w:rPr>
      </w:pPr>
      <w:r w:rsidRPr="00157C7D">
        <w:rPr>
          <w:rFonts w:ascii="Times New Roman" w:hAnsi="Times New Roman" w:cs="Times New Roman"/>
        </w:rPr>
        <w:t xml:space="preserve">Freund’s incomplete Immune Activation contains mineral oil which is reported to  strongly activate </w:t>
      </w:r>
      <w:r w:rsidRPr="00157C7D">
        <w:rPr>
          <w:rFonts w:ascii="Times New Roman" w:eastAsia="Times New Roman" w:hAnsi="Times New Roman" w:cs="Times New Roman"/>
          <w:sz w:val="24"/>
          <w:szCs w:val="24"/>
        </w:rPr>
        <w:t xml:space="preserve"> leucocytes,  dendritic cells, TLR2/TLR4 pathways and NF-κB signaling (</w:t>
      </w:r>
      <w:r w:rsidRPr="00157C7D">
        <w:rPr>
          <w:rFonts w:ascii="Times New Roman" w:hAnsi="Times New Roman" w:cs="Times New Roman"/>
          <w:sz w:val="24"/>
          <w:szCs w:val="24"/>
        </w:rPr>
        <w:t>Kolstad,</w:t>
      </w:r>
      <w:r w:rsidRPr="00157C7D">
        <w:rPr>
          <w:rFonts w:ascii="Times New Roman" w:hAnsi="Times New Roman" w:cs="Times New Roman"/>
          <w:i/>
          <w:sz w:val="24"/>
          <w:szCs w:val="24"/>
        </w:rPr>
        <w:t xml:space="preserve"> et al </w:t>
      </w:r>
      <w:r w:rsidRPr="00157C7D">
        <w:rPr>
          <w:rFonts w:ascii="Times New Roman" w:hAnsi="Times New Roman" w:cs="Times New Roman"/>
          <w:sz w:val="24"/>
          <w:szCs w:val="24"/>
        </w:rPr>
        <w:t xml:space="preserve">., 2012; </w:t>
      </w:r>
      <w:r w:rsidRPr="00157C7D">
        <w:rPr>
          <w:rFonts w:ascii="Times New Roman" w:eastAsia="Times New Roman" w:hAnsi="Times New Roman" w:cs="Times New Roman"/>
          <w:sz w:val="24"/>
          <w:szCs w:val="24"/>
        </w:rPr>
        <w:t xml:space="preserve"> </w:t>
      </w:r>
      <w:r w:rsidRPr="00157C7D">
        <w:rPr>
          <w:rFonts w:ascii="Times New Roman" w:hAnsi="Times New Roman" w:cs="Times New Roman"/>
        </w:rPr>
        <w:t>Zamora</w:t>
      </w:r>
      <w:r w:rsidRPr="00157C7D">
        <w:rPr>
          <w:rFonts w:ascii="Times New Roman" w:eastAsia="Times New Roman" w:hAnsi="Times New Roman" w:cs="Times New Roman"/>
          <w:sz w:val="24"/>
          <w:szCs w:val="24"/>
        </w:rPr>
        <w:t>,</w:t>
      </w:r>
      <w:r w:rsidRPr="00157C7D">
        <w:rPr>
          <w:rFonts w:ascii="Times New Roman" w:eastAsia="Times New Roman" w:hAnsi="Times New Roman" w:cs="Times New Roman"/>
          <w:i/>
          <w:sz w:val="24"/>
          <w:szCs w:val="24"/>
        </w:rPr>
        <w:t xml:space="preserve"> et al </w:t>
      </w:r>
      <w:r w:rsidRPr="00157C7D">
        <w:rPr>
          <w:rFonts w:ascii="Times New Roman" w:eastAsia="Times New Roman" w:hAnsi="Times New Roman" w:cs="Times New Roman"/>
          <w:sz w:val="24"/>
          <w:szCs w:val="24"/>
        </w:rPr>
        <w:t>., 2002, Kohashi,</w:t>
      </w:r>
      <w:r w:rsidRPr="00157C7D">
        <w:rPr>
          <w:rFonts w:ascii="Times New Roman" w:eastAsia="Times New Roman" w:hAnsi="Times New Roman" w:cs="Times New Roman"/>
          <w:i/>
          <w:sz w:val="24"/>
          <w:szCs w:val="24"/>
        </w:rPr>
        <w:t xml:space="preserve"> et al </w:t>
      </w:r>
      <w:r w:rsidRPr="00157C7D">
        <w:rPr>
          <w:rFonts w:ascii="Times New Roman" w:eastAsia="Times New Roman" w:hAnsi="Times New Roman" w:cs="Times New Roman"/>
          <w:sz w:val="24"/>
          <w:szCs w:val="24"/>
        </w:rPr>
        <w:t>., 2001). These result to systemic inflammatory responses such as hyperalgesia and oxidative stress with notable nociceptive behavior (Noh,</w:t>
      </w:r>
      <w:r w:rsidRPr="00157C7D">
        <w:rPr>
          <w:rFonts w:ascii="Times New Roman" w:eastAsia="Times New Roman" w:hAnsi="Times New Roman" w:cs="Times New Roman"/>
          <w:i/>
          <w:sz w:val="24"/>
          <w:szCs w:val="24"/>
        </w:rPr>
        <w:t xml:space="preserve"> et al </w:t>
      </w:r>
      <w:r w:rsidRPr="00157C7D">
        <w:rPr>
          <w:rFonts w:ascii="Times New Roman" w:eastAsia="Times New Roman" w:hAnsi="Times New Roman" w:cs="Times New Roman"/>
          <w:sz w:val="24"/>
          <w:szCs w:val="24"/>
        </w:rPr>
        <w:t>., 2021)</w:t>
      </w:r>
    </w:p>
    <w:p w14:paraId="69B7793F" w14:textId="77777777" w:rsidR="00E22455" w:rsidRPr="00157C7D" w:rsidRDefault="00E22455" w:rsidP="00E22455">
      <w:pPr>
        <w:jc w:val="both"/>
        <w:rPr>
          <w:rFonts w:ascii="Times New Roman" w:hAnsi="Times New Roman" w:cs="Times New Roman"/>
          <w:color w:val="000000" w:themeColor="text1"/>
        </w:rPr>
      </w:pPr>
      <w:r w:rsidRPr="00157C7D">
        <w:rPr>
          <w:rFonts w:ascii="Times New Roman" w:hAnsi="Times New Roman" w:cs="Times New Roman"/>
          <w:color w:val="000000" w:themeColor="text1"/>
        </w:rPr>
        <w:t xml:space="preserve"> The result of nociception  showed that the  sequential  therapy of acetaminophen and Agbo iba after FIA induction, showed the lowest writhes when compared to  all the groups at (P˂0.05). Though there was no significant difference in writhes between single administrations of  </w:t>
      </w:r>
      <w:r>
        <w:rPr>
          <w:rFonts w:ascii="Times New Roman" w:hAnsi="Times New Roman" w:cs="Times New Roman"/>
          <w:color w:val="000000" w:themeColor="text1"/>
        </w:rPr>
        <w:t>Agbo Iba</w:t>
      </w:r>
      <w:r w:rsidRPr="00157C7D">
        <w:rPr>
          <w:rFonts w:ascii="Times New Roman" w:hAnsi="Times New Roman" w:cs="Times New Roman"/>
          <w:color w:val="000000" w:themeColor="text1"/>
        </w:rPr>
        <w:t xml:space="preserve"> and Acetaminophen, they both significantly decreased the number of writhes even compared to the normal control. The analgesic effect of acetaminophen is well established. However, the analgesic effect of </w:t>
      </w:r>
      <w:r>
        <w:rPr>
          <w:rFonts w:ascii="Times New Roman" w:hAnsi="Times New Roman" w:cs="Times New Roman"/>
          <w:color w:val="000000" w:themeColor="text1"/>
        </w:rPr>
        <w:t>Agbo Iba</w:t>
      </w:r>
      <w:r w:rsidRPr="00157C7D">
        <w:rPr>
          <w:rFonts w:ascii="Times New Roman" w:hAnsi="Times New Roman" w:cs="Times New Roman"/>
          <w:color w:val="000000" w:themeColor="text1"/>
        </w:rPr>
        <w:t xml:space="preserve">, which is almost same with acetaminophen may be due to its high content of Alkaloids which exhibit strong analgesic effects by acting directly on pain pathways. Their action result to </w:t>
      </w:r>
      <w:r w:rsidRPr="00157C7D">
        <w:rPr>
          <w:rFonts w:ascii="Times New Roman" w:eastAsia="Times New Roman" w:hAnsi="Times New Roman" w:cs="Times New Roman"/>
          <w:sz w:val="24"/>
          <w:szCs w:val="24"/>
        </w:rPr>
        <w:t>opioid receptors blockage, sodium channel blockade (nerve conduction inhibition), central nervous system depression/modulation and NMDA receptor modulation (Aly,</w:t>
      </w:r>
      <w:r w:rsidRPr="00157C7D">
        <w:rPr>
          <w:rFonts w:ascii="Times New Roman" w:eastAsia="Times New Roman" w:hAnsi="Times New Roman" w:cs="Times New Roman"/>
          <w:i/>
          <w:sz w:val="24"/>
          <w:szCs w:val="24"/>
        </w:rPr>
        <w:t xml:space="preserve"> et al </w:t>
      </w:r>
      <w:r w:rsidRPr="00157C7D">
        <w:rPr>
          <w:rFonts w:ascii="Times New Roman" w:eastAsia="Times New Roman" w:hAnsi="Times New Roman" w:cs="Times New Roman"/>
          <w:sz w:val="24"/>
          <w:szCs w:val="24"/>
        </w:rPr>
        <w:t>., 2025; Ferraz,</w:t>
      </w:r>
      <w:r w:rsidRPr="00157C7D">
        <w:rPr>
          <w:rFonts w:ascii="Times New Roman" w:eastAsia="Times New Roman" w:hAnsi="Times New Roman" w:cs="Times New Roman"/>
          <w:i/>
          <w:sz w:val="24"/>
          <w:szCs w:val="24"/>
        </w:rPr>
        <w:t xml:space="preserve"> et al </w:t>
      </w:r>
      <w:r w:rsidRPr="00157C7D">
        <w:rPr>
          <w:rFonts w:ascii="Times New Roman" w:eastAsia="Times New Roman" w:hAnsi="Times New Roman" w:cs="Times New Roman"/>
          <w:sz w:val="24"/>
          <w:szCs w:val="24"/>
        </w:rPr>
        <w:t>., 2020; Radulovic,</w:t>
      </w:r>
      <w:r w:rsidRPr="00157C7D">
        <w:rPr>
          <w:rFonts w:ascii="Times New Roman" w:eastAsia="Times New Roman" w:hAnsi="Times New Roman" w:cs="Times New Roman"/>
          <w:i/>
          <w:sz w:val="24"/>
          <w:szCs w:val="24"/>
        </w:rPr>
        <w:t xml:space="preserve"> et al </w:t>
      </w:r>
      <w:r w:rsidRPr="00157C7D">
        <w:rPr>
          <w:rFonts w:ascii="Times New Roman" w:eastAsia="Times New Roman" w:hAnsi="Times New Roman" w:cs="Times New Roman"/>
          <w:sz w:val="24"/>
          <w:szCs w:val="24"/>
        </w:rPr>
        <w:t xml:space="preserve">., 2013) </w:t>
      </w:r>
    </w:p>
    <w:p w14:paraId="3EB362B8" w14:textId="77777777" w:rsidR="00E22455" w:rsidRPr="00157C7D" w:rsidRDefault="00E22455" w:rsidP="00E22455">
      <w:pPr>
        <w:jc w:val="both"/>
        <w:rPr>
          <w:rFonts w:ascii="Times New Roman" w:hAnsi="Times New Roman" w:cs="Times New Roman"/>
        </w:rPr>
      </w:pPr>
      <w:r w:rsidRPr="00157C7D">
        <w:rPr>
          <w:rFonts w:ascii="Times New Roman" w:hAnsi="Times New Roman" w:cs="Times New Roman"/>
          <w:color w:val="000000" w:themeColor="text1"/>
        </w:rPr>
        <w:t xml:space="preserve"> Except for the Freund activation group, Vitamin C showed the highest writhes; an indication that it may have low analgesic activity against FIA, probably because its anti-nociceptive effect is considered secondary to its anti-inflammatory effect </w:t>
      </w:r>
      <w:r w:rsidRPr="00157C7D">
        <w:rPr>
          <w:rFonts w:ascii="Times New Roman" w:hAnsi="Times New Roman" w:cs="Times New Roman"/>
        </w:rPr>
        <w:t>when compared to acetaminophen ( Lu,</w:t>
      </w:r>
      <w:r w:rsidRPr="00157C7D">
        <w:rPr>
          <w:rFonts w:ascii="Times New Roman" w:hAnsi="Times New Roman" w:cs="Times New Roman"/>
          <w:i/>
        </w:rPr>
        <w:t xml:space="preserve"> et al </w:t>
      </w:r>
      <w:r w:rsidRPr="00157C7D">
        <w:rPr>
          <w:rFonts w:ascii="Times New Roman" w:hAnsi="Times New Roman" w:cs="Times New Roman"/>
        </w:rPr>
        <w:t>., 2011; Mallet,</w:t>
      </w:r>
      <w:r w:rsidRPr="00157C7D">
        <w:rPr>
          <w:rFonts w:ascii="Times New Roman" w:hAnsi="Times New Roman" w:cs="Times New Roman"/>
          <w:i/>
        </w:rPr>
        <w:t xml:space="preserve"> et al </w:t>
      </w:r>
      <w:r w:rsidRPr="00157C7D">
        <w:rPr>
          <w:rFonts w:ascii="Times New Roman" w:hAnsi="Times New Roman" w:cs="Times New Roman"/>
        </w:rPr>
        <w:t xml:space="preserve">., 2010)   </w:t>
      </w:r>
    </w:p>
    <w:p w14:paraId="02DEF7DA" w14:textId="77777777" w:rsidR="00E22455" w:rsidRPr="00157C7D" w:rsidRDefault="00E22455" w:rsidP="00E22455">
      <w:pPr>
        <w:rPr>
          <w:rFonts w:ascii="Times New Roman" w:hAnsi="Times New Roman" w:cs="Times New Roman"/>
          <w:b/>
          <w:color w:val="000000" w:themeColor="text1"/>
        </w:rPr>
      </w:pPr>
      <w:r>
        <w:rPr>
          <w:rFonts w:ascii="Times New Roman" w:hAnsi="Times New Roman" w:cs="Times New Roman"/>
          <w:b/>
          <w:color w:val="000000" w:themeColor="text1"/>
        </w:rPr>
        <w:t xml:space="preserve">Table 4 showing </w:t>
      </w:r>
      <w:r w:rsidRPr="00157C7D">
        <w:rPr>
          <w:rFonts w:ascii="Times New Roman" w:hAnsi="Times New Roman" w:cs="Times New Roman"/>
          <w:b/>
          <w:color w:val="000000" w:themeColor="text1"/>
        </w:rPr>
        <w:t>Result</w:t>
      </w:r>
      <w:r>
        <w:rPr>
          <w:rFonts w:ascii="Times New Roman" w:hAnsi="Times New Roman" w:cs="Times New Roman"/>
          <w:b/>
          <w:color w:val="000000" w:themeColor="text1"/>
        </w:rPr>
        <w:t>s</w:t>
      </w:r>
      <w:r w:rsidRPr="00157C7D">
        <w:rPr>
          <w:rFonts w:ascii="Times New Roman" w:hAnsi="Times New Roman" w:cs="Times New Roman"/>
          <w:b/>
          <w:color w:val="000000" w:themeColor="text1"/>
        </w:rPr>
        <w:t xml:space="preserve"> on the </w:t>
      </w:r>
      <w:r w:rsidRPr="00157C7D">
        <w:rPr>
          <w:rFonts w:ascii="Times New Roman" w:hAnsi="Times New Roman" w:cs="Times New Roman"/>
          <w:b/>
        </w:rPr>
        <w:t>Effect of Agbo Iba herbal Decoction and Acetaminophen administrations on Pro-inflammatory cytokines  of Male Wistar rats after Freund’s incomplete Immune activation (FIA).</w:t>
      </w:r>
    </w:p>
    <w:tbl>
      <w:tblPr>
        <w:tblStyle w:val="TableGrid"/>
        <w:tblW w:w="964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620"/>
        <w:gridCol w:w="1440"/>
        <w:gridCol w:w="1350"/>
      </w:tblGrid>
      <w:tr w:rsidR="00E22455" w:rsidRPr="00157C7D" w14:paraId="0808E5FA" w14:textId="77777777" w:rsidTr="00E57AA9">
        <w:trPr>
          <w:trHeight w:val="340"/>
        </w:trPr>
        <w:tc>
          <w:tcPr>
            <w:tcW w:w="5238" w:type="dxa"/>
            <w:tcBorders>
              <w:top w:val="single" w:sz="12" w:space="0" w:color="auto"/>
              <w:bottom w:val="single" w:sz="12" w:space="0" w:color="auto"/>
            </w:tcBorders>
            <w:noWrap/>
            <w:hideMark/>
          </w:tcPr>
          <w:p w14:paraId="3ED712DA"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Treatment groups</w:t>
            </w:r>
          </w:p>
        </w:tc>
        <w:tc>
          <w:tcPr>
            <w:tcW w:w="1620" w:type="dxa"/>
            <w:tcBorders>
              <w:top w:val="single" w:sz="12" w:space="0" w:color="auto"/>
              <w:bottom w:val="single" w:sz="12" w:space="0" w:color="auto"/>
            </w:tcBorders>
            <w:noWrap/>
            <w:hideMark/>
          </w:tcPr>
          <w:p w14:paraId="5BFB18ED"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TNF-α (pg/ml)</w:t>
            </w:r>
          </w:p>
        </w:tc>
        <w:tc>
          <w:tcPr>
            <w:tcW w:w="1440" w:type="dxa"/>
            <w:tcBorders>
              <w:top w:val="single" w:sz="12" w:space="0" w:color="auto"/>
              <w:bottom w:val="single" w:sz="12" w:space="0" w:color="auto"/>
            </w:tcBorders>
            <w:noWrap/>
            <w:hideMark/>
          </w:tcPr>
          <w:p w14:paraId="4AF823DF"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IL-1β (pg/ml)</w:t>
            </w:r>
          </w:p>
        </w:tc>
        <w:tc>
          <w:tcPr>
            <w:tcW w:w="1350" w:type="dxa"/>
            <w:tcBorders>
              <w:top w:val="single" w:sz="12" w:space="0" w:color="auto"/>
              <w:bottom w:val="single" w:sz="12" w:space="0" w:color="auto"/>
            </w:tcBorders>
            <w:noWrap/>
            <w:hideMark/>
          </w:tcPr>
          <w:p w14:paraId="2C8511CE"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IL-6 (pg/ml)</w:t>
            </w:r>
          </w:p>
        </w:tc>
      </w:tr>
      <w:tr w:rsidR="00E22455" w:rsidRPr="00157C7D" w14:paraId="0072ADCB" w14:textId="77777777" w:rsidTr="00E57AA9">
        <w:trPr>
          <w:trHeight w:val="340"/>
        </w:trPr>
        <w:tc>
          <w:tcPr>
            <w:tcW w:w="5238" w:type="dxa"/>
            <w:tcBorders>
              <w:top w:val="single" w:sz="12" w:space="0" w:color="auto"/>
            </w:tcBorders>
            <w:noWrap/>
            <w:hideMark/>
          </w:tcPr>
          <w:p w14:paraId="586B6F00" w14:textId="77777777" w:rsidR="00E22455" w:rsidRPr="00157C7D" w:rsidRDefault="00E22455" w:rsidP="00E57AA9">
            <w:pPr>
              <w:rPr>
                <w:rFonts w:ascii="Times New Roman" w:hAnsi="Times New Roman" w:cs="Times New Roman"/>
                <w:b/>
                <w:color w:val="000000" w:themeColor="text1"/>
              </w:rPr>
            </w:pPr>
            <w:r w:rsidRPr="00157C7D">
              <w:rPr>
                <w:rFonts w:ascii="Times New Roman" w:hAnsi="Times New Roman" w:cs="Times New Roman"/>
                <w:b/>
                <w:color w:val="000000" w:themeColor="text1"/>
              </w:rPr>
              <w:t>Normal Control</w:t>
            </w:r>
          </w:p>
        </w:tc>
        <w:tc>
          <w:tcPr>
            <w:tcW w:w="1620" w:type="dxa"/>
            <w:tcBorders>
              <w:top w:val="single" w:sz="12" w:space="0" w:color="auto"/>
            </w:tcBorders>
            <w:noWrap/>
            <w:hideMark/>
          </w:tcPr>
          <w:p w14:paraId="2C8E4245"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19.96±2.45</w:t>
            </w:r>
            <w:r w:rsidRPr="00157C7D">
              <w:rPr>
                <w:rFonts w:ascii="Times New Roman" w:hAnsi="Times New Roman" w:cs="Times New Roman"/>
                <w:color w:val="000000" w:themeColor="text1"/>
                <w:vertAlign w:val="superscript"/>
              </w:rPr>
              <w:t>b</w:t>
            </w:r>
          </w:p>
        </w:tc>
        <w:tc>
          <w:tcPr>
            <w:tcW w:w="1440" w:type="dxa"/>
            <w:tcBorders>
              <w:top w:val="single" w:sz="12" w:space="0" w:color="auto"/>
            </w:tcBorders>
            <w:noWrap/>
            <w:hideMark/>
          </w:tcPr>
          <w:p w14:paraId="689120CA"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0.85±0.08</w:t>
            </w:r>
            <w:r w:rsidRPr="00157C7D">
              <w:rPr>
                <w:rFonts w:ascii="Times New Roman" w:hAnsi="Times New Roman" w:cs="Times New Roman"/>
                <w:color w:val="000000" w:themeColor="text1"/>
                <w:vertAlign w:val="superscript"/>
              </w:rPr>
              <w:t>a,b</w:t>
            </w:r>
          </w:p>
        </w:tc>
        <w:tc>
          <w:tcPr>
            <w:tcW w:w="1350" w:type="dxa"/>
            <w:tcBorders>
              <w:top w:val="single" w:sz="12" w:space="0" w:color="auto"/>
            </w:tcBorders>
            <w:noWrap/>
            <w:hideMark/>
          </w:tcPr>
          <w:p w14:paraId="22A3C96A"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4.30±0.23</w:t>
            </w:r>
            <w:r w:rsidRPr="00157C7D">
              <w:rPr>
                <w:rFonts w:ascii="Times New Roman" w:hAnsi="Times New Roman" w:cs="Times New Roman"/>
                <w:color w:val="000000" w:themeColor="text1"/>
                <w:vertAlign w:val="superscript"/>
              </w:rPr>
              <w:t>b</w:t>
            </w:r>
          </w:p>
        </w:tc>
      </w:tr>
      <w:tr w:rsidR="00E22455" w:rsidRPr="00157C7D" w14:paraId="28E76317" w14:textId="77777777" w:rsidTr="00E57AA9">
        <w:trPr>
          <w:trHeight w:val="340"/>
        </w:trPr>
        <w:tc>
          <w:tcPr>
            <w:tcW w:w="5238" w:type="dxa"/>
            <w:noWrap/>
            <w:hideMark/>
          </w:tcPr>
          <w:p w14:paraId="4A8206C2"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Freund’s Incomplete Adjuvant (FIA) only</w:t>
            </w:r>
          </w:p>
        </w:tc>
        <w:tc>
          <w:tcPr>
            <w:tcW w:w="1620" w:type="dxa"/>
            <w:noWrap/>
            <w:hideMark/>
          </w:tcPr>
          <w:p w14:paraId="794A1B4A"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51.43±3.35</w:t>
            </w:r>
            <w:r w:rsidRPr="00157C7D">
              <w:rPr>
                <w:rFonts w:ascii="Times New Roman" w:hAnsi="Times New Roman" w:cs="Times New Roman"/>
                <w:color w:val="000000" w:themeColor="text1"/>
                <w:vertAlign w:val="superscript"/>
              </w:rPr>
              <w:t>f</w:t>
            </w:r>
          </w:p>
        </w:tc>
        <w:tc>
          <w:tcPr>
            <w:tcW w:w="1440" w:type="dxa"/>
            <w:noWrap/>
            <w:hideMark/>
          </w:tcPr>
          <w:p w14:paraId="2B05D0E2"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1.82±0.24</w:t>
            </w:r>
            <w:r w:rsidRPr="00157C7D">
              <w:rPr>
                <w:rFonts w:ascii="Times New Roman" w:hAnsi="Times New Roman" w:cs="Times New Roman"/>
                <w:color w:val="000000" w:themeColor="text1"/>
                <w:vertAlign w:val="superscript"/>
              </w:rPr>
              <w:t>d</w:t>
            </w:r>
          </w:p>
        </w:tc>
        <w:tc>
          <w:tcPr>
            <w:tcW w:w="1350" w:type="dxa"/>
            <w:noWrap/>
            <w:hideMark/>
          </w:tcPr>
          <w:p w14:paraId="192B3044"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9.46±1.61</w:t>
            </w:r>
            <w:r w:rsidRPr="00157C7D">
              <w:rPr>
                <w:rFonts w:ascii="Times New Roman" w:hAnsi="Times New Roman" w:cs="Times New Roman"/>
                <w:color w:val="000000" w:themeColor="text1"/>
                <w:vertAlign w:val="superscript"/>
              </w:rPr>
              <w:t>d</w:t>
            </w:r>
          </w:p>
        </w:tc>
      </w:tr>
      <w:tr w:rsidR="00E22455" w:rsidRPr="00157C7D" w14:paraId="4A18ADF9" w14:textId="77777777" w:rsidTr="00E57AA9">
        <w:trPr>
          <w:trHeight w:val="340"/>
        </w:trPr>
        <w:tc>
          <w:tcPr>
            <w:tcW w:w="5238" w:type="dxa"/>
            <w:noWrap/>
            <w:hideMark/>
          </w:tcPr>
          <w:p w14:paraId="4FD140A5"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FIA + Vitamin C (100 mg/kg bw)</w:t>
            </w:r>
          </w:p>
        </w:tc>
        <w:tc>
          <w:tcPr>
            <w:tcW w:w="1620" w:type="dxa"/>
            <w:noWrap/>
            <w:hideMark/>
          </w:tcPr>
          <w:p w14:paraId="29A9EB3C"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37.00±3.14</w:t>
            </w:r>
            <w:r w:rsidRPr="00157C7D">
              <w:rPr>
                <w:rFonts w:ascii="Times New Roman" w:hAnsi="Times New Roman" w:cs="Times New Roman"/>
                <w:color w:val="000000" w:themeColor="text1"/>
                <w:vertAlign w:val="superscript"/>
              </w:rPr>
              <w:t>e</w:t>
            </w:r>
          </w:p>
        </w:tc>
        <w:tc>
          <w:tcPr>
            <w:tcW w:w="1440" w:type="dxa"/>
            <w:noWrap/>
            <w:hideMark/>
          </w:tcPr>
          <w:p w14:paraId="76B228D9"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1.30±0.05</w:t>
            </w:r>
            <w:r w:rsidRPr="00157C7D">
              <w:rPr>
                <w:rFonts w:ascii="Times New Roman" w:hAnsi="Times New Roman" w:cs="Times New Roman"/>
                <w:color w:val="000000" w:themeColor="text1"/>
                <w:vertAlign w:val="superscript"/>
              </w:rPr>
              <w:t>c</w:t>
            </w:r>
          </w:p>
        </w:tc>
        <w:tc>
          <w:tcPr>
            <w:tcW w:w="1350" w:type="dxa"/>
            <w:noWrap/>
            <w:hideMark/>
          </w:tcPr>
          <w:p w14:paraId="2BD5F4AF"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5.57±0.23</w:t>
            </w:r>
            <w:r w:rsidRPr="00157C7D">
              <w:rPr>
                <w:rFonts w:ascii="Times New Roman" w:hAnsi="Times New Roman" w:cs="Times New Roman"/>
                <w:color w:val="000000" w:themeColor="text1"/>
                <w:vertAlign w:val="superscript"/>
              </w:rPr>
              <w:t>c</w:t>
            </w:r>
          </w:p>
        </w:tc>
      </w:tr>
      <w:tr w:rsidR="00E22455" w:rsidRPr="00157C7D" w14:paraId="0EA6ABEE" w14:textId="77777777" w:rsidTr="00E57AA9">
        <w:trPr>
          <w:trHeight w:val="340"/>
        </w:trPr>
        <w:tc>
          <w:tcPr>
            <w:tcW w:w="5238" w:type="dxa"/>
            <w:noWrap/>
            <w:hideMark/>
          </w:tcPr>
          <w:p w14:paraId="2FD6FF7A"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Acetaminophen (300 mg/kg bw) only</w:t>
            </w:r>
          </w:p>
        </w:tc>
        <w:tc>
          <w:tcPr>
            <w:tcW w:w="1620" w:type="dxa"/>
            <w:noWrap/>
            <w:hideMark/>
          </w:tcPr>
          <w:p w14:paraId="6613B2E0"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15.24±0.76</w:t>
            </w:r>
            <w:r w:rsidRPr="00157C7D">
              <w:rPr>
                <w:rFonts w:ascii="Times New Roman" w:hAnsi="Times New Roman" w:cs="Times New Roman"/>
                <w:color w:val="000000" w:themeColor="text1"/>
                <w:vertAlign w:val="superscript"/>
              </w:rPr>
              <w:t>a,b</w:t>
            </w:r>
          </w:p>
        </w:tc>
        <w:tc>
          <w:tcPr>
            <w:tcW w:w="1440" w:type="dxa"/>
            <w:noWrap/>
            <w:hideMark/>
          </w:tcPr>
          <w:p w14:paraId="1CC22720"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0.65±0.11</w:t>
            </w:r>
            <w:r w:rsidRPr="00157C7D">
              <w:rPr>
                <w:rFonts w:ascii="Times New Roman" w:hAnsi="Times New Roman" w:cs="Times New Roman"/>
                <w:color w:val="000000" w:themeColor="text1"/>
                <w:vertAlign w:val="superscript"/>
              </w:rPr>
              <w:t>a</w:t>
            </w:r>
          </w:p>
        </w:tc>
        <w:tc>
          <w:tcPr>
            <w:tcW w:w="1350" w:type="dxa"/>
            <w:noWrap/>
            <w:hideMark/>
          </w:tcPr>
          <w:p w14:paraId="5F63B1BE"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3.07±0.37</w:t>
            </w:r>
            <w:r w:rsidRPr="00157C7D">
              <w:rPr>
                <w:rFonts w:ascii="Times New Roman" w:hAnsi="Times New Roman" w:cs="Times New Roman"/>
                <w:color w:val="000000" w:themeColor="text1"/>
                <w:vertAlign w:val="superscript"/>
              </w:rPr>
              <w:t>a</w:t>
            </w:r>
          </w:p>
        </w:tc>
      </w:tr>
      <w:tr w:rsidR="00E22455" w:rsidRPr="00157C7D" w14:paraId="188A548B" w14:textId="77777777" w:rsidTr="00E57AA9">
        <w:trPr>
          <w:trHeight w:val="340"/>
        </w:trPr>
        <w:tc>
          <w:tcPr>
            <w:tcW w:w="5238" w:type="dxa"/>
            <w:noWrap/>
            <w:hideMark/>
          </w:tcPr>
          <w:p w14:paraId="2B1E7E23"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Agbo Iba (500 mg/kg bw) only</w:t>
            </w:r>
          </w:p>
        </w:tc>
        <w:tc>
          <w:tcPr>
            <w:tcW w:w="1620" w:type="dxa"/>
            <w:noWrap/>
            <w:hideMark/>
          </w:tcPr>
          <w:p w14:paraId="4BD9D2CA"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15.78±3.83</w:t>
            </w:r>
            <w:r w:rsidRPr="00157C7D">
              <w:rPr>
                <w:rFonts w:ascii="Times New Roman" w:hAnsi="Times New Roman" w:cs="Times New Roman"/>
                <w:color w:val="000000" w:themeColor="text1"/>
                <w:vertAlign w:val="superscript"/>
              </w:rPr>
              <w:t>a,b</w:t>
            </w:r>
          </w:p>
        </w:tc>
        <w:tc>
          <w:tcPr>
            <w:tcW w:w="1440" w:type="dxa"/>
            <w:noWrap/>
            <w:hideMark/>
          </w:tcPr>
          <w:p w14:paraId="7E78738F"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0.65±0.12</w:t>
            </w:r>
            <w:r w:rsidRPr="00157C7D">
              <w:rPr>
                <w:rFonts w:ascii="Times New Roman" w:hAnsi="Times New Roman" w:cs="Times New Roman"/>
                <w:color w:val="000000" w:themeColor="text1"/>
                <w:vertAlign w:val="superscript"/>
              </w:rPr>
              <w:t>a</w:t>
            </w:r>
          </w:p>
        </w:tc>
        <w:tc>
          <w:tcPr>
            <w:tcW w:w="1350" w:type="dxa"/>
            <w:noWrap/>
            <w:hideMark/>
          </w:tcPr>
          <w:p w14:paraId="6DF62F88"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3.16±0.12</w:t>
            </w:r>
            <w:r w:rsidRPr="00157C7D">
              <w:rPr>
                <w:rFonts w:ascii="Times New Roman" w:hAnsi="Times New Roman" w:cs="Times New Roman"/>
                <w:color w:val="000000" w:themeColor="text1"/>
                <w:vertAlign w:val="superscript"/>
              </w:rPr>
              <w:t>a</w:t>
            </w:r>
          </w:p>
        </w:tc>
      </w:tr>
      <w:tr w:rsidR="00E22455" w:rsidRPr="00157C7D" w14:paraId="1CDD804E" w14:textId="77777777" w:rsidTr="00E57AA9">
        <w:trPr>
          <w:trHeight w:val="340"/>
        </w:trPr>
        <w:tc>
          <w:tcPr>
            <w:tcW w:w="5238" w:type="dxa"/>
            <w:noWrap/>
            <w:hideMark/>
          </w:tcPr>
          <w:p w14:paraId="0DDA0DC6"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Acetaminophen (300 mg/kg) + Agbo Iba (500 mg/kg)</w:t>
            </w:r>
          </w:p>
        </w:tc>
        <w:tc>
          <w:tcPr>
            <w:tcW w:w="1620" w:type="dxa"/>
            <w:noWrap/>
            <w:hideMark/>
          </w:tcPr>
          <w:p w14:paraId="014F1E07"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14.60±2.69</w:t>
            </w:r>
            <w:r w:rsidRPr="00157C7D">
              <w:rPr>
                <w:rFonts w:ascii="Times New Roman" w:hAnsi="Times New Roman" w:cs="Times New Roman"/>
                <w:color w:val="000000" w:themeColor="text1"/>
                <w:vertAlign w:val="superscript"/>
              </w:rPr>
              <w:t>a</w:t>
            </w:r>
          </w:p>
        </w:tc>
        <w:tc>
          <w:tcPr>
            <w:tcW w:w="1440" w:type="dxa"/>
            <w:noWrap/>
            <w:hideMark/>
          </w:tcPr>
          <w:p w14:paraId="533FB5C1"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0.69±0.13</w:t>
            </w:r>
            <w:r w:rsidRPr="00157C7D">
              <w:rPr>
                <w:rFonts w:ascii="Times New Roman" w:hAnsi="Times New Roman" w:cs="Times New Roman"/>
                <w:color w:val="000000" w:themeColor="text1"/>
                <w:vertAlign w:val="superscript"/>
              </w:rPr>
              <w:t>a</w:t>
            </w:r>
          </w:p>
        </w:tc>
        <w:tc>
          <w:tcPr>
            <w:tcW w:w="1350" w:type="dxa"/>
            <w:noWrap/>
            <w:hideMark/>
          </w:tcPr>
          <w:p w14:paraId="4E2C8455"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2.17±0.22</w:t>
            </w:r>
            <w:r w:rsidRPr="00157C7D">
              <w:rPr>
                <w:rFonts w:ascii="Times New Roman" w:hAnsi="Times New Roman" w:cs="Times New Roman"/>
                <w:color w:val="000000" w:themeColor="text1"/>
                <w:vertAlign w:val="superscript"/>
              </w:rPr>
              <w:t>a</w:t>
            </w:r>
          </w:p>
        </w:tc>
      </w:tr>
      <w:tr w:rsidR="00E22455" w:rsidRPr="00157C7D" w14:paraId="79DE2D5A" w14:textId="77777777" w:rsidTr="00E57AA9">
        <w:trPr>
          <w:trHeight w:val="340"/>
        </w:trPr>
        <w:tc>
          <w:tcPr>
            <w:tcW w:w="5238" w:type="dxa"/>
            <w:noWrap/>
            <w:hideMark/>
          </w:tcPr>
          <w:p w14:paraId="788FF87D"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FIA + Agbo Iba (500 mg/kg bw)</w:t>
            </w:r>
          </w:p>
        </w:tc>
        <w:tc>
          <w:tcPr>
            <w:tcW w:w="1620" w:type="dxa"/>
            <w:noWrap/>
            <w:hideMark/>
          </w:tcPr>
          <w:p w14:paraId="463CD08A"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30.97±1.94</w:t>
            </w:r>
            <w:r w:rsidRPr="00157C7D">
              <w:rPr>
                <w:rFonts w:ascii="Times New Roman" w:hAnsi="Times New Roman" w:cs="Times New Roman"/>
                <w:color w:val="000000" w:themeColor="text1"/>
                <w:vertAlign w:val="superscript"/>
              </w:rPr>
              <w:t>d</w:t>
            </w:r>
          </w:p>
        </w:tc>
        <w:tc>
          <w:tcPr>
            <w:tcW w:w="1440" w:type="dxa"/>
            <w:noWrap/>
            <w:hideMark/>
          </w:tcPr>
          <w:p w14:paraId="26192503"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1.05±0.09</w:t>
            </w:r>
            <w:r w:rsidRPr="00157C7D">
              <w:rPr>
                <w:rFonts w:ascii="Times New Roman" w:hAnsi="Times New Roman" w:cs="Times New Roman"/>
                <w:color w:val="000000" w:themeColor="text1"/>
                <w:vertAlign w:val="superscript"/>
              </w:rPr>
              <w:t>b</w:t>
            </w:r>
          </w:p>
        </w:tc>
        <w:tc>
          <w:tcPr>
            <w:tcW w:w="1350" w:type="dxa"/>
            <w:noWrap/>
            <w:hideMark/>
          </w:tcPr>
          <w:p w14:paraId="2DADA6A1"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5.80±0.31</w:t>
            </w:r>
            <w:r w:rsidRPr="00157C7D">
              <w:rPr>
                <w:rFonts w:ascii="Times New Roman" w:hAnsi="Times New Roman" w:cs="Times New Roman"/>
                <w:color w:val="000000" w:themeColor="text1"/>
                <w:vertAlign w:val="superscript"/>
              </w:rPr>
              <w:t>c</w:t>
            </w:r>
          </w:p>
        </w:tc>
      </w:tr>
      <w:tr w:rsidR="00E22455" w:rsidRPr="00157C7D" w14:paraId="1A8C8474" w14:textId="77777777" w:rsidTr="00E57AA9">
        <w:trPr>
          <w:trHeight w:val="340"/>
        </w:trPr>
        <w:tc>
          <w:tcPr>
            <w:tcW w:w="5238" w:type="dxa"/>
            <w:noWrap/>
            <w:hideMark/>
          </w:tcPr>
          <w:p w14:paraId="5B7EBEBE"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FIA + Acetaminophen (300 mg/kg bw)</w:t>
            </w:r>
          </w:p>
        </w:tc>
        <w:tc>
          <w:tcPr>
            <w:tcW w:w="1620" w:type="dxa"/>
            <w:noWrap/>
            <w:hideMark/>
          </w:tcPr>
          <w:p w14:paraId="28687231"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25.04±2.47</w:t>
            </w:r>
            <w:r w:rsidRPr="00157C7D">
              <w:rPr>
                <w:rFonts w:ascii="Times New Roman" w:hAnsi="Times New Roman" w:cs="Times New Roman"/>
                <w:color w:val="000000" w:themeColor="text1"/>
                <w:vertAlign w:val="superscript"/>
              </w:rPr>
              <w:t>c</w:t>
            </w:r>
          </w:p>
        </w:tc>
        <w:tc>
          <w:tcPr>
            <w:tcW w:w="1440" w:type="dxa"/>
            <w:noWrap/>
            <w:hideMark/>
          </w:tcPr>
          <w:p w14:paraId="49F17C3F"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1.08±0.15</w:t>
            </w:r>
            <w:r w:rsidRPr="00157C7D">
              <w:rPr>
                <w:rFonts w:ascii="Times New Roman" w:hAnsi="Times New Roman" w:cs="Times New Roman"/>
                <w:color w:val="000000" w:themeColor="text1"/>
                <w:vertAlign w:val="superscript"/>
              </w:rPr>
              <w:t>b</w:t>
            </w:r>
          </w:p>
        </w:tc>
        <w:tc>
          <w:tcPr>
            <w:tcW w:w="1350" w:type="dxa"/>
            <w:noWrap/>
            <w:hideMark/>
          </w:tcPr>
          <w:p w14:paraId="50384A70"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5.65±0.86</w:t>
            </w:r>
            <w:r w:rsidRPr="00157C7D">
              <w:rPr>
                <w:rFonts w:ascii="Times New Roman" w:hAnsi="Times New Roman" w:cs="Times New Roman"/>
                <w:color w:val="000000" w:themeColor="text1"/>
                <w:vertAlign w:val="superscript"/>
              </w:rPr>
              <w:t>c</w:t>
            </w:r>
          </w:p>
        </w:tc>
      </w:tr>
      <w:tr w:rsidR="00E22455" w:rsidRPr="00157C7D" w14:paraId="35219295" w14:textId="77777777" w:rsidTr="00E57AA9">
        <w:trPr>
          <w:trHeight w:val="340"/>
        </w:trPr>
        <w:tc>
          <w:tcPr>
            <w:tcW w:w="5238" w:type="dxa"/>
            <w:noWrap/>
            <w:hideMark/>
          </w:tcPr>
          <w:p w14:paraId="1BC220D9"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FIA + Acetaminophen (300 mg/kg bw) + Agbo Iba (500 mg/kg bw)</w:t>
            </w:r>
          </w:p>
        </w:tc>
        <w:tc>
          <w:tcPr>
            <w:tcW w:w="1620" w:type="dxa"/>
            <w:noWrap/>
            <w:hideMark/>
          </w:tcPr>
          <w:p w14:paraId="0172DBFC"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17.23±2.86</w:t>
            </w:r>
            <w:r w:rsidRPr="00157C7D">
              <w:rPr>
                <w:rFonts w:ascii="Times New Roman" w:hAnsi="Times New Roman" w:cs="Times New Roman"/>
                <w:color w:val="000000" w:themeColor="text1"/>
                <w:vertAlign w:val="superscript"/>
              </w:rPr>
              <w:t>a,b</w:t>
            </w:r>
          </w:p>
        </w:tc>
        <w:tc>
          <w:tcPr>
            <w:tcW w:w="1440" w:type="dxa"/>
            <w:noWrap/>
            <w:hideMark/>
          </w:tcPr>
          <w:p w14:paraId="2E6DFA09"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0.87±0.07</w:t>
            </w:r>
            <w:r w:rsidRPr="00157C7D">
              <w:rPr>
                <w:rFonts w:ascii="Times New Roman" w:hAnsi="Times New Roman" w:cs="Times New Roman"/>
                <w:color w:val="000000" w:themeColor="text1"/>
                <w:vertAlign w:val="superscript"/>
              </w:rPr>
              <w:t>a,b</w:t>
            </w:r>
          </w:p>
        </w:tc>
        <w:tc>
          <w:tcPr>
            <w:tcW w:w="1350" w:type="dxa"/>
            <w:noWrap/>
            <w:hideMark/>
          </w:tcPr>
          <w:p w14:paraId="4C1DFA8B" w14:textId="77777777" w:rsidR="00E22455" w:rsidRPr="00157C7D" w:rsidRDefault="00E22455" w:rsidP="00E57AA9">
            <w:pPr>
              <w:rPr>
                <w:rFonts w:ascii="Times New Roman" w:hAnsi="Times New Roman" w:cs="Times New Roman"/>
                <w:color w:val="000000" w:themeColor="text1"/>
              </w:rPr>
            </w:pPr>
            <w:r w:rsidRPr="00157C7D">
              <w:rPr>
                <w:rFonts w:ascii="Times New Roman" w:hAnsi="Times New Roman" w:cs="Times New Roman"/>
                <w:color w:val="000000" w:themeColor="text1"/>
              </w:rPr>
              <w:t>5.09±0.23</w:t>
            </w:r>
            <w:r w:rsidRPr="00157C7D">
              <w:rPr>
                <w:rFonts w:ascii="Times New Roman" w:hAnsi="Times New Roman" w:cs="Times New Roman"/>
                <w:color w:val="000000" w:themeColor="text1"/>
                <w:vertAlign w:val="superscript"/>
              </w:rPr>
              <w:t>c</w:t>
            </w:r>
          </w:p>
        </w:tc>
      </w:tr>
    </w:tbl>
    <w:p w14:paraId="64012575" w14:textId="77777777" w:rsidR="00E22455" w:rsidRPr="00157C7D" w:rsidRDefault="00E22455" w:rsidP="00E22455">
      <w:pPr>
        <w:jc w:val="both"/>
        <w:rPr>
          <w:rFonts w:ascii="Times New Roman" w:hAnsi="Times New Roman" w:cs="Times New Roman"/>
          <w:color w:val="000000" w:themeColor="text1"/>
        </w:rPr>
      </w:pPr>
      <w:r w:rsidRPr="00157C7D">
        <w:rPr>
          <w:rFonts w:ascii="Times New Roman" w:hAnsi="Times New Roman" w:cs="Times New Roman"/>
          <w:color w:val="000000" w:themeColor="text1"/>
        </w:rPr>
        <w:t>Values are presented as mean ± standard deviation (</w:t>
      </w:r>
      <w:r>
        <w:rPr>
          <w:rFonts w:ascii="Times New Roman" w:hAnsi="Times New Roman" w:cs="Times New Roman"/>
          <w:color w:val="000000" w:themeColor="text1"/>
        </w:rPr>
        <w:t>n = 6</w:t>
      </w:r>
      <w:r w:rsidRPr="00157C7D">
        <w:rPr>
          <w:rFonts w:ascii="Times New Roman" w:hAnsi="Times New Roman" w:cs="Times New Roman"/>
          <w:color w:val="000000" w:themeColor="text1"/>
        </w:rPr>
        <w:t>); and values with different letter superscripts are significantly (P &lt; 0.05) different within the column. TNF-α – Tumor necrosis Factor, IL-1β- Interleukin -1βeta</w:t>
      </w:r>
    </w:p>
    <w:p w14:paraId="1B06F6B6" w14:textId="77777777" w:rsidR="00E22455" w:rsidRPr="00157C7D" w:rsidRDefault="00E22455" w:rsidP="00E22455">
      <w:pPr>
        <w:jc w:val="both"/>
        <w:rPr>
          <w:rFonts w:ascii="Times New Roman" w:hAnsi="Times New Roman" w:cs="Times New Roman"/>
          <w:color w:val="000000" w:themeColor="text1"/>
        </w:rPr>
      </w:pPr>
      <w:r w:rsidRPr="00157C7D">
        <w:rPr>
          <w:rFonts w:ascii="Times New Roman" w:hAnsi="Times New Roman" w:cs="Times New Roman"/>
          <w:color w:val="000000" w:themeColor="text1"/>
        </w:rPr>
        <w:t>The result showed that the Freund’s Incomplete Adjuvant activation (FIA) caused the highest significant  increases in pro-inflammatory cytokines as these increases point to tissue injury, immune activation, inflammation, fever and pain sensitization (</w:t>
      </w:r>
      <w:r w:rsidRPr="00157C7D">
        <w:rPr>
          <w:rFonts w:ascii="Times New Roman" w:hAnsi="Times New Roman" w:cs="Times New Roman"/>
          <w:sz w:val="24"/>
          <w:szCs w:val="24"/>
        </w:rPr>
        <w:t>Kolstad,</w:t>
      </w:r>
      <w:r w:rsidRPr="00157C7D">
        <w:rPr>
          <w:rFonts w:ascii="Times New Roman" w:hAnsi="Times New Roman" w:cs="Times New Roman"/>
          <w:i/>
          <w:sz w:val="24"/>
          <w:szCs w:val="24"/>
        </w:rPr>
        <w:t xml:space="preserve"> et al </w:t>
      </w:r>
      <w:r w:rsidRPr="00157C7D">
        <w:rPr>
          <w:rFonts w:ascii="Times New Roman" w:hAnsi="Times New Roman" w:cs="Times New Roman"/>
          <w:sz w:val="24"/>
          <w:szCs w:val="24"/>
        </w:rPr>
        <w:t xml:space="preserve">., 2012; </w:t>
      </w:r>
      <w:r w:rsidRPr="00157C7D">
        <w:rPr>
          <w:rFonts w:ascii="Times New Roman" w:eastAsia="Times New Roman" w:hAnsi="Times New Roman" w:cs="Times New Roman"/>
          <w:sz w:val="24"/>
          <w:szCs w:val="24"/>
        </w:rPr>
        <w:t>Noh,</w:t>
      </w:r>
      <w:r w:rsidRPr="00157C7D">
        <w:rPr>
          <w:rFonts w:ascii="Times New Roman" w:eastAsia="Times New Roman" w:hAnsi="Times New Roman" w:cs="Times New Roman"/>
          <w:i/>
          <w:sz w:val="24"/>
          <w:szCs w:val="24"/>
        </w:rPr>
        <w:t xml:space="preserve"> et al </w:t>
      </w:r>
      <w:r w:rsidRPr="00157C7D">
        <w:rPr>
          <w:rFonts w:ascii="Times New Roman" w:eastAsia="Times New Roman" w:hAnsi="Times New Roman" w:cs="Times New Roman"/>
          <w:sz w:val="24"/>
          <w:szCs w:val="24"/>
        </w:rPr>
        <w:t xml:space="preserve">., 2021). </w:t>
      </w:r>
      <w:r w:rsidRPr="00157C7D">
        <w:rPr>
          <w:rFonts w:ascii="Times New Roman" w:hAnsi="Times New Roman" w:cs="Times New Roman"/>
          <w:color w:val="000000" w:themeColor="text1"/>
        </w:rPr>
        <w:t xml:space="preserve">Though single administrations of acetaminophen and the herbal decoction  ( both without FIA), significantly decreased the levels of the pro-inflammatory cytokines, there was no significant difference between them.  After FIA induction, Acetaminophen significantly reduced the levels of TNF-α when herbal decoction  in </w:t>
      </w:r>
    </w:p>
    <w:p w14:paraId="75336B99" w14:textId="77777777" w:rsidR="00E22455" w:rsidRPr="00157C7D" w:rsidRDefault="00E22455" w:rsidP="00E22455">
      <w:pPr>
        <w:jc w:val="both"/>
        <w:rPr>
          <w:rFonts w:ascii="Times New Roman" w:hAnsi="Times New Roman" w:cs="Times New Roman"/>
          <w:color w:val="000000" w:themeColor="text1"/>
        </w:rPr>
      </w:pPr>
      <w:r w:rsidRPr="00157C7D">
        <w:rPr>
          <w:rFonts w:ascii="Times New Roman" w:hAnsi="Times New Roman" w:cs="Times New Roman"/>
          <w:color w:val="000000" w:themeColor="text1"/>
        </w:rPr>
        <w:t xml:space="preserve"> The combined sequential therapy of Acetaminophen and Agbo Iba , after FIA induction produced similar significance (P˂0.05) of reduced TNF-α levels when compared to individual groups treated with Acetaminophen and Agbo Iba. </w:t>
      </w:r>
    </w:p>
    <w:p w14:paraId="50B3B15C" w14:textId="77777777" w:rsidR="00E22455" w:rsidRPr="00157C7D" w:rsidRDefault="00E22455" w:rsidP="00E22455">
      <w:pPr>
        <w:jc w:val="both"/>
        <w:rPr>
          <w:rFonts w:ascii="Times New Roman" w:hAnsi="Times New Roman" w:cs="Times New Roman"/>
          <w:color w:val="000000" w:themeColor="text1"/>
        </w:rPr>
      </w:pPr>
    </w:p>
    <w:p w14:paraId="18A7FC1A" w14:textId="77777777" w:rsidR="00E22455" w:rsidRPr="00157C7D" w:rsidRDefault="00E22455" w:rsidP="00E22455">
      <w:pPr>
        <w:jc w:val="both"/>
        <w:rPr>
          <w:rFonts w:ascii="Times New Roman" w:hAnsi="Times New Roman" w:cs="Times New Roman"/>
          <w:color w:val="000000" w:themeColor="text1"/>
        </w:rPr>
      </w:pPr>
      <w:r w:rsidRPr="00157C7D">
        <w:rPr>
          <w:rFonts w:ascii="Times New Roman" w:hAnsi="Times New Roman" w:cs="Times New Roman"/>
          <w:color w:val="000000" w:themeColor="text1"/>
        </w:rPr>
        <w:t xml:space="preserve">The sequential therapy of acetaminophen and </w:t>
      </w:r>
      <w:r>
        <w:rPr>
          <w:rFonts w:ascii="Times New Roman" w:hAnsi="Times New Roman" w:cs="Times New Roman"/>
          <w:color w:val="000000" w:themeColor="text1"/>
        </w:rPr>
        <w:t>Agbo Iba</w:t>
      </w:r>
      <w:r w:rsidRPr="00157C7D">
        <w:rPr>
          <w:rFonts w:ascii="Times New Roman" w:hAnsi="Times New Roman" w:cs="Times New Roman"/>
          <w:color w:val="000000" w:themeColor="text1"/>
        </w:rPr>
        <w:t>, without FIA induction significantly reduced the serum levels of IL-6 as compared to those</w:t>
      </w:r>
    </w:p>
    <w:p w14:paraId="7F7F3793" w14:textId="77777777" w:rsidR="00E22455" w:rsidRPr="00157C7D" w:rsidRDefault="00E22455" w:rsidP="00E22455">
      <w:pPr>
        <w:jc w:val="both"/>
        <w:rPr>
          <w:rFonts w:ascii="Times New Roman" w:hAnsi="Times New Roman" w:cs="Times New Roman"/>
        </w:rPr>
      </w:pPr>
      <w:r w:rsidRPr="00157C7D">
        <w:rPr>
          <w:rFonts w:ascii="Times New Roman" w:hAnsi="Times New Roman" w:cs="Times New Roman"/>
          <w:color w:val="000000" w:themeColor="text1"/>
        </w:rPr>
        <w:t xml:space="preserve">  However, levels of IL-6 were significant reduced, especially in the group co-treated with acetaminophen and </w:t>
      </w:r>
      <w:r>
        <w:rPr>
          <w:rFonts w:ascii="Times New Roman" w:hAnsi="Times New Roman" w:cs="Times New Roman"/>
          <w:color w:val="000000" w:themeColor="text1"/>
        </w:rPr>
        <w:t>Agbo Iba</w:t>
      </w:r>
      <w:r w:rsidRPr="00157C7D">
        <w:rPr>
          <w:rFonts w:ascii="Times New Roman" w:hAnsi="Times New Roman" w:cs="Times New Roman"/>
          <w:color w:val="000000" w:themeColor="text1"/>
        </w:rPr>
        <w:t xml:space="preserve"> when compared to all other groups indicating that Combined administration  of Acetaminophen and </w:t>
      </w:r>
      <w:r>
        <w:rPr>
          <w:rFonts w:ascii="Times New Roman" w:hAnsi="Times New Roman" w:cs="Times New Roman"/>
          <w:color w:val="000000" w:themeColor="text1"/>
        </w:rPr>
        <w:t>Agbo Iba</w:t>
      </w:r>
      <w:r w:rsidRPr="00157C7D">
        <w:rPr>
          <w:rFonts w:ascii="Times New Roman" w:hAnsi="Times New Roman" w:cs="Times New Roman"/>
          <w:color w:val="000000" w:themeColor="text1"/>
        </w:rPr>
        <w:t xml:space="preserve"> may exhibit stronger anti-inflammatory  and immune-suppressing effect than   individual single administrations Several works as earlier stated, have shown how FIA can be used to induce chronic local inflammation of pyrogenic ( fever-causing) Pyrogens such as TNF-α and IL-6 (</w:t>
      </w:r>
      <w:r w:rsidRPr="00157C7D">
        <w:rPr>
          <w:rFonts w:ascii="Times New Roman" w:hAnsi="Times New Roman" w:cs="Times New Roman"/>
        </w:rPr>
        <w:t>Kolstad,</w:t>
      </w:r>
      <w:r w:rsidRPr="00157C7D">
        <w:rPr>
          <w:rFonts w:ascii="Times New Roman" w:hAnsi="Times New Roman" w:cs="Times New Roman"/>
          <w:i/>
        </w:rPr>
        <w:t xml:space="preserve"> et al , </w:t>
      </w:r>
      <w:r w:rsidRPr="00157C7D">
        <w:rPr>
          <w:rFonts w:ascii="Times New Roman" w:hAnsi="Times New Roman" w:cs="Times New Roman"/>
        </w:rPr>
        <w:t xml:space="preserve">2012, Billiau and Matthys, 2001). </w:t>
      </w:r>
      <w:r w:rsidRPr="00157C7D">
        <w:rPr>
          <w:rFonts w:ascii="Times New Roman" w:hAnsi="Times New Roman" w:cs="Times New Roman"/>
          <w:color w:val="000000" w:themeColor="text1"/>
        </w:rPr>
        <w:t xml:space="preserve">The result of this study showed Acetaminophen and  </w:t>
      </w:r>
      <w:r>
        <w:rPr>
          <w:rFonts w:ascii="Times New Roman" w:hAnsi="Times New Roman" w:cs="Times New Roman"/>
          <w:color w:val="000000" w:themeColor="text1"/>
        </w:rPr>
        <w:t>Agbo Iba</w:t>
      </w:r>
      <w:r w:rsidRPr="00157C7D">
        <w:rPr>
          <w:rFonts w:ascii="Times New Roman" w:hAnsi="Times New Roman" w:cs="Times New Roman"/>
          <w:color w:val="000000" w:themeColor="text1"/>
        </w:rPr>
        <w:t xml:space="preserve"> should exert more anti-inflammatory effects than when only one in cases of fever</w:t>
      </w:r>
    </w:p>
    <w:p w14:paraId="4E840334" w14:textId="77777777" w:rsidR="00E22455" w:rsidRPr="00157C7D" w:rsidRDefault="00E22455" w:rsidP="00E22455">
      <w:pPr>
        <w:jc w:val="both"/>
        <w:rPr>
          <w:rFonts w:ascii="Times New Roman" w:hAnsi="Times New Roman" w:cs="Times New Roman"/>
          <w:color w:val="000000" w:themeColor="text1"/>
        </w:rPr>
      </w:pPr>
    </w:p>
    <w:p w14:paraId="397BC505" w14:textId="77777777" w:rsidR="00E22455" w:rsidRDefault="00E22455" w:rsidP="00E22455">
      <w:pPr>
        <w:jc w:val="both"/>
        <w:rPr>
          <w:rFonts w:ascii="Times New Roman" w:hAnsi="Times New Roman" w:cs="Times New Roman"/>
        </w:rPr>
      </w:pPr>
    </w:p>
    <w:p w14:paraId="5C423691" w14:textId="77777777" w:rsidR="00E22455" w:rsidRPr="00157C7D" w:rsidRDefault="00E22455" w:rsidP="00E22455">
      <w:pPr>
        <w:jc w:val="both"/>
        <w:rPr>
          <w:rFonts w:ascii="Times New Roman" w:hAnsi="Times New Roman" w:cs="Times New Roman"/>
          <w:b/>
        </w:rPr>
      </w:pPr>
      <w:r w:rsidRPr="00157C7D">
        <w:rPr>
          <w:rFonts w:ascii="Times New Roman" w:hAnsi="Times New Roman" w:cs="Times New Roman"/>
          <w:b/>
        </w:rPr>
        <w:t>CONCLUSION</w:t>
      </w:r>
    </w:p>
    <w:p w14:paraId="73344C23" w14:textId="77777777" w:rsidR="00E22455" w:rsidRDefault="00E22455" w:rsidP="00E22455">
      <w:pPr>
        <w:pStyle w:val="NormalWeb"/>
        <w:jc w:val="both"/>
      </w:pPr>
      <w:r>
        <w:t xml:space="preserve">This study demonstrates that sequential administration of Agbo Iba and acetaminophen provides enhanced antinociceptive and anti-inflammatory benefits in FIA-induced inflammation compared to individual </w:t>
      </w:r>
      <w:r w:rsidR="0027477B">
        <w:t xml:space="preserve">agents, stressing the importance of combined therapy in medical </w:t>
      </w:r>
      <w:r w:rsidR="00C3512A">
        <w:t>sciences. These</w:t>
      </w:r>
      <w:r>
        <w:t xml:space="preserve"> findings have practical implications for traditional medicine practitioners and clinicians in regions where Agbo Iba and paracetamol are commonly</w:t>
      </w:r>
      <w:r w:rsidR="00C3512A">
        <w:t xml:space="preserve"> used.</w:t>
      </w:r>
      <w:r>
        <w:t xml:space="preserve"> Future studies should include histopathological examination, dose optimization, full herbal standardization (e.g., via HPLC), larger sample sizes, and long-term safety assessments. This work contributes to the evidence base for safe integration of herbal remedies with conventional analgesics.</w:t>
      </w:r>
    </w:p>
    <w:p w14:paraId="3859D765" w14:textId="77777777" w:rsidR="00E22455" w:rsidRPr="00157C7D" w:rsidRDefault="00E22455" w:rsidP="00E22455">
      <w:pPr>
        <w:jc w:val="both"/>
        <w:rPr>
          <w:rFonts w:ascii="Times New Roman" w:hAnsi="Times New Roman" w:cs="Times New Roman"/>
        </w:rPr>
      </w:pPr>
    </w:p>
    <w:p w14:paraId="69A9211E" w14:textId="77777777" w:rsidR="00E22455" w:rsidRPr="00157C7D" w:rsidRDefault="00E22455" w:rsidP="00E22455">
      <w:pPr>
        <w:jc w:val="both"/>
        <w:rPr>
          <w:rFonts w:ascii="Times New Roman" w:hAnsi="Times New Roman" w:cs="Times New Roman"/>
        </w:rPr>
      </w:pPr>
    </w:p>
    <w:p w14:paraId="18687D87" w14:textId="77777777" w:rsidR="00E22455" w:rsidRPr="00157C7D" w:rsidRDefault="00E22455" w:rsidP="00E22455">
      <w:pPr>
        <w:jc w:val="both"/>
        <w:rPr>
          <w:rFonts w:ascii="Times New Roman" w:hAnsi="Times New Roman" w:cs="Times New Roman"/>
          <w:b/>
        </w:rPr>
      </w:pPr>
      <w:r>
        <w:rPr>
          <w:rFonts w:ascii="Times New Roman" w:hAnsi="Times New Roman" w:cs="Times New Roman"/>
          <w:b/>
        </w:rPr>
        <w:t xml:space="preserve">                                          </w:t>
      </w:r>
      <w:r w:rsidRPr="00157C7D">
        <w:rPr>
          <w:rFonts w:ascii="Times New Roman" w:hAnsi="Times New Roman" w:cs="Times New Roman"/>
          <w:b/>
        </w:rPr>
        <w:t>REFERENCES</w:t>
      </w:r>
    </w:p>
    <w:p w14:paraId="7BA460A8" w14:textId="77777777" w:rsidR="00E22455" w:rsidRPr="00157C7D" w:rsidRDefault="00E22455" w:rsidP="00E22455">
      <w:pPr>
        <w:ind w:right="58"/>
        <w:jc w:val="both"/>
        <w:rPr>
          <w:rFonts w:ascii="Times New Roman" w:eastAsia="Times New Roman" w:hAnsi="Times New Roman" w:cs="Times New Roman"/>
        </w:rPr>
      </w:pPr>
      <w:r w:rsidRPr="00157C7D">
        <w:rPr>
          <w:rFonts w:ascii="Times New Roman" w:eastAsia="Times New Roman" w:hAnsi="Times New Roman" w:cs="Times New Roman"/>
          <w:bCs/>
        </w:rPr>
        <w:t>Akinmoladun, A.C.</w:t>
      </w:r>
      <w:r w:rsidRPr="00157C7D">
        <w:rPr>
          <w:rFonts w:ascii="Times New Roman" w:eastAsia="Times New Roman" w:hAnsi="Times New Roman" w:cs="Times New Roman"/>
          <w:bCs/>
          <w:i/>
        </w:rPr>
        <w:t xml:space="preserve"> et al </w:t>
      </w:r>
      <w:r w:rsidRPr="00157C7D">
        <w:rPr>
          <w:rFonts w:ascii="Times New Roman" w:eastAsia="Times New Roman" w:hAnsi="Times New Roman" w:cs="Times New Roman"/>
          <w:bCs/>
        </w:rPr>
        <w:t xml:space="preserve">. (2013). </w:t>
      </w:r>
      <w:r w:rsidRPr="00157C7D">
        <w:rPr>
          <w:rFonts w:ascii="Times New Roman" w:eastAsia="Times New Roman" w:hAnsi="Times New Roman" w:cs="Times New Roman"/>
          <w:iCs/>
        </w:rPr>
        <w:t xml:space="preserve"> Protective effect of curcumin on paracetamol-induced hepatotoxicity in rats.</w:t>
      </w:r>
      <w:r w:rsidRPr="00157C7D">
        <w:rPr>
          <w:rFonts w:ascii="Times New Roman" w:eastAsia="Times New Roman" w:hAnsi="Times New Roman" w:cs="Times New Roman"/>
        </w:rPr>
        <w:t xml:space="preserve"> </w:t>
      </w:r>
      <w:r w:rsidRPr="00157C7D">
        <w:rPr>
          <w:rFonts w:ascii="Times New Roman" w:eastAsia="Times New Roman" w:hAnsi="Times New Roman" w:cs="Times New Roman"/>
          <w:bCs/>
          <w:i/>
        </w:rPr>
        <w:t>Drug Chem Toxicol</w:t>
      </w:r>
      <w:r w:rsidRPr="00157C7D">
        <w:rPr>
          <w:rFonts w:ascii="Times New Roman" w:eastAsia="Times New Roman" w:hAnsi="Times New Roman" w:cs="Times New Roman"/>
          <w:i/>
        </w:rPr>
        <w:t>,</w:t>
      </w:r>
      <w:r w:rsidRPr="00157C7D">
        <w:rPr>
          <w:rFonts w:ascii="Times New Roman" w:eastAsia="Times New Roman" w:hAnsi="Times New Roman" w:cs="Times New Roman"/>
        </w:rPr>
        <w:t xml:space="preserve"> 40(4): 366–373.</w:t>
      </w:r>
    </w:p>
    <w:p w14:paraId="6C1D0B35" w14:textId="77777777" w:rsidR="00E22455" w:rsidRPr="00157C7D" w:rsidRDefault="00E22455" w:rsidP="00E22455">
      <w:pPr>
        <w:pStyle w:val="NormalWeb"/>
        <w:ind w:left="450" w:hanging="450"/>
        <w:jc w:val="both"/>
        <w:rPr>
          <w:sz w:val="22"/>
          <w:szCs w:val="22"/>
        </w:rPr>
      </w:pPr>
      <w:r w:rsidRPr="00157C7D">
        <w:rPr>
          <w:sz w:val="22"/>
          <w:szCs w:val="22"/>
        </w:rPr>
        <w:t xml:space="preserve">Al-Khayri, J. M., Sahana, G. R., Nagella, P., Joseph, B. V., Alessa, F. M., &amp; Al-Mssallem, M. Q. (2022). Flavonoids as potential anti-inflammatory molecules: A review. </w:t>
      </w:r>
      <w:r w:rsidRPr="00157C7D">
        <w:rPr>
          <w:rStyle w:val="Emphasis"/>
          <w:sz w:val="22"/>
          <w:szCs w:val="22"/>
        </w:rPr>
        <w:t>Molecules, 27</w:t>
      </w:r>
      <w:r w:rsidRPr="00157C7D">
        <w:rPr>
          <w:sz w:val="22"/>
          <w:szCs w:val="22"/>
        </w:rPr>
        <w:t xml:space="preserve">(9), 2901. </w:t>
      </w:r>
      <w:hyperlink r:id="rId6" w:tgtFrame="_new" w:history="1">
        <w:r w:rsidRPr="00157C7D">
          <w:rPr>
            <w:rStyle w:val="Hyperlink"/>
            <w:sz w:val="22"/>
            <w:szCs w:val="22"/>
          </w:rPr>
          <w:t>https://doi.org/10.3390/molecules27092901</w:t>
        </w:r>
      </w:hyperlink>
      <w:r w:rsidRPr="00157C7D">
        <w:rPr>
          <w:sz w:val="22"/>
          <w:szCs w:val="22"/>
        </w:rPr>
        <w:t xml:space="preserve"> </w:t>
      </w:r>
    </w:p>
    <w:p w14:paraId="3143EBF6" w14:textId="77777777" w:rsidR="00E22455" w:rsidRPr="00157C7D" w:rsidRDefault="00E22455" w:rsidP="00E22455">
      <w:pPr>
        <w:pStyle w:val="NormalWeb"/>
        <w:ind w:left="450" w:hanging="450"/>
        <w:jc w:val="both"/>
        <w:rPr>
          <w:sz w:val="22"/>
          <w:szCs w:val="22"/>
        </w:rPr>
      </w:pPr>
      <w:r w:rsidRPr="00157C7D">
        <w:rPr>
          <w:sz w:val="22"/>
          <w:szCs w:val="22"/>
        </w:rPr>
        <w:t>Aly, S. H., Thabet, A. A., Bahgat, D. M.,</w:t>
      </w:r>
      <w:r w:rsidRPr="00157C7D">
        <w:rPr>
          <w:i/>
          <w:sz w:val="22"/>
          <w:szCs w:val="22"/>
        </w:rPr>
        <w:t xml:space="preserve"> et al </w:t>
      </w:r>
      <w:r w:rsidRPr="00157C7D">
        <w:rPr>
          <w:sz w:val="22"/>
          <w:szCs w:val="22"/>
        </w:rPr>
        <w:t xml:space="preserve">. (2025). Plant-derived compounds: A potential treasure for development of analgesic and antinociceptive therapeutics. </w:t>
      </w:r>
      <w:r w:rsidRPr="00157C7D">
        <w:rPr>
          <w:rStyle w:val="Emphasis"/>
          <w:sz w:val="22"/>
          <w:szCs w:val="22"/>
        </w:rPr>
        <w:t>Phytotherapy Research</w:t>
      </w:r>
      <w:r w:rsidRPr="00157C7D">
        <w:rPr>
          <w:sz w:val="22"/>
          <w:szCs w:val="22"/>
        </w:rPr>
        <w:t>.</w:t>
      </w:r>
      <w:r w:rsidRPr="00157C7D">
        <w:rPr>
          <w:sz w:val="22"/>
          <w:szCs w:val="22"/>
        </w:rPr>
        <w:br/>
      </w:r>
      <w:hyperlink r:id="rId7" w:history="1">
        <w:r w:rsidRPr="00157C7D">
          <w:rPr>
            <w:rStyle w:val="Hyperlink"/>
            <w:sz w:val="22"/>
            <w:szCs w:val="22"/>
          </w:rPr>
          <w:t>https://doi.org/10.1002/ptr.70113</w:t>
        </w:r>
      </w:hyperlink>
      <w:r w:rsidRPr="00157C7D">
        <w:rPr>
          <w:sz w:val="22"/>
          <w:szCs w:val="22"/>
        </w:rPr>
        <w:t>.</w:t>
      </w:r>
    </w:p>
    <w:p w14:paraId="15C01203"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Anderson, B. J. (2008). Paracetamol (acetaminophen): Mechanisms of action. Paediatric Anaesthesia, 18(10), 915–921.</w:t>
      </w:r>
    </w:p>
    <w:p w14:paraId="047FC82C" w14:textId="77777777" w:rsidR="00E22455" w:rsidRPr="00157C7D" w:rsidRDefault="00E22455" w:rsidP="00E22455">
      <w:pPr>
        <w:pStyle w:val="NormalWeb"/>
        <w:ind w:left="450" w:hanging="450"/>
        <w:jc w:val="both"/>
        <w:rPr>
          <w:sz w:val="22"/>
          <w:szCs w:val="22"/>
        </w:rPr>
      </w:pPr>
      <w:r w:rsidRPr="00157C7D">
        <w:rPr>
          <w:sz w:val="22"/>
          <w:szCs w:val="22"/>
        </w:rPr>
        <w:t xml:space="preserve">Barbosa-Filho, J. M., Piuvezam, M. R., Moura, M. D., Silva, M. S., Batista Lima, K. V., Cunha, E. V. L., Fechine, I. M., &amp; Takemura, O. S. (2006). Anti-inflammatory activity of alkaloids: A twenty-century review. </w:t>
      </w:r>
      <w:r w:rsidRPr="00157C7D">
        <w:rPr>
          <w:rStyle w:val="Emphasis"/>
          <w:sz w:val="22"/>
          <w:szCs w:val="22"/>
        </w:rPr>
        <w:t>Revista Brasileira de Farmacognosia, 16</w:t>
      </w:r>
      <w:r w:rsidRPr="00157C7D">
        <w:rPr>
          <w:sz w:val="22"/>
          <w:szCs w:val="22"/>
        </w:rPr>
        <w:t xml:space="preserve">(1), 109–139. https://doi.org/10.1590/S0102-695X2006000100020 </w:t>
      </w:r>
    </w:p>
    <w:p w14:paraId="352EF39C"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Billiau, A., &amp; Matthys, P. (2001). Modes of action of Freund’s adjuvants in experimental models. Journal of Leukocyte Biology, 70(6), 849–860. https://doi.org/10.1189/jlb.70.6.849.</w:t>
      </w:r>
    </w:p>
    <w:p w14:paraId="65448747"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Billiau, A., &amp; Matthys, P. (2001). Modes of action of Freund’s adjuvants in experimental models. Journal of Leukocyte Biology, 70(6), 849–860. https://doi.org/10.1189/jlb.70.6.849.</w:t>
      </w:r>
    </w:p>
    <w:p w14:paraId="1106A64F" w14:textId="77777777" w:rsidR="00E22455" w:rsidRPr="00157C7D" w:rsidRDefault="00E22455" w:rsidP="00E22455">
      <w:pPr>
        <w:pStyle w:val="NormalWeb"/>
        <w:ind w:left="450" w:hanging="450"/>
        <w:jc w:val="both"/>
        <w:rPr>
          <w:sz w:val="22"/>
          <w:szCs w:val="22"/>
        </w:rPr>
      </w:pPr>
      <w:r w:rsidRPr="00157C7D">
        <w:rPr>
          <w:sz w:val="22"/>
          <w:szCs w:val="22"/>
        </w:rPr>
        <w:t>BonFIAce, P. K.,</w:t>
      </w:r>
      <w:r w:rsidRPr="00157C7D">
        <w:rPr>
          <w:i/>
          <w:sz w:val="22"/>
          <w:szCs w:val="22"/>
        </w:rPr>
        <w:t xml:space="preserve"> et al </w:t>
      </w:r>
      <w:r w:rsidRPr="00157C7D">
        <w:rPr>
          <w:sz w:val="22"/>
          <w:szCs w:val="22"/>
        </w:rPr>
        <w:t>. (2023).</w:t>
      </w:r>
      <w:r w:rsidRPr="00157C7D">
        <w:rPr>
          <w:rStyle w:val="Strong"/>
          <w:sz w:val="22"/>
          <w:szCs w:val="22"/>
        </w:rPr>
        <w:t>Protective roles and mechanism of action of plant flavonoids against hepatic impairment: Recent developments.</w:t>
      </w:r>
      <w:r w:rsidRPr="00157C7D">
        <w:rPr>
          <w:sz w:val="22"/>
          <w:szCs w:val="22"/>
        </w:rPr>
        <w:t xml:space="preserve"> </w:t>
      </w:r>
      <w:r w:rsidRPr="00157C7D">
        <w:rPr>
          <w:rStyle w:val="Emphasis"/>
          <w:sz w:val="22"/>
          <w:szCs w:val="22"/>
        </w:rPr>
        <w:t>Current Drug Targets, 24</w:t>
      </w:r>
      <w:r w:rsidRPr="00157C7D">
        <w:rPr>
          <w:sz w:val="22"/>
          <w:szCs w:val="22"/>
        </w:rPr>
        <w:t>(4), 332–360.</w:t>
      </w:r>
      <w:r w:rsidRPr="00157C7D">
        <w:rPr>
          <w:sz w:val="22"/>
          <w:szCs w:val="22"/>
        </w:rPr>
        <w:br/>
      </w:r>
      <w:hyperlink r:id="rId8" w:history="1">
        <w:r w:rsidRPr="00157C7D">
          <w:rPr>
            <w:rStyle w:val="Hyperlink"/>
            <w:sz w:val="22"/>
            <w:szCs w:val="22"/>
          </w:rPr>
          <w:t>https://doi.org/10.2174/1389450124666221227094958</w:t>
        </w:r>
      </w:hyperlink>
      <w:r w:rsidRPr="00157C7D">
        <w:rPr>
          <w:sz w:val="22"/>
          <w:szCs w:val="22"/>
        </w:rPr>
        <w:t>.</w:t>
      </w:r>
    </w:p>
    <w:p w14:paraId="4726CD4F" w14:textId="77777777" w:rsidR="00E22455" w:rsidRPr="00157C7D" w:rsidRDefault="00E22455" w:rsidP="00E22455">
      <w:pPr>
        <w:pStyle w:val="NormalWeb"/>
        <w:ind w:left="450" w:hanging="450"/>
        <w:jc w:val="both"/>
        <w:rPr>
          <w:sz w:val="22"/>
          <w:szCs w:val="22"/>
        </w:rPr>
      </w:pPr>
      <w:r w:rsidRPr="00157C7D">
        <w:rPr>
          <w:sz w:val="22"/>
          <w:szCs w:val="22"/>
        </w:rPr>
        <w:t xml:space="preserve">Clifford, C. B., &amp; Watson, J. (2008). Rodent diagnostic testing. </w:t>
      </w:r>
      <w:r w:rsidRPr="00157C7D">
        <w:rPr>
          <w:rStyle w:val="Emphasis"/>
          <w:sz w:val="22"/>
          <w:szCs w:val="22"/>
        </w:rPr>
        <w:t>Veterinary Clinics of North America: Exotic Animal Practice, 11</w:t>
      </w:r>
      <w:r w:rsidRPr="00157C7D">
        <w:rPr>
          <w:sz w:val="22"/>
          <w:szCs w:val="22"/>
        </w:rPr>
        <w:t>(3), 423–443.</w:t>
      </w:r>
    </w:p>
    <w:p w14:paraId="369F3AC6" w14:textId="77777777" w:rsidR="00E22455" w:rsidRPr="00157C7D" w:rsidRDefault="00E22455" w:rsidP="00E22455">
      <w:pPr>
        <w:pStyle w:val="NormalWeb"/>
        <w:ind w:left="450" w:hanging="450"/>
        <w:jc w:val="both"/>
        <w:rPr>
          <w:sz w:val="22"/>
          <w:szCs w:val="22"/>
        </w:rPr>
      </w:pPr>
      <w:r w:rsidRPr="00157C7D">
        <w:rPr>
          <w:sz w:val="22"/>
          <w:szCs w:val="22"/>
        </w:rPr>
        <w:t xml:space="preserve">Dzoyem, J. P., McGaw, L. J., &amp; Bakowsky, U. (2017). Anti-inflammatory and anti-nociceptive activities of African medicinal spices and vegetables. In V. Kuete (Ed.), </w:t>
      </w:r>
      <w:r w:rsidRPr="00157C7D">
        <w:rPr>
          <w:rStyle w:val="Emphasis"/>
          <w:sz w:val="22"/>
          <w:szCs w:val="22"/>
        </w:rPr>
        <w:t>Medicinal Spices and Vegetables from Africa</w:t>
      </w:r>
      <w:r w:rsidRPr="00157C7D">
        <w:rPr>
          <w:sz w:val="22"/>
          <w:szCs w:val="22"/>
        </w:rPr>
        <w:t xml:space="preserve"> (pp. 239–270). Academic Press.</w:t>
      </w:r>
    </w:p>
    <w:p w14:paraId="159E8710"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Erhunse, A.,</w:t>
      </w:r>
      <w:r w:rsidRPr="00157C7D">
        <w:rPr>
          <w:rFonts w:ascii="Times New Roman" w:hAnsi="Times New Roman" w:cs="Times New Roman"/>
          <w:i/>
        </w:rPr>
        <w:t xml:space="preserve"> et al </w:t>
      </w:r>
      <w:r w:rsidRPr="00157C7D">
        <w:rPr>
          <w:rFonts w:ascii="Times New Roman" w:hAnsi="Times New Roman" w:cs="Times New Roman"/>
        </w:rPr>
        <w:t>. (2023). Antiplasmodial evaluation of a Nigerian hepta-herbal Agbo-iba decoction. Malaria Research Journal, 12(3), 45–58.</w:t>
      </w:r>
    </w:p>
    <w:p w14:paraId="7DB02F13" w14:textId="77777777" w:rsidR="00E22455" w:rsidRPr="00157C7D" w:rsidRDefault="00E22455" w:rsidP="00E22455">
      <w:pPr>
        <w:ind w:left="450" w:right="58" w:hanging="450"/>
        <w:jc w:val="both"/>
        <w:rPr>
          <w:rFonts w:ascii="Times New Roman" w:eastAsia="Times New Roman" w:hAnsi="Times New Roman" w:cs="Times New Roman"/>
        </w:rPr>
      </w:pPr>
      <w:r w:rsidRPr="00157C7D">
        <w:rPr>
          <w:rFonts w:ascii="Times New Roman" w:eastAsia="Times New Roman" w:hAnsi="Times New Roman" w:cs="Times New Roman"/>
          <w:bCs/>
        </w:rPr>
        <w:t>Ezeja, M.I.</w:t>
      </w:r>
      <w:r w:rsidRPr="00157C7D">
        <w:rPr>
          <w:rFonts w:ascii="Times New Roman" w:eastAsia="Times New Roman" w:hAnsi="Times New Roman" w:cs="Times New Roman"/>
          <w:bCs/>
          <w:i/>
        </w:rPr>
        <w:t xml:space="preserve"> et al </w:t>
      </w:r>
      <w:r w:rsidRPr="00157C7D">
        <w:rPr>
          <w:rFonts w:ascii="Times New Roman" w:eastAsia="Times New Roman" w:hAnsi="Times New Roman" w:cs="Times New Roman"/>
          <w:bCs/>
        </w:rPr>
        <w:t xml:space="preserve">. (2015). </w:t>
      </w:r>
      <w:r w:rsidRPr="00157C7D">
        <w:rPr>
          <w:rFonts w:ascii="Times New Roman" w:eastAsia="Times New Roman" w:hAnsi="Times New Roman" w:cs="Times New Roman"/>
          <w:iCs/>
        </w:rPr>
        <w:t xml:space="preserve"> Evaluation of the analgesic and anti-inflammatory activities of ethanol extract of Salacia senegalensis root bark.</w:t>
      </w:r>
      <w:r w:rsidRPr="00157C7D">
        <w:rPr>
          <w:rFonts w:ascii="Times New Roman" w:eastAsia="Times New Roman" w:hAnsi="Times New Roman" w:cs="Times New Roman"/>
        </w:rPr>
        <w:t xml:space="preserve"> </w:t>
      </w:r>
      <w:r w:rsidRPr="00157C7D">
        <w:rPr>
          <w:rFonts w:ascii="Times New Roman" w:eastAsia="Times New Roman" w:hAnsi="Times New Roman" w:cs="Times New Roman"/>
          <w:bCs/>
          <w:i/>
        </w:rPr>
        <w:t>J Ethnopharmacol</w:t>
      </w:r>
      <w:r w:rsidRPr="00157C7D">
        <w:rPr>
          <w:rFonts w:ascii="Times New Roman" w:eastAsia="Times New Roman" w:hAnsi="Times New Roman" w:cs="Times New Roman"/>
        </w:rPr>
        <w:t>, 176: 382–389.</w:t>
      </w:r>
    </w:p>
    <w:p w14:paraId="6B0AE9EE" w14:textId="77777777" w:rsidR="00E22455" w:rsidRPr="00157C7D" w:rsidRDefault="00E22455" w:rsidP="00E22455">
      <w:pPr>
        <w:pStyle w:val="NormalWeb"/>
        <w:ind w:left="450" w:hanging="450"/>
        <w:jc w:val="both"/>
        <w:rPr>
          <w:sz w:val="22"/>
          <w:szCs w:val="22"/>
        </w:rPr>
      </w:pPr>
      <w:r w:rsidRPr="00157C7D">
        <w:rPr>
          <w:sz w:val="22"/>
          <w:szCs w:val="22"/>
        </w:rPr>
        <w:t>Ferraz, C. R., Carvalho, T. T., Manchope, M. F.,</w:t>
      </w:r>
      <w:r w:rsidRPr="00157C7D">
        <w:rPr>
          <w:i/>
          <w:sz w:val="22"/>
          <w:szCs w:val="22"/>
        </w:rPr>
        <w:t xml:space="preserve"> et al </w:t>
      </w:r>
      <w:r w:rsidRPr="00157C7D">
        <w:rPr>
          <w:sz w:val="22"/>
          <w:szCs w:val="22"/>
        </w:rPr>
        <w:t xml:space="preserve">. (2020). Therapeutic potential of flavonoids in pain and inflammation: Mechanisms of action, pre-clinical and clinical data, and pharmaceutical development. </w:t>
      </w:r>
      <w:r w:rsidRPr="00157C7D">
        <w:rPr>
          <w:rStyle w:val="Emphasis"/>
          <w:sz w:val="22"/>
          <w:szCs w:val="22"/>
        </w:rPr>
        <w:t>Molecules, 25</w:t>
      </w:r>
      <w:r w:rsidRPr="00157C7D">
        <w:rPr>
          <w:sz w:val="22"/>
          <w:szCs w:val="22"/>
        </w:rPr>
        <w:t xml:space="preserve">(3), 762. </w:t>
      </w:r>
      <w:hyperlink r:id="rId9" w:tgtFrame="_new" w:history="1">
        <w:r w:rsidRPr="00157C7D">
          <w:rPr>
            <w:rStyle w:val="Hyperlink"/>
            <w:sz w:val="22"/>
            <w:szCs w:val="22"/>
          </w:rPr>
          <w:t>https://doi.org/10.3390/molecules25030762</w:t>
        </w:r>
      </w:hyperlink>
      <w:r w:rsidRPr="00157C7D">
        <w:rPr>
          <w:sz w:val="22"/>
          <w:szCs w:val="22"/>
        </w:rPr>
        <w:t>.</w:t>
      </w:r>
    </w:p>
    <w:p w14:paraId="1CBD3D3C" w14:textId="77777777" w:rsidR="00E22455" w:rsidRPr="00157C7D" w:rsidRDefault="00E22455" w:rsidP="00E22455">
      <w:pPr>
        <w:pStyle w:val="NormalWeb"/>
        <w:ind w:left="450" w:hanging="450"/>
        <w:jc w:val="both"/>
        <w:rPr>
          <w:sz w:val="22"/>
          <w:szCs w:val="22"/>
        </w:rPr>
      </w:pPr>
      <w:r w:rsidRPr="00157C7D">
        <w:rPr>
          <w:sz w:val="22"/>
          <w:szCs w:val="22"/>
        </w:rPr>
        <w:t xml:space="preserve">Gajender, A., Mazumder, A., Sharma, A., &amp; Azad, M. A. K. (2023). </w:t>
      </w:r>
      <w:r w:rsidRPr="00157C7D">
        <w:rPr>
          <w:rStyle w:val="Strong"/>
          <w:sz w:val="22"/>
          <w:szCs w:val="22"/>
        </w:rPr>
        <w:t>A comprehensive review of the pharmacological importance of dietary flavonoids as hepatoprotective agents.</w:t>
      </w:r>
      <w:r w:rsidRPr="00157C7D">
        <w:rPr>
          <w:sz w:val="22"/>
          <w:szCs w:val="22"/>
        </w:rPr>
        <w:t xml:space="preserve"> </w:t>
      </w:r>
      <w:r w:rsidRPr="00157C7D">
        <w:rPr>
          <w:rStyle w:val="Emphasis"/>
          <w:sz w:val="22"/>
          <w:szCs w:val="22"/>
        </w:rPr>
        <w:t>Evidence-Based Complementary and Alternative Medicine</w:t>
      </w:r>
      <w:r w:rsidRPr="00157C7D">
        <w:rPr>
          <w:sz w:val="22"/>
          <w:szCs w:val="22"/>
        </w:rPr>
        <w:t xml:space="preserve">, 2023, 4139117. </w:t>
      </w:r>
      <w:hyperlink r:id="rId10" w:tgtFrame="_new" w:history="1">
        <w:r w:rsidRPr="00157C7D">
          <w:rPr>
            <w:rStyle w:val="Hyperlink"/>
            <w:sz w:val="22"/>
            <w:szCs w:val="22"/>
          </w:rPr>
          <w:t>https://doi.org/10.1155/2023/4139117</w:t>
        </w:r>
      </w:hyperlink>
    </w:p>
    <w:p w14:paraId="22E2DE52"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Glatman Zaretsky, A.,</w:t>
      </w:r>
      <w:r w:rsidRPr="00157C7D">
        <w:rPr>
          <w:rFonts w:ascii="Times New Roman" w:hAnsi="Times New Roman" w:cs="Times New Roman"/>
          <w:i/>
        </w:rPr>
        <w:t xml:space="preserve"> et al </w:t>
      </w:r>
      <w:r w:rsidRPr="00157C7D">
        <w:rPr>
          <w:rFonts w:ascii="Times New Roman" w:hAnsi="Times New Roman" w:cs="Times New Roman"/>
        </w:rPr>
        <w:t>. (2009).</w:t>
      </w:r>
      <w:r w:rsidRPr="00157C7D">
        <w:rPr>
          <w:rStyle w:val="Strong"/>
          <w:rFonts w:ascii="Times New Roman" w:hAnsi="Times New Roman" w:cs="Times New Roman"/>
        </w:rPr>
        <w:t>Distinct inflammatory responses in CFA vs non-microbial adjuvants.</w:t>
      </w:r>
      <w:r w:rsidRPr="00157C7D">
        <w:rPr>
          <w:rFonts w:ascii="Times New Roman" w:hAnsi="Times New Roman" w:cs="Times New Roman"/>
        </w:rPr>
        <w:t xml:space="preserve"> </w:t>
      </w:r>
      <w:r w:rsidRPr="00157C7D">
        <w:rPr>
          <w:rStyle w:val="Emphasis"/>
          <w:rFonts w:ascii="Times New Roman" w:hAnsi="Times New Roman" w:cs="Times New Roman"/>
        </w:rPr>
        <w:t>Journal of Immunology, 182</w:t>
      </w:r>
      <w:r w:rsidRPr="00157C7D">
        <w:rPr>
          <w:rFonts w:ascii="Times New Roman" w:hAnsi="Times New Roman" w:cs="Times New Roman"/>
        </w:rPr>
        <w:t xml:space="preserve">(3), 1574–1583. </w:t>
      </w:r>
      <w:hyperlink r:id="rId11" w:history="1">
        <w:r w:rsidRPr="00157C7D">
          <w:rPr>
            <w:rStyle w:val="Hyperlink"/>
            <w:rFonts w:ascii="Times New Roman" w:hAnsi="Times New Roman" w:cs="Times New Roman"/>
          </w:rPr>
          <w:t>https://doi.org/10.4049/jimmunol.182.3.1574</w:t>
        </w:r>
      </w:hyperlink>
      <w:r w:rsidRPr="00157C7D">
        <w:rPr>
          <w:rFonts w:ascii="Times New Roman" w:hAnsi="Times New Roman" w:cs="Times New Roman"/>
        </w:rPr>
        <w:t>.</w:t>
      </w:r>
    </w:p>
    <w:p w14:paraId="7477BA1D" w14:textId="77777777" w:rsidR="00E22455" w:rsidRPr="00157C7D" w:rsidRDefault="00E22455" w:rsidP="00E22455">
      <w:pPr>
        <w:pStyle w:val="NormalWeb"/>
        <w:ind w:left="450" w:hanging="450"/>
        <w:jc w:val="both"/>
        <w:rPr>
          <w:sz w:val="22"/>
          <w:szCs w:val="22"/>
        </w:rPr>
      </w:pPr>
      <w:r w:rsidRPr="00157C7D">
        <w:rPr>
          <w:sz w:val="22"/>
          <w:szCs w:val="22"/>
        </w:rPr>
        <w:t xml:space="preserve">Gürsoy, M., Haznedaroğlu, I. C., Çelik, I., Sayinalp, N., Özcebe, O. I., Dündar, S. V., &amp; Guévremont, C. (1996). </w:t>
      </w:r>
      <w:r w:rsidRPr="00157C7D">
        <w:rPr>
          <w:rStyle w:val="Emphasis"/>
          <w:sz w:val="22"/>
          <w:szCs w:val="22"/>
        </w:rPr>
        <w:t>Agranulocytosis, plasmacytosis, and thrombocytosis followed by a leukemoid reaction due to acute acetaminophen toxicity</w:t>
      </w:r>
      <w:r w:rsidRPr="00157C7D">
        <w:rPr>
          <w:sz w:val="22"/>
          <w:szCs w:val="22"/>
        </w:rPr>
        <w:t xml:space="preserve">. </w:t>
      </w:r>
      <w:r w:rsidRPr="00157C7D">
        <w:rPr>
          <w:rStyle w:val="Strong"/>
          <w:sz w:val="22"/>
          <w:szCs w:val="22"/>
        </w:rPr>
        <w:t>The Annals of Pharmacotherapy, 30</w:t>
      </w:r>
      <w:r w:rsidRPr="00157C7D">
        <w:rPr>
          <w:sz w:val="22"/>
          <w:szCs w:val="22"/>
        </w:rPr>
        <w:t xml:space="preserve">(7–8), 762–765. </w:t>
      </w:r>
      <w:hyperlink r:id="rId12" w:history="1">
        <w:r w:rsidRPr="00157C7D">
          <w:rPr>
            <w:rStyle w:val="Hyperlink"/>
            <w:sz w:val="22"/>
            <w:szCs w:val="22"/>
          </w:rPr>
          <w:t>https://doi.org/10.1177/106002809603000710</w:t>
        </w:r>
      </w:hyperlink>
      <w:r w:rsidRPr="00157C7D">
        <w:rPr>
          <w:sz w:val="22"/>
          <w:szCs w:val="22"/>
        </w:rPr>
        <w:t>.</w:t>
      </w:r>
    </w:p>
    <w:p w14:paraId="302BF1EF" w14:textId="77777777" w:rsidR="00E22455" w:rsidRPr="00157C7D" w:rsidRDefault="00E22455" w:rsidP="00E22455">
      <w:pPr>
        <w:pStyle w:val="NormalWeb"/>
        <w:ind w:left="450" w:hanging="450"/>
        <w:jc w:val="both"/>
        <w:rPr>
          <w:rStyle w:val="Emphasis"/>
          <w:sz w:val="22"/>
          <w:szCs w:val="22"/>
        </w:rPr>
      </w:pPr>
      <w:r w:rsidRPr="00157C7D">
        <w:rPr>
          <w:sz w:val="22"/>
          <w:szCs w:val="22"/>
        </w:rPr>
        <w:t xml:space="preserve">Ifedioranma, O. S., Amara, O. J., Okeke, M. U., &amp; Madukwe, D. U. (2020). </w:t>
      </w:r>
      <w:r w:rsidRPr="00157C7D">
        <w:rPr>
          <w:rStyle w:val="Emphasis"/>
          <w:sz w:val="22"/>
          <w:szCs w:val="22"/>
        </w:rPr>
        <w:t>Histomorphological and biochemical changes in the kidney and liver of Wistar rats treated with crude decoction of Nauclea latifolia, Enantia chlorantha and Mangifera indica (Agbo-Iba Ponto.</w:t>
      </w:r>
    </w:p>
    <w:p w14:paraId="20ED19FE" w14:textId="77777777" w:rsidR="00E22455" w:rsidRPr="00157C7D" w:rsidRDefault="00E22455" w:rsidP="00E22455">
      <w:pPr>
        <w:pStyle w:val="NormalWeb"/>
        <w:ind w:left="450" w:hanging="450"/>
        <w:jc w:val="both"/>
        <w:rPr>
          <w:b/>
          <w:sz w:val="22"/>
          <w:szCs w:val="22"/>
        </w:rPr>
      </w:pPr>
      <w:r w:rsidRPr="00157C7D">
        <w:rPr>
          <w:sz w:val="22"/>
          <w:szCs w:val="22"/>
        </w:rPr>
        <w:t xml:space="preserve">Ifedioranma, O. S., Amara, O. J., Okeke, M. U., Madukwe, D. U., Promise, D. U., Ekenebe, D. C., &amp; Obikwue, C. (2020). Histomorphological and biochemical changes in the kidney and liver of Wistar rats treated with crude decoction of </w:t>
      </w:r>
      <w:r w:rsidRPr="00157C7D">
        <w:rPr>
          <w:rStyle w:val="Emphasis"/>
          <w:sz w:val="22"/>
          <w:szCs w:val="22"/>
        </w:rPr>
        <w:t>Nauclea latifolia</w:t>
      </w:r>
      <w:r w:rsidRPr="00157C7D">
        <w:rPr>
          <w:sz w:val="22"/>
          <w:szCs w:val="22"/>
        </w:rPr>
        <w:t xml:space="preserve">, </w:t>
      </w:r>
      <w:r w:rsidRPr="00157C7D">
        <w:rPr>
          <w:rStyle w:val="Emphasis"/>
          <w:sz w:val="22"/>
          <w:szCs w:val="22"/>
        </w:rPr>
        <w:t>Enantia chlorantha</w:t>
      </w:r>
      <w:r w:rsidRPr="00157C7D">
        <w:rPr>
          <w:sz w:val="22"/>
          <w:szCs w:val="22"/>
        </w:rPr>
        <w:t xml:space="preserve"> and </w:t>
      </w:r>
      <w:r w:rsidRPr="00157C7D">
        <w:rPr>
          <w:rStyle w:val="Emphasis"/>
          <w:sz w:val="22"/>
          <w:szCs w:val="22"/>
        </w:rPr>
        <w:t>Mangifera indica</w:t>
      </w:r>
      <w:r w:rsidRPr="00157C7D">
        <w:rPr>
          <w:sz w:val="22"/>
          <w:szCs w:val="22"/>
        </w:rPr>
        <w:t xml:space="preserve"> (Agbo-Iba Ponto). </w:t>
      </w:r>
      <w:r w:rsidRPr="00157C7D">
        <w:rPr>
          <w:rStyle w:val="Emphasis"/>
          <w:sz w:val="22"/>
          <w:szCs w:val="22"/>
        </w:rPr>
        <w:t>International Journal of Modern Pharmaceutical Research, 4</w:t>
      </w:r>
      <w:r w:rsidRPr="00157C7D">
        <w:rPr>
          <w:sz w:val="22"/>
          <w:szCs w:val="22"/>
        </w:rPr>
        <w:t>(4), 157–162.</w:t>
      </w:r>
    </w:p>
    <w:p w14:paraId="430AF9A5" w14:textId="77777777" w:rsidR="00E22455" w:rsidRPr="00157C7D" w:rsidRDefault="00E22455" w:rsidP="00E22455">
      <w:pPr>
        <w:pStyle w:val="NormalWeb"/>
        <w:ind w:left="450" w:hanging="450"/>
        <w:jc w:val="both"/>
        <w:rPr>
          <w:b/>
          <w:sz w:val="22"/>
          <w:szCs w:val="22"/>
        </w:rPr>
      </w:pPr>
      <w:r w:rsidRPr="00157C7D">
        <w:rPr>
          <w:rStyle w:val="Strong"/>
          <w:sz w:val="22"/>
          <w:szCs w:val="22"/>
        </w:rPr>
        <w:t>Iyamah, P., Famuti, A., &amp; Idu, M. (2017).</w:t>
      </w:r>
      <w:r w:rsidRPr="00157C7D">
        <w:rPr>
          <w:b/>
          <w:sz w:val="22"/>
          <w:szCs w:val="22"/>
        </w:rPr>
        <w:t xml:space="preserve"> </w:t>
      </w:r>
      <w:r w:rsidRPr="00157C7D">
        <w:rPr>
          <w:rStyle w:val="Strong"/>
          <w:sz w:val="22"/>
          <w:szCs w:val="22"/>
        </w:rPr>
        <w:t>GC-MS and Molecular Docking Studies for Identification of Anti-malarial Compounds in Agbo-Iba PMII-a Polyherbal Formulation.</w:t>
      </w:r>
      <w:r w:rsidRPr="00157C7D">
        <w:rPr>
          <w:b/>
          <w:sz w:val="22"/>
          <w:szCs w:val="22"/>
        </w:rPr>
        <w:t xml:space="preserve"> </w:t>
      </w:r>
      <w:r w:rsidRPr="00157C7D">
        <w:rPr>
          <w:rStyle w:val="Emphasis"/>
          <w:sz w:val="22"/>
          <w:szCs w:val="22"/>
        </w:rPr>
        <w:t>Chemistry Research Journal, 2</w:t>
      </w:r>
      <w:r w:rsidRPr="00157C7D">
        <w:rPr>
          <w:sz w:val="22"/>
          <w:szCs w:val="22"/>
        </w:rPr>
        <w:t>(1), 46–56.</w:t>
      </w:r>
    </w:p>
    <w:p w14:paraId="1717F6A7" w14:textId="77777777" w:rsidR="00E22455" w:rsidRPr="00157C7D" w:rsidRDefault="00E22455" w:rsidP="00E22455">
      <w:pPr>
        <w:pStyle w:val="NormalWeb"/>
        <w:ind w:left="450" w:hanging="450"/>
        <w:jc w:val="both"/>
        <w:rPr>
          <w:sz w:val="22"/>
          <w:szCs w:val="22"/>
        </w:rPr>
      </w:pPr>
      <w:r w:rsidRPr="00157C7D">
        <w:rPr>
          <w:sz w:val="22"/>
          <w:szCs w:val="22"/>
        </w:rPr>
        <w:t xml:space="preserve">Jaeschke, H., &amp; Ramachandran, A. (2024). Acetaminophen hepatotoxicity: Paradigm for understanding mechanisms of drug-induced liver injury. </w:t>
      </w:r>
      <w:r w:rsidRPr="00157C7D">
        <w:rPr>
          <w:rStyle w:val="Emphasis"/>
          <w:sz w:val="22"/>
          <w:szCs w:val="22"/>
        </w:rPr>
        <w:t>Annual Review of Pathology: Mechanisms of Disease, 19</w:t>
      </w:r>
      <w:r w:rsidRPr="00157C7D">
        <w:rPr>
          <w:sz w:val="22"/>
          <w:szCs w:val="22"/>
        </w:rPr>
        <w:t xml:space="preserve">, 453–478. </w:t>
      </w:r>
      <w:hyperlink r:id="rId13" w:history="1">
        <w:r w:rsidRPr="00157C7D">
          <w:rPr>
            <w:rStyle w:val="Hyperlink"/>
            <w:sz w:val="22"/>
            <w:szCs w:val="22"/>
          </w:rPr>
          <w:t>https://doi.org/10.1146/annurev-pathmechdis-051122-094016</w:t>
        </w:r>
      </w:hyperlink>
      <w:r w:rsidRPr="00157C7D">
        <w:rPr>
          <w:sz w:val="22"/>
          <w:szCs w:val="22"/>
        </w:rPr>
        <w:t>.</w:t>
      </w:r>
    </w:p>
    <w:p w14:paraId="0D5E11A1" w14:textId="77777777" w:rsidR="00E22455" w:rsidRPr="00157C7D" w:rsidRDefault="00E22455" w:rsidP="00E22455">
      <w:pPr>
        <w:pStyle w:val="NormalWeb"/>
        <w:ind w:left="450" w:hanging="450"/>
        <w:jc w:val="both"/>
        <w:rPr>
          <w:sz w:val="22"/>
          <w:szCs w:val="22"/>
        </w:rPr>
      </w:pPr>
      <w:r w:rsidRPr="00157C7D">
        <w:rPr>
          <w:sz w:val="22"/>
          <w:szCs w:val="22"/>
        </w:rPr>
        <w:t xml:space="preserve">Kohashi, O., Kukita, A., Zheng, C. L., &amp; Hossain, A. (2001). Balance of Th1/Th2 cytokines associated with the preventive effect of incomplete Freund’s adjuvant on adjuvant arthritis. </w:t>
      </w:r>
      <w:r w:rsidRPr="00157C7D">
        <w:rPr>
          <w:rStyle w:val="Emphasis"/>
          <w:sz w:val="22"/>
          <w:szCs w:val="22"/>
        </w:rPr>
        <w:t>Journal of Autoimmunity, 17</w:t>
      </w:r>
      <w:r w:rsidRPr="00157C7D">
        <w:rPr>
          <w:sz w:val="22"/>
          <w:szCs w:val="22"/>
        </w:rPr>
        <w:t>(4), 337–345.https://doi.org/10.1006/jaut.2001.0552.</w:t>
      </w:r>
    </w:p>
    <w:p w14:paraId="6CD7005D"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 xml:space="preserve">Kolstad, A. M., Rodriguiz, R. M., Kim, C. J., &amp; Hale, L. P. (2012). Effect of pain management on immunization efficacy in mice. </w:t>
      </w:r>
      <w:r w:rsidRPr="00157C7D">
        <w:rPr>
          <w:rStyle w:val="Emphasis"/>
          <w:rFonts w:ascii="Times New Roman" w:hAnsi="Times New Roman" w:cs="Times New Roman"/>
        </w:rPr>
        <w:t>Journal of the American Association for Laboratory Animal Science, 51</w:t>
      </w:r>
      <w:r w:rsidRPr="00157C7D">
        <w:rPr>
          <w:rFonts w:ascii="Times New Roman" w:hAnsi="Times New Roman" w:cs="Times New Roman"/>
        </w:rPr>
        <w:t xml:space="preserve">(4), 448–457. </w:t>
      </w:r>
    </w:p>
    <w:p w14:paraId="0F35D671"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 xml:space="preserve">Kolstad, A. M., Rodriguiz, R. M., Kim, C. J., &amp; Hale, L. P. (2012). Effect of pain management on immunization efficacy in mice. </w:t>
      </w:r>
      <w:r w:rsidRPr="00157C7D">
        <w:rPr>
          <w:rStyle w:val="Emphasis"/>
          <w:rFonts w:ascii="Times New Roman" w:hAnsi="Times New Roman" w:cs="Times New Roman"/>
        </w:rPr>
        <w:t>Journal of the American Association for Laboratory Animal Science, 51</w:t>
      </w:r>
      <w:r w:rsidRPr="00157C7D">
        <w:rPr>
          <w:rFonts w:ascii="Times New Roman" w:hAnsi="Times New Roman" w:cs="Times New Roman"/>
        </w:rPr>
        <w:t xml:space="preserve">(4), 448–457. </w:t>
      </w:r>
    </w:p>
    <w:p w14:paraId="1F705AAF" w14:textId="77777777" w:rsidR="00E22455" w:rsidRPr="00157C7D" w:rsidRDefault="00E22455" w:rsidP="00E22455">
      <w:pPr>
        <w:pStyle w:val="NormalWeb"/>
        <w:ind w:left="450" w:hanging="450"/>
        <w:jc w:val="both"/>
        <w:rPr>
          <w:sz w:val="22"/>
          <w:szCs w:val="22"/>
        </w:rPr>
      </w:pPr>
      <w:r w:rsidRPr="00157C7D">
        <w:rPr>
          <w:sz w:val="22"/>
          <w:szCs w:val="22"/>
        </w:rPr>
        <w:t xml:space="preserve">Koster, R., Anderson, M., &amp; De Beer, E. J. (1959). Acetic acid for analgesic screening. </w:t>
      </w:r>
      <w:r w:rsidRPr="00157C7D">
        <w:rPr>
          <w:rStyle w:val="Emphasis"/>
          <w:sz w:val="22"/>
          <w:szCs w:val="22"/>
        </w:rPr>
        <w:t>Federation Proceedings, 18</w:t>
      </w:r>
      <w:r w:rsidRPr="00157C7D">
        <w:rPr>
          <w:sz w:val="22"/>
          <w:szCs w:val="22"/>
        </w:rPr>
        <w:t>, 412.</w:t>
      </w:r>
    </w:p>
    <w:p w14:paraId="3453B6CE"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Leenaars, M. (1997). Adjuvants in laboratory animals (Doctoral thesis). Erasmus University.</w:t>
      </w:r>
    </w:p>
    <w:p w14:paraId="0A98BE67" w14:textId="77777777" w:rsidR="00E22455" w:rsidRPr="00157C7D" w:rsidRDefault="00E22455" w:rsidP="00E22455">
      <w:pPr>
        <w:pStyle w:val="NormalWeb"/>
        <w:ind w:left="450" w:hanging="450"/>
        <w:jc w:val="both"/>
        <w:rPr>
          <w:sz w:val="22"/>
          <w:szCs w:val="22"/>
        </w:rPr>
      </w:pPr>
      <w:r w:rsidRPr="00157C7D">
        <w:rPr>
          <w:sz w:val="22"/>
          <w:szCs w:val="22"/>
        </w:rPr>
        <w:t>Lim, A. K. H., Kim, Y. J., Kim, M. C.,</w:t>
      </w:r>
      <w:r w:rsidRPr="00157C7D">
        <w:rPr>
          <w:i/>
          <w:sz w:val="22"/>
          <w:szCs w:val="22"/>
        </w:rPr>
        <w:t xml:space="preserve"> et al </w:t>
      </w:r>
      <w:r w:rsidRPr="00157C7D">
        <w:rPr>
          <w:sz w:val="22"/>
          <w:szCs w:val="22"/>
        </w:rPr>
        <w:t xml:space="preserve">. (2023). </w:t>
      </w:r>
      <w:r w:rsidRPr="00157C7D">
        <w:rPr>
          <w:rStyle w:val="Emphasis"/>
          <w:sz w:val="22"/>
          <w:szCs w:val="22"/>
        </w:rPr>
        <w:t>Markedly elevated aspartate aminotransferase from non-hepatic causes</w:t>
      </w:r>
      <w:r w:rsidRPr="00157C7D">
        <w:rPr>
          <w:sz w:val="22"/>
          <w:szCs w:val="22"/>
        </w:rPr>
        <w:t xml:space="preserve">. </w:t>
      </w:r>
      <w:r w:rsidRPr="00157C7D">
        <w:rPr>
          <w:rStyle w:val="Strong"/>
          <w:sz w:val="22"/>
          <w:szCs w:val="22"/>
        </w:rPr>
        <w:t>Journal of Clinical Medicine, 12</w:t>
      </w:r>
      <w:r w:rsidRPr="00157C7D">
        <w:rPr>
          <w:b/>
          <w:sz w:val="22"/>
          <w:szCs w:val="22"/>
        </w:rPr>
        <w:t>(1),</w:t>
      </w:r>
      <w:r w:rsidRPr="00157C7D">
        <w:rPr>
          <w:sz w:val="22"/>
          <w:szCs w:val="22"/>
        </w:rPr>
        <w:t xml:space="preserve"> 310. </w:t>
      </w:r>
      <w:hyperlink r:id="rId14" w:history="1">
        <w:r w:rsidRPr="00157C7D">
          <w:rPr>
            <w:rStyle w:val="Hyperlink"/>
            <w:sz w:val="22"/>
            <w:szCs w:val="22"/>
          </w:rPr>
          <w:t>https://doi.org/10.3390/jcm12010310</w:t>
        </w:r>
      </w:hyperlink>
      <w:r w:rsidRPr="00157C7D">
        <w:rPr>
          <w:sz w:val="22"/>
          <w:szCs w:val="22"/>
        </w:rPr>
        <w:t>.</w:t>
      </w:r>
    </w:p>
    <w:p w14:paraId="20CD266C" w14:textId="77777777" w:rsidR="00E22455" w:rsidRPr="00157C7D" w:rsidRDefault="00E22455" w:rsidP="00E22455">
      <w:pPr>
        <w:pStyle w:val="NormalWeb"/>
        <w:ind w:left="450" w:hanging="450"/>
        <w:jc w:val="both"/>
        <w:rPr>
          <w:sz w:val="22"/>
          <w:szCs w:val="22"/>
        </w:rPr>
      </w:pPr>
      <w:r w:rsidRPr="00157C7D">
        <w:rPr>
          <w:sz w:val="22"/>
          <w:szCs w:val="22"/>
        </w:rPr>
        <w:t xml:space="preserve">Lindstrom, N. M., &amp; Smith, S. A. (2015). Hematology. </w:t>
      </w:r>
      <w:r w:rsidRPr="00157C7D">
        <w:rPr>
          <w:rStyle w:val="Emphasis"/>
          <w:sz w:val="22"/>
          <w:szCs w:val="22"/>
        </w:rPr>
        <w:t>Veterinary Clinics of North America: Exotic Animal Practice, 18</w:t>
      </w:r>
      <w:r w:rsidRPr="00157C7D">
        <w:rPr>
          <w:sz w:val="22"/>
          <w:szCs w:val="22"/>
        </w:rPr>
        <w:t xml:space="preserve">(1), 17–37. </w:t>
      </w:r>
    </w:p>
    <w:p w14:paraId="7947CF21" w14:textId="77777777" w:rsidR="00E22455" w:rsidRPr="00157C7D" w:rsidRDefault="00E22455" w:rsidP="00E22455">
      <w:pPr>
        <w:pStyle w:val="NormalWeb"/>
        <w:ind w:left="450" w:hanging="450"/>
        <w:jc w:val="both"/>
        <w:rPr>
          <w:sz w:val="22"/>
          <w:szCs w:val="22"/>
        </w:rPr>
      </w:pPr>
      <w:r w:rsidRPr="00157C7D">
        <w:rPr>
          <w:sz w:val="22"/>
          <w:szCs w:val="22"/>
        </w:rPr>
        <w:t xml:space="preserve">Lu, R., Kallenborn-Gerhardt, W., Geisslinger, G., &amp; Schmidtko, A. (2011). Additive antinociceptive effects of a combination of vitamin C and vitamin E after peripheral nerve injury. </w:t>
      </w:r>
      <w:r w:rsidRPr="00157C7D">
        <w:rPr>
          <w:rStyle w:val="Emphasis"/>
          <w:sz w:val="22"/>
          <w:szCs w:val="22"/>
        </w:rPr>
        <w:t>PLoS ONE, 6</w:t>
      </w:r>
      <w:r w:rsidRPr="00157C7D">
        <w:rPr>
          <w:sz w:val="22"/>
          <w:szCs w:val="22"/>
        </w:rPr>
        <w:t>(12), e29240. https://doi.org/10.1371/journal.pone.0029240</w:t>
      </w:r>
    </w:p>
    <w:p w14:paraId="52E21348" w14:textId="77777777" w:rsidR="00E22455" w:rsidRPr="00157C7D" w:rsidRDefault="00E22455" w:rsidP="00E22455">
      <w:pPr>
        <w:pStyle w:val="NormalWeb"/>
        <w:ind w:left="450" w:hanging="450"/>
        <w:jc w:val="both"/>
        <w:rPr>
          <w:sz w:val="22"/>
          <w:szCs w:val="22"/>
        </w:rPr>
      </w:pPr>
      <w:r w:rsidRPr="00157C7D">
        <w:rPr>
          <w:sz w:val="22"/>
          <w:szCs w:val="22"/>
        </w:rPr>
        <w:t xml:space="preserve">Majee, C., Mazumder, R., Choudhary, A. N., &amp; Salahuddin. (2023). </w:t>
      </w:r>
      <w:r w:rsidRPr="00157C7D">
        <w:rPr>
          <w:rStyle w:val="Strong"/>
          <w:sz w:val="22"/>
          <w:szCs w:val="22"/>
        </w:rPr>
        <w:t>An insight into the hepatoprotective activity and structure–activity relationships of flavonoids.</w:t>
      </w:r>
      <w:r w:rsidRPr="00157C7D">
        <w:rPr>
          <w:sz w:val="22"/>
          <w:szCs w:val="22"/>
        </w:rPr>
        <w:t xml:space="preserve"> </w:t>
      </w:r>
      <w:r w:rsidRPr="00157C7D">
        <w:rPr>
          <w:rStyle w:val="Emphasis"/>
          <w:sz w:val="22"/>
          <w:szCs w:val="22"/>
        </w:rPr>
        <w:t>Mini Reviews in Medicinal Chemistry, 23</w:t>
      </w:r>
      <w:r w:rsidRPr="00157C7D">
        <w:rPr>
          <w:sz w:val="22"/>
          <w:szCs w:val="22"/>
        </w:rPr>
        <w:t xml:space="preserve">(2), 131–149. </w:t>
      </w:r>
      <w:hyperlink r:id="rId15" w:history="1">
        <w:r w:rsidRPr="00157C7D">
          <w:rPr>
            <w:rStyle w:val="Hyperlink"/>
            <w:sz w:val="22"/>
            <w:szCs w:val="22"/>
          </w:rPr>
          <w:t>https://doi.org/10.2174/1389557522666220602141142</w:t>
        </w:r>
      </w:hyperlink>
      <w:r w:rsidRPr="00157C7D">
        <w:rPr>
          <w:sz w:val="22"/>
          <w:szCs w:val="22"/>
        </w:rPr>
        <w:t>.</w:t>
      </w:r>
    </w:p>
    <w:p w14:paraId="460A9962"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Mallet, C., Barrière, D. A., &amp; Eschalier, A. (2023). Central mechanisms of paracetamol analgesia: The role of AM404. Journal of Pain Research, 16, 1123–1134.</w:t>
      </w:r>
    </w:p>
    <w:p w14:paraId="1FAB117B" w14:textId="77777777" w:rsidR="00E22455" w:rsidRPr="00157C7D" w:rsidRDefault="00E22455" w:rsidP="00E22455">
      <w:pPr>
        <w:pStyle w:val="NormalWeb"/>
        <w:ind w:left="450" w:hanging="450"/>
        <w:jc w:val="both"/>
        <w:rPr>
          <w:sz w:val="22"/>
          <w:szCs w:val="22"/>
        </w:rPr>
      </w:pPr>
      <w:r w:rsidRPr="00157C7D">
        <w:rPr>
          <w:sz w:val="22"/>
          <w:szCs w:val="22"/>
        </w:rPr>
        <w:t xml:space="preserve">Mallet, C., Barrière, D. A., Ermund, A., Jönsson, B. A. G., Eschalier, A., Zygmunt, P. M., &amp; Högestätt, E. D. (2010). TRPV1 in brain is involved in acetaminophen-induced antinociception. </w:t>
      </w:r>
      <w:r w:rsidRPr="00157C7D">
        <w:rPr>
          <w:rStyle w:val="Emphasis"/>
          <w:sz w:val="22"/>
          <w:szCs w:val="22"/>
        </w:rPr>
        <w:t>PLoS ONE, 5</w:t>
      </w:r>
      <w:r w:rsidRPr="00157C7D">
        <w:rPr>
          <w:sz w:val="22"/>
          <w:szCs w:val="22"/>
        </w:rPr>
        <w:t xml:space="preserve">(9), e12748. </w:t>
      </w:r>
      <w:hyperlink r:id="rId16" w:history="1">
        <w:r w:rsidRPr="00157C7D">
          <w:rPr>
            <w:rStyle w:val="Hyperlink"/>
            <w:sz w:val="22"/>
            <w:szCs w:val="22"/>
          </w:rPr>
          <w:t>https://doi.org/10.1371/journal.pone.0012748</w:t>
        </w:r>
      </w:hyperlink>
      <w:r w:rsidRPr="00157C7D">
        <w:rPr>
          <w:sz w:val="22"/>
          <w:szCs w:val="22"/>
        </w:rPr>
        <w:t>.</w:t>
      </w:r>
    </w:p>
    <w:p w14:paraId="00CA5D1A" w14:textId="77777777" w:rsidR="00E22455" w:rsidRPr="00157C7D" w:rsidRDefault="00E22455" w:rsidP="00E22455">
      <w:pPr>
        <w:pStyle w:val="NormalWeb"/>
        <w:ind w:left="450" w:hanging="450"/>
        <w:jc w:val="both"/>
        <w:rPr>
          <w:sz w:val="22"/>
          <w:szCs w:val="22"/>
        </w:rPr>
      </w:pPr>
      <w:r w:rsidRPr="00157C7D">
        <w:rPr>
          <w:sz w:val="22"/>
          <w:szCs w:val="22"/>
        </w:rPr>
        <w:t xml:space="preserve">McGill, M. R. (2024). The role of mechanistic biomarkers in understanding acetaminophen hepatotoxicity in humans. </w:t>
      </w:r>
      <w:r w:rsidRPr="00157C7D">
        <w:rPr>
          <w:rStyle w:val="Emphasis"/>
          <w:sz w:val="22"/>
          <w:szCs w:val="22"/>
        </w:rPr>
        <w:t>Drug Metabolism and Disposition, 52</w:t>
      </w:r>
      <w:r w:rsidRPr="00157C7D">
        <w:rPr>
          <w:sz w:val="22"/>
          <w:szCs w:val="22"/>
        </w:rPr>
        <w:t xml:space="preserve">(8), 729–739. </w:t>
      </w:r>
      <w:hyperlink r:id="rId17" w:history="1">
        <w:r w:rsidRPr="00157C7D">
          <w:rPr>
            <w:rStyle w:val="Hyperlink"/>
            <w:sz w:val="22"/>
            <w:szCs w:val="22"/>
          </w:rPr>
          <w:t>https://doi.org/10.1124/dmd.123.001281</w:t>
        </w:r>
      </w:hyperlink>
      <w:r w:rsidRPr="00157C7D">
        <w:rPr>
          <w:sz w:val="22"/>
          <w:szCs w:val="22"/>
        </w:rPr>
        <w:t>.</w:t>
      </w:r>
    </w:p>
    <w:p w14:paraId="6E625182" w14:textId="77777777" w:rsidR="00E22455" w:rsidRPr="00157C7D" w:rsidRDefault="00E22455" w:rsidP="00E22455">
      <w:pPr>
        <w:ind w:left="450" w:right="58" w:hanging="450"/>
        <w:jc w:val="both"/>
        <w:rPr>
          <w:rFonts w:ascii="Times New Roman" w:eastAsia="Times New Roman" w:hAnsi="Times New Roman" w:cs="Times New Roman"/>
        </w:rPr>
      </w:pPr>
      <w:r w:rsidRPr="00157C7D">
        <w:rPr>
          <w:rFonts w:ascii="Times New Roman" w:hAnsi="Times New Roman" w:cs="Times New Roman"/>
        </w:rPr>
        <w:t>Monagas, M., Brendler, T., Brinckmann, J., Dentali, S., Gafner, S., Giancaspro, G., Johnson, H., Kababick, J., Ma, C., Oketch</w:t>
      </w:r>
      <w:r w:rsidRPr="00157C7D">
        <w:rPr>
          <w:rFonts w:ascii="Times New Roman" w:hAnsi="Times New Roman" w:cs="Times New Roman"/>
        </w:rPr>
        <w:noBreakHyphen/>
        <w:t>Rabah, H., Pais, P., Sarma, N., &amp; Marles, R. (</w:t>
      </w:r>
      <w:hyperlink r:id="rId18" w:history="1">
        <w:r w:rsidRPr="00157C7D">
          <w:rPr>
            <w:rStyle w:val="Hyperlink"/>
            <w:rFonts w:ascii="Times New Roman" w:hAnsi="Times New Roman" w:cs="Times New Roman"/>
          </w:rPr>
          <w:t>2022</w:t>
        </w:r>
      </w:hyperlink>
      <w:r w:rsidRPr="00157C7D">
        <w:rPr>
          <w:rFonts w:ascii="Times New Roman" w:hAnsi="Times New Roman" w:cs="Times New Roman"/>
        </w:rPr>
        <w:t>). Understanding plant</w:t>
      </w:r>
      <w:r w:rsidRPr="00157C7D">
        <w:rPr>
          <w:rFonts w:ascii="Times New Roman" w:hAnsi="Times New Roman" w:cs="Times New Roman"/>
        </w:rPr>
        <w:noBreakHyphen/>
        <w:t>to</w:t>
      </w:r>
      <w:r w:rsidRPr="00157C7D">
        <w:rPr>
          <w:rFonts w:ascii="Times New Roman" w:hAnsi="Times New Roman" w:cs="Times New Roman"/>
        </w:rPr>
        <w:noBreakHyphen/>
        <w:t>extract ratios in botanical extracts. Frontiers in Pharmacology, 13, </w:t>
      </w:r>
      <w:hyperlink r:id="rId19" w:history="1">
        <w:r w:rsidRPr="00157C7D">
          <w:rPr>
            <w:rStyle w:val="Hyperlink"/>
            <w:rFonts w:ascii="Times New Roman" w:hAnsi="Times New Roman" w:cs="Times New Roman"/>
          </w:rPr>
          <w:t>981978</w:t>
        </w:r>
      </w:hyperlink>
      <w:r w:rsidRPr="00157C7D">
        <w:rPr>
          <w:rFonts w:ascii="Times New Roman" w:hAnsi="Times New Roman" w:cs="Times New Roman"/>
        </w:rPr>
        <w:t>. </w:t>
      </w:r>
      <w:hyperlink r:id="rId20" w:history="1">
        <w:r w:rsidRPr="00157C7D">
          <w:rPr>
            <w:rStyle w:val="Hyperlink"/>
            <w:rFonts w:ascii="Times New Roman" w:hAnsi="Times New Roman" w:cs="Times New Roman"/>
          </w:rPr>
          <w:t>https://doi.org/10.3389/fphar.2022.981978</w:t>
        </w:r>
      </w:hyperlink>
    </w:p>
    <w:p w14:paraId="4CDDE8BB"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Noh, A. S. M.,</w:t>
      </w:r>
      <w:r w:rsidRPr="00157C7D">
        <w:rPr>
          <w:rFonts w:ascii="Times New Roman" w:hAnsi="Times New Roman" w:cs="Times New Roman"/>
          <w:i/>
        </w:rPr>
        <w:t xml:space="preserve"> et al </w:t>
      </w:r>
      <w:r w:rsidRPr="00157C7D">
        <w:rPr>
          <w:rFonts w:ascii="Times New Roman" w:hAnsi="Times New Roman" w:cs="Times New Roman"/>
        </w:rPr>
        <w:t xml:space="preserve">. (2021). </w:t>
      </w:r>
      <w:r w:rsidRPr="00157C7D">
        <w:rPr>
          <w:rStyle w:val="Strong"/>
          <w:rFonts w:ascii="Times New Roman" w:hAnsi="Times New Roman" w:cs="Times New Roman"/>
        </w:rPr>
        <w:t>CFA/FIA modulation of inflammatory and nociceptive behavior.</w:t>
      </w:r>
      <w:r w:rsidRPr="00157C7D">
        <w:rPr>
          <w:rFonts w:ascii="Times New Roman" w:hAnsi="Times New Roman" w:cs="Times New Roman"/>
        </w:rPr>
        <w:t xml:space="preserve"> </w:t>
      </w:r>
      <w:r w:rsidRPr="00157C7D">
        <w:rPr>
          <w:rStyle w:val="Emphasis"/>
          <w:rFonts w:ascii="Times New Roman" w:hAnsi="Times New Roman" w:cs="Times New Roman"/>
        </w:rPr>
        <w:t>PLOS ONE, 16</w:t>
      </w:r>
      <w:r w:rsidRPr="00157C7D">
        <w:rPr>
          <w:rFonts w:ascii="Times New Roman" w:hAnsi="Times New Roman" w:cs="Times New Roman"/>
        </w:rPr>
        <w:t xml:space="preserve">(12), e0260423. </w:t>
      </w:r>
      <w:hyperlink r:id="rId21" w:history="1">
        <w:r w:rsidRPr="00157C7D">
          <w:rPr>
            <w:rStyle w:val="Hyperlink"/>
            <w:rFonts w:ascii="Times New Roman" w:hAnsi="Times New Roman" w:cs="Times New Roman"/>
          </w:rPr>
          <w:t>https://doi.org/10.1371/journal.pone.0260423</w:t>
        </w:r>
      </w:hyperlink>
    </w:p>
    <w:p w14:paraId="78362094"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Nwabuisi, C.,</w:t>
      </w:r>
      <w:r w:rsidRPr="00157C7D">
        <w:rPr>
          <w:rFonts w:ascii="Times New Roman" w:hAnsi="Times New Roman" w:cs="Times New Roman"/>
          <w:i/>
        </w:rPr>
        <w:t xml:space="preserve"> et al </w:t>
      </w:r>
      <w:r w:rsidRPr="00157C7D">
        <w:rPr>
          <w:rFonts w:ascii="Times New Roman" w:hAnsi="Times New Roman" w:cs="Times New Roman"/>
        </w:rPr>
        <w:t>. (2002). Prophylactic effect of multi-herbal extract “Agbo-Iba” on malaria in mice. African Journal of Medicine and Medical Sciences, 31(1), 29–32.</w:t>
      </w:r>
    </w:p>
    <w:p w14:paraId="4F8CB504"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Nwabuisi, C.,</w:t>
      </w:r>
      <w:r w:rsidRPr="00157C7D">
        <w:rPr>
          <w:rFonts w:ascii="Times New Roman" w:hAnsi="Times New Roman" w:cs="Times New Roman"/>
          <w:i/>
        </w:rPr>
        <w:t xml:space="preserve"> et al </w:t>
      </w:r>
      <w:r w:rsidRPr="00157C7D">
        <w:rPr>
          <w:rFonts w:ascii="Times New Roman" w:hAnsi="Times New Roman" w:cs="Times New Roman"/>
        </w:rPr>
        <w:t>. (2002). Prophylactic effect of multi-herbal extract “Agbo-Iba” on malaria in mice. African Journal of Medicine and Medical Sciences, 31(1), 29–32.</w:t>
      </w:r>
    </w:p>
    <w:p w14:paraId="64093FD4"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Ohashi, N., Ishii, H., &amp; Ishii, H. (2020). Analgesic effect of acetaminophen: A review of its known and novel mechanisms of action. Frontiers in Pharmacology, 11, 580.</w:t>
      </w:r>
    </w:p>
    <w:p w14:paraId="51E29F00" w14:textId="77777777" w:rsidR="00E22455" w:rsidRPr="00157C7D" w:rsidRDefault="00E22455" w:rsidP="00E22455">
      <w:pPr>
        <w:pStyle w:val="NormalWeb"/>
        <w:ind w:left="450" w:hanging="450"/>
        <w:jc w:val="both"/>
        <w:rPr>
          <w:sz w:val="22"/>
          <w:szCs w:val="22"/>
        </w:rPr>
      </w:pPr>
      <w:r w:rsidRPr="00157C7D">
        <w:rPr>
          <w:sz w:val="22"/>
          <w:szCs w:val="22"/>
        </w:rPr>
        <w:t xml:space="preserve">Olorunnisola, O. S., Adegbola, P., &amp; Adetutu, A. (2020). </w:t>
      </w:r>
      <w:r w:rsidRPr="00157C7D">
        <w:rPr>
          <w:rStyle w:val="Emphasis"/>
          <w:sz w:val="22"/>
          <w:szCs w:val="22"/>
        </w:rPr>
        <w:t>Toxicity and gas chromatography-mass spectrometry analyses of a polyherbal formulation commonly used in Ibadan metropolis, Nigeria</w:t>
      </w:r>
      <w:r w:rsidRPr="00157C7D">
        <w:rPr>
          <w:sz w:val="22"/>
          <w:szCs w:val="22"/>
        </w:rPr>
        <w:t xml:space="preserve">. </w:t>
      </w:r>
      <w:r w:rsidRPr="00157C7D">
        <w:rPr>
          <w:rStyle w:val="Strong"/>
          <w:sz w:val="22"/>
          <w:szCs w:val="22"/>
        </w:rPr>
        <w:t>Toxicology Reports, 7</w:t>
      </w:r>
      <w:r w:rsidRPr="00157C7D">
        <w:rPr>
          <w:b/>
          <w:sz w:val="22"/>
          <w:szCs w:val="22"/>
        </w:rPr>
        <w:t>,</w:t>
      </w:r>
      <w:r w:rsidRPr="00157C7D">
        <w:rPr>
          <w:sz w:val="22"/>
          <w:szCs w:val="22"/>
        </w:rPr>
        <w:t xml:space="preserve"> 1354–1362.</w:t>
      </w:r>
    </w:p>
    <w:p w14:paraId="7DFAADEB" w14:textId="77777777" w:rsidR="00E22455" w:rsidRPr="00157C7D" w:rsidRDefault="00E22455" w:rsidP="00E22455">
      <w:pPr>
        <w:pStyle w:val="NormalWeb"/>
        <w:ind w:left="450" w:hanging="450"/>
        <w:jc w:val="both"/>
        <w:rPr>
          <w:sz w:val="22"/>
          <w:szCs w:val="22"/>
          <w:shd w:val="clear" w:color="auto" w:fill="FFFFFF"/>
        </w:rPr>
      </w:pPr>
      <w:r w:rsidRPr="00157C7D">
        <w:rPr>
          <w:sz w:val="22"/>
          <w:szCs w:val="22"/>
          <w:shd w:val="clear" w:color="auto" w:fill="FFFFFF"/>
        </w:rPr>
        <w:t>Orieke, D., Ohaeri, O. C., Irene Ijeh, I., &amp; Ijioma, S. N. (2019). Semen quality, hormone profile and histological changes in male albino rats treated with </w:t>
      </w:r>
      <w:r w:rsidRPr="00157C7D">
        <w:rPr>
          <w:i/>
          <w:iCs/>
          <w:sz w:val="22"/>
          <w:szCs w:val="22"/>
          <w:shd w:val="clear" w:color="auto" w:fill="FFFFFF"/>
        </w:rPr>
        <w:t>Corchorus olitorius</w:t>
      </w:r>
      <w:r w:rsidRPr="00157C7D">
        <w:rPr>
          <w:sz w:val="22"/>
          <w:szCs w:val="22"/>
          <w:shd w:val="clear" w:color="auto" w:fill="FFFFFF"/>
        </w:rPr>
        <w:t> leaf extract. </w:t>
      </w:r>
      <w:r w:rsidRPr="00157C7D">
        <w:rPr>
          <w:i/>
          <w:iCs/>
          <w:sz w:val="22"/>
          <w:szCs w:val="22"/>
          <w:shd w:val="clear" w:color="auto" w:fill="FFFFFF"/>
        </w:rPr>
        <w:t>Avicenna journal of phytomedicine</w:t>
      </w:r>
      <w:r w:rsidRPr="00157C7D">
        <w:rPr>
          <w:sz w:val="22"/>
          <w:szCs w:val="22"/>
          <w:shd w:val="clear" w:color="auto" w:fill="FFFFFF"/>
        </w:rPr>
        <w:t>, </w:t>
      </w:r>
      <w:r w:rsidRPr="00157C7D">
        <w:rPr>
          <w:i/>
          <w:iCs/>
          <w:sz w:val="22"/>
          <w:szCs w:val="22"/>
          <w:shd w:val="clear" w:color="auto" w:fill="FFFFFF"/>
        </w:rPr>
        <w:t>9</w:t>
      </w:r>
      <w:r w:rsidRPr="00157C7D">
        <w:rPr>
          <w:sz w:val="22"/>
          <w:szCs w:val="22"/>
          <w:shd w:val="clear" w:color="auto" w:fill="FFFFFF"/>
        </w:rPr>
        <w:t>(6), 551–562.</w:t>
      </w:r>
    </w:p>
    <w:p w14:paraId="14EF184B" w14:textId="77777777" w:rsidR="00E22455" w:rsidRPr="00157C7D" w:rsidRDefault="00E22455" w:rsidP="00E22455">
      <w:pPr>
        <w:pStyle w:val="NormalWeb"/>
        <w:ind w:left="450" w:hanging="450"/>
        <w:jc w:val="both"/>
        <w:rPr>
          <w:sz w:val="22"/>
          <w:szCs w:val="22"/>
        </w:rPr>
      </w:pPr>
      <w:r w:rsidRPr="00157C7D">
        <w:rPr>
          <w:sz w:val="22"/>
          <w:szCs w:val="22"/>
        </w:rPr>
        <w:t xml:space="preserve">Pietta, P. G. (2000). Flavonoids as antioxidants. </w:t>
      </w:r>
      <w:r w:rsidRPr="00157C7D">
        <w:rPr>
          <w:rStyle w:val="Emphasis"/>
          <w:sz w:val="22"/>
          <w:szCs w:val="22"/>
        </w:rPr>
        <w:t>Journal of Natural Products, 63</w:t>
      </w:r>
      <w:r w:rsidRPr="00157C7D">
        <w:rPr>
          <w:sz w:val="22"/>
          <w:szCs w:val="22"/>
        </w:rPr>
        <w:t xml:space="preserve">(7), 1035–1042. </w:t>
      </w:r>
      <w:hyperlink r:id="rId22" w:history="1">
        <w:r w:rsidRPr="00157C7D">
          <w:rPr>
            <w:rStyle w:val="Hyperlink"/>
            <w:sz w:val="22"/>
            <w:szCs w:val="22"/>
          </w:rPr>
          <w:t>https://doi.org/10.1021/np9904509</w:t>
        </w:r>
      </w:hyperlink>
      <w:r w:rsidRPr="00157C7D">
        <w:rPr>
          <w:sz w:val="22"/>
          <w:szCs w:val="22"/>
        </w:rPr>
        <w:t>.</w:t>
      </w:r>
    </w:p>
    <w:p w14:paraId="3383BBC1" w14:textId="77777777" w:rsidR="00E22455" w:rsidRPr="00157C7D" w:rsidRDefault="00E22455" w:rsidP="00E22455">
      <w:pPr>
        <w:pStyle w:val="NormalWeb"/>
        <w:ind w:left="450" w:hanging="450"/>
        <w:jc w:val="both"/>
        <w:rPr>
          <w:sz w:val="22"/>
          <w:szCs w:val="22"/>
        </w:rPr>
      </w:pPr>
      <w:r w:rsidRPr="00157C7D">
        <w:rPr>
          <w:sz w:val="22"/>
          <w:szCs w:val="22"/>
        </w:rPr>
        <w:t>Radulović, N. S., Blagojević, P. D., Randjelović, P. J., &amp; Stojanović, N. M. (2013).</w:t>
      </w:r>
      <w:r w:rsidRPr="00157C7D">
        <w:rPr>
          <w:sz w:val="22"/>
          <w:szCs w:val="22"/>
        </w:rPr>
        <w:br/>
        <w:t xml:space="preserve">The last decade of antinociceptive alkaloids: Structure, synthesis, mechanism of action and prospect. </w:t>
      </w:r>
      <w:r w:rsidRPr="00157C7D">
        <w:rPr>
          <w:rStyle w:val="Emphasis"/>
          <w:sz w:val="22"/>
          <w:szCs w:val="22"/>
        </w:rPr>
        <w:t>Current Topics in Medicinal Chemistry, 13</w:t>
      </w:r>
      <w:r w:rsidRPr="00157C7D">
        <w:rPr>
          <w:sz w:val="22"/>
          <w:szCs w:val="22"/>
        </w:rPr>
        <w:t>(17), 2134–2170.</w:t>
      </w:r>
      <w:r w:rsidRPr="00157C7D">
        <w:rPr>
          <w:sz w:val="22"/>
          <w:szCs w:val="22"/>
        </w:rPr>
        <w:br/>
      </w:r>
      <w:hyperlink r:id="rId23" w:history="1">
        <w:r w:rsidRPr="00157C7D">
          <w:rPr>
            <w:rStyle w:val="Hyperlink"/>
            <w:sz w:val="22"/>
            <w:szCs w:val="22"/>
          </w:rPr>
          <w:t>https://doi.org/10.2174/15680266113139990149</w:t>
        </w:r>
      </w:hyperlink>
      <w:r w:rsidRPr="00157C7D">
        <w:rPr>
          <w:sz w:val="22"/>
          <w:szCs w:val="22"/>
        </w:rPr>
        <w:t>.</w:t>
      </w:r>
    </w:p>
    <w:p w14:paraId="5FC6B207" w14:textId="77777777" w:rsidR="00E22455" w:rsidRPr="00157C7D" w:rsidRDefault="00E22455" w:rsidP="00E22455">
      <w:pPr>
        <w:pStyle w:val="NormalWeb"/>
        <w:ind w:left="450" w:hanging="450"/>
        <w:jc w:val="both"/>
        <w:rPr>
          <w:sz w:val="22"/>
          <w:szCs w:val="22"/>
        </w:rPr>
      </w:pPr>
      <w:r w:rsidRPr="00157C7D">
        <w:rPr>
          <w:sz w:val="22"/>
          <w:szCs w:val="22"/>
        </w:rPr>
        <w:t>Ramachandran, A., Akakpo, J. Y., Curry, S. C.,</w:t>
      </w:r>
      <w:r w:rsidRPr="00157C7D">
        <w:rPr>
          <w:i/>
          <w:sz w:val="22"/>
          <w:szCs w:val="22"/>
        </w:rPr>
        <w:t xml:space="preserve"> et al </w:t>
      </w:r>
      <w:r w:rsidRPr="00157C7D">
        <w:rPr>
          <w:sz w:val="22"/>
          <w:szCs w:val="22"/>
        </w:rPr>
        <w:t xml:space="preserve">. (2024). Clinically relevant therapeutic approaches against acetaminophen hepatotoxicity and acute liver failure. </w:t>
      </w:r>
      <w:r w:rsidRPr="00157C7D">
        <w:rPr>
          <w:rStyle w:val="Emphasis"/>
          <w:sz w:val="22"/>
          <w:szCs w:val="22"/>
        </w:rPr>
        <w:t>Biochemical Pharmacology, 228</w:t>
      </w:r>
      <w:r w:rsidRPr="00157C7D">
        <w:rPr>
          <w:sz w:val="22"/>
          <w:szCs w:val="22"/>
        </w:rPr>
        <w:t xml:space="preserve">, 116056. </w:t>
      </w:r>
      <w:hyperlink r:id="rId24" w:tgtFrame="_new" w:history="1">
        <w:r w:rsidRPr="00157C7D">
          <w:rPr>
            <w:rStyle w:val="Hyperlink"/>
            <w:sz w:val="22"/>
            <w:szCs w:val="22"/>
          </w:rPr>
          <w:t>https://doi.org/10.1016/j.bcp.2024.116056</w:t>
        </w:r>
      </w:hyperlink>
    </w:p>
    <w:p w14:paraId="64A8AB5B" w14:textId="77777777" w:rsidR="00E22455" w:rsidRPr="00157C7D" w:rsidRDefault="00E22455" w:rsidP="00E22455">
      <w:pPr>
        <w:pStyle w:val="NormalWeb"/>
        <w:ind w:left="450" w:hanging="450"/>
        <w:jc w:val="both"/>
        <w:rPr>
          <w:sz w:val="22"/>
          <w:szCs w:val="22"/>
        </w:rPr>
      </w:pPr>
      <w:r w:rsidRPr="00157C7D">
        <w:rPr>
          <w:sz w:val="22"/>
          <w:szCs w:val="22"/>
        </w:rPr>
        <w:t xml:space="preserve">Ribeiro, R. A., Vale, M. L., Thomazzi, S. M., Paschoalato, A. B., Poole, S., Ferreira, S. H., &amp; Cunha, F. Q. (2000). Involvement of resident macrophages and mast cells in the writhing nociceptive response induced by zymosan and acetic acid in mice. </w:t>
      </w:r>
      <w:r w:rsidRPr="00157C7D">
        <w:rPr>
          <w:rStyle w:val="Emphasis"/>
          <w:sz w:val="22"/>
          <w:szCs w:val="22"/>
        </w:rPr>
        <w:t>European Journal of Pharmacology, 387</w:t>
      </w:r>
      <w:r w:rsidRPr="00157C7D">
        <w:rPr>
          <w:sz w:val="22"/>
          <w:szCs w:val="22"/>
        </w:rPr>
        <w:t xml:space="preserve">(1), 111–118. </w:t>
      </w:r>
      <w:hyperlink r:id="rId25" w:history="1">
        <w:r w:rsidRPr="00157C7D">
          <w:rPr>
            <w:rStyle w:val="Hyperlink"/>
            <w:sz w:val="22"/>
            <w:szCs w:val="22"/>
          </w:rPr>
          <w:t>https://doi.org/10.1016/S0014-2999(99)00790-6</w:t>
        </w:r>
      </w:hyperlink>
      <w:r w:rsidRPr="00157C7D">
        <w:rPr>
          <w:sz w:val="22"/>
          <w:szCs w:val="22"/>
        </w:rPr>
        <w:t>.</w:t>
      </w:r>
    </w:p>
    <w:p w14:paraId="35C2A2B8" w14:textId="77777777" w:rsidR="00E22455" w:rsidRPr="00157C7D" w:rsidRDefault="00E22455" w:rsidP="00E22455">
      <w:pPr>
        <w:pStyle w:val="NormalWeb"/>
        <w:ind w:left="450" w:hanging="450"/>
        <w:jc w:val="both"/>
        <w:rPr>
          <w:sz w:val="22"/>
          <w:szCs w:val="22"/>
        </w:rPr>
      </w:pPr>
      <w:r w:rsidRPr="00157C7D">
        <w:rPr>
          <w:sz w:val="22"/>
          <w:szCs w:val="22"/>
        </w:rPr>
        <w:t xml:space="preserve">Sireesha, B., Reddy, B. V., Basha, S. K., &amp; Chandra, K. (2019). A review on pharmacological activities of alkaloids. </w:t>
      </w:r>
      <w:r w:rsidRPr="00157C7D">
        <w:rPr>
          <w:rStyle w:val="Emphasis"/>
          <w:sz w:val="22"/>
          <w:szCs w:val="22"/>
        </w:rPr>
        <w:t>World Journal of Current Medical and Pharmaceutical Research, 1</w:t>
      </w:r>
      <w:r w:rsidRPr="00157C7D">
        <w:rPr>
          <w:sz w:val="22"/>
          <w:szCs w:val="22"/>
        </w:rPr>
        <w:t xml:space="preserve">(6), 230–234. </w:t>
      </w:r>
    </w:p>
    <w:p w14:paraId="06E92C76" w14:textId="77777777" w:rsidR="00E22455" w:rsidRPr="00157C7D" w:rsidRDefault="00E22455" w:rsidP="00E22455">
      <w:pPr>
        <w:ind w:left="450" w:right="58" w:hanging="450"/>
        <w:jc w:val="both"/>
        <w:rPr>
          <w:rFonts w:ascii="Times New Roman" w:eastAsia="Times New Roman" w:hAnsi="Times New Roman" w:cs="Times New Roman"/>
        </w:rPr>
      </w:pPr>
      <w:r w:rsidRPr="00157C7D">
        <w:rPr>
          <w:rFonts w:ascii="Times New Roman" w:eastAsia="Times New Roman" w:hAnsi="Times New Roman" w:cs="Times New Roman"/>
        </w:rPr>
        <w:t>World Health Organization. (2018). WHO food manufacturing Prcatices: Technical Report manufacturing practices: Technical Report series no 1010, Annex 2. World Health Organization</w:t>
      </w:r>
    </w:p>
    <w:p w14:paraId="3A5B6683" w14:textId="77777777" w:rsidR="00E22455" w:rsidRPr="00157C7D" w:rsidRDefault="00E22455" w:rsidP="00E22455">
      <w:pPr>
        <w:pStyle w:val="NormalWeb"/>
        <w:ind w:left="450" w:hanging="450"/>
        <w:jc w:val="both"/>
        <w:rPr>
          <w:sz w:val="22"/>
          <w:szCs w:val="22"/>
          <w:shd w:val="clear" w:color="auto" w:fill="FFFFFF"/>
        </w:rPr>
      </w:pPr>
      <w:r w:rsidRPr="00157C7D">
        <w:rPr>
          <w:sz w:val="22"/>
          <w:szCs w:val="22"/>
        </w:rPr>
        <w:t>World Health Organization.(2007). WHO guidelines on good manufacturing practices  (GMP) for herbal medicines. (ISBN 9789241547161).</w:t>
      </w:r>
    </w:p>
    <w:p w14:paraId="5F78798B" w14:textId="77777777" w:rsidR="00E22455" w:rsidRPr="00157C7D" w:rsidRDefault="00E22455" w:rsidP="00E22455">
      <w:pPr>
        <w:pStyle w:val="NormalWeb"/>
        <w:ind w:left="450" w:hanging="450"/>
        <w:jc w:val="both"/>
        <w:rPr>
          <w:sz w:val="22"/>
          <w:szCs w:val="22"/>
        </w:rPr>
      </w:pPr>
      <w:r w:rsidRPr="00157C7D">
        <w:rPr>
          <w:sz w:val="22"/>
          <w:szCs w:val="22"/>
        </w:rPr>
        <w:t xml:space="preserve">Xu, T., Zhang, X., Liu, Y., Wang, H., Luo, J., Luo, Y., &amp; An, P. (2021). Effects of dietary polyphenol supplementation on iron status and erythropoiesis: A systematic review and meta-analysis of randomized controlled trials. </w:t>
      </w:r>
      <w:r w:rsidRPr="00157C7D">
        <w:rPr>
          <w:rStyle w:val="Emphasis"/>
          <w:sz w:val="22"/>
          <w:szCs w:val="22"/>
        </w:rPr>
        <w:t>American Journal of Clinical Nutrition, 114</w:t>
      </w:r>
      <w:r w:rsidRPr="00157C7D">
        <w:rPr>
          <w:sz w:val="22"/>
          <w:szCs w:val="22"/>
        </w:rPr>
        <w:t>(2), 780–793. https://doi.org/10.1093/ajcn/nqab068.</w:t>
      </w:r>
    </w:p>
    <w:p w14:paraId="2BDBAE0D" w14:textId="77777777" w:rsidR="00E22455" w:rsidRPr="00157C7D" w:rsidRDefault="00E22455" w:rsidP="00E22455">
      <w:pPr>
        <w:pStyle w:val="NormalWeb"/>
        <w:ind w:left="450" w:hanging="450"/>
        <w:jc w:val="both"/>
        <w:rPr>
          <w:sz w:val="22"/>
          <w:szCs w:val="22"/>
        </w:rPr>
      </w:pPr>
      <w:r w:rsidRPr="00157C7D">
        <w:rPr>
          <w:sz w:val="22"/>
          <w:szCs w:val="22"/>
        </w:rPr>
        <w:t xml:space="preserve">Yahfoufi, N., Alsadi, N., Jambi, M., &amp; Matar, C. (2018). The immunomodulatory and anti-inflammatory role of polyphenols. </w:t>
      </w:r>
      <w:r w:rsidRPr="00157C7D">
        <w:rPr>
          <w:rStyle w:val="Emphasis"/>
          <w:sz w:val="22"/>
          <w:szCs w:val="22"/>
        </w:rPr>
        <w:t>Nutrients, 10</w:t>
      </w:r>
      <w:r w:rsidRPr="00157C7D">
        <w:rPr>
          <w:sz w:val="22"/>
          <w:szCs w:val="22"/>
        </w:rPr>
        <w:t xml:space="preserve">(11), 1618. </w:t>
      </w:r>
      <w:hyperlink r:id="rId26" w:tgtFrame="_new" w:history="1">
        <w:r w:rsidRPr="00157C7D">
          <w:rPr>
            <w:rStyle w:val="Hyperlink"/>
            <w:sz w:val="22"/>
            <w:szCs w:val="22"/>
          </w:rPr>
          <w:t>https://doi.org/10.3390/nu10111618</w:t>
        </w:r>
      </w:hyperlink>
      <w:r w:rsidRPr="00157C7D">
        <w:rPr>
          <w:sz w:val="22"/>
          <w:szCs w:val="22"/>
        </w:rPr>
        <w:t xml:space="preserve"> </w:t>
      </w:r>
    </w:p>
    <w:p w14:paraId="25B0F96C" w14:textId="77777777" w:rsidR="00E22455" w:rsidRPr="00157C7D" w:rsidRDefault="00E22455" w:rsidP="00E22455">
      <w:pPr>
        <w:ind w:left="450" w:right="58" w:hanging="450"/>
        <w:jc w:val="both"/>
        <w:rPr>
          <w:rFonts w:ascii="Times New Roman" w:eastAsia="Times New Roman" w:hAnsi="Times New Roman" w:cs="Times New Roman"/>
        </w:rPr>
      </w:pPr>
      <w:r w:rsidRPr="00157C7D">
        <w:rPr>
          <w:rFonts w:ascii="Times New Roman" w:eastAsia="Times New Roman" w:hAnsi="Times New Roman" w:cs="Times New Roman"/>
          <w:bCs/>
        </w:rPr>
        <w:t>Yakubu, M.T.</w:t>
      </w:r>
      <w:r w:rsidRPr="00157C7D">
        <w:rPr>
          <w:rFonts w:ascii="Times New Roman" w:eastAsia="Times New Roman" w:hAnsi="Times New Roman" w:cs="Times New Roman"/>
          <w:bCs/>
          <w:i/>
        </w:rPr>
        <w:t xml:space="preserve"> et al </w:t>
      </w:r>
      <w:r w:rsidRPr="00157C7D">
        <w:rPr>
          <w:rFonts w:ascii="Times New Roman" w:eastAsia="Times New Roman" w:hAnsi="Times New Roman" w:cs="Times New Roman"/>
          <w:bCs/>
        </w:rPr>
        <w:t xml:space="preserve">.(2013). </w:t>
      </w:r>
      <w:r w:rsidRPr="00157C7D">
        <w:rPr>
          <w:rFonts w:ascii="Times New Roman" w:eastAsia="Times New Roman" w:hAnsi="Times New Roman" w:cs="Times New Roman"/>
          <w:iCs/>
        </w:rPr>
        <w:t xml:space="preserve"> Sub-acute exposure to acetaminophen affects testicular function in rats.</w:t>
      </w:r>
      <w:r w:rsidRPr="00157C7D">
        <w:rPr>
          <w:rFonts w:ascii="Times New Roman" w:eastAsia="Times New Roman" w:hAnsi="Times New Roman" w:cs="Times New Roman"/>
        </w:rPr>
        <w:t xml:space="preserve"> </w:t>
      </w:r>
      <w:r w:rsidRPr="00157C7D">
        <w:rPr>
          <w:rFonts w:ascii="Times New Roman" w:eastAsia="Times New Roman" w:hAnsi="Times New Roman" w:cs="Times New Roman"/>
          <w:bCs/>
          <w:i/>
        </w:rPr>
        <w:t>J Basic Clin Physiol Pharmacol</w:t>
      </w:r>
      <w:r w:rsidRPr="00157C7D">
        <w:rPr>
          <w:rFonts w:ascii="Times New Roman" w:eastAsia="Times New Roman" w:hAnsi="Times New Roman" w:cs="Times New Roman"/>
        </w:rPr>
        <w:t>, 24(2): 115–121.</w:t>
      </w:r>
    </w:p>
    <w:p w14:paraId="115D6FC4" w14:textId="77777777" w:rsidR="00E22455" w:rsidRPr="00157C7D" w:rsidRDefault="00E22455" w:rsidP="00E22455">
      <w:pPr>
        <w:ind w:left="450" w:hanging="450"/>
        <w:jc w:val="both"/>
        <w:rPr>
          <w:rFonts w:ascii="Times New Roman" w:hAnsi="Times New Roman" w:cs="Times New Roman"/>
        </w:rPr>
      </w:pPr>
      <w:r w:rsidRPr="00157C7D">
        <w:rPr>
          <w:rFonts w:ascii="Times New Roman" w:hAnsi="Times New Roman" w:cs="Times New Roman"/>
        </w:rPr>
        <w:t>Zamora, A., Matejuk, A., Silverman, M., Vandenbark, A. A., &amp; Offner, H. (2002).</w:t>
      </w:r>
      <w:r w:rsidRPr="00157C7D">
        <w:rPr>
          <w:rStyle w:val="Strong"/>
          <w:rFonts w:ascii="Times New Roman" w:hAnsi="Times New Roman" w:cs="Times New Roman"/>
        </w:rPr>
        <w:t xml:space="preserve">Inhibitory effects of incomplete Freund’s adjuvant on experimental autoimmune encephalomyelitis. </w:t>
      </w:r>
      <w:r w:rsidRPr="00157C7D">
        <w:rPr>
          <w:rFonts w:ascii="Times New Roman" w:hAnsi="Times New Roman" w:cs="Times New Roman"/>
        </w:rPr>
        <w:t xml:space="preserve"> </w:t>
      </w:r>
      <w:r w:rsidRPr="00157C7D">
        <w:rPr>
          <w:rStyle w:val="Emphasis"/>
          <w:rFonts w:ascii="Times New Roman" w:hAnsi="Times New Roman" w:cs="Times New Roman"/>
        </w:rPr>
        <w:t>Autoimmunity, 35</w:t>
      </w:r>
      <w:r w:rsidRPr="00157C7D">
        <w:rPr>
          <w:rFonts w:ascii="Times New Roman" w:hAnsi="Times New Roman" w:cs="Times New Roman"/>
        </w:rPr>
        <w:t>(1), 21–28.https://doi.org/10.1080/08916930290005873.</w:t>
      </w:r>
    </w:p>
    <w:p w14:paraId="48956946" w14:textId="77777777" w:rsidR="00E22455" w:rsidRPr="00157C7D" w:rsidRDefault="00E22455" w:rsidP="00E22455">
      <w:pPr>
        <w:pStyle w:val="NormalWeb"/>
        <w:ind w:left="450" w:hanging="450"/>
        <w:jc w:val="both"/>
        <w:rPr>
          <w:sz w:val="22"/>
          <w:szCs w:val="22"/>
        </w:rPr>
      </w:pPr>
      <w:r w:rsidRPr="00157C7D">
        <w:rPr>
          <w:sz w:val="22"/>
          <w:szCs w:val="22"/>
        </w:rPr>
        <w:t xml:space="preserve">Zhang, Y., Cai, P., Cheng, G., &amp; Zhang, Y. (2022). A brief review of phenolic compounds identified from plants: Their extraction, analysis, and biological activity. </w:t>
      </w:r>
      <w:r w:rsidRPr="00157C7D">
        <w:rPr>
          <w:rStyle w:val="Emphasis"/>
          <w:sz w:val="22"/>
          <w:szCs w:val="22"/>
        </w:rPr>
        <w:t>Natural Product Communications, 17</w:t>
      </w:r>
      <w:r w:rsidRPr="00157C7D">
        <w:rPr>
          <w:sz w:val="22"/>
          <w:szCs w:val="22"/>
        </w:rPr>
        <w:t xml:space="preserve">(1). </w:t>
      </w:r>
      <w:hyperlink r:id="rId27" w:tgtFrame="_new" w:history="1">
        <w:r w:rsidRPr="00157C7D">
          <w:rPr>
            <w:rStyle w:val="Hyperlink"/>
            <w:sz w:val="22"/>
            <w:szCs w:val="22"/>
          </w:rPr>
          <w:t>https://doi.org/10.1177/1934578X211069721</w:t>
        </w:r>
      </w:hyperlink>
    </w:p>
    <w:p w14:paraId="26F48FAD" w14:textId="77777777" w:rsidR="00E22455" w:rsidRPr="00157C7D" w:rsidRDefault="00E22455" w:rsidP="00E22455">
      <w:pPr>
        <w:pStyle w:val="NormalWeb"/>
      </w:pPr>
    </w:p>
    <w:p w14:paraId="0F38B33F" w14:textId="77777777" w:rsidR="00BA0469" w:rsidRDefault="00BA0469"/>
    <w:sectPr w:rsidR="00BA0469" w:rsidSect="00E57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293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55"/>
    <w:rsid w:val="001E49F2"/>
    <w:rsid w:val="0027477B"/>
    <w:rsid w:val="005B625E"/>
    <w:rsid w:val="00BA0469"/>
    <w:rsid w:val="00BB3263"/>
    <w:rsid w:val="00C3512A"/>
    <w:rsid w:val="00CA590C"/>
    <w:rsid w:val="00E22455"/>
    <w:rsid w:val="00E5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A174"/>
  <w15:chartTrackingRefBased/>
  <w15:docId w15:val="{70107041-4139-414D-9C08-72420FAF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55"/>
  </w:style>
  <w:style w:type="paragraph" w:styleId="Heading2">
    <w:name w:val="heading 2"/>
    <w:basedOn w:val="Normal"/>
    <w:next w:val="Normal"/>
    <w:link w:val="Heading2Char"/>
    <w:uiPriority w:val="9"/>
    <w:unhideWhenUsed/>
    <w:qFormat/>
    <w:rsid w:val="00E22455"/>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455"/>
    <w:rPr>
      <w:rFonts w:ascii="Cambria" w:eastAsia="Times New Roman" w:hAnsi="Cambria" w:cs="Times New Roman"/>
      <w:b/>
      <w:bCs/>
      <w:color w:val="4F81BD"/>
      <w:sz w:val="26"/>
      <w:szCs w:val="26"/>
    </w:rPr>
  </w:style>
  <w:style w:type="table" w:styleId="TableGrid">
    <w:name w:val="Table Grid"/>
    <w:basedOn w:val="TableNormal"/>
    <w:uiPriority w:val="39"/>
    <w:rsid w:val="00E22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22455"/>
    <w:pPr>
      <w:spacing w:after="0" w:line="240" w:lineRule="auto"/>
    </w:pPr>
    <w:rPr>
      <w:rFonts w:ascii="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basedOn w:val="DefaultParagraphFont"/>
    <w:uiPriority w:val="22"/>
    <w:qFormat/>
    <w:rsid w:val="00E22455"/>
    <w:rPr>
      <w:b/>
      <w:bCs/>
    </w:rPr>
  </w:style>
  <w:style w:type="paragraph" w:styleId="NormalWeb">
    <w:name w:val="Normal (Web)"/>
    <w:basedOn w:val="Normal"/>
    <w:uiPriority w:val="99"/>
    <w:unhideWhenUsed/>
    <w:rsid w:val="00E224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2455"/>
    <w:rPr>
      <w:i/>
      <w:iCs/>
    </w:rPr>
  </w:style>
  <w:style w:type="character" w:styleId="Hyperlink">
    <w:name w:val="Hyperlink"/>
    <w:basedOn w:val="DefaultParagraphFont"/>
    <w:uiPriority w:val="99"/>
    <w:unhideWhenUsed/>
    <w:rsid w:val="00E22455"/>
    <w:rPr>
      <w:color w:val="0000FF"/>
      <w:u w:val="single"/>
    </w:rPr>
  </w:style>
  <w:style w:type="paragraph" w:styleId="ListParagraph">
    <w:name w:val="List Paragraph"/>
    <w:basedOn w:val="Normal"/>
    <w:uiPriority w:val="34"/>
    <w:qFormat/>
    <w:rsid w:val="00E22455"/>
    <w:pPr>
      <w:spacing w:after="0" w:line="276" w:lineRule="auto"/>
      <w:ind w:left="720"/>
      <w:contextualSpacing/>
      <w:jc w:val="both"/>
    </w:pPr>
    <w:rPr>
      <w:rFonts w:ascii="Arial" w:eastAsia="Arial" w:hAnsi="Arial" w:cs="Arial"/>
      <w:sz w:val="21"/>
    </w:rPr>
  </w:style>
  <w:style w:type="paragraph" w:customStyle="1" w:styleId="Default">
    <w:name w:val="Default"/>
    <w:rsid w:val="00E22455"/>
    <w:pPr>
      <w:autoSpaceDE w:val="0"/>
      <w:autoSpaceDN w:val="0"/>
      <w:adjustRightInd w:val="0"/>
      <w:spacing w:after="0" w:line="240" w:lineRule="auto"/>
    </w:pPr>
    <w:rPr>
      <w:rFonts w:ascii="Cambria" w:eastAsia="Calibri" w:hAnsi="Cambria" w:cs="Cambria"/>
      <w:color w:val="000000"/>
      <w:sz w:val="24"/>
      <w:szCs w:val="24"/>
    </w:rPr>
  </w:style>
  <w:style w:type="paragraph" w:styleId="Header">
    <w:name w:val="header"/>
    <w:basedOn w:val="Normal"/>
    <w:link w:val="HeaderChar"/>
    <w:uiPriority w:val="99"/>
    <w:unhideWhenUsed/>
    <w:rsid w:val="00E22455"/>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E22455"/>
    <w:rPr>
      <w:rFonts w:ascii="Calibri" w:eastAsia="Calibri" w:hAnsi="Calibri" w:cs="Times New Roman"/>
    </w:rPr>
  </w:style>
  <w:style w:type="paragraph" w:styleId="Footer">
    <w:name w:val="footer"/>
    <w:basedOn w:val="Normal"/>
    <w:link w:val="FooterChar"/>
    <w:uiPriority w:val="99"/>
    <w:unhideWhenUsed/>
    <w:rsid w:val="00E22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1389450124666221227094958" TargetMode="External" /><Relationship Id="rId13" Type="http://schemas.openxmlformats.org/officeDocument/2006/relationships/hyperlink" Target="https://doi.org/10.1146/annurev-pathmechdis-051122-094016" TargetMode="External" /><Relationship Id="rId18" Type="http://schemas.openxmlformats.org/officeDocument/2006/relationships/hyperlink" Target="tel:2022" TargetMode="External" /><Relationship Id="rId26" Type="http://schemas.openxmlformats.org/officeDocument/2006/relationships/hyperlink" Target="https://doi.org/10.3390/nu10111618" TargetMode="External" /><Relationship Id="rId3" Type="http://schemas.openxmlformats.org/officeDocument/2006/relationships/settings" Target="settings.xml" /><Relationship Id="rId21" Type="http://schemas.openxmlformats.org/officeDocument/2006/relationships/hyperlink" Target="https://doi.org/10.1371/journal.pone.0260423" TargetMode="External" /><Relationship Id="rId7" Type="http://schemas.openxmlformats.org/officeDocument/2006/relationships/hyperlink" Target="https://doi.org/10.1002/ptr.70113" TargetMode="External" /><Relationship Id="rId12" Type="http://schemas.openxmlformats.org/officeDocument/2006/relationships/hyperlink" Target="https://doi.org/10.1177/106002809603000710" TargetMode="External" /><Relationship Id="rId17" Type="http://schemas.openxmlformats.org/officeDocument/2006/relationships/hyperlink" Target="https://doi.org/10.1124/dmd.123.001281" TargetMode="External" /><Relationship Id="rId25" Type="http://schemas.openxmlformats.org/officeDocument/2006/relationships/hyperlink" Target="https://doi.org/10.1016/S0014-2999(99)00790-6" TargetMode="External" /><Relationship Id="rId2" Type="http://schemas.openxmlformats.org/officeDocument/2006/relationships/styles" Target="styles.xml" /><Relationship Id="rId16" Type="http://schemas.openxmlformats.org/officeDocument/2006/relationships/hyperlink" Target="https://doi.org/10.1371/journal.pone.0012748" TargetMode="External" /><Relationship Id="rId20" Type="http://schemas.openxmlformats.org/officeDocument/2006/relationships/hyperlink" Target="https://doi.org/10.3389/fphar.2022.981978"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doi.org/10.3390/molecules27092901" TargetMode="External" /><Relationship Id="rId11" Type="http://schemas.openxmlformats.org/officeDocument/2006/relationships/hyperlink" Target="https://doi.org/10.4049/jimmunol.182.3.1574" TargetMode="External" /><Relationship Id="rId24" Type="http://schemas.openxmlformats.org/officeDocument/2006/relationships/hyperlink" Target="https://doi.org/10.1016/j.bcp.2024.116056" TargetMode="External" /><Relationship Id="rId5" Type="http://schemas.openxmlformats.org/officeDocument/2006/relationships/hyperlink" Target="mailto:azunkwo@gmail.com" TargetMode="External" /><Relationship Id="rId15" Type="http://schemas.openxmlformats.org/officeDocument/2006/relationships/hyperlink" Target="https://doi.org/10.2174/1389557522666220602141142" TargetMode="External" /><Relationship Id="rId23" Type="http://schemas.openxmlformats.org/officeDocument/2006/relationships/hyperlink" Target="https://doi.org/10.2174/15680266113139990149" TargetMode="External" /><Relationship Id="rId28" Type="http://schemas.openxmlformats.org/officeDocument/2006/relationships/fontTable" Target="fontTable.xml" /><Relationship Id="rId10" Type="http://schemas.openxmlformats.org/officeDocument/2006/relationships/hyperlink" Target="https://doi.org/10.1155/2023/4139117" TargetMode="External" /><Relationship Id="rId19" Type="http://schemas.openxmlformats.org/officeDocument/2006/relationships/hyperlink" Target="tel:981978" TargetMode="External" /><Relationship Id="rId4" Type="http://schemas.openxmlformats.org/officeDocument/2006/relationships/webSettings" Target="webSettings.xml" /><Relationship Id="rId9" Type="http://schemas.openxmlformats.org/officeDocument/2006/relationships/hyperlink" Target="https://doi.org/10.3390/molecules25030762" TargetMode="External" /><Relationship Id="rId14" Type="http://schemas.openxmlformats.org/officeDocument/2006/relationships/hyperlink" Target="https://doi.org/10.3390/jcm12010310" TargetMode="External" /><Relationship Id="rId22" Type="http://schemas.openxmlformats.org/officeDocument/2006/relationships/hyperlink" Target="https://doi.org/10.1021/np9904509" TargetMode="External" /><Relationship Id="rId27" Type="http://schemas.openxmlformats.org/officeDocument/2006/relationships/hyperlink" Target="https://doi.org/10.1177/1934578X2110697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5295</Words>
  <Characters>30185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AZUBUIKE NWANKWO</cp:lastModifiedBy>
  <cp:revision>2</cp:revision>
  <dcterms:created xsi:type="dcterms:W3CDTF">2026-06-18T13:39:00Z</dcterms:created>
  <dcterms:modified xsi:type="dcterms:W3CDTF">2026-06-18T13:39:00Z</dcterms:modified>
</cp:coreProperties>
</file>