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fbf408ddd45f5" /><Relationship Type="http://schemas.openxmlformats.org/package/2006/relationships/metadata/core-properties" Target="/package/services/metadata/core-properties/9227112ccd4f4fc0ab8060f99a6f0a71.psmdcp" Id="Ra293de2d1f1949ca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spacing w:before="0" w:after="0" w:line="237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IJRISS Journal - June 2026 Issue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Submission.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Title: Factors Influencing Youth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/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/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/>
      </w:r>
    </w:p>
    <w:p>
      <w:pPr>
        <w:autoSpaceDE w:val="false"/>
        <w:autoSpaceDN w:val="false"/>
        <w:spacing w:before="0" w:after="0" w:line="317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/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/>
      </w:r>
    </w:p>
    <w:p>
      <w:pPr>
        <w:autoSpaceDE w:val="false"/>
        <w:autoSpaceDN w:val="false"/>
        <w:spacing w:before="0" w:after="0" w:line="343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/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42"/>
        </w:rPr>
        <w:rPr>
          <w:rFonts w:hint="eastAsia" w:ascii="SimSun" w:hAnsi="SimSun" w:eastAsia="SimSun"/>
          <w:color w:val="000000"/>
          <w:sz w:val="42"/>
        </w:rPr>
      </w:pPr>
    </w:p>
    <w:p>
      <w:pPr>
        <w:autoSpaceDE w:val="false"/>
        <w:autoSpaceDN w:val="false"/>
        <w:spacing w:before="0" w:after="0" w:line="394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/>
      </w:r>
    </w:p>
    <w:p>
      <w:pPr>
        <w:autoSpaceDE w:val="false"/>
        <w:autoSpaceDN w:val="false"/>
        <w:spacing w:before="0" w:after="0" w:line="334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/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42"/>
        </w:rPr>
        <w:rPr>
          <w:rFonts w:hint="eastAsia" w:ascii="SimSun" w:hAnsi="SimSun" w:eastAsia="SimSun"/>
          <w:color w:val="000000"/>
          <w:sz w:val="42"/>
        </w:rPr>
      </w:pPr>
    </w:p>
    <w:p>
      <w:pPr>
        <w:autoSpaceDE w:val="false"/>
        <w:autoSpaceDN w:val="false"/>
        <w:spacing w:before="0" w:after="0" w:line="412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Abstract.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Youth participation in governance is</w:t>
      </w:r>
    </w:p>
    <w:p>
      <w:pPr>
        <w:autoSpaceDE w:val="false"/>
        <w:autoSpaceDN w:val="false"/>
        <w:spacing w:before="0" w:after="0" w:line="317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crucial for democratic development and</w:t>
      </w:r>
    </w:p>
    <w:p>
      <w:pPr>
        <w:autoSpaceDE w:val="false"/>
        <w:autoSpaceDN w:val="false"/>
        <w:spacing w:before="0" w:after="0" w:line="334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institutional accountability. Despite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devolved governance structure in</w:t>
      </w:r>
    </w:p>
    <w:p>
      <w:pPr>
        <w:autoSpaceDE w:val="false"/>
        <w:autoSpaceDN w:val="false"/>
        <w:spacing w:before="0" w:after="0" w:line="317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Kenya, youth involvement in local decision-</w:t>
      </w:r>
    </w:p>
    <w:p>
      <w:pPr>
        <w:autoSpaceDE w:val="false"/>
        <w:autoSpaceDN w:val="false"/>
        <w:spacing w:before="0" w:after="0" w:line="334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making remains low. This study</w:t>
      </w:r>
    </w:p>
    <w:p>
      <w:pPr>
        <w:autoSpaceDE w:val="false"/>
        <w:autoSpaceDN w:val="false"/>
        <w:spacing w:before="0" w:after="0" w:line="334" w:lineRule="auto"/>
        <w:ind w:firstLine="0"/>
        <w:jc w:val="left"/>
        <w:rPr>
          <w:sz w:val="42"/>
        </w:rPr>
        <w:sectPr>
          <w:type w:val="continuous"/>
          <w:pgSz w:w="11900" w:h="168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42"/>
        </w:rPr>
        <w:t xml:space="preserve">investigates the factors influencing youth participation.</w:t>
      </w:r>
    </w:p>
    <w:p>
      <w:pPr>
        <w:autoSpaceDE w:val="false"/>
        <w:autoSpaceDN w:val="false"/>
        <w:spacing w:before="0" w:after="0" w:line="296" w:lineRule="auto"/>
        <w:ind w:right="6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participation in Nyamira County. A mixed-methods approach, including surveys and key informant interviews, was employed.</w:t>
      </w:r>
    </w:p>
    <w:p>
      <w:pPr>
        <w:autoSpaceDE w:val="false"/>
        <w:autoSpaceDN w:val="false"/>
        <w:spacing w:before="0" w:after="0" w:line="434" w:lineRule="auto"/>
        <w:ind w:right="1480"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Results indicate that limited political </w:t>
      </w:r>
      <w:r>
        <w:rPr>
          <w:rFonts w:hint="eastAsia" w:ascii="Calibri" w:hAnsi="Calibri" w:eastAsia="Calibri"/>
          <w:color w:val="000000"/>
          <w:sz w:val="42"/>
        </w:rPr>
        <w:t xml:space="preserve">awareness, inadequate access to </w:t>
      </w:r>
      <w:r>
        <w:rPr>
          <w:rFonts w:hint="eastAsia" w:ascii="Calibri" w:hAnsi="Calibri" w:eastAsia="Calibri"/>
          <w:color w:val="000000"/>
          <w:sz w:val="42"/>
        </w:rPr>
        <w:t xml:space="preserve">information, and perceived exclusion </w:t>
      </w:r>
      <w:r>
        <w:rPr>
          <w:rFonts w:hint="eastAsia" w:ascii="Calibri" w:hAnsi="Calibri" w:eastAsia="Calibri"/>
          <w:color w:val="000000"/>
          <w:sz w:val="42"/>
        </w:rPr>
        <w:t xml:space="preserve">hinder youth engagement.</w:t>
      </w:r>
    </w:p>
    <w:p>
      <w:pPr>
        <w:autoSpaceDE w:val="false"/>
        <w:autoSpaceDN w:val="false"/>
        <w:spacing w:before="0" w:after="0" w:line="420" w:lineRule="auto"/>
        <w:ind w:right="6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Recommendations include civic education programs, inclusive policy reforms, and platforms for youth participation. This research contributes to understanding the structural and socio-political barriers affecting youth engagement in local governance. Keywords: youth participation, local governance, civic engagement, Kenya, policy.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42"/>
        </w:rPr>
        <w:rPr>
          <w:rFonts w:hint="eastAsia" w:ascii="SimSun" w:hAnsi="SimSun" w:eastAsia="SimSun"/>
          <w:color w:val="000000"/>
          <w:sz w:val="42"/>
        </w:rPr>
      </w:pPr>
    </w:p>
    <w:p>
      <w:pPr>
        <w:autoSpaceDE w:val="false"/>
        <w:autoSpaceDN w:val="false"/>
        <w:spacing w:before="0" w:after="0" w:line="420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1. Introduction.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Youth engagement in</w:t>
      </w:r>
    </w:p>
    <w:p>
      <w:pPr>
        <w:autoSpaceDE w:val="false"/>
        <w:autoSpaceDN w:val="false"/>
        <w:spacing w:before="0" w:after="0" w:line="317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governance strengthens democracy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  <w:sectPr>
          <w:type w:val="continuous"/>
          <w:pgSz w:w="11901" w:h="1680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42"/>
        </w:rPr>
        <w:t xml:space="preserve">institutions, accountability, and social</w:t>
      </w:r>
    </w:p>
    <w:p>
      <w:pPr>
        <w:autoSpaceDE w:val="false"/>
        <w:autoSpaceDN w:val="false"/>
        <w:spacing w:before="0" w:after="0" w:line="311" w:lineRule="auto"/>
        <w:ind w:right="74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Kenya's 2010 Constitution introduced devolution to enhance public participation and empower marginalized groups, including youth. However, youth participation in local</w:t>
      </w:r>
    </w:p>
    <w:p>
      <w:pPr>
        <w:autoSpaceDE w:val="false"/>
        <w:autoSpaceDN w:val="false"/>
        <w:spacing w:before="0" w:after="0" w:line="400" w:lineRule="auto"/>
        <w:ind w:right="52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Governance structures are still limited. This study examines the factors influencing youth engagement in Nyamira County and provides recommendations for enhancing their involvement.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42"/>
        </w:rPr>
        <w:rPr>
          <w:rFonts w:hint="eastAsia" w:ascii="SimSun" w:hAnsi="SimSun" w:eastAsia="SimSun"/>
          <w:color w:val="000000"/>
          <w:sz w:val="42"/>
        </w:rPr>
      </w:pPr>
    </w:p>
    <w:p>
      <w:pPr>
        <w:autoSpaceDE w:val="false"/>
        <w:autoSpaceDN w:val="false"/>
        <w:spacing w:before="0" w:after="0" w:line="420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2. Literature Review.</w:t>
      </w:r>
    </w:p>
    <w:p>
      <w:pPr>
        <w:autoSpaceDE w:val="false"/>
        <w:autoSpaceDN w:val="false"/>
        <w:spacing w:before="0" w:after="0" w:line="489" w:lineRule="auto"/>
        <w:ind w:right="8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Global and Kenyan studies show that youth participation is affected by socio-economic factors, political</w:t>
      </w:r>
    </w:p>
    <w:p>
      <w:pPr>
        <w:autoSpaceDE w:val="false"/>
        <w:autoSpaceDN w:val="false"/>
        <w:spacing w:before="0" w:after="0" w:line="493" w:lineRule="auto"/>
        <w:ind w:right="52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awareness, institutional accessibility, and cultural norms (Musyoka &amp; Odduor, 2018; UNDP, 2016). Limited access to</w:t>
      </w:r>
    </w:p>
    <w:p>
      <w:pPr>
        <w:autoSpaceDE w:val="false"/>
        <w:autoSpaceDN w:val="false"/>
        <w:spacing w:before="0" w:after="0" w:line="323" w:lineRule="auto"/>
        <w:ind w:right="52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sectPr>
          <w:type w:val="continuous"/>
          <w:pgSz w:w="11900" w:h="168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42"/>
        </w:rPr>
        <w:t xml:space="preserve">information and exclusion from decision-making processes are recurrent barriers. This study extends existing research by</w:t>
      </w:r>
    </w:p>
    <w:p>
      <w:pPr>
        <w:autoSpaceDE w:val="false"/>
        <w:autoSpaceDN w:val="false"/>
        <w:spacing w:before="0" w:after="0" w:line="555" w:lineRule="auto"/>
        <w:ind w:right="120"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focusing on local governance structures in </w:t>
      </w:r>
      <w:r>
        <w:rPr>
          <w:rFonts w:hint="eastAsia" w:ascii="Calibri" w:hAnsi="Calibri" w:eastAsia="Calibri"/>
          <w:color w:val="000000"/>
          <w:sz w:val="42"/>
        </w:rPr>
        <w:t xml:space="preserve">Nyamira County.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42"/>
        </w:rPr>
        <w:rPr>
          <w:rFonts w:hint="eastAsia" w:ascii="SimSun" w:hAnsi="SimSun" w:eastAsia="SimSun"/>
          <w:color w:val="000000"/>
          <w:sz w:val="42"/>
        </w:rPr>
      </w:pPr>
    </w:p>
    <w:p>
      <w:pPr>
        <w:autoSpaceDE w:val="false"/>
        <w:autoSpaceDN w:val="false"/>
        <w:spacing w:before="0" w:after="0" w:line="420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3. Methodology Research Design:</w:t>
      </w:r>
    </w:p>
    <w:p>
      <w:pPr>
        <w:autoSpaceDE w:val="false"/>
        <w:autoSpaceDN w:val="false"/>
        <w:spacing w:before="0" w:after="0" w:line="431" w:lineRule="auto"/>
        <w:ind w:right="12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Mixed-methods approach combining quantitative and qualitative techniques. Survey: 200 youth aged 18–35, stratified by sub-county.</w:t>
      </w:r>
    </w:p>
    <w:p>
      <w:pPr>
        <w:autoSpaceDE w:val="false"/>
        <w:autoSpaceDN w:val="false"/>
        <w:spacing w:before="0" w:after="0" w:line="484" w:lineRule="auto"/>
        <w:ind w:right="820" w:firstLine="16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Interviews: 10 key informants, including </w:t>
      </w:r>
      <w:r>
        <w:rPr>
          <w:rFonts w:hint="eastAsia" w:ascii="Calibri" w:hAnsi="Calibri" w:eastAsia="Calibri"/>
          <w:color w:val="000000"/>
          <w:sz w:val="42"/>
        </w:rPr>
        <w:t xml:space="preserve">local administrators, youth leaders, and </w:t>
      </w:r>
      <w:r>
        <w:rPr>
          <w:rFonts w:hint="eastAsia" w:ascii="Calibri" w:hAnsi="Calibri" w:eastAsia="Calibri"/>
          <w:color w:val="000000"/>
          <w:sz w:val="42"/>
        </w:rPr>
        <w:t xml:space="preserve">civic officers.</w:t>
      </w:r>
    </w:p>
    <w:p>
      <w:pPr>
        <w:autoSpaceDE w:val="false"/>
        <w:autoSpaceDN w:val="false"/>
        <w:spacing w:before="0" w:after="0" w:line="493" w:lineRule="auto"/>
        <w:ind w:right="42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Data Analysis: Quantitative data were analyzed using descriptive statistics; qualitative data were coded thematically.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42"/>
        </w:rPr>
        <w:rPr>
          <w:rFonts w:hint="eastAsia" w:ascii="SimSun" w:hAnsi="SimSun" w:eastAsia="SimSun"/>
          <w:color w:val="000000"/>
          <w:sz w:val="42"/>
        </w:rPr>
      </w:pPr>
    </w:p>
    <w:p>
      <w:pPr>
        <w:autoSpaceDE w:val="false"/>
        <w:autoSpaceDN w:val="false"/>
        <w:spacing w:before="0" w:after="0" w:line="420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4. Results</w:t>
        <w:br w:type="textWrapping"/>
        <w:t xml:space="preserve"/>
        <w:br w:type="textWrapping"/>
        <w:t xml:space="preserve">Political Awareness:</w:t>
      </w:r>
    </w:p>
    <w:p>
      <w:pPr>
        <w:autoSpaceDE w:val="false"/>
        <w:autoSpaceDN w:val="false"/>
        <w:spacing w:before="0" w:after="0" w:line="484" w:lineRule="auto"/>
        <w:ind w:right="42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Only 35% of respondents reported having adequate knowledge of local governance processes.</w:t>
      </w:r>
    </w:p>
    <w:p>
      <w:pPr>
        <w:autoSpaceDE w:val="false"/>
        <w:autoSpaceDN w:val="false"/>
        <w:spacing w:before="0" w:after="0" w:line="334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Access to Information: 60% cited</w:t>
      </w:r>
    </w:p>
    <w:p>
      <w:pPr>
        <w:autoSpaceDE w:val="false"/>
        <w:autoSpaceDN w:val="false"/>
        <w:spacing w:before="0" w:after="0" w:line="334" w:lineRule="auto"/>
        <w:ind w:firstLine="0"/>
        <w:jc w:val="left"/>
        <w:rPr>
          <w:sz w:val="42"/>
        </w:rPr>
        <w:sectPr>
          <w:type w:val="continuous"/>
          <w:pgSz w:w="11901" w:h="1680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42"/>
        </w:rPr>
        <w:t xml:space="preserve">inadequate communication regarding</w:t>
      </w:r>
    </w:p>
    <w:p>
      <w:pPr>
        <w:autoSpaceDE w:val="false"/>
        <w:autoSpaceDN w:val="false"/>
        <w:spacing w:before="0" w:after="0" w:line="24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meetings and decisions. Perceived</w:t>
      </w:r>
    </w:p>
    <w:p>
      <w:pPr>
        <w:autoSpaceDE w:val="false"/>
        <w:autoSpaceDN w:val="false"/>
        <w:spacing w:before="0" w:after="0" w:line="334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Exclusion: Youth reported that their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opinions were often disregarded in local forums.</w:t>
      </w:r>
    </w:p>
    <w:p>
      <w:pPr>
        <w:autoSpaceDE w:val="false"/>
        <w:autoSpaceDN w:val="false"/>
        <w:spacing w:before="0" w:after="0" w:line="326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forums, decreasing engagement.</w:t>
      </w:r>
    </w:p>
    <w:p>
      <w:pPr>
        <w:autoSpaceDE w:val="false"/>
        <w:autoSpaceDN w:val="false"/>
        <w:spacing w:before="0" w:after="0" w:line="334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motivation.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42"/>
        </w:rPr>
        <w:rPr>
          <w:rFonts w:hint="eastAsia" w:ascii="SimSun" w:hAnsi="SimSun" w:eastAsia="SimSun"/>
          <w:color w:val="000000"/>
          <w:sz w:val="42"/>
        </w:rPr>
      </w:pPr>
    </w:p>
    <w:p>
      <w:pPr>
        <w:autoSpaceDE w:val="false"/>
        <w:autoSpaceDN w:val="false"/>
        <w:spacing w:before="0" w:after="0" w:line="394" w:lineRule="auto"/>
        <w:ind w:firstLine="0"/>
        <w:jc w:val="left"/>
        <w:rPr>
          <w:sz w:val="42"/>
        </w:rPr>
      </w:pPr>
      <w:r>
        <w:rPr>
          <w:rFonts w:hint="eastAsia" w:ascii="Calibri" w:hAnsi="Calibri" w:eastAsia="Calibri"/>
          <w:color w:val="000000"/>
          <w:sz w:val="42"/>
        </w:rPr>
        <w:t xml:space="preserve">5. Discussion.</w:t>
      </w:r>
    </w:p>
    <w:p>
      <w:pPr>
        <w:autoSpaceDE w:val="false"/>
        <w:autoSpaceDN w:val="false"/>
        <w:spacing w:before="0" w:after="0" w:line="453" w:lineRule="auto"/>
        <w:ind w:right="20" w:firstLine="0"/>
        <w:jc w:val="left"/>
        <w:rPr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rPr>
          <w:rFonts w:hint="eastAsia" w:ascii="Calibri" w:hAnsi="Calibri" w:eastAsia="Calibri"/>
          <w:color w:val="000000"/>
          <w:sz w:val="42"/>
        </w:rPr>
        <w:sectPr>
          <w:type w:val="continuous"/>
          <w:pgSz w:w="11900" w:h="1680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42"/>
        </w:rPr>
        <w:t xml:space="preserve">The study shows that structural and perceptual barriers significantly reduce youth participation. Aligning with prior research (Musyoka &amp; Odduor, 2018), increasing civic education, providing timely information, and ensuring inclusive decision-making platforms can improve engagement.</w:t>
        <w:br w:type="textWrapping"/>
        <w:t xml:space="preserve"/>
        <w:br w:type="textWrapping"/>
        <w:t xml:space="preserve">6. Conclusion</w:t>
        <w:br w:type="textWrapping"/>
        <w:t xml:space="preserve"/>
        <w:br w:type="textWrapping"/>
        <w:t xml:space="preserve">Youth participation in Nyamira County is limited by awareness gaps, restricted information access, and exclusion from decision-making processes. Implementing targeted civic education, reforming policies to be youth-inclusive, and establishing</w:t>
      </w:r>
    </w:p>
    <w:p>
      <w:pPr>
        <w:autoSpaceDE w:val="false"/>
        <w:autoSpaceDN w:val="false"/>
        <w:spacing w:before="0" w:after="0" w:line="333" w:lineRule="auto"/>
        <w:ind w:right="1440" w:firstLine="0"/>
        <w:jc w:val="left"/>
        <w:rPr>
          <w:sz w:val="44"/>
        </w:rPr>
      </w:pPr>
      <w:r>
        <w:rPr>
          <w:rFonts w:hint="eastAsia" w:ascii="Calibri" w:hAnsi="Calibri" w:eastAsia="Calibri"/>
          <w:color w:val="000000"/>
          <w:sz w:val="44"/>
        </w:rPr>
        <w:t xml:space="preserve">participatory platforms can enhance </w:t>
      </w:r>
      <w:r>
        <w:rPr>
          <w:rFonts w:hint="eastAsia" w:ascii="Calibri" w:hAnsi="Calibri" w:eastAsia="Calibri"/>
          <w:color w:val="000000"/>
          <w:sz w:val="44"/>
        </w:rPr>
        <w:t xml:space="preserve">engagement.</w:t>
      </w:r>
    </w:p>
    <w:p>
      <w:pPr>
        <w:autoSpaceDE w:val="false"/>
        <w:autoSpaceDN w:val="false"/>
        <w:wordWrap w:val="false"/>
        <w:spacing w:before="0" w:after="0" w:line="333" w:lineRule="auto"/>
        <w:ind w:firstLine="0"/>
        <w:jc w:val="both"/>
        <w:rPr>
          <w:sz w:val="44"/>
        </w:rPr>
        <w:rPr>
          <w:rFonts w:hint="eastAsia" w:ascii="SimSun" w:hAnsi="SimSun" w:eastAsia="SimSun"/>
          <w:color w:val="000000"/>
          <w:sz w:val="44"/>
        </w:rPr>
      </w:pPr>
    </w:p>
    <w:p>
      <w:pPr>
        <w:autoSpaceDE w:val="false"/>
        <w:autoSpaceDN w:val="false"/>
        <w:spacing w:before="0" w:after="0" w:line="333" w:lineRule="auto"/>
        <w:ind w:firstLine="0"/>
        <w:jc w:val="left"/>
        <w:rPr>
          <w:sz w:val="44"/>
        </w:rPr>
      </w:pPr>
      <w:r>
        <w:rPr>
          <w:rFonts w:hint="eastAsia" w:ascii="Calibri" w:hAnsi="Calibri" w:eastAsia="Calibri"/>
          <w:color w:val="000000"/>
          <w:sz w:val="44"/>
        </w:rPr>
        <w:t xml:space="preserve">References.</w:t>
      </w:r>
    </w:p>
    <w:p>
      <w:pPr>
        <w:autoSpaceDE w:val="false"/>
        <w:autoSpaceDN w:val="false"/>
        <w:spacing w:before="0" w:after="0" w:line="333" w:lineRule="auto"/>
        <w:ind w:right="40" w:firstLine="0"/>
        <w:jc w:val="left"/>
        <w:rPr>
          <w:sz w:val="44"/>
        </w:rPr>
        <w:rPr>
          <w:rFonts w:hint="eastAsia" w:ascii="Calibri" w:hAnsi="Calibri" w:eastAsia="Calibri"/>
          <w:color w:val="000000"/>
          <w:sz w:val="44"/>
        </w:rPr>
        <w:rPr>
          <w:rFonts w:hint="eastAsia" w:ascii="Calibri" w:hAnsi="Calibri" w:eastAsia="Calibri"/>
          <w:color w:val="000000"/>
          <w:sz w:val="44"/>
        </w:rPr>
        <w:rPr>
          <w:rFonts w:hint="eastAsia" w:ascii="Calibri" w:hAnsi="Calibri" w:eastAsia="Calibri"/>
          <w:color w:val="000000"/>
          <w:sz w:val="44"/>
        </w:rPr>
        <w:rPr>
          <w:rFonts w:hint="eastAsia" w:ascii="Calibri" w:hAnsi="Calibri" w:eastAsia="Calibri"/>
          <w:color w:val="000000"/>
          <w:sz w:val="44"/>
        </w:rPr>
        <w:rPr>
          <w:rFonts w:hint="eastAsia" w:ascii="Calibri" w:hAnsi="Calibri" w:eastAsia="Calibri"/>
          <w:color w:val="000000"/>
          <w:sz w:val="44"/>
        </w:rPr>
        <w:rPr>
          <w:rFonts w:hint="eastAsia" w:ascii="Calibri" w:hAnsi="Calibri" w:eastAsia="Calibri"/>
          <w:color w:val="000000"/>
          <w:sz w:val="44"/>
        </w:rPr>
        <w:rPr>
          <w:rFonts w:hint="eastAsia" w:ascii="Calibri" w:hAnsi="Calibri" w:eastAsia="Calibri"/>
          <w:color w:val="000000"/>
          <w:sz w:val="44"/>
        </w:rPr>
        <w:rPr>
          <w:rFonts w:hint="eastAsia" w:ascii="Calibri" w:hAnsi="Calibri" w:eastAsia="Calibri"/>
          <w:color w:val="000000"/>
          <w:sz w:val="44"/>
        </w:rPr>
        <w:rPr>
          <w:rFonts w:hint="eastAsia" w:ascii="Calibri" w:hAnsi="Calibri" w:eastAsia="Calibri"/>
          <w:color w:val="000000"/>
          <w:sz w:val="44"/>
        </w:rPr>
      </w:pPr>
      <w:r>
        <w:rPr>
          <w:rFonts w:hint="eastAsia" w:ascii="Calibri" w:hAnsi="Calibri" w:eastAsia="Calibri"/>
          <w:color w:val="000000"/>
          <w:sz w:val="44"/>
        </w:rPr>
        <w:t xml:space="preserve">Kenya National Bureau of Statistics. (2020). Population and housing census report. Nairobi: KNBS. Musyoka, P. N., &amp; Odduor, J. (2018). Factors influencing youth participation in politics in Kenya. Journal of African Political Studies, 12(3), 45-60. United Nations Development Programme. (2016). Youth engagement in governance: Global perspectives. New York, NY: UNDP.</w:t>
      </w:r>
    </w:p>
    <w:sectPr>
      <w:type w:val="continuous"/>
      <w:pgSz w:w="11901" w:h="16801" w:orient="portrait"/>
      <w:pgMar w:top="720" w:right="720" w:bottom="2880" w:left="720" w:header="36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