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4498" w:rsidRDefault="00CE6CD7">
      <w:pPr>
        <w:spacing w:before="240" w:after="0" w:line="240" w:lineRule="auto"/>
        <w:ind w:left="142"/>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The Influence of Financial Literacy and Lifestyle on QRIS Usage Effectiveness and Its Impact on MSME Business Sustainability</w:t>
      </w:r>
      <w:r>
        <w:rPr>
          <w:rFonts w:ascii="Times New Roman" w:eastAsia="Times New Roman" w:hAnsi="Times New Roman" w:cs="Times New Roman"/>
          <w:sz w:val="28"/>
          <w:szCs w:val="28"/>
        </w:rPr>
        <w:t xml:space="preserve"> </w:t>
      </w:r>
    </w:p>
    <w:p w:rsidR="00864498" w:rsidRDefault="00CE6CD7">
      <w:pPr>
        <w:spacing w:before="240" w:after="0" w:line="240" w:lineRule="auto"/>
        <w:ind w:left="142"/>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
      </w:r>
      <w:proofErr w:type="spellEnd"/>
      <w:r>
        <w:rPr>
          <w:rFonts w:ascii="Times New Roman" w:eastAsia="Times New Roman" w:hAnsi="Times New Roman" w:cs="Times New Roman"/>
          <w:sz w:val="24"/>
          <w:szCs w:val="24"/>
        </w:rPr>
        <w:t xml:space="preserve"/>
      </w:r>
      <w:r>
        <w:rPr>
          <w:rFonts w:ascii="Times New Roman" w:eastAsia="Times New Roman" w:hAnsi="Times New Roman" w:cs="Times New Roman"/>
          <w:sz w:val="24"/>
          <w:szCs w:val="24"/>
          <w:vertAlign w:val="superscript"/>
        </w:rPr>
        <w:t/>
      </w:r>
      <w:r>
        <w:rPr>
          <w:rFonts w:ascii="Times New Roman" w:eastAsia="Times New Roman" w:hAnsi="Times New Roman" w:cs="Times New Roman"/>
          <w:sz w:val="24"/>
          <w:szCs w:val="24"/>
        </w:rPr>
        <w:t xml:space="preserve"/>
      </w:r>
      <w:proofErr w:type="spellStart"/>
      <w:r>
        <w:rPr>
          <w:rFonts w:ascii="Times New Roman" w:eastAsia="Times New Roman" w:hAnsi="Times New Roman" w:cs="Times New Roman"/>
          <w:sz w:val="24"/>
          <w:szCs w:val="24"/>
        </w:rPr>
        <w:t/>
      </w:r>
      <w:proofErr w:type="spellEnd"/>
      <w:r>
        <w:rPr>
          <w:rFonts w:ascii="Times New Roman" w:eastAsia="Times New Roman" w:hAnsi="Times New Roman" w:cs="Times New Roman"/>
          <w:sz w:val="24"/>
          <w:szCs w:val="24"/>
        </w:rPr>
        <w:t xml:space="preserve"/>
      </w:r>
      <w:r>
        <w:rPr>
          <w:rFonts w:ascii="Times New Roman" w:eastAsia="Times New Roman" w:hAnsi="Times New Roman" w:cs="Times New Roman"/>
          <w:sz w:val="24"/>
          <w:szCs w:val="24"/>
          <w:vertAlign w:val="superscript"/>
        </w:rPr>
        <w:t/>
      </w:r>
      <w:r>
        <w:rPr>
          <w:rFonts w:ascii="Times New Roman" w:eastAsia="Times New Roman" w:hAnsi="Times New Roman" w:cs="Times New Roman"/>
          <w:sz w:val="24"/>
          <w:szCs w:val="24"/>
        </w:rPr>
        <w:t xml:space="preserve"/>
      </w:r>
      <w:proofErr w:type="spellStart"/>
      <w:r>
        <w:rPr>
          <w:rFonts w:ascii="Times New Roman" w:eastAsia="Times New Roman" w:hAnsi="Times New Roman" w:cs="Times New Roman"/>
          <w:sz w:val="24"/>
          <w:szCs w:val="24"/>
        </w:rPr>
        <w:t/>
      </w:r>
      <w:proofErr w:type="spellEnd"/>
      <w:r>
        <w:rPr>
          <w:rFonts w:ascii="Times New Roman" w:eastAsia="Times New Roman" w:hAnsi="Times New Roman" w:cs="Times New Roman"/>
          <w:sz w:val="24"/>
          <w:szCs w:val="24"/>
        </w:rPr>
        <w:t xml:space="preserve"/>
      </w:r>
      <w:r>
        <w:rPr>
          <w:rFonts w:ascii="Times New Roman" w:eastAsia="Times New Roman" w:hAnsi="Times New Roman" w:cs="Times New Roman"/>
          <w:sz w:val="24"/>
          <w:szCs w:val="24"/>
          <w:vertAlign w:val="superscript"/>
        </w:rPr>
        <w:t/>
      </w:r>
      <w:r>
        <w:rPr>
          <w:rFonts w:ascii="Times New Roman" w:eastAsia="Times New Roman" w:hAnsi="Times New Roman" w:cs="Times New Roman"/>
          <w:sz w:val="24"/>
          <w:szCs w:val="24"/>
        </w:rPr>
        <w:t/>
      </w:r>
      <w:r>
        <w:rPr>
          <w:rFonts w:ascii="Times New Roman" w:eastAsia="Times New Roman" w:hAnsi="Times New Roman" w:cs="Times New Roman"/>
          <w:sz w:val="24"/>
          <w:szCs w:val="24"/>
          <w:vertAlign w:val="superscript"/>
        </w:rPr>
        <w:t/>
      </w:r>
      <w:r>
        <w:rPr>
          <w:rFonts w:ascii="Times New Roman" w:eastAsia="Times New Roman" w:hAnsi="Times New Roman" w:cs="Times New Roman"/>
          <w:sz w:val="24"/>
          <w:szCs w:val="24"/>
        </w:rPr>
        <w:t xml:space="preserve"/>
      </w:r>
      <w:proofErr w:type="spellStart"/>
      <w:r>
        <w:rPr>
          <w:rFonts w:ascii="Times New Roman" w:eastAsia="Times New Roman" w:hAnsi="Times New Roman" w:cs="Times New Roman"/>
          <w:sz w:val="24"/>
          <w:szCs w:val="24"/>
        </w:rPr>
        <w:t/>
      </w:r>
      <w:proofErr w:type="spellEnd"/>
      <w:r>
        <w:rPr>
          <w:rFonts w:ascii="Times New Roman" w:eastAsia="Times New Roman" w:hAnsi="Times New Roman" w:cs="Times New Roman"/>
          <w:sz w:val="24"/>
          <w:szCs w:val="24"/>
        </w:rPr>
        <w:t xml:space="preserve"/>
      </w:r>
      <w:r>
        <w:rPr>
          <w:rFonts w:ascii="Times New Roman" w:eastAsia="Times New Roman" w:hAnsi="Times New Roman" w:cs="Times New Roman"/>
          <w:sz w:val="24"/>
          <w:szCs w:val="24"/>
          <w:vertAlign w:val="superscript"/>
        </w:rPr>
        <w:t/>
      </w:r>
      <w:r>
        <w:rPr>
          <w:rFonts w:ascii="Times New Roman" w:eastAsia="Times New Roman" w:hAnsi="Times New Roman" w:cs="Times New Roman"/>
          <w:sz w:val="24"/>
          <w:szCs w:val="24"/>
        </w:rPr>
        <w:t xml:space="preserve"/>
      </w:r>
      <w:proofErr w:type="spellStart"/>
      <w:r>
        <w:rPr>
          <w:rFonts w:ascii="Times New Roman" w:eastAsia="Times New Roman" w:hAnsi="Times New Roman" w:cs="Times New Roman"/>
          <w:sz w:val="24"/>
          <w:szCs w:val="24"/>
        </w:rPr>
        <w:t/>
      </w:r>
      <w:proofErr w:type="spellEnd"/>
      <w:r>
        <w:rPr>
          <w:rFonts w:ascii="Times New Roman" w:eastAsia="Times New Roman" w:hAnsi="Times New Roman" w:cs="Times New Roman"/>
          <w:sz w:val="24"/>
          <w:szCs w:val="24"/>
        </w:rPr>
        <w:t xml:space="preserve"/>
      </w:r>
      <w:proofErr w:type="spellStart"/>
      <w:r>
        <w:rPr>
          <w:rFonts w:ascii="Times New Roman" w:eastAsia="Times New Roman" w:hAnsi="Times New Roman" w:cs="Times New Roman"/>
          <w:sz w:val="24"/>
          <w:szCs w:val="24"/>
        </w:rPr>
        <w:t/>
      </w:r>
      <w:proofErr w:type="spellEnd"/>
      <w:r>
        <w:rPr>
          <w:rFonts w:ascii="Times New Roman" w:eastAsia="Times New Roman" w:hAnsi="Times New Roman" w:cs="Times New Roman"/>
          <w:sz w:val="24"/>
          <w:szCs w:val="24"/>
        </w:rPr>
        <w:t xml:space="preserve"/>
      </w:r>
      <w:r>
        <w:rPr>
          <w:rFonts w:ascii="Times New Roman" w:eastAsia="Times New Roman" w:hAnsi="Times New Roman" w:cs="Times New Roman"/>
          <w:sz w:val="24"/>
          <w:szCs w:val="24"/>
          <w:vertAlign w:val="superscript"/>
        </w:rPr>
        <w:t/>
      </w:r>
      <w:r>
        <w:rPr>
          <w:rFonts w:ascii="Times New Roman" w:eastAsia="Times New Roman" w:hAnsi="Times New Roman" w:cs="Times New Roman"/>
          <w:sz w:val="24"/>
          <w:szCs w:val="24"/>
        </w:rPr>
        <w:t/>
      </w:r>
      <w:r>
        <w:rPr>
          <w:rFonts w:ascii="Times New Roman" w:eastAsia="Times New Roman" w:hAnsi="Times New Roman" w:cs="Times New Roman"/>
          <w:sz w:val="24"/>
          <w:szCs w:val="24"/>
          <w:vertAlign w:val="superscript"/>
        </w:rPr>
        <w:t/>
      </w:r>
      <w:r>
        <w:rPr>
          <w:rFonts w:ascii="Times New Roman" w:eastAsia="Times New Roman" w:hAnsi="Times New Roman" w:cs="Times New Roman"/>
          <w:sz w:val="24"/>
          <w:szCs w:val="24"/>
        </w:rPr>
        <w:t/>
      </w:r>
      <w:r>
        <w:rPr>
          <w:rFonts w:ascii="Times New Roman" w:eastAsia="Times New Roman" w:hAnsi="Times New Roman" w:cs="Times New Roman"/>
          <w:sz w:val="24"/>
          <w:szCs w:val="24"/>
          <w:vertAlign w:val="superscript"/>
        </w:rPr>
        <w:t xml:space="preserve"/>
      </w:r>
      <w:r>
        <w:rPr>
          <w:rFonts w:ascii="Times New Roman" w:eastAsia="Times New Roman" w:hAnsi="Times New Roman" w:cs="Times New Roman"/>
          <w:sz w:val="24"/>
          <w:szCs w:val="24"/>
        </w:rPr>
        <w:t xml:space="preserve"/>
      </w:r>
      <w:proofErr w:type="spellStart"/>
      <w:r>
        <w:rPr>
          <w:rFonts w:ascii="Times New Roman" w:eastAsia="Times New Roman" w:hAnsi="Times New Roman" w:cs="Times New Roman"/>
          <w:sz w:val="24"/>
          <w:szCs w:val="24"/>
        </w:rPr>
        <w:t/>
      </w:r>
      <w:proofErr w:type="spellEnd"/>
      <w:r>
        <w:rPr>
          <w:rFonts w:ascii="Times New Roman" w:eastAsia="Times New Roman" w:hAnsi="Times New Roman" w:cs="Times New Roman"/>
          <w:sz w:val="24"/>
          <w:szCs w:val="24"/>
        </w:rPr>
        <w:t xml:space="preserve"/>
      </w:r>
      <w:r>
        <w:rPr>
          <w:rFonts w:ascii="Times New Roman" w:eastAsia="Times New Roman" w:hAnsi="Times New Roman" w:cs="Times New Roman"/>
          <w:sz w:val="24"/>
          <w:szCs w:val="24"/>
          <w:vertAlign w:val="superscript"/>
        </w:rPr>
        <w:t/>
      </w:r>
    </w:p>
    <w:p w:rsidR="00864498" w:rsidRDefault="00CE6CD7">
      <w:pPr>
        <w:spacing w:before="240" w:after="0" w:line="240" w:lineRule="auto"/>
        <w:ind w:left="14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
      </w:r>
      <w:r>
        <w:rPr>
          <w:rFonts w:ascii="Times New Roman" w:eastAsia="Times New Roman" w:hAnsi="Times New Roman" w:cs="Times New Roman"/>
          <w:sz w:val="24"/>
          <w:szCs w:val="24"/>
        </w:rPr>
        <w:t xml:space="preserve"/>
      </w:r>
      <w:bookmarkStart w:id="0" w:name="_GoBack"/>
      <w:proofErr w:type="spellStart"/>
      <w:r>
        <w:rPr>
          <w:rFonts w:ascii="Times New Roman" w:eastAsia="Times New Roman" w:hAnsi="Times New Roman" w:cs="Times New Roman"/>
          <w:sz w:val="24"/>
          <w:szCs w:val="24"/>
        </w:rPr>
        <w:t/>
      </w:r>
      <w:proofErr w:type="spellEnd"/>
      <w:r>
        <w:rPr>
          <w:rFonts w:ascii="Times New Roman" w:eastAsia="Times New Roman" w:hAnsi="Times New Roman" w:cs="Times New Roman"/>
          <w:sz w:val="24"/>
          <w:szCs w:val="24"/>
        </w:rPr>
        <w:t xml:space="preserve"/>
      </w:r>
      <w:bookmarkEnd w:id="0"/>
    </w:p>
    <w:p w:rsidR="00864498" w:rsidRDefault="00CE6CD7">
      <w:pPr>
        <w:spacing w:before="240" w:after="0" w:line="240" w:lineRule="auto"/>
        <w:ind w:left="14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
      </w:r>
      <w:r>
        <w:rPr>
          <w:rFonts w:ascii="Times New Roman" w:eastAsia="Times New Roman" w:hAnsi="Times New Roman" w:cs="Times New Roman"/>
          <w:sz w:val="24"/>
          <w:szCs w:val="24"/>
        </w:rPr>
        <w:t xml:space="preserve"/>
      </w:r>
      <w:proofErr w:type="spellStart"/>
      <w:r>
        <w:rPr>
          <w:rFonts w:ascii="Times New Roman" w:eastAsia="Times New Roman" w:hAnsi="Times New Roman" w:cs="Times New Roman"/>
          <w:sz w:val="24"/>
          <w:szCs w:val="24"/>
        </w:rPr>
        <w:t/>
      </w:r>
      <w:proofErr w:type="spellEnd"/>
      <w:r>
        <w:rPr>
          <w:rFonts w:ascii="Times New Roman" w:eastAsia="Times New Roman" w:hAnsi="Times New Roman" w:cs="Times New Roman"/>
          <w:sz w:val="24"/>
          <w:szCs w:val="24"/>
        </w:rPr>
        <w:t xml:space="preserve"/>
      </w:r>
    </w:p>
    <w:p w:rsidR="00864498" w:rsidRDefault="00CE6CD7">
      <w:pPr>
        <w:spacing w:before="240" w:after="0" w:line="240" w:lineRule="auto"/>
        <w:ind w:left="14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
      </w:r>
      <w:r>
        <w:rPr>
          <w:rFonts w:ascii="Times New Roman" w:eastAsia="Times New Roman" w:hAnsi="Times New Roman" w:cs="Times New Roman"/>
          <w:sz w:val="24"/>
          <w:szCs w:val="24"/>
        </w:rPr>
        <w:t xml:space="preserve"/>
      </w:r>
      <w:proofErr w:type="spellStart"/>
      <w:r>
        <w:rPr>
          <w:rFonts w:ascii="Times New Roman" w:eastAsia="Times New Roman" w:hAnsi="Times New Roman" w:cs="Times New Roman"/>
          <w:sz w:val="24"/>
          <w:szCs w:val="24"/>
        </w:rPr>
        <w:t/>
      </w:r>
      <w:proofErr w:type="spellEnd"/>
      <w:r>
        <w:rPr>
          <w:rFonts w:ascii="Times New Roman" w:eastAsia="Times New Roman" w:hAnsi="Times New Roman" w:cs="Times New Roman"/>
          <w:sz w:val="24"/>
          <w:szCs w:val="24"/>
        </w:rPr>
        <w:t xml:space="preserve"/>
      </w:r>
      <w:proofErr w:type="spellStart"/>
      <w:r>
        <w:rPr>
          <w:rFonts w:ascii="Times New Roman" w:eastAsia="Times New Roman" w:hAnsi="Times New Roman" w:cs="Times New Roman"/>
          <w:sz w:val="24"/>
          <w:szCs w:val="24"/>
        </w:rPr>
        <w:t/>
      </w:r>
      <w:proofErr w:type="spellEnd"/>
      <w:r>
        <w:rPr>
          <w:rFonts w:ascii="Times New Roman" w:eastAsia="Times New Roman" w:hAnsi="Times New Roman" w:cs="Times New Roman"/>
          <w:sz w:val="24"/>
          <w:szCs w:val="24"/>
        </w:rPr>
        <w:t xml:space="preserve"/>
      </w:r>
      <w:proofErr w:type="spellStart"/>
      <w:r>
        <w:rPr>
          <w:rFonts w:ascii="Times New Roman" w:eastAsia="Times New Roman" w:hAnsi="Times New Roman" w:cs="Times New Roman"/>
          <w:sz w:val="24"/>
          <w:szCs w:val="24"/>
        </w:rPr>
        <w:t/>
      </w:r>
      <w:proofErr w:type="spellEnd"/>
      <w:r>
        <w:rPr>
          <w:rFonts w:ascii="Times New Roman" w:eastAsia="Times New Roman" w:hAnsi="Times New Roman" w:cs="Times New Roman"/>
          <w:sz w:val="24"/>
          <w:szCs w:val="24"/>
        </w:rPr>
        <w:t/>
      </w:r>
    </w:p>
    <w:p w:rsidR="00864498" w:rsidRDefault="00CE6CD7">
      <w:pPr>
        <w:spacing w:before="240" w:after="0" w:line="240" w:lineRule="auto"/>
        <w:ind w:left="142"/>
        <w:jc w:val="center"/>
        <w:rPr>
          <w:rFonts w:ascii="Times New Roman" w:eastAsia="Times New Roman" w:hAnsi="Times New Roman" w:cs="Times New Roman"/>
          <w:sz w:val="24"/>
          <w:szCs w:val="24"/>
        </w:rPr>
      </w:pPr>
      <w:bookmarkStart w:id="1" w:name="_heading=h.j92zm0var7di" w:colFirst="0" w:colLast="0"/>
      <w:bookmarkEnd w:id="1"/>
      <w:r>
        <w:rPr>
          <w:rFonts w:ascii="Times New Roman" w:eastAsia="Times New Roman" w:hAnsi="Times New Roman" w:cs="Times New Roman"/>
          <w:sz w:val="24"/>
          <w:szCs w:val="24"/>
        </w:rPr>
        <w:t/>
      </w:r>
      <w:r>
        <w:t xml:space="preserve"/>
      </w:r>
      <w:hyperlink r:id="rId6">
        <w:r>
          <w:rPr>
            <w:rFonts w:ascii="Times New Roman" w:eastAsia="Times New Roman" w:hAnsi="Times New Roman" w:cs="Times New Roman"/>
            <w:color w:val="0563C1"/>
            <w:sz w:val="24"/>
            <w:szCs w:val="24"/>
            <w:u w:val="single"/>
          </w:rPr>
          <w:t/>
        </w:r>
      </w:hyperlink>
      <w:r w:rsidRPr="00CE6CD7">
        <w:rPr>
          <w:rFonts w:ascii="Times New Roman" w:eastAsia="Times New Roman" w:hAnsi="Times New Roman" w:cs="Times New Roman"/>
          <w:color w:val="0563C1"/>
          <w:sz w:val="24"/>
          <w:szCs w:val="24"/>
          <w:u w:val="single"/>
          <w:vertAlign w:val="superscript"/>
        </w:rPr>
        <w:t/>
      </w:r>
      <w:r>
        <w:rPr>
          <w:rFonts w:ascii="Times New Roman" w:eastAsia="Times New Roman" w:hAnsi="Times New Roman" w:cs="Times New Roman"/>
          <w:sz w:val="24"/>
          <w:szCs w:val="24"/>
        </w:rPr>
        <w:t xml:space="preserve"/>
      </w:r>
      <w:hyperlink r:id="rId7" w:history="1">
        <w:r w:rsidR="005056C7" w:rsidRPr="00C625D3">
          <w:rPr>
            <w:rStyle w:val="Hyperlink"/>
            <w:rFonts w:ascii="Times New Roman" w:eastAsia="Times New Roman" w:hAnsi="Times New Roman" w:cs="Times New Roman"/>
            <w:sz w:val="24"/>
            <w:szCs w:val="24"/>
          </w:rPr>
          <w:t/>
        </w:r>
        <w:r w:rsidR="005056C7" w:rsidRPr="00C625D3">
          <w:rPr>
            <w:rStyle w:val="Hyperlink"/>
            <w:rFonts w:ascii="Times New Roman" w:eastAsia="Times New Roman" w:hAnsi="Times New Roman" w:cs="Times New Roman"/>
            <w:sz w:val="24"/>
            <w:szCs w:val="24"/>
            <w:vertAlign w:val="superscript"/>
          </w:rPr>
          <w:t/>
        </w:r>
        <w:r w:rsidR="005056C7" w:rsidRPr="00C625D3">
          <w:rPr>
            <w:rStyle w:val="Hyperlink"/>
            <w:rFonts w:ascii="Times New Roman" w:eastAsia="Times New Roman" w:hAnsi="Times New Roman" w:cs="Times New Roman"/>
            <w:sz w:val="24"/>
            <w:szCs w:val="24"/>
          </w:rPr>
          <w:t/>
        </w:r>
      </w:hyperlink>
      <w:r w:rsidRPr="00CE6CD7">
        <w:rPr>
          <w:rFonts w:ascii="Times New Roman" w:eastAsia="Times New Roman" w:hAnsi="Times New Roman" w:cs="Times New Roman"/>
          <w:color w:val="0000FF"/>
          <w:sz w:val="24"/>
          <w:szCs w:val="24"/>
          <w:u w:val="single"/>
          <w:vertAlign w:val="superscript"/>
        </w:rPr>
        <w:t/>
      </w:r>
      <w:r>
        <w:rPr>
          <w:rFonts w:ascii="Times New Roman" w:eastAsia="Times New Roman" w:hAnsi="Times New Roman" w:cs="Times New Roman"/>
          <w:sz w:val="24"/>
          <w:szCs w:val="24"/>
        </w:rPr>
        <w:t xml:space="preserve"/>
      </w:r>
      <w:hyperlink r:id="rId8">
        <w:r>
          <w:rPr>
            <w:rFonts w:ascii="Times New Roman" w:eastAsia="Times New Roman" w:hAnsi="Times New Roman" w:cs="Times New Roman"/>
            <w:color w:val="0563C1"/>
            <w:sz w:val="24"/>
            <w:szCs w:val="24"/>
            <w:u w:val="single"/>
          </w:rPr>
          <w:t/>
        </w:r>
      </w:hyperlink>
      <w:r w:rsidRPr="00CE6CD7">
        <w:rPr>
          <w:rFonts w:ascii="Times New Roman" w:eastAsia="Times New Roman" w:hAnsi="Times New Roman" w:cs="Times New Roman"/>
          <w:color w:val="0563C1"/>
          <w:sz w:val="24"/>
          <w:szCs w:val="24"/>
          <w:u w:val="single"/>
          <w:vertAlign w:val="superscript"/>
        </w:rPr>
        <w:t/>
      </w:r>
      <w:r>
        <w:rPr>
          <w:rFonts w:ascii="Times New Roman" w:eastAsia="Times New Roman" w:hAnsi="Times New Roman" w:cs="Times New Roman"/>
          <w:sz w:val="24"/>
          <w:szCs w:val="24"/>
        </w:rPr>
        <w:t xml:space="preserve"/>
      </w:r>
      <w:hyperlink r:id="rId9">
        <w:r>
          <w:rPr>
            <w:rFonts w:ascii="Times New Roman" w:eastAsia="Times New Roman" w:hAnsi="Times New Roman" w:cs="Times New Roman"/>
            <w:color w:val="0563C1"/>
            <w:sz w:val="24"/>
            <w:szCs w:val="24"/>
            <w:u w:val="single"/>
          </w:rPr>
          <w:t/>
        </w:r>
      </w:hyperlink>
      <w:r w:rsidRPr="00CE6CD7">
        <w:rPr>
          <w:rFonts w:ascii="Times New Roman" w:eastAsia="Times New Roman" w:hAnsi="Times New Roman" w:cs="Times New Roman"/>
          <w:color w:val="0563C1"/>
          <w:sz w:val="24"/>
          <w:szCs w:val="24"/>
          <w:u w:val="single"/>
          <w:vertAlign w:val="superscript"/>
        </w:rPr>
        <w:t/>
      </w:r>
      <w:r>
        <w:rPr>
          <w:rFonts w:ascii="Times New Roman" w:eastAsia="Times New Roman" w:hAnsi="Times New Roman" w:cs="Times New Roman"/>
          <w:sz w:val="24"/>
          <w:szCs w:val="24"/>
        </w:rPr>
        <w:t xml:space="preserve"/>
      </w:r>
      <w:hyperlink r:id="rId10">
        <w:r>
          <w:rPr>
            <w:rFonts w:ascii="Times New Roman" w:eastAsia="Times New Roman" w:hAnsi="Times New Roman" w:cs="Times New Roman"/>
            <w:color w:val="0563C1"/>
            <w:sz w:val="24"/>
            <w:szCs w:val="24"/>
            <w:u w:val="single"/>
          </w:rPr>
          <w:t/>
        </w:r>
      </w:hyperlink>
      <w:r w:rsidRPr="00CE6CD7">
        <w:rPr>
          <w:rFonts w:ascii="Times New Roman" w:eastAsia="Times New Roman" w:hAnsi="Times New Roman" w:cs="Times New Roman"/>
          <w:color w:val="0563C1"/>
          <w:sz w:val="24"/>
          <w:szCs w:val="24"/>
          <w:u w:val="single"/>
          <w:vertAlign w:val="superscript"/>
        </w:rPr>
        <w:t/>
      </w:r>
      <w:r>
        <w:rPr>
          <w:rFonts w:ascii="Times New Roman" w:eastAsia="Times New Roman" w:hAnsi="Times New Roman" w:cs="Times New Roman"/>
          <w:sz w:val="24"/>
          <w:szCs w:val="24"/>
        </w:rPr>
        <w:t xml:space="preserve"/>
      </w:r>
      <w:hyperlink r:id="rId11">
        <w:r>
          <w:rPr>
            <w:rFonts w:ascii="Times New Roman" w:eastAsia="Times New Roman" w:hAnsi="Times New Roman" w:cs="Times New Roman"/>
            <w:color w:val="0563C1"/>
            <w:sz w:val="24"/>
            <w:szCs w:val="24"/>
            <w:u w:val="single"/>
          </w:rPr>
          <w:t/>
        </w:r>
      </w:hyperlink>
      <w:r w:rsidRPr="00CE6CD7">
        <w:rPr>
          <w:rFonts w:ascii="Times New Roman" w:eastAsia="Times New Roman" w:hAnsi="Times New Roman" w:cs="Times New Roman"/>
          <w:color w:val="0563C1"/>
          <w:sz w:val="24"/>
          <w:szCs w:val="24"/>
          <w:u w:val="single"/>
          <w:vertAlign w:val="superscript"/>
        </w:rPr>
        <w:t/>
      </w:r>
      <w:r>
        <w:rPr>
          <w:rFonts w:ascii="Times New Roman" w:eastAsia="Times New Roman" w:hAnsi="Times New Roman" w:cs="Times New Roman"/>
          <w:sz w:val="24"/>
          <w:szCs w:val="24"/>
        </w:rPr>
        <w:t/>
      </w:r>
      <w:r w:rsidRPr="00CE6CD7">
        <w:rPr>
          <w:rFonts w:ascii="Times New Roman" w:eastAsia="Times New Roman" w:hAnsi="Times New Roman" w:cs="Times New Roman"/>
          <w:sz w:val="24"/>
          <w:szCs w:val="24"/>
          <w:vertAlign w:val="superscript"/>
        </w:rPr>
        <w:t/>
      </w:r>
    </w:p>
    <w:p w:rsidR="00864498" w:rsidRDefault="00CE6CD7">
      <w:pPr>
        <w:spacing w:before="240" w:after="0" w:line="240" w:lineRule="auto"/>
        <w:ind w:left="14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w:r>
    </w:p>
    <w:p w:rsidR="00864498" w:rsidRDefault="00CE6CD7">
      <w:pPr>
        <w:spacing w:before="240" w:after="200" w:line="240" w:lineRule="auto"/>
        <w:ind w:left="14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rsidR="00864498" w:rsidRPr="009B028E" w:rsidRDefault="00CE6CD7">
      <w:pPr>
        <w:spacing w:after="200" w:line="240" w:lineRule="auto"/>
        <w:jc w:val="both"/>
        <w:rPr>
          <w:rFonts w:ascii="Times New Roman" w:eastAsia="Times New Roman" w:hAnsi="Times New Roman" w:cs="Times New Roman"/>
          <w:i/>
          <w:iCs/>
          <w:sz w:val="24"/>
          <w:szCs w:val="24"/>
        </w:rPr>
      </w:pPr>
      <w:r w:rsidRPr="009B028E">
        <w:rPr>
          <w:rFonts w:ascii="Times New Roman" w:eastAsia="Times New Roman" w:hAnsi="Times New Roman" w:cs="Times New Roman"/>
          <w:i/>
          <w:iCs/>
          <w:sz w:val="24"/>
          <w:szCs w:val="24"/>
        </w:rPr>
        <w:t xml:space="preserve">The rise of digital fraud, particularly QRIS Swap Fraud, poses significant challenges to the adoption of non-cash payment systems among MSMEs in </w:t>
      </w:r>
      <w:proofErr w:type="spellStart"/>
      <w:r w:rsidRPr="009B028E">
        <w:rPr>
          <w:rFonts w:ascii="Times New Roman" w:eastAsia="Times New Roman" w:hAnsi="Times New Roman" w:cs="Times New Roman"/>
          <w:i/>
          <w:iCs/>
          <w:sz w:val="24"/>
          <w:szCs w:val="24"/>
        </w:rPr>
        <w:t>Pandeglang</w:t>
      </w:r>
      <w:proofErr w:type="spellEnd"/>
      <w:r w:rsidRPr="009B028E">
        <w:rPr>
          <w:rFonts w:ascii="Times New Roman" w:eastAsia="Times New Roman" w:hAnsi="Times New Roman" w:cs="Times New Roman"/>
          <w:i/>
          <w:iCs/>
          <w:sz w:val="24"/>
          <w:szCs w:val="24"/>
        </w:rPr>
        <w:t xml:space="preserve"> Regency. This vulnerability threatens to disrupt digital transformation and jeopardize business continuity as consumer preferences continue shifting toward cashless transactions. Accordingly, this study examines how financial literacy and lifestyle affect MSME business sustainability in </w:t>
      </w:r>
      <w:proofErr w:type="spellStart"/>
      <w:r w:rsidRPr="009B028E">
        <w:rPr>
          <w:rFonts w:ascii="Times New Roman" w:eastAsia="Times New Roman" w:hAnsi="Times New Roman" w:cs="Times New Roman"/>
          <w:i/>
          <w:iCs/>
          <w:sz w:val="24"/>
          <w:szCs w:val="24"/>
        </w:rPr>
        <w:t>Pandeglang</w:t>
      </w:r>
      <w:proofErr w:type="spellEnd"/>
      <w:r w:rsidRPr="009B028E">
        <w:rPr>
          <w:rFonts w:ascii="Times New Roman" w:eastAsia="Times New Roman" w:hAnsi="Times New Roman" w:cs="Times New Roman"/>
          <w:i/>
          <w:iCs/>
          <w:sz w:val="24"/>
          <w:szCs w:val="24"/>
        </w:rPr>
        <w:t xml:space="preserve"> Regency, with QRIS usage effectiveness positioned as a mediating factor. A quantitative approach was adopted, utilizing </w:t>
      </w:r>
      <w:proofErr w:type="spellStart"/>
      <w:r w:rsidRPr="009B028E">
        <w:rPr>
          <w:rFonts w:ascii="Times New Roman" w:eastAsia="Times New Roman" w:hAnsi="Times New Roman" w:cs="Times New Roman"/>
          <w:i/>
          <w:iCs/>
          <w:sz w:val="24"/>
          <w:szCs w:val="24"/>
        </w:rPr>
        <w:t>SmartPLS</w:t>
      </w:r>
      <w:proofErr w:type="spellEnd"/>
      <w:r w:rsidRPr="009B028E">
        <w:rPr>
          <w:rFonts w:ascii="Times New Roman" w:eastAsia="Times New Roman" w:hAnsi="Times New Roman" w:cs="Times New Roman"/>
          <w:i/>
          <w:iCs/>
          <w:sz w:val="24"/>
          <w:szCs w:val="24"/>
        </w:rPr>
        <w:t xml:space="preserve"> for data analysis. The research involved 400 MSMEs in </w:t>
      </w:r>
      <w:proofErr w:type="spellStart"/>
      <w:r w:rsidRPr="009B028E">
        <w:rPr>
          <w:rFonts w:ascii="Times New Roman" w:eastAsia="Times New Roman" w:hAnsi="Times New Roman" w:cs="Times New Roman"/>
          <w:i/>
          <w:iCs/>
          <w:sz w:val="24"/>
          <w:szCs w:val="24"/>
        </w:rPr>
        <w:t>Pandeglang</w:t>
      </w:r>
      <w:proofErr w:type="spellEnd"/>
      <w:r w:rsidRPr="009B028E">
        <w:rPr>
          <w:rFonts w:ascii="Times New Roman" w:eastAsia="Times New Roman" w:hAnsi="Times New Roman" w:cs="Times New Roman"/>
          <w:i/>
          <w:iCs/>
          <w:sz w:val="24"/>
          <w:szCs w:val="24"/>
        </w:rPr>
        <w:t xml:space="preserve"> Regency as respondents, all of whom are QRIS users. Validity tests, reliability tests, and hypothesis testing via inner model assessment were conducted to determine relationships between variables. This study introduces a new instrument for assessing the QRIS usage effectiveness. Results demonstrate a significant positive association between financial literacy, lifestyle, business sustainability, and QRIS usage effectiveness. Nevertheless, QRIS usage effectiveness did not exhibit a statistically significant relationship with MSME business sustainability. Similarly, no evidence was found to confirm that QRIS usage effectiveness mediates the effects of financial literacy and lifestyle on business sustainability.</w:t>
      </w:r>
    </w:p>
    <w:p w:rsidR="00864498" w:rsidRDefault="00CE6CD7">
      <w:pPr>
        <w:spacing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Keywords: QRIS Effectiveness, MSMEs Sustainability, Lifestyle, Financial Literacy</w:t>
      </w:r>
    </w:p>
    <w:p w:rsidR="00864498" w:rsidRDefault="00CE6CD7" w:rsidP="009B028E">
      <w:pPr>
        <w:numPr>
          <w:ilvl w:val="0"/>
          <w:numId w:val="1"/>
        </w:numPr>
        <w:pBdr>
          <w:top w:val="nil"/>
          <w:left w:val="nil"/>
          <w:bottom w:val="nil"/>
          <w:right w:val="nil"/>
          <w:between w:val="nil"/>
        </w:pBdr>
        <w:ind w:left="180" w:hanging="180"/>
        <w:rPr>
          <w:b/>
          <w:bCs/>
          <w:color w:val="000000"/>
          <w:sz w:val="24"/>
          <w:szCs w:val="24"/>
        </w:rPr>
      </w:pPr>
      <w:r>
        <w:rPr>
          <w:rFonts w:ascii="Times New Roman" w:eastAsia="Times New Roman" w:hAnsi="Times New Roman" w:cs="Times New Roman"/>
          <w:b/>
          <w:bCs/>
          <w:color w:val="000000"/>
          <w:sz w:val="24"/>
          <w:szCs w:val="24"/>
        </w:rPr>
        <w:t>Introduction</w:t>
      </w:r>
    </w:p>
    <w:p w:rsidR="00864498" w:rsidRDefault="00CE6CD7" w:rsidP="009B028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QRIS adoption faces significant setbacks due to escalating fraud, notably QRIS Swap Fraud using fake payment receipts. Over the last two years, financial losses linked to QRIS have jumped by more than 160%, potentially amounting to IDR 2.5 trillion from </w:t>
      </w:r>
      <w:r w:rsidRPr="00CE6CD7">
        <w:rPr>
          <w:rFonts w:ascii="Times New Roman" w:eastAsia="Times New Roman" w:hAnsi="Times New Roman" w:cs="Times New Roman"/>
          <w:sz w:val="24"/>
          <w:szCs w:val="24"/>
        </w:rPr>
        <w:t>2024 to 2026</w:t>
      </w:r>
      <w:r>
        <w:rPr>
          <w:rFonts w:ascii="Times New Roman" w:eastAsia="Times New Roman" w:hAnsi="Times New Roman" w:cs="Times New Roman"/>
          <w:sz w:val="24"/>
          <w:szCs w:val="24"/>
        </w:rPr>
        <w:t xml:space="preserve">. As a result, the system has not delivered optimal effectiveness. Limited financial literacy and uneven digital </w:t>
      </w:r>
      <w:r>
        <w:rPr>
          <w:rFonts w:ascii="Times New Roman" w:eastAsia="Times New Roman" w:hAnsi="Times New Roman" w:cs="Times New Roman"/>
          <w:sz w:val="24"/>
          <w:szCs w:val="24"/>
        </w:rPr>
        <w:lastRenderedPageBreak/>
        <w:t>competence are key contributing factors, suggesting a need for further MSME training on digital transaction security and benefits. At the same time, changing consumer lifestyles are accelerating the demand for cashless payments. However, this digital shift is hindered by disparities in internet access and MDR transaction fees (Interactive.co.id, 2025). Delays in fund settlement present another barrier, with just 55% of PJPs capable of same-day QRIS disbursement, creating variability in when MSMEs receive payments. These combined challenges ultimately undermine both the operational efficiency and MSME business sustainability (Kompas.com, 2024).</w:t>
      </w:r>
    </w:p>
    <w:p w:rsidR="00864498" w:rsidRDefault="00864498" w:rsidP="009B028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864498" w:rsidRDefault="00CE6CD7" w:rsidP="005056C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adoption of QRIS is accelerating; however, a significant gap remains in public knowledge regarding its usage. Technological advancements have simplified numerous processes, with financial transactions being a prime example. In Indonesia, digital payment methods have become an integral part of this technological shift. QRIS (Quick Response Code Indonesia Standard) stands out as a widely implemented non-cash payment instrument, functioning through QR code technology embedded in digital payment platforms</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Almunawar</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2026:Andika</w:t>
      </w:r>
      <w:proofErr w:type="gramEnd"/>
      <w:r>
        <w:rPr>
          <w:rFonts w:ascii="Times New Roman" w:eastAsia="Times New Roman" w:hAnsi="Times New Roman" w:cs="Times New Roman"/>
          <w:color w:val="000000"/>
          <w:sz w:val="24"/>
          <w:szCs w:val="24"/>
        </w:rPr>
        <w:t xml:space="preserve">, 2022). </w:t>
      </w:r>
      <w:r>
        <w:rPr>
          <w:rFonts w:ascii="Times New Roman" w:eastAsia="Times New Roman" w:hAnsi="Times New Roman" w:cs="Times New Roman"/>
          <w:sz w:val="24"/>
          <w:szCs w:val="24"/>
        </w:rPr>
        <w:t xml:space="preserve">Several studies have confirmed a positive relationship between financial literacy and QRIS adoption. </w:t>
      </w:r>
      <w:r>
        <w:rPr>
          <w:rFonts w:ascii="Times New Roman" w:eastAsia="Times New Roman" w:hAnsi="Times New Roman" w:cs="Times New Roman"/>
          <w:color w:val="000000"/>
          <w:sz w:val="24"/>
          <w:szCs w:val="24"/>
        </w:rPr>
        <w:t xml:space="preserve"> (Sharman et al., 2024; </w:t>
      </w:r>
      <w:proofErr w:type="spellStart"/>
      <w:r>
        <w:rPr>
          <w:rFonts w:ascii="Times New Roman" w:eastAsia="Times New Roman" w:hAnsi="Times New Roman" w:cs="Times New Roman"/>
          <w:color w:val="000000"/>
          <w:sz w:val="24"/>
          <w:szCs w:val="24"/>
        </w:rPr>
        <w:t>Yanto</w:t>
      </w:r>
      <w:proofErr w:type="spellEnd"/>
      <w:r>
        <w:rPr>
          <w:rFonts w:ascii="Times New Roman" w:eastAsia="Times New Roman" w:hAnsi="Times New Roman" w:cs="Times New Roman"/>
          <w:color w:val="000000"/>
          <w:sz w:val="24"/>
          <w:szCs w:val="24"/>
        </w:rPr>
        <w:t xml:space="preserve"> et al., 2024) </w:t>
      </w:r>
      <w:r>
        <w:rPr>
          <w:rFonts w:ascii="Times New Roman" w:eastAsia="Times New Roman" w:hAnsi="Times New Roman" w:cs="Times New Roman"/>
          <w:sz w:val="24"/>
          <w:szCs w:val="24"/>
        </w:rPr>
        <w:t xml:space="preserve">reported that financial literacy positively influences QRIS usage. Similarly, lifestyle has been found to positively affect QRIS </w:t>
      </w:r>
      <w:proofErr w:type="gramStart"/>
      <w:r>
        <w:rPr>
          <w:rFonts w:ascii="Times New Roman" w:eastAsia="Times New Roman" w:hAnsi="Times New Roman" w:cs="Times New Roman"/>
          <w:sz w:val="24"/>
          <w:szCs w:val="24"/>
        </w:rPr>
        <w:t>usage</w:t>
      </w:r>
      <w:r>
        <w:rPr>
          <w:rFonts w:ascii="Times New Roman" w:eastAsia="Times New Roman" w:hAnsi="Times New Roman" w:cs="Times New Roman"/>
          <w:color w:val="000000"/>
          <w:sz w:val="24"/>
          <w:szCs w:val="24"/>
        </w:rPr>
        <w:t xml:space="preserve"> .Cam</w:t>
      </w:r>
      <w:proofErr w:type="gram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Bala</w:t>
      </w:r>
      <w:proofErr w:type="spellEnd"/>
      <w:r>
        <w:rPr>
          <w:rFonts w:ascii="Times New Roman" w:eastAsia="Times New Roman" w:hAnsi="Times New Roman" w:cs="Times New Roman"/>
          <w:color w:val="000000"/>
          <w:sz w:val="24"/>
          <w:szCs w:val="24"/>
        </w:rPr>
        <w:t>, (2026);</w:t>
      </w:r>
      <w:proofErr w:type="spellStart"/>
      <w:r>
        <w:rPr>
          <w:rFonts w:ascii="Times New Roman" w:eastAsia="Times New Roman" w:hAnsi="Times New Roman" w:cs="Times New Roman"/>
          <w:color w:val="000000"/>
          <w:sz w:val="24"/>
          <w:szCs w:val="24"/>
        </w:rPr>
        <w:t>Rusanti</w:t>
      </w:r>
      <w:proofErr w:type="spellEnd"/>
      <w:r>
        <w:rPr>
          <w:rFonts w:ascii="Times New Roman" w:eastAsia="Times New Roman" w:hAnsi="Times New Roman" w:cs="Times New Roman"/>
          <w:color w:val="000000"/>
          <w:sz w:val="24"/>
          <w:szCs w:val="24"/>
        </w:rPr>
        <w:t xml:space="preserve">, (2025); </w:t>
      </w:r>
      <w:proofErr w:type="spellStart"/>
      <w:r>
        <w:rPr>
          <w:rFonts w:ascii="Times New Roman" w:eastAsia="Times New Roman" w:hAnsi="Times New Roman" w:cs="Times New Roman"/>
          <w:color w:val="000000"/>
          <w:sz w:val="24"/>
          <w:szCs w:val="24"/>
        </w:rPr>
        <w:t>Nuh</w:t>
      </w:r>
      <w:proofErr w:type="spellEnd"/>
      <w:r>
        <w:rPr>
          <w:rFonts w:ascii="Times New Roman" w:eastAsia="Times New Roman" w:hAnsi="Times New Roman" w:cs="Times New Roman"/>
          <w:color w:val="000000"/>
          <w:sz w:val="24"/>
          <w:szCs w:val="24"/>
        </w:rPr>
        <w:t xml:space="preserve"> et al., 2026</w:t>
      </w:r>
      <w:r>
        <w:rPr>
          <w:rFonts w:ascii="Times New Roman" w:eastAsia="Times New Roman" w:hAnsi="Times New Roman" w:cs="Times New Roman"/>
          <w:sz w:val="24"/>
          <w:szCs w:val="24"/>
        </w:rPr>
        <w:t xml:space="preserve"> In contrast</w:t>
      </w:r>
      <w:r>
        <w:rPr>
          <w:rFonts w:ascii="Times New Roman" w:eastAsia="Times New Roman" w:hAnsi="Times New Roman" w:cs="Times New Roman"/>
          <w:color w:val="000000"/>
          <w:sz w:val="24"/>
          <w:szCs w:val="24"/>
        </w:rPr>
        <w:t xml:space="preserve">  (Singh et al., 2019) </w:t>
      </w:r>
      <w:r>
        <w:rPr>
          <w:rFonts w:ascii="Times New Roman" w:eastAsia="Times New Roman" w:hAnsi="Times New Roman" w:cs="Times New Roman"/>
          <w:sz w:val="24"/>
          <w:szCs w:val="24"/>
        </w:rPr>
        <w:t>concluded that financial literacy does not significantly impact QRIS usage. Despite these findings, a research gap remains regarding the integration of lifestyle as a variable within models linking QRIS usage effectiveness to MSME business sustainability. Unlike prior studies that primarily emphasized technology adaptation, this research introduces a novel instrument connecting QRIS implementation to MSME sustainability. Therefore, this study develops a comprehensive conceptual framework to examine how financial literacy and lifestyle influence QRIS usage effectiveness and its subsequent role in MSME business sustainability.</w:t>
      </w:r>
    </w:p>
    <w:p w:rsidR="00864498" w:rsidRDefault="00CE6CD7" w:rsidP="009B028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This study presents a new perspective on QRIS implementation among MSMEs by incorporating financial literacy and digital lifestyle factors and examining their connection to business sustainability. Using an empirical method, the research measures how QRIS adoption affects business performance indicators such as revenue growth, transactional efficiency, and simplified financial record-keeping. Additionally, a more robust instrument is developed to evaluate the </w:t>
      </w:r>
      <w:r>
        <w:rPr>
          <w:rFonts w:ascii="Times New Roman" w:eastAsia="Times New Roman" w:hAnsi="Times New Roman" w:cs="Times New Roman"/>
          <w:sz w:val="24"/>
          <w:szCs w:val="24"/>
        </w:rPr>
        <w:lastRenderedPageBreak/>
        <w:t>intensity of QRIS usage within MSMEs. These contributions are intended to advance digital finance scholarship and support MSME empowerment initiatives</w:t>
      </w:r>
      <w:r>
        <w:rPr>
          <w:rFonts w:ascii="Times New Roman" w:eastAsia="Times New Roman" w:hAnsi="Times New Roman" w:cs="Times New Roman"/>
          <w:color w:val="000000"/>
          <w:sz w:val="24"/>
          <w:szCs w:val="24"/>
        </w:rPr>
        <w:t>.</w:t>
      </w:r>
    </w:p>
    <w:p w:rsidR="00864498" w:rsidRDefault="00864498">
      <w:pPr>
        <w:pBdr>
          <w:top w:val="nil"/>
          <w:left w:val="nil"/>
          <w:bottom w:val="nil"/>
          <w:right w:val="nil"/>
          <w:between w:val="nil"/>
        </w:pBdr>
        <w:spacing w:after="0"/>
        <w:jc w:val="both"/>
        <w:rPr>
          <w:rFonts w:ascii="Times New Roman" w:eastAsia="Times New Roman" w:hAnsi="Times New Roman" w:cs="Times New Roman"/>
          <w:sz w:val="24"/>
          <w:szCs w:val="24"/>
        </w:rPr>
      </w:pPr>
    </w:p>
    <w:p w:rsidR="00864498" w:rsidRDefault="00CE6CD7" w:rsidP="009B028E">
      <w:pPr>
        <w:numPr>
          <w:ilvl w:val="0"/>
          <w:numId w:val="1"/>
        </w:numPr>
        <w:pBdr>
          <w:top w:val="nil"/>
          <w:left w:val="nil"/>
          <w:bottom w:val="nil"/>
          <w:right w:val="nil"/>
          <w:between w:val="nil"/>
        </w:pBdr>
        <w:ind w:left="360" w:hanging="27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Literature Review and Hypothesis Development</w:t>
      </w:r>
    </w:p>
    <w:p w:rsidR="00864498" w:rsidRDefault="00CE6CD7" w:rsidP="009B028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Developed by Bank Indonesia, QRIS is a standardized QR code payment system designed to consolidate Indonesia’s diverse digital payment platforms. For MSMEs, QRIS adoption simplifies transactions, accelerates payment cycles, strengthens security, and increases market accessibility. To explain technology adoption, </w:t>
      </w:r>
      <w:r>
        <w:rPr>
          <w:rFonts w:ascii="Times New Roman" w:eastAsia="Times New Roman" w:hAnsi="Times New Roman" w:cs="Times New Roman"/>
          <w:color w:val="000000"/>
          <w:sz w:val="24"/>
          <w:szCs w:val="24"/>
        </w:rPr>
        <w:t xml:space="preserve">Davis, (1989) </w:t>
      </w:r>
      <w:r>
        <w:rPr>
          <w:rFonts w:ascii="Times New Roman" w:eastAsia="Times New Roman" w:hAnsi="Times New Roman" w:cs="Times New Roman"/>
          <w:sz w:val="24"/>
          <w:szCs w:val="24"/>
        </w:rPr>
        <w:t xml:space="preserve">introduced the Technology Acceptance Model (TAM), which </w:t>
      </w:r>
      <w:proofErr w:type="spellStart"/>
      <w:r>
        <w:rPr>
          <w:rFonts w:ascii="Times New Roman" w:eastAsia="Times New Roman" w:hAnsi="Times New Roman" w:cs="Times New Roman"/>
          <w:sz w:val="24"/>
          <w:szCs w:val="24"/>
        </w:rPr>
        <w:t>centers</w:t>
      </w:r>
      <w:proofErr w:type="spellEnd"/>
      <w:r>
        <w:rPr>
          <w:rFonts w:ascii="Times New Roman" w:eastAsia="Times New Roman" w:hAnsi="Times New Roman" w:cs="Times New Roman"/>
          <w:sz w:val="24"/>
          <w:szCs w:val="24"/>
        </w:rPr>
        <w:t xml:space="preserve"> on Perceived Usefulness (PU) and Perceived Ease of Use (PEOU). PU is defined as the degree to which a person believes that using a system will improve performance, while PEOU refers to the extent to which a person believes that using the system will be free of effort </w:t>
      </w:r>
      <w:r>
        <w:rPr>
          <w:rFonts w:ascii="Times New Roman" w:eastAsia="Times New Roman" w:hAnsi="Times New Roman" w:cs="Times New Roman"/>
          <w:color w:val="000000"/>
          <w:sz w:val="24"/>
          <w:szCs w:val="24"/>
        </w:rPr>
        <w:t xml:space="preserve">(Donaldson &amp; Davis, 1991) </w:t>
      </w:r>
      <w:r>
        <w:rPr>
          <w:rFonts w:ascii="Times New Roman" w:eastAsia="Times New Roman" w:hAnsi="Times New Roman" w:cs="Times New Roman"/>
          <w:sz w:val="24"/>
          <w:szCs w:val="24"/>
        </w:rPr>
        <w:t xml:space="preserve">Together, these perceptions determine users’ attitudes, intentions, and actual usage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w:t>
      </w:r>
    </w:p>
    <w:p w:rsidR="00864498" w:rsidRDefault="00CE6CD7" w:rsidP="009B028E">
      <w:pPr>
        <w:pBdr>
          <w:top w:val="nil"/>
          <w:left w:val="nil"/>
          <w:bottom w:val="nil"/>
          <w:right w:val="nil"/>
          <w:between w:val="nil"/>
        </w:pBd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sz w:val="24"/>
          <w:szCs w:val="24"/>
        </w:rPr>
        <w:t xml:space="preserve">Within the scope of MSME digital transformation, the Technology Acceptance Model (TAM) provides a pertinent theoretical framework for </w:t>
      </w:r>
      <w:proofErr w:type="spellStart"/>
      <w:r>
        <w:rPr>
          <w:rFonts w:ascii="Times New Roman" w:eastAsia="Times New Roman" w:hAnsi="Times New Roman" w:cs="Times New Roman"/>
          <w:sz w:val="24"/>
          <w:szCs w:val="24"/>
        </w:rPr>
        <w:t>analyzing</w:t>
      </w:r>
      <w:proofErr w:type="spellEnd"/>
      <w:r>
        <w:rPr>
          <w:rFonts w:ascii="Times New Roman" w:eastAsia="Times New Roman" w:hAnsi="Times New Roman" w:cs="Times New Roman"/>
          <w:sz w:val="24"/>
          <w:szCs w:val="24"/>
        </w:rPr>
        <w:t xml:space="preserve"> the adoption of digital payment systems, including the Quick Response Code Indonesian Standard (QRIS). QRIS implementation represents a form of financial technology integration that supports rapid, secure, and streamlined transactional processes</w:t>
      </w:r>
      <w:r>
        <w:rPr>
          <w:rFonts w:ascii="Times New Roman" w:eastAsia="Times New Roman" w:hAnsi="Times New Roman" w:cs="Times New Roman"/>
          <w:b/>
          <w:bCs/>
          <w:color w:val="000000"/>
          <w:sz w:val="24"/>
          <w:szCs w:val="24"/>
        </w:rPr>
        <w:t>.</w:t>
      </w:r>
    </w:p>
    <w:p w:rsidR="00864498" w:rsidRDefault="00CE6CD7" w:rsidP="009B028E">
      <w:pPr>
        <w:pBdr>
          <w:top w:val="nil"/>
          <w:left w:val="nil"/>
          <w:bottom w:val="nil"/>
          <w:right w:val="nil"/>
          <w:between w:val="nil"/>
        </w:pBdr>
        <w:ind w:left="720" w:hanging="7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 The Influence of Financial Literacy on MSMEs Sustainability</w:t>
      </w:r>
    </w:p>
    <w:p w:rsidR="00864498" w:rsidRDefault="00CE6CD7" w:rsidP="005056C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Financial literacy plays a pivotal role in enhancing the long-term sustainability of MSMEs in Indonesia. While its effects may not be immediately apparent, strong financial knowledge fundamentally alters how MSMEs manage financial resources and adopt technology, thereby contributing to improved business sustainability. Consequently, collaboration in training programs with financial institutions is essential for fostering MSME growth and ensuring business continuity</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Chaidir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Yulianti</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Ruslaini</w:t>
      </w:r>
      <w:proofErr w:type="spellEnd"/>
      <w:r>
        <w:rPr>
          <w:rFonts w:ascii="Times New Roman" w:eastAsia="Times New Roman" w:hAnsi="Times New Roman" w:cs="Times New Roman"/>
          <w:color w:val="000000"/>
          <w:sz w:val="24"/>
          <w:szCs w:val="24"/>
        </w:rPr>
        <w:t>, 2022).</w:t>
      </w:r>
    </w:p>
    <w:p w:rsidR="00864498" w:rsidRDefault="00CE6CD7" w:rsidP="009B028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Tan </w:t>
      </w:r>
      <w:proofErr w:type="gramStart"/>
      <w:r>
        <w:rPr>
          <w:rFonts w:ascii="Times New Roman" w:eastAsia="Times New Roman" w:hAnsi="Times New Roman" w:cs="Times New Roman"/>
          <w:color w:val="000000"/>
          <w:sz w:val="24"/>
          <w:szCs w:val="24"/>
        </w:rPr>
        <w:t>et al.,(</w:t>
      </w:r>
      <w:proofErr w:type="gramEnd"/>
      <w:r>
        <w:rPr>
          <w:rFonts w:ascii="Times New Roman" w:eastAsia="Times New Roman" w:hAnsi="Times New Roman" w:cs="Times New Roman"/>
          <w:color w:val="000000"/>
          <w:sz w:val="24"/>
          <w:szCs w:val="24"/>
        </w:rPr>
        <w:t xml:space="preserve">2026); </w:t>
      </w:r>
      <w:proofErr w:type="spellStart"/>
      <w:r>
        <w:rPr>
          <w:rFonts w:ascii="Times New Roman" w:eastAsia="Times New Roman" w:hAnsi="Times New Roman" w:cs="Times New Roman"/>
          <w:color w:val="000000"/>
          <w:sz w:val="24"/>
          <w:szCs w:val="24"/>
        </w:rPr>
        <w:t>Dasmaran</w:t>
      </w:r>
      <w:proofErr w:type="spellEnd"/>
      <w:r>
        <w:rPr>
          <w:rFonts w:ascii="Times New Roman" w:eastAsia="Times New Roman" w:hAnsi="Times New Roman" w:cs="Times New Roman"/>
          <w:color w:val="000000"/>
          <w:sz w:val="24"/>
          <w:szCs w:val="24"/>
        </w:rPr>
        <w:t xml:space="preserve"> et al., (2021) </w:t>
      </w:r>
      <w:r>
        <w:rPr>
          <w:rFonts w:ascii="Times New Roman" w:eastAsia="Times New Roman" w:hAnsi="Times New Roman" w:cs="Times New Roman"/>
          <w:sz w:val="24"/>
          <w:szCs w:val="24"/>
        </w:rPr>
        <w:t>The effect of financial literacy on MSME business sustainability remains inconsistent in the literature. Empirical results from</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Kanth</w:t>
      </w:r>
      <w:proofErr w:type="spellEnd"/>
      <w:r>
        <w:rPr>
          <w:rFonts w:ascii="Times New Roman" w:eastAsia="Times New Roman" w:hAnsi="Times New Roman" w:cs="Times New Roman"/>
          <w:color w:val="000000"/>
          <w:sz w:val="24"/>
          <w:szCs w:val="24"/>
        </w:rPr>
        <w:t xml:space="preserve"> &amp; Sinha, 2026)) </w:t>
      </w:r>
      <w:r>
        <w:rPr>
          <w:rFonts w:ascii="Times New Roman" w:eastAsia="Times New Roman" w:hAnsi="Times New Roman" w:cs="Times New Roman"/>
          <w:sz w:val="24"/>
          <w:szCs w:val="24"/>
        </w:rPr>
        <w:t xml:space="preserve">reported no direct effect. From a Resource-Based View (RBV) perspective, financial literacy is considered a strategic internal capability that enables MSMEs to achieve sustained competitive advantage and business continuity </w:t>
      </w:r>
      <w:r>
        <w:rPr>
          <w:rFonts w:ascii="Times New Roman" w:eastAsia="Times New Roman" w:hAnsi="Times New Roman" w:cs="Times New Roman"/>
          <w:color w:val="000000"/>
          <w:sz w:val="24"/>
          <w:szCs w:val="24"/>
        </w:rPr>
        <w:t xml:space="preserve">(Kanungo, </w:t>
      </w:r>
      <w:proofErr w:type="gramStart"/>
      <w:r>
        <w:rPr>
          <w:rFonts w:ascii="Times New Roman" w:eastAsia="Times New Roman" w:hAnsi="Times New Roman" w:cs="Times New Roman"/>
          <w:color w:val="000000"/>
          <w:sz w:val="24"/>
          <w:szCs w:val="24"/>
        </w:rPr>
        <w:t>2026;IS</w:t>
      </w:r>
      <w:proofErr w:type="gramEnd"/>
      <w:r>
        <w:rPr>
          <w:rFonts w:ascii="Times New Roman" w:eastAsia="Times New Roman" w:hAnsi="Times New Roman" w:cs="Times New Roman"/>
          <w:color w:val="000000"/>
          <w:sz w:val="24"/>
          <w:szCs w:val="24"/>
        </w:rPr>
        <w:t xml:space="preserve"> et al., 2025;Muchlis, </w:t>
      </w:r>
      <w:proofErr w:type="spellStart"/>
      <w:r>
        <w:rPr>
          <w:rFonts w:ascii="Times New Roman" w:eastAsia="Times New Roman" w:hAnsi="Times New Roman" w:cs="Times New Roman"/>
          <w:color w:val="000000"/>
          <w:sz w:val="24"/>
          <w:szCs w:val="24"/>
        </w:rPr>
        <w:t>Agustia</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Narsa</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2021).</w:t>
      </w:r>
      <w:r>
        <w:t xml:space="preserve"> </w:t>
      </w:r>
      <w:r>
        <w:rPr>
          <w:rFonts w:ascii="Times New Roman" w:eastAsia="Times New Roman" w:hAnsi="Times New Roman" w:cs="Times New Roman"/>
          <w:sz w:val="24"/>
          <w:szCs w:val="24"/>
        </w:rPr>
        <w:t xml:space="preserve">Although TAM focuses on technology adoption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financial literacy can strengthen the perceived benefits of digital payment systems such as QRIS, which in turn may contribute to enhanced operational performance and sustainability. Accordingly, this research investigates the effect of financial literacy on MSME sustainability. It is proposed that greater financial literacy increases the likelihood of MSME survival, growth, and long-term sustainability. Thus, the first hypothesis is formulated as follows</w:t>
      </w:r>
      <w:r>
        <w:rPr>
          <w:rFonts w:ascii="Times New Roman" w:eastAsia="Times New Roman" w:hAnsi="Times New Roman" w:cs="Times New Roman"/>
          <w:color w:val="000000"/>
          <w:sz w:val="24"/>
          <w:szCs w:val="24"/>
        </w:rPr>
        <w:t xml:space="preserve">H1: Financial Literacy positively influence MSMEs </w:t>
      </w:r>
      <w:proofErr w:type="spellStart"/>
      <w:r>
        <w:rPr>
          <w:rFonts w:ascii="Times New Roman" w:eastAsia="Times New Roman" w:hAnsi="Times New Roman" w:cs="Times New Roman"/>
          <w:color w:val="000000"/>
          <w:sz w:val="24"/>
          <w:szCs w:val="24"/>
        </w:rPr>
        <w:t>Bussines</w:t>
      </w:r>
      <w:proofErr w:type="spellEnd"/>
      <w:r>
        <w:rPr>
          <w:rFonts w:ascii="Times New Roman" w:eastAsia="Times New Roman" w:hAnsi="Times New Roman" w:cs="Times New Roman"/>
          <w:color w:val="000000"/>
          <w:sz w:val="24"/>
          <w:szCs w:val="24"/>
        </w:rPr>
        <w:t xml:space="preserve"> Sustainability</w:t>
      </w:r>
      <w:r w:rsidR="009B028E">
        <w:rPr>
          <w:rFonts w:ascii="Times New Roman" w:eastAsia="Times New Roman" w:hAnsi="Times New Roman" w:cs="Times New Roman"/>
          <w:color w:val="000000"/>
          <w:sz w:val="24"/>
          <w:szCs w:val="24"/>
        </w:rPr>
        <w:t>.</w:t>
      </w:r>
    </w:p>
    <w:p w:rsidR="00864498" w:rsidRDefault="00CE6CD7">
      <w:pPr>
        <w:pBdr>
          <w:top w:val="nil"/>
          <w:left w:val="nil"/>
          <w:bottom w:val="nil"/>
          <w:right w:val="nil"/>
          <w:between w:val="nil"/>
        </w:pBdr>
        <w:tabs>
          <w:tab w:val="left" w:pos="2010"/>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rsidR="00864498" w:rsidRDefault="00CE6CD7" w:rsidP="009B028E">
      <w:pPr>
        <w:pBdr>
          <w:top w:val="nil"/>
          <w:left w:val="nil"/>
          <w:bottom w:val="nil"/>
          <w:right w:val="nil"/>
          <w:between w:val="nil"/>
        </w:pBd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 The Influence of Lifestyle on MSMEs Sustainability</w:t>
      </w:r>
    </w:p>
    <w:p w:rsidR="00864498" w:rsidRDefault="00CE6CD7" w:rsidP="009B028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Economic decisions and MSME sustainability are substantially influenced by lifestyle. MSMEs that adopt organized and planned lifestyle patterns tend to exhibit more effective financial and resource management, which contributes to enhanced business sustainability. Conversely, unproductive lifestyle </w:t>
      </w:r>
      <w:proofErr w:type="spellStart"/>
      <w:r>
        <w:rPr>
          <w:rFonts w:ascii="Times New Roman" w:eastAsia="Times New Roman" w:hAnsi="Times New Roman" w:cs="Times New Roman"/>
          <w:sz w:val="24"/>
          <w:szCs w:val="24"/>
        </w:rPr>
        <w:t>behaviors</w:t>
      </w:r>
      <w:proofErr w:type="spellEnd"/>
      <w:r>
        <w:rPr>
          <w:rFonts w:ascii="Times New Roman" w:eastAsia="Times New Roman" w:hAnsi="Times New Roman" w:cs="Times New Roman"/>
          <w:sz w:val="24"/>
          <w:szCs w:val="24"/>
        </w:rPr>
        <w:t xml:space="preserve"> can precipitate financial difficulties and inhibit business development </w:t>
      </w:r>
      <w:r>
        <w:rPr>
          <w:rFonts w:ascii="Times New Roman" w:eastAsia="Times New Roman" w:hAnsi="Times New Roman" w:cs="Times New Roman"/>
          <w:color w:val="000000"/>
          <w:sz w:val="24"/>
          <w:szCs w:val="24"/>
        </w:rPr>
        <w:t xml:space="preserve">(Akhtar, </w:t>
      </w:r>
      <w:proofErr w:type="gramStart"/>
      <w:r>
        <w:rPr>
          <w:rFonts w:ascii="Times New Roman" w:eastAsia="Times New Roman" w:hAnsi="Times New Roman" w:cs="Times New Roman"/>
          <w:color w:val="000000"/>
          <w:sz w:val="24"/>
          <w:szCs w:val="24"/>
        </w:rPr>
        <w:t>2023;Pratama</w:t>
      </w:r>
      <w:proofErr w:type="gramEnd"/>
      <w:r>
        <w:rPr>
          <w:rFonts w:ascii="Times New Roman" w:eastAsia="Times New Roman" w:hAnsi="Times New Roman" w:cs="Times New Roman"/>
          <w:color w:val="000000"/>
          <w:sz w:val="24"/>
          <w:szCs w:val="24"/>
        </w:rPr>
        <w:t xml:space="preserve"> et al., 2025)</w:t>
      </w:r>
      <w:r w:rsidR="009B028E">
        <w:rPr>
          <w:rFonts w:ascii="Times New Roman" w:eastAsia="Times New Roman" w:hAnsi="Times New Roman" w:cs="Times New Roman"/>
          <w:color w:val="000000"/>
          <w:sz w:val="24"/>
          <w:szCs w:val="24"/>
        </w:rPr>
        <w:t>.</w:t>
      </w:r>
    </w:p>
    <w:p w:rsidR="00864498" w:rsidRDefault="00CE6CD7" w:rsidP="009B028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Böhme</w:t>
      </w:r>
      <w:proofErr w:type="spellEnd"/>
      <w:r>
        <w:rPr>
          <w:rFonts w:ascii="Times New Roman" w:eastAsia="Times New Roman" w:hAnsi="Times New Roman" w:cs="Times New Roman"/>
          <w:color w:val="000000"/>
          <w:sz w:val="24"/>
          <w:szCs w:val="24"/>
        </w:rPr>
        <w:t xml:space="preserve"> et al., 2022 </w:t>
      </w:r>
      <w:r>
        <w:rPr>
          <w:rFonts w:ascii="Times New Roman" w:eastAsia="Times New Roman" w:hAnsi="Times New Roman" w:cs="Times New Roman"/>
          <w:sz w:val="24"/>
          <w:szCs w:val="24"/>
        </w:rPr>
        <w:t xml:space="preserve">found that lifestyle significantly influences MSME business sustainability. The Theory of Planned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(TPB) provides a theoretical basis for this relationship. TPB posits that individual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is determined by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intention, which is shaped by three key determinants: attitude toward the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subjective norms, and perceived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control </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Widjayanti</w:t>
      </w:r>
      <w:proofErr w:type="spellEnd"/>
      <w:r>
        <w:rPr>
          <w:rFonts w:ascii="Times New Roman" w:eastAsia="Times New Roman" w:hAnsi="Times New Roman" w:cs="Times New Roman"/>
          <w:color w:val="000000"/>
          <w:sz w:val="24"/>
          <w:szCs w:val="24"/>
        </w:rPr>
        <w:t xml:space="preserve"> et al., 2025; Ach et al., </w:t>
      </w:r>
      <w:proofErr w:type="gramStart"/>
      <w:r>
        <w:rPr>
          <w:rFonts w:ascii="Times New Roman" w:eastAsia="Times New Roman" w:hAnsi="Times New Roman" w:cs="Times New Roman"/>
          <w:color w:val="000000"/>
          <w:sz w:val="24"/>
          <w:szCs w:val="24"/>
        </w:rPr>
        <w:t>2025;Safitri</w:t>
      </w:r>
      <w:proofErr w:type="gramEnd"/>
      <w:r>
        <w:rPr>
          <w:rFonts w:ascii="Times New Roman" w:eastAsia="Times New Roman" w:hAnsi="Times New Roman" w:cs="Times New Roman"/>
          <w:color w:val="000000"/>
          <w:sz w:val="24"/>
          <w:szCs w:val="24"/>
        </w:rPr>
        <w:t>, 2024).</w:t>
      </w:r>
    </w:p>
    <w:p w:rsidR="00864498" w:rsidRDefault="00CE6CD7" w:rsidP="009B02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RBV theory posits that a firm’s sustainability is contingent on its internal strategic resources and capabilities. Lifestyle, particularly a digital-oriented lifestyle, represents an intangible resource that can facilitate the effective utilization of technology within MSMEs (</w:t>
      </w:r>
      <w:proofErr w:type="spellStart"/>
      <w:r>
        <w:rPr>
          <w:rFonts w:ascii="Times New Roman" w:eastAsia="Times New Roman" w:hAnsi="Times New Roman" w:cs="Times New Roman"/>
          <w:sz w:val="24"/>
          <w:szCs w:val="24"/>
        </w:rPr>
        <w:t>Muchlis</w:t>
      </w:r>
      <w:proofErr w:type="spellEnd"/>
      <w:r>
        <w:rPr>
          <w:rFonts w:ascii="Times New Roman" w:eastAsia="Times New Roman" w:hAnsi="Times New Roman" w:cs="Times New Roman"/>
          <w:sz w:val="24"/>
          <w:szCs w:val="24"/>
        </w:rPr>
        <w:t xml:space="preserve"> et al., 2021). Complementarily, TAM suggests that individual differences, including lifestyle orientation toward technology, shape perceptions of usefulness and ease of use. A </w:t>
      </w:r>
      <w:proofErr w:type="spellStart"/>
      <w:r>
        <w:rPr>
          <w:rFonts w:ascii="Times New Roman" w:eastAsia="Times New Roman" w:hAnsi="Times New Roman" w:cs="Times New Roman"/>
          <w:sz w:val="24"/>
          <w:szCs w:val="24"/>
        </w:rPr>
        <w:t>favorable</w:t>
      </w:r>
      <w:proofErr w:type="spellEnd"/>
      <w:r>
        <w:rPr>
          <w:rFonts w:ascii="Times New Roman" w:eastAsia="Times New Roman" w:hAnsi="Times New Roman" w:cs="Times New Roman"/>
          <w:sz w:val="24"/>
          <w:szCs w:val="24"/>
        </w:rPr>
        <w:t xml:space="preserve"> perception increases technology adoption, such as QRIS usage, which in turn enhances business performance and sustainability. Accordingly, this research investigates whether lifestyle affects MSME business sustainability. The second hypothesis is formulated as follows:  </w:t>
      </w:r>
    </w:p>
    <w:p w:rsidR="00864498" w:rsidRDefault="00CE6CD7" w:rsidP="009B028E">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H2: </w:t>
      </w:r>
      <w:r>
        <w:rPr>
          <w:rFonts w:ascii="Times New Roman" w:eastAsia="Times New Roman" w:hAnsi="Times New Roman" w:cs="Times New Roman"/>
          <w:sz w:val="24"/>
          <w:szCs w:val="24"/>
        </w:rPr>
        <w:t>Lifestyle positively influences MSME business sustainability.</w:t>
      </w:r>
    </w:p>
    <w:p w:rsidR="005056C7" w:rsidRDefault="005056C7" w:rsidP="009B028E">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rsidR="00864498" w:rsidRDefault="00864498">
      <w:pPr>
        <w:pBdr>
          <w:top w:val="nil"/>
          <w:left w:val="nil"/>
          <w:bottom w:val="nil"/>
          <w:right w:val="nil"/>
          <w:between w:val="nil"/>
        </w:pBdr>
        <w:spacing w:after="0"/>
        <w:jc w:val="both"/>
        <w:rPr>
          <w:rFonts w:ascii="Times New Roman" w:eastAsia="Times New Roman" w:hAnsi="Times New Roman" w:cs="Times New Roman"/>
          <w:b/>
          <w:bCs/>
          <w:color w:val="000000"/>
          <w:sz w:val="24"/>
          <w:szCs w:val="24"/>
        </w:rPr>
      </w:pPr>
    </w:p>
    <w:p w:rsidR="00864498" w:rsidRDefault="00CE6CD7" w:rsidP="009B028E">
      <w:pPr>
        <w:pBdr>
          <w:top w:val="nil"/>
          <w:left w:val="nil"/>
          <w:bottom w:val="nil"/>
          <w:right w:val="nil"/>
          <w:between w:val="nil"/>
        </w:pBd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3. The Influence of Financial Literacy on the Effectiveness of QRIS Use by MSMEs</w:t>
      </w:r>
    </w:p>
    <w:p w:rsidR="00864498" w:rsidRDefault="00CE6CD7" w:rsidP="009B028E">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Financial literacy is defined as the knowledge and skills required to make effective financial decisions. For MSMEs, a higher level of financial literacy may facilitate the comprehension of benefits and risks associated with cashless payment systems, thereby influencing QRIS adoption </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Gunawan</w:t>
      </w:r>
      <w:proofErr w:type="spellEnd"/>
      <w:r>
        <w:rPr>
          <w:rFonts w:ascii="Times New Roman" w:eastAsia="Times New Roman" w:hAnsi="Times New Roman" w:cs="Times New Roman"/>
          <w:color w:val="000000"/>
          <w:sz w:val="24"/>
          <w:szCs w:val="24"/>
        </w:rPr>
        <w:t xml:space="preserve"> et al., </w:t>
      </w:r>
      <w:proofErr w:type="gramStart"/>
      <w:r>
        <w:rPr>
          <w:rFonts w:ascii="Times New Roman" w:eastAsia="Times New Roman" w:hAnsi="Times New Roman" w:cs="Times New Roman"/>
          <w:color w:val="000000"/>
          <w:sz w:val="24"/>
          <w:szCs w:val="24"/>
        </w:rPr>
        <w:t>2023 ;</w:t>
      </w:r>
      <w:proofErr w:type="spellStart"/>
      <w:r>
        <w:rPr>
          <w:rFonts w:ascii="Times New Roman" w:eastAsia="Times New Roman" w:hAnsi="Times New Roman" w:cs="Times New Roman"/>
          <w:color w:val="000000"/>
          <w:sz w:val="24"/>
          <w:szCs w:val="24"/>
        </w:rPr>
        <w:t>Ramayanti</w:t>
      </w:r>
      <w:proofErr w:type="spellEnd"/>
      <w:proofErr w:type="gramEnd"/>
      <w:r>
        <w:rPr>
          <w:rFonts w:ascii="Times New Roman" w:eastAsia="Times New Roman" w:hAnsi="Times New Roman" w:cs="Times New Roman"/>
          <w:color w:val="000000"/>
          <w:sz w:val="24"/>
          <w:szCs w:val="24"/>
        </w:rPr>
        <w:t xml:space="preserve"> et al., 2025), </w:t>
      </w:r>
      <w:r>
        <w:rPr>
          <w:rFonts w:ascii="Times New Roman" w:eastAsia="Times New Roman" w:hAnsi="Times New Roman" w:cs="Times New Roman"/>
          <w:sz w:val="24"/>
          <w:szCs w:val="24"/>
        </w:rPr>
        <w:t xml:space="preserve">). Previous studies have produced conflicting results </w:t>
      </w:r>
      <w:proofErr w:type="spellStart"/>
      <w:r>
        <w:rPr>
          <w:rFonts w:ascii="Times New Roman" w:eastAsia="Times New Roman" w:hAnsi="Times New Roman" w:cs="Times New Roman"/>
          <w:sz w:val="24"/>
          <w:szCs w:val="24"/>
        </w:rPr>
        <w:t>Daud</w:t>
      </w:r>
      <w:proofErr w:type="spellEnd"/>
      <w:r>
        <w:rPr>
          <w:rFonts w:ascii="Times New Roman" w:eastAsia="Times New Roman" w:hAnsi="Times New Roman" w:cs="Times New Roman"/>
          <w:sz w:val="24"/>
          <w:szCs w:val="24"/>
        </w:rPr>
        <w:t xml:space="preserve"> et al., 2(022)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demonstrated a positive relationship between financial literacy and the QRIS usage effectiveness, whereas </w:t>
      </w:r>
      <w:proofErr w:type="spellStart"/>
      <w:r>
        <w:rPr>
          <w:rFonts w:ascii="Times New Roman" w:eastAsia="Times New Roman" w:hAnsi="Times New Roman" w:cs="Times New Roman"/>
          <w:color w:val="000000"/>
          <w:sz w:val="24"/>
          <w:szCs w:val="24"/>
        </w:rPr>
        <w:t>Andika</w:t>
      </w:r>
      <w:proofErr w:type="spellEnd"/>
      <w:r>
        <w:rPr>
          <w:rFonts w:ascii="Times New Roman" w:eastAsia="Times New Roman" w:hAnsi="Times New Roman" w:cs="Times New Roman"/>
          <w:color w:val="000000"/>
          <w:sz w:val="24"/>
          <w:szCs w:val="24"/>
        </w:rPr>
        <w:t xml:space="preserve"> (2022) </w:t>
      </w:r>
      <w:r>
        <w:rPr>
          <w:rFonts w:ascii="Times New Roman" w:eastAsia="Times New Roman" w:hAnsi="Times New Roman" w:cs="Times New Roman"/>
          <w:sz w:val="24"/>
          <w:szCs w:val="24"/>
        </w:rPr>
        <w:t>concluded that financial literacy did not significantly influence, or negatively influenced QRIS implementation. These divergent findings highlight the need to re-investigate the role of financial literacy in QRIS-based transactions.</w:t>
      </w:r>
    </w:p>
    <w:p w:rsidR="00864498" w:rsidRDefault="00CE6CD7" w:rsidP="009B02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a Resource-Based View (RBV) perspective, financial literacy constitutes a strategic intangible resource that enhances an MSME’s internal capability to manage financial decisions </w:t>
      </w:r>
      <w:r>
        <w:rPr>
          <w:rFonts w:ascii="Times New Roman" w:eastAsia="Times New Roman" w:hAnsi="Times New Roman" w:cs="Times New Roman"/>
          <w:color w:val="000000"/>
          <w:sz w:val="24"/>
          <w:szCs w:val="24"/>
        </w:rPr>
        <w:t>(Gonzalez, 2023)</w:t>
      </w:r>
      <w:proofErr w:type="gramStart"/>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In the context of digitalization, QRIS adoption represents a form of digital transformation that reconfigures transactional processes within MSMEs</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Siregar</w:t>
      </w:r>
      <w:proofErr w:type="spellEnd"/>
      <w:r>
        <w:rPr>
          <w:rFonts w:ascii="Times New Roman" w:eastAsia="Times New Roman" w:hAnsi="Times New Roman" w:cs="Times New Roman"/>
          <w:color w:val="000000"/>
          <w:sz w:val="24"/>
          <w:szCs w:val="24"/>
        </w:rPr>
        <w:t xml:space="preserve"> et al., 2025). </w:t>
      </w:r>
      <w:r>
        <w:rPr>
          <w:rFonts w:ascii="Times New Roman" w:eastAsia="Times New Roman" w:hAnsi="Times New Roman" w:cs="Times New Roman"/>
          <w:sz w:val="24"/>
          <w:szCs w:val="24"/>
        </w:rPr>
        <w:t xml:space="preserve">Grounded in the Technology Acceptance Model (TAM), financial literacy may strengthen an owner’s perception of QRIS’s usefulness and ease of use. Enhanced perceptions are expected to promote more effective utilization of QRIS in daily business operations. Therefore, this study re-examines the influence of financial literacy on QRIS effectiveness among MSMEs in </w:t>
      </w:r>
      <w:proofErr w:type="spellStart"/>
      <w:r>
        <w:rPr>
          <w:rFonts w:ascii="Times New Roman" w:eastAsia="Times New Roman" w:hAnsi="Times New Roman" w:cs="Times New Roman"/>
          <w:sz w:val="24"/>
          <w:szCs w:val="24"/>
        </w:rPr>
        <w:t>Pandeglang</w:t>
      </w:r>
      <w:proofErr w:type="spellEnd"/>
      <w:r>
        <w:rPr>
          <w:rFonts w:ascii="Times New Roman" w:eastAsia="Times New Roman" w:hAnsi="Times New Roman" w:cs="Times New Roman"/>
          <w:sz w:val="24"/>
          <w:szCs w:val="24"/>
        </w:rPr>
        <w:t xml:space="preserve">. Based on the theoretical and empirical review, the third hypothesis is proposed:  </w:t>
      </w:r>
    </w:p>
    <w:p w:rsidR="00864498" w:rsidRDefault="00CE6CD7" w:rsidP="009B02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H3: Financial literacy positively influences QRIS usage effectiveness among MSMEs.</w:t>
      </w:r>
    </w:p>
    <w:p w:rsidR="00864498" w:rsidRDefault="00CE6CD7" w:rsidP="009B028E">
      <w:pPr>
        <w:pBdr>
          <w:top w:val="nil"/>
          <w:left w:val="nil"/>
          <w:bottom w:val="nil"/>
          <w:right w:val="nil"/>
          <w:between w:val="nil"/>
        </w:pBd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 The Influence of Lifestyle on QRIS Usage in MSMEs</w:t>
      </w:r>
    </w:p>
    <w:p w:rsidR="00864498" w:rsidRDefault="00CE6CD7" w:rsidP="009B028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The adoption of QRIS among MSMEs has accelerated due to its perceived operational benefits, including transaction efficiency and financial record simplification. MSMEs that associate digital payment systems with a modern, tech-savvy lifestyle may develop a </w:t>
      </w:r>
      <w:proofErr w:type="spellStart"/>
      <w:r>
        <w:rPr>
          <w:rFonts w:ascii="Times New Roman" w:eastAsia="Times New Roman" w:hAnsi="Times New Roman" w:cs="Times New Roman"/>
          <w:sz w:val="24"/>
          <w:szCs w:val="24"/>
        </w:rPr>
        <w:t>favorable</w:t>
      </w:r>
      <w:proofErr w:type="spellEnd"/>
      <w:r>
        <w:rPr>
          <w:rFonts w:ascii="Times New Roman" w:eastAsia="Times New Roman" w:hAnsi="Times New Roman" w:cs="Times New Roman"/>
          <w:sz w:val="24"/>
          <w:szCs w:val="24"/>
        </w:rPr>
        <w:t xml:space="preserve"> attitude toward QRIS, which subsequently increases their intention to use it</w:t>
      </w:r>
      <w:r>
        <w:rPr>
          <w:rFonts w:ascii="Times New Roman" w:eastAsia="Times New Roman" w:hAnsi="Times New Roman" w:cs="Times New Roman"/>
          <w:color w:val="000000"/>
          <w:sz w:val="24"/>
          <w:szCs w:val="24"/>
        </w:rPr>
        <w:t xml:space="preserve"> (Della </w:t>
      </w:r>
      <w:proofErr w:type="spellStart"/>
      <w:r>
        <w:rPr>
          <w:rFonts w:ascii="Times New Roman" w:eastAsia="Times New Roman" w:hAnsi="Times New Roman" w:cs="Times New Roman"/>
          <w:color w:val="000000"/>
          <w:sz w:val="24"/>
          <w:szCs w:val="24"/>
        </w:rPr>
        <w:t>Barends</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Baridwan</w:t>
      </w:r>
      <w:proofErr w:type="spellEnd"/>
      <w:r>
        <w:rPr>
          <w:rFonts w:ascii="Times New Roman" w:eastAsia="Times New Roman" w:hAnsi="Times New Roman" w:cs="Times New Roman"/>
          <w:color w:val="000000"/>
          <w:sz w:val="24"/>
          <w:szCs w:val="24"/>
        </w:rPr>
        <w:t>, 2024</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sz w:val="24"/>
          <w:szCs w:val="24"/>
        </w:rPr>
        <w:t xml:space="preserve"> This premise is supported by prior research</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Pratiwi</w:t>
      </w:r>
      <w:proofErr w:type="spellEnd"/>
      <w:r>
        <w:rPr>
          <w:rFonts w:ascii="Times New Roman" w:eastAsia="Times New Roman" w:hAnsi="Times New Roman" w:cs="Times New Roman"/>
          <w:sz w:val="24"/>
          <w:szCs w:val="24"/>
        </w:rPr>
        <w:t>, 2025)</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found that lifestyle positively influences QRIS usage in MSMEs. The Theory of Planned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(TPB) provides a framework for this relationship, positing that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is driven by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intention, which is formed through three determinants: attitude toward the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subjective norms, and perceived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control (</w:t>
      </w:r>
      <w:proofErr w:type="spellStart"/>
      <w:r>
        <w:rPr>
          <w:rFonts w:ascii="Times New Roman" w:eastAsia="Times New Roman" w:hAnsi="Times New Roman" w:cs="Times New Roman"/>
          <w:sz w:val="24"/>
          <w:szCs w:val="24"/>
        </w:rPr>
        <w:t>Puspitasari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Salehudin</w:t>
      </w:r>
      <w:proofErr w:type="spellEnd"/>
      <w:r>
        <w:rPr>
          <w:rFonts w:ascii="Times New Roman" w:eastAsia="Times New Roman" w:hAnsi="Times New Roman" w:cs="Times New Roman"/>
          <w:sz w:val="24"/>
          <w:szCs w:val="24"/>
        </w:rPr>
        <w:t>, 2022)</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A digital-oriented lifestyle can shape a positive attitude toward QRIS, thereby strengthening the intention to adopt it</w:t>
      </w:r>
    </w:p>
    <w:p w:rsidR="00864498" w:rsidRDefault="00CE6CD7" w:rsidP="009B02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Within the MSME sector, QRIS implementation exemplifies digital transformation as it digitizes payment processes to align with consumer preferences for cashless transactions </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Dyah</w:t>
      </w:r>
      <w:proofErr w:type="spellEnd"/>
      <w:r>
        <w:rPr>
          <w:rFonts w:ascii="Times New Roman" w:eastAsia="Times New Roman" w:hAnsi="Times New Roman" w:cs="Times New Roman"/>
          <w:color w:val="000000"/>
          <w:sz w:val="24"/>
          <w:szCs w:val="24"/>
        </w:rPr>
        <w:t xml:space="preserve"> et al., 2025).</w:t>
      </w:r>
      <w:r>
        <w:t xml:space="preserve"> </w:t>
      </w:r>
      <w:r>
        <w:rPr>
          <w:rFonts w:ascii="Times New Roman" w:eastAsia="Times New Roman" w:hAnsi="Times New Roman" w:cs="Times New Roman"/>
          <w:sz w:val="24"/>
          <w:szCs w:val="24"/>
        </w:rPr>
        <w:t xml:space="preserve">From the Technology Acceptance Model (TAM) perspective, a technology-oriented lifestyle may enhance an MSME owner’s perceived ease of use and perceived usefulness of QRIS. Higher levels of these perceptions are expected to result in more effective utilization of QRIS in business operations. Therefore, this study re-examines the influence of lifestyle on QRIS usage effectiveness among MSMEs. Based on the theoretical framework and empirical review, the fourth hypothesis is proposed:  </w:t>
      </w:r>
    </w:p>
    <w:p w:rsidR="00864498" w:rsidRPr="009B028E" w:rsidRDefault="00CE6CD7" w:rsidP="009B028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H4: </w:t>
      </w:r>
      <w:r>
        <w:rPr>
          <w:rFonts w:ascii="Times New Roman" w:eastAsia="Times New Roman" w:hAnsi="Times New Roman" w:cs="Times New Roman"/>
          <w:sz w:val="24"/>
          <w:szCs w:val="24"/>
        </w:rPr>
        <w:t>Lifestyle positively influences QRIS usage effectiveness among MSMEs.</w:t>
      </w:r>
    </w:p>
    <w:p w:rsidR="00864498" w:rsidRDefault="00CE6CD7" w:rsidP="009B028E">
      <w:pPr>
        <w:pBdr>
          <w:top w:val="nil"/>
          <w:left w:val="nil"/>
          <w:bottom w:val="nil"/>
          <w:right w:val="nil"/>
          <w:between w:val="nil"/>
        </w:pBd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5. The Effectiveness of QRIS Use in </w:t>
      </w:r>
      <w:proofErr w:type="spellStart"/>
      <w:r>
        <w:rPr>
          <w:rFonts w:ascii="Times New Roman" w:eastAsia="Times New Roman" w:hAnsi="Times New Roman" w:cs="Times New Roman"/>
          <w:b/>
          <w:bCs/>
          <w:color w:val="000000"/>
          <w:sz w:val="24"/>
          <w:szCs w:val="24"/>
        </w:rPr>
        <w:t>Pandeglang</w:t>
      </w:r>
      <w:proofErr w:type="spellEnd"/>
      <w:r>
        <w:rPr>
          <w:rFonts w:ascii="Times New Roman" w:eastAsia="Times New Roman" w:hAnsi="Times New Roman" w:cs="Times New Roman"/>
          <w:b/>
          <w:bCs/>
          <w:color w:val="000000"/>
          <w:sz w:val="24"/>
          <w:szCs w:val="24"/>
        </w:rPr>
        <w:t xml:space="preserve"> MSMEs on MSMEs Sustainability</w:t>
      </w:r>
    </w:p>
    <w:p w:rsidR="00864498" w:rsidRDefault="00CE6CD7" w:rsidP="009B028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The implementation of QRIS provides MSMEs with operational benefits, including accelerated transaction processing and access to a broader consumer base that prefers digital payments. These advantages have the potential to enhance revenue generation and business continuity </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Riwayati</w:t>
      </w:r>
      <w:proofErr w:type="spellEnd"/>
      <w:r>
        <w:rPr>
          <w:rFonts w:ascii="Times New Roman" w:eastAsia="Times New Roman" w:hAnsi="Times New Roman" w:cs="Times New Roman"/>
          <w:color w:val="000000"/>
          <w:sz w:val="24"/>
          <w:szCs w:val="24"/>
        </w:rPr>
        <w:t xml:space="preserve"> et al., 2024) </w:t>
      </w:r>
      <w:r>
        <w:rPr>
          <w:rFonts w:ascii="Times New Roman" w:eastAsia="Times New Roman" w:hAnsi="Times New Roman" w:cs="Times New Roman"/>
          <w:sz w:val="24"/>
          <w:szCs w:val="24"/>
        </w:rPr>
        <w:t>Consistent with this</w:t>
      </w:r>
      <w:r>
        <w:rPr>
          <w:rFonts w:ascii="Times New Roman" w:eastAsia="Times New Roman" w:hAnsi="Times New Roman" w:cs="Times New Roman"/>
          <w:color w:val="000000"/>
          <w:sz w:val="24"/>
          <w:szCs w:val="24"/>
        </w:rPr>
        <w:t xml:space="preserve"> (Hong et al., 2024), </w:t>
      </w:r>
      <w:r>
        <w:rPr>
          <w:rFonts w:ascii="Times New Roman" w:eastAsia="Times New Roman" w:hAnsi="Times New Roman" w:cs="Times New Roman"/>
          <w:sz w:val="24"/>
          <w:szCs w:val="24"/>
        </w:rPr>
        <w:t xml:space="preserve">reported that QRIS usage positively influences MSME sustainability. This finding aligns with Resource-Based View (RBV) theory, which asserts that firm performance is determined by the possession of strategic internal resources and capabilities </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Mawardi</w:t>
      </w:r>
      <w:proofErr w:type="spellEnd"/>
      <w:r>
        <w:rPr>
          <w:rFonts w:ascii="Times New Roman" w:eastAsia="Times New Roman" w:hAnsi="Times New Roman" w:cs="Times New Roman"/>
          <w:color w:val="000000"/>
          <w:sz w:val="24"/>
          <w:szCs w:val="24"/>
        </w:rPr>
        <w:t xml:space="preserve"> et al., 2026).</w:t>
      </w:r>
    </w:p>
    <w:p w:rsidR="00864498" w:rsidRDefault="00CE6CD7" w:rsidP="009B02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QRIS, when integrated into daily operations, represents a technological capability that can become a source of sustained competitive advantage for MSMEs.</w:t>
      </w:r>
    </w:p>
    <w:p w:rsidR="00864498" w:rsidRDefault="00CE6CD7" w:rsidP="009B028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Within the MSME sector, QRIS implementation is regarded as a manifestation of digital transformation, enabling businesses to adapt their payment systems to the demands of the digital economy (</w:t>
      </w:r>
      <w:proofErr w:type="spellStart"/>
      <w:r>
        <w:rPr>
          <w:rFonts w:ascii="Times New Roman" w:eastAsia="Times New Roman" w:hAnsi="Times New Roman" w:cs="Times New Roman"/>
          <w:sz w:val="24"/>
          <w:szCs w:val="24"/>
        </w:rPr>
        <w:t>Siregar</w:t>
      </w:r>
      <w:proofErr w:type="spellEnd"/>
      <w:r>
        <w:rPr>
          <w:rFonts w:ascii="Times New Roman" w:eastAsia="Times New Roman" w:hAnsi="Times New Roman" w:cs="Times New Roman"/>
          <w:sz w:val="24"/>
          <w:szCs w:val="24"/>
        </w:rPr>
        <w:t xml:space="preserve"> et al., 2025).</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Based</w:t>
      </w:r>
      <w:r>
        <w:rPr>
          <w:rFonts w:ascii="Times New Roman" w:eastAsia="Times New Roman" w:hAnsi="Times New Roman" w:cs="Times New Roman"/>
          <w:color w:val="000000"/>
          <w:sz w:val="24"/>
          <w:szCs w:val="24"/>
        </w:rPr>
        <w:t xml:space="preserve"> on the Technology Acceptance Model (TAM), technology that is accepted and used effectively will result in improved organizational performance. In this study, the effective use of QRIS is expected to improve the performance and competitiveness of MSMEs, thereby supporting long-term business sustainability. This study will re-examine whether the impact of MSME business sustainability can influence the </w:t>
      </w:r>
      <w:r>
        <w:rPr>
          <w:rFonts w:ascii="Times New Roman" w:eastAsia="Times New Roman" w:hAnsi="Times New Roman" w:cs="Times New Roman"/>
          <w:sz w:val="24"/>
          <w:szCs w:val="24"/>
        </w:rPr>
        <w:t>QRIS usage effectiveness</w:t>
      </w:r>
      <w:r>
        <w:rPr>
          <w:rFonts w:ascii="Times New Roman" w:eastAsia="Times New Roman" w:hAnsi="Times New Roman" w:cs="Times New Roman"/>
          <w:color w:val="000000"/>
          <w:sz w:val="24"/>
          <w:szCs w:val="24"/>
        </w:rPr>
        <w:t>. Based on the explanation above, the fourth hypothesis can be proposed as follows:</w:t>
      </w:r>
    </w:p>
    <w:p w:rsidR="00864498" w:rsidRPr="009B028E" w:rsidRDefault="00CE6CD7" w:rsidP="009B028E">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H5: </w:t>
      </w:r>
      <w:r>
        <w:rPr>
          <w:rFonts w:ascii="Times New Roman" w:eastAsia="Times New Roman" w:hAnsi="Times New Roman" w:cs="Times New Roman"/>
          <w:sz w:val="24"/>
          <w:szCs w:val="24"/>
        </w:rPr>
        <w:t>QRIS effectiveness positively influences MSME business sustainability</w:t>
      </w:r>
    </w:p>
    <w:p w:rsidR="00864498" w:rsidRDefault="00CE6CD7" w:rsidP="009B028E">
      <w:pPr>
        <w:pBdr>
          <w:top w:val="nil"/>
          <w:left w:val="nil"/>
          <w:bottom w:val="nil"/>
          <w:right w:val="nil"/>
          <w:between w:val="nil"/>
        </w:pBd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6. The Impact of Financial Literacy on Sustainability through the Effective Use of QRIS</w:t>
      </w:r>
    </w:p>
    <w:p w:rsidR="00864498" w:rsidRDefault="00CE6CD7" w:rsidP="009B028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Strong financial literacy enables MSME owners to evaluate the benefits and risks of QRIS adoption, leading to more informed decisions regarding digital payment implementation. When utilized effectively, QRIS offers operational advantages such as accelerated payment processing and enhanced financial record-keeping. Such advantages may translate into improved business performance and sustained viability </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Hariyanto</w:t>
      </w:r>
      <w:proofErr w:type="spellEnd"/>
      <w:r>
        <w:rPr>
          <w:rFonts w:ascii="Times New Roman" w:eastAsia="Times New Roman" w:hAnsi="Times New Roman" w:cs="Times New Roman"/>
          <w:color w:val="000000"/>
          <w:sz w:val="24"/>
          <w:szCs w:val="24"/>
        </w:rPr>
        <w:t xml:space="preserve"> et al., 2026; (Kurniawan et al., </w:t>
      </w:r>
      <w:proofErr w:type="gramStart"/>
      <w:r>
        <w:rPr>
          <w:rFonts w:ascii="Times New Roman" w:eastAsia="Times New Roman" w:hAnsi="Times New Roman" w:cs="Times New Roman"/>
          <w:color w:val="000000"/>
          <w:sz w:val="24"/>
          <w:szCs w:val="24"/>
        </w:rPr>
        <w:t>2026;Chaidir</w:t>
      </w:r>
      <w:proofErr w:type="gramEnd"/>
      <w:r>
        <w:rPr>
          <w:rFonts w:ascii="Times New Roman" w:eastAsia="Times New Roman" w:hAnsi="Times New Roman" w:cs="Times New Roman"/>
          <w:color w:val="000000"/>
          <w:sz w:val="24"/>
          <w:szCs w:val="24"/>
        </w:rPr>
        <w:t xml:space="preserve"> et al., 2022)</w:t>
      </w:r>
      <w:r>
        <w:rPr>
          <w:rFonts w:ascii="Times New Roman" w:eastAsia="Times New Roman" w:hAnsi="Times New Roman" w:cs="Times New Roman"/>
          <w:sz w:val="24"/>
          <w:szCs w:val="24"/>
        </w:rPr>
        <w:t xml:space="preserve"> The link between financial literacy and MSME business sustainability has been empirically validated, with </w:t>
      </w:r>
      <w:r>
        <w:rPr>
          <w:rFonts w:ascii="Times New Roman" w:eastAsia="Times New Roman" w:hAnsi="Times New Roman" w:cs="Times New Roman"/>
          <w:color w:val="000000"/>
          <w:sz w:val="24"/>
          <w:szCs w:val="24"/>
        </w:rPr>
        <w:t xml:space="preserve">Shehadeh et al., 2025), </w:t>
      </w:r>
      <w:r>
        <w:rPr>
          <w:rFonts w:ascii="Times New Roman" w:eastAsia="Times New Roman" w:hAnsi="Times New Roman" w:cs="Times New Roman"/>
          <w:sz w:val="24"/>
          <w:szCs w:val="24"/>
        </w:rPr>
        <w:t>reporting a positive and significant effect. Resource-Based View (RBV) theory provides the theoretical foundation for this association. RBV postulates that competitive advantage originates from internal resources and capabilities that meet the VRIN criteria. As an intangible managerial asset, financial literacy enhances an MSME’s capacity to manage cash flow, access financing, and adapt to market changes, positioning it as a strategic resource that underpins sustained performance</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Nugraheni</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Darma</w:t>
      </w:r>
      <w:proofErr w:type="spellEnd"/>
      <w:r>
        <w:rPr>
          <w:rFonts w:ascii="Times New Roman" w:eastAsia="Times New Roman" w:hAnsi="Times New Roman" w:cs="Times New Roman"/>
          <w:color w:val="000000"/>
          <w:sz w:val="24"/>
          <w:szCs w:val="24"/>
        </w:rPr>
        <w:t>, 2025</w:t>
      </w:r>
      <w:proofErr w:type="gramStart"/>
      <w:r>
        <w:rPr>
          <w:rFonts w:ascii="Times New Roman" w:eastAsia="Times New Roman" w:hAnsi="Times New Roman" w:cs="Times New Roman"/>
          <w:color w:val="000000"/>
          <w:sz w:val="24"/>
          <w:szCs w:val="24"/>
        </w:rPr>
        <w:t>) .</w:t>
      </w:r>
      <w:proofErr w:type="gramEnd"/>
    </w:p>
    <w:p w:rsidR="00864498" w:rsidRDefault="00CE6CD7" w:rsidP="009B02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a Digital Transformation Theory perspective, QRIS implementation represents the digitization of MSME payment processes to meet evolving consumer demands </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Siregar</w:t>
      </w:r>
      <w:proofErr w:type="spellEnd"/>
      <w:r>
        <w:rPr>
          <w:rFonts w:ascii="Times New Roman" w:eastAsia="Times New Roman" w:hAnsi="Times New Roman" w:cs="Times New Roman"/>
          <w:color w:val="000000"/>
          <w:sz w:val="24"/>
          <w:szCs w:val="24"/>
        </w:rPr>
        <w:t xml:space="preserve"> et al., 2025). </w:t>
      </w:r>
      <w:r>
        <w:rPr>
          <w:rFonts w:ascii="Times New Roman" w:eastAsia="Times New Roman" w:hAnsi="Times New Roman" w:cs="Times New Roman"/>
          <w:sz w:val="24"/>
          <w:szCs w:val="24"/>
        </w:rPr>
        <w:t xml:space="preserve">According to the Technology Acceptance Model (TAM), financial literacy functions as an external variable that shapes perceived usefulness and perceived ease of use of QRIS. These perceptions influence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intention, leading to actual QRIS usage. Drawing on Resource-Based View (RBV) theory, effective utilization of QRIS constitutes a technological capability. This capability enhances operational efficiency and market reach, thereby contributing to MSME business sustainability. Therefore, this study examines the mediating role of QRIS effectiveness in the relationship between financial literacy and MSME business sustainability. The sixth hypothesis is proposed as follows:</w:t>
      </w:r>
    </w:p>
    <w:p w:rsidR="00864498" w:rsidRDefault="00CE6CD7" w:rsidP="009B028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H6: </w:t>
      </w:r>
      <w:r>
        <w:rPr>
          <w:rFonts w:ascii="Times New Roman" w:eastAsia="Times New Roman" w:hAnsi="Times New Roman" w:cs="Times New Roman"/>
          <w:sz w:val="24"/>
          <w:szCs w:val="24"/>
        </w:rPr>
        <w:t>QRIS effectiveness mediates the positive influence of financial literacy on MSME business sustainability.</w:t>
      </w:r>
    </w:p>
    <w:p w:rsidR="00864498" w:rsidRDefault="00CE6CD7" w:rsidP="009B028E">
      <w:pPr>
        <w:pBdr>
          <w:top w:val="nil"/>
          <w:left w:val="nil"/>
          <w:bottom w:val="nil"/>
          <w:right w:val="nil"/>
          <w:between w:val="nil"/>
        </w:pBdr>
        <w:spacing w:line="360" w:lineRule="auto"/>
        <w:ind w:hanging="270"/>
        <w:jc w:val="both"/>
        <w:rPr>
          <w:rFonts w:ascii="Times New Roman" w:eastAsia="Times New Roman" w:hAnsi="Times New Roman" w:cs="Times New Roman"/>
          <w:b/>
          <w:bCs/>
          <w:color w:val="000000"/>
          <w:sz w:val="24"/>
          <w:szCs w:val="24"/>
        </w:rPr>
      </w:pPr>
      <w:r w:rsidRPr="009B028E">
        <w:rPr>
          <w:rFonts w:ascii="Times New Roman" w:eastAsia="Times New Roman" w:hAnsi="Times New Roman" w:cs="Times New Roman"/>
          <w:b/>
          <w:bCs/>
          <w:color w:val="000000"/>
          <w:sz w:val="24"/>
          <w:szCs w:val="24"/>
        </w:rPr>
        <w:t>7.</w:t>
      </w:r>
      <w:r>
        <w:rPr>
          <w:rFonts w:ascii="Times New Roman" w:eastAsia="Times New Roman" w:hAnsi="Times New Roman" w:cs="Times New Roman"/>
          <w:b/>
          <w:bCs/>
          <w:color w:val="000000"/>
          <w:sz w:val="24"/>
          <w:szCs w:val="24"/>
        </w:rPr>
        <w:t xml:space="preserve"> The Influence of Lifestyle on MSMEs Sustainability through the Effectiveness of QRIS Use MSMEs</w:t>
      </w:r>
    </w:p>
    <w:p w:rsidR="00864498" w:rsidRDefault="00CE6CD7" w:rsidP="009B028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The implementation of QRIS delivers operational advantages for MSMEs. Evolving consumer preferences for cashless transactions have increased QRIS adoption, driven by its transaction </w:t>
      </w:r>
      <w:r>
        <w:rPr>
          <w:rFonts w:ascii="Times New Roman" w:eastAsia="Times New Roman" w:hAnsi="Times New Roman" w:cs="Times New Roman"/>
          <w:sz w:val="24"/>
          <w:szCs w:val="24"/>
        </w:rPr>
        <w:lastRenderedPageBreak/>
        <w:t xml:space="preserve">security and settlement efficiency. This adoption streamlines payment workflows, reduces cash-handling costs, and enhances financial record accuracy, thereby strengthening the long-term viability of MSMEs in digital commerce environments </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Papulasih</w:t>
      </w:r>
      <w:proofErr w:type="spellEnd"/>
      <w:r>
        <w:rPr>
          <w:rFonts w:ascii="Times New Roman" w:eastAsia="Times New Roman" w:hAnsi="Times New Roman" w:cs="Times New Roman"/>
          <w:color w:val="000000"/>
          <w:sz w:val="24"/>
          <w:szCs w:val="24"/>
        </w:rPr>
        <w:t xml:space="preserve"> et al., 2024).</w:t>
      </w:r>
    </w:p>
    <w:p w:rsidR="00864498" w:rsidRDefault="00CE6CD7" w:rsidP="009B028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Chughtai</w:t>
      </w:r>
      <w:proofErr w:type="spellEnd"/>
      <w:r>
        <w:rPr>
          <w:rFonts w:ascii="Times New Roman" w:eastAsia="Times New Roman" w:hAnsi="Times New Roman" w:cs="Times New Roman"/>
          <w:color w:val="000000"/>
          <w:sz w:val="24"/>
          <w:szCs w:val="24"/>
        </w:rPr>
        <w:t>, (2019</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Boraty</w:t>
      </w:r>
      <w:proofErr w:type="spellEnd"/>
      <w:r>
        <w:rPr>
          <w:rFonts w:ascii="Times New Roman" w:eastAsia="Times New Roman" w:hAnsi="Times New Roman" w:cs="Times New Roman"/>
          <w:color w:val="000000"/>
          <w:sz w:val="24"/>
          <w:szCs w:val="24"/>
        </w:rPr>
        <w:t xml:space="preserve">,( 2026) </w:t>
      </w:r>
      <w:r>
        <w:rPr>
          <w:rFonts w:ascii="Times New Roman" w:eastAsia="Times New Roman" w:hAnsi="Times New Roman" w:cs="Times New Roman"/>
          <w:sz w:val="24"/>
          <w:szCs w:val="24"/>
        </w:rPr>
        <w:t xml:space="preserve">identified that digital lifestyle adoption correlates with MSME adaptive capacity. The Resource-Based View (RBV) framework explains that sustained competitive advantage results from leveraging valuable, rare, inimitable resources and organizational capabilities </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Fachrudin</w:t>
      </w:r>
      <w:proofErr w:type="spellEnd"/>
      <w:r>
        <w:rPr>
          <w:rFonts w:ascii="Times New Roman" w:eastAsia="Times New Roman" w:hAnsi="Times New Roman" w:cs="Times New Roman"/>
          <w:color w:val="000000"/>
          <w:sz w:val="24"/>
          <w:szCs w:val="24"/>
        </w:rPr>
        <w:t xml:space="preserve"> et al., 2025). </w:t>
      </w:r>
      <w:r>
        <w:rPr>
          <w:rFonts w:ascii="Times New Roman" w:eastAsia="Times New Roman" w:hAnsi="Times New Roman" w:cs="Times New Roman"/>
          <w:sz w:val="24"/>
          <w:szCs w:val="24"/>
        </w:rPr>
        <w:t xml:space="preserve">In this context, effective QRIS utilization represents a technological capability that enhances operational efficiency. Concurrently, the lifestyle construct is grounded in the Theory of Planned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(TPB), which posits that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is driven by intentions formed through attitudes, subjective norms, and perceived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control (</w:t>
      </w:r>
      <w:proofErr w:type="spellStart"/>
      <w:r>
        <w:rPr>
          <w:rFonts w:ascii="Times New Roman" w:eastAsia="Times New Roman" w:hAnsi="Times New Roman" w:cs="Times New Roman"/>
          <w:sz w:val="24"/>
          <w:szCs w:val="24"/>
        </w:rPr>
        <w:t>Rini</w:t>
      </w:r>
      <w:proofErr w:type="spellEnd"/>
      <w:r>
        <w:rPr>
          <w:rFonts w:ascii="Times New Roman" w:eastAsia="Times New Roman" w:hAnsi="Times New Roman" w:cs="Times New Roman"/>
          <w:sz w:val="24"/>
          <w:szCs w:val="24"/>
        </w:rPr>
        <w:t xml:space="preserve"> &amp; Sri, 2025)</w:t>
      </w:r>
      <w:r w:rsidR="00FC72F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Therefore, lifestyle influences the intention to adopt QRIS, and the subsequent effective use of QRIS constitutes a strategic resource supporting MSME sustainability.</w:t>
      </w:r>
    </w:p>
    <w:p w:rsidR="00864498" w:rsidRDefault="00CE6CD7" w:rsidP="009B028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The construct of QRIS effectiveness is grounded in Digital Transformation Theory, which positions QRIS implementation as a form of operational digitization for MSMEs </w:t>
      </w:r>
      <w:r>
        <w:rPr>
          <w:rFonts w:ascii="Times New Roman" w:eastAsia="Times New Roman" w:hAnsi="Times New Roman" w:cs="Times New Roman"/>
          <w:color w:val="000000"/>
          <w:sz w:val="24"/>
          <w:szCs w:val="24"/>
        </w:rPr>
        <w:t>(Arthur &amp; Tang, 2017) (</w:t>
      </w:r>
      <w:proofErr w:type="spellStart"/>
      <w:r>
        <w:rPr>
          <w:rFonts w:ascii="Times New Roman" w:eastAsia="Times New Roman" w:hAnsi="Times New Roman" w:cs="Times New Roman"/>
          <w:color w:val="000000"/>
          <w:sz w:val="24"/>
          <w:szCs w:val="24"/>
        </w:rPr>
        <w:t>Ratnawati</w:t>
      </w:r>
      <w:proofErr w:type="spellEnd"/>
      <w:r>
        <w:rPr>
          <w:rFonts w:ascii="Times New Roman" w:eastAsia="Times New Roman" w:hAnsi="Times New Roman" w:cs="Times New Roman"/>
          <w:color w:val="000000"/>
          <w:sz w:val="24"/>
          <w:szCs w:val="24"/>
        </w:rPr>
        <w:t xml:space="preserve"> &amp; Malik, 2024).</w:t>
      </w:r>
      <w:r w:rsidR="00FC72F5">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sz w:val="24"/>
          <w:szCs w:val="24"/>
        </w:rPr>
        <w:t>Through</w:t>
      </w:r>
      <w:proofErr w:type="gramEnd"/>
      <w:r>
        <w:rPr>
          <w:rFonts w:ascii="Times New Roman" w:eastAsia="Times New Roman" w:hAnsi="Times New Roman" w:cs="Times New Roman"/>
          <w:sz w:val="24"/>
          <w:szCs w:val="24"/>
        </w:rPr>
        <w:t xml:space="preserve"> the Technology Acceptance Model (TAM) lens, MSMEs exhibiting digital lifestyle orientations demonstrate greater propensity to adopt and optimize QRIS, given the alignment between perceived usefulness and existing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patterns. This optimized utilization enhances transactional efficiency and financial record accuracy, thereby supporting operational performance and long-term business viability. Accordingly, this study examines the mediating role of QRIS effectiveness in the relationship between lifestyle and MSME sustainability in </w:t>
      </w:r>
      <w:proofErr w:type="spellStart"/>
      <w:r>
        <w:rPr>
          <w:rFonts w:ascii="Times New Roman" w:eastAsia="Times New Roman" w:hAnsi="Times New Roman" w:cs="Times New Roman"/>
          <w:sz w:val="24"/>
          <w:szCs w:val="24"/>
        </w:rPr>
        <w:t>Pandeglang</w:t>
      </w:r>
      <w:proofErr w:type="spellEnd"/>
      <w:r>
        <w:rPr>
          <w:rFonts w:ascii="Times New Roman" w:eastAsia="Times New Roman" w:hAnsi="Times New Roman" w:cs="Times New Roman"/>
          <w:sz w:val="24"/>
          <w:szCs w:val="24"/>
        </w:rPr>
        <w:t xml:space="preserve"> Regency. Based on this framework, the seventh hypothesis is stated as follows:  </w:t>
      </w:r>
    </w:p>
    <w:p w:rsidR="00864498" w:rsidRDefault="00CE6CD7" w:rsidP="009B028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H7: </w:t>
      </w:r>
      <w:r>
        <w:rPr>
          <w:rFonts w:ascii="Times New Roman" w:eastAsia="Times New Roman" w:hAnsi="Times New Roman" w:cs="Times New Roman"/>
          <w:sz w:val="24"/>
          <w:szCs w:val="24"/>
        </w:rPr>
        <w:t>QRIS effectiveness mediates the influence of lifestyle on MSME sustainability.</w:t>
      </w:r>
    </w:p>
    <w:p w:rsidR="00864498" w:rsidRDefault="00CE6CD7" w:rsidP="009B028E">
      <w:pPr>
        <w:pBdr>
          <w:top w:val="nil"/>
          <w:left w:val="nil"/>
          <w:bottom w:val="nil"/>
          <w:right w:val="nil"/>
          <w:between w:val="nil"/>
        </w:pBd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Methodology</w:t>
      </w:r>
    </w:p>
    <w:p w:rsidR="00864498" w:rsidRDefault="00CE6CD7" w:rsidP="009B028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This study employs a quantitative explanatory design using a cross-sectional survey approach. Data collection utilizes a structured questionnaire with a five-point Likert scale, ranging from 1 (strongly disagree) to 5 (strongly agree), to measure respondent perceptions of lifestyle, QRIS usage effectiveness, financial literacy, and MSME sustainability</w:t>
      </w:r>
      <w:r>
        <w:rPr>
          <w:rFonts w:ascii="Times New Roman" w:eastAsia="Times New Roman" w:hAnsi="Times New Roman" w:cs="Times New Roman"/>
          <w:color w:val="000000"/>
          <w:sz w:val="24"/>
          <w:szCs w:val="24"/>
        </w:rPr>
        <w:t>.</w:t>
      </w:r>
    </w:p>
    <w:p w:rsidR="00864498" w:rsidRDefault="00CE6CD7" w:rsidP="009B028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2.1 Research Design</w:t>
      </w:r>
    </w:p>
    <w:p w:rsidR="00864498" w:rsidRDefault="00CE6CD7" w:rsidP="009B028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research design can be seen in Figure 1.</w:t>
      </w:r>
    </w:p>
    <w:p w:rsidR="00864498" w:rsidRDefault="00CE6CD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198333" cy="2418457"/>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198333" cy="2418457"/>
                    </a:xfrm>
                    <a:prstGeom prst="rect">
                      <a:avLst/>
                    </a:prstGeom>
                    <a:ln/>
                  </pic:spPr>
                </pic:pic>
              </a:graphicData>
            </a:graphic>
          </wp:inline>
        </w:drawing>
      </w:r>
    </w:p>
    <w:p w:rsidR="00864498" w:rsidRDefault="009B028E">
      <w:pPr>
        <w:spacing w:before="24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sidR="00CE6CD7">
        <w:rPr>
          <w:rFonts w:ascii="Times New Roman" w:eastAsia="Times New Roman" w:hAnsi="Times New Roman" w:cs="Times New Roman"/>
          <w:sz w:val="24"/>
          <w:szCs w:val="24"/>
        </w:rPr>
        <w:t>igure 1: Research Design</w:t>
      </w:r>
    </w:p>
    <w:p w:rsidR="00864498" w:rsidRDefault="00CE6CD7" w:rsidP="009B028E">
      <w:pPr>
        <w:pBdr>
          <w:top w:val="nil"/>
          <w:left w:val="nil"/>
          <w:bottom w:val="nil"/>
          <w:right w:val="nil"/>
          <w:between w:val="nil"/>
        </w:pBdr>
        <w:spacing w:line="360" w:lineRule="auto"/>
        <w:ind w:left="720" w:hanging="7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2.2 Study Area</w:t>
      </w:r>
    </w:p>
    <w:p w:rsidR="00864498" w:rsidRDefault="00CE6CD7" w:rsidP="00FC72F5">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The unit of analysis in this study is MSMEs located in </w:t>
      </w:r>
      <w:proofErr w:type="spellStart"/>
      <w:r>
        <w:rPr>
          <w:rFonts w:ascii="Times New Roman" w:eastAsia="Times New Roman" w:hAnsi="Times New Roman" w:cs="Times New Roman"/>
          <w:sz w:val="24"/>
          <w:szCs w:val="24"/>
        </w:rPr>
        <w:t>Pandeglang</w:t>
      </w:r>
      <w:proofErr w:type="spellEnd"/>
      <w:r>
        <w:rPr>
          <w:rFonts w:ascii="Times New Roman" w:eastAsia="Times New Roman" w:hAnsi="Times New Roman" w:cs="Times New Roman"/>
          <w:sz w:val="24"/>
          <w:szCs w:val="24"/>
        </w:rPr>
        <w:t xml:space="preserve"> Regency that have implemented QRIS for business transactions. </w:t>
      </w:r>
      <w:proofErr w:type="spellStart"/>
      <w:r>
        <w:rPr>
          <w:rFonts w:ascii="Times New Roman" w:eastAsia="Times New Roman" w:hAnsi="Times New Roman" w:cs="Times New Roman"/>
          <w:sz w:val="24"/>
          <w:szCs w:val="24"/>
        </w:rPr>
        <w:t>Pandeglang</w:t>
      </w:r>
      <w:proofErr w:type="spellEnd"/>
      <w:r>
        <w:rPr>
          <w:rFonts w:ascii="Times New Roman" w:eastAsia="Times New Roman" w:hAnsi="Times New Roman" w:cs="Times New Roman"/>
          <w:sz w:val="24"/>
          <w:szCs w:val="24"/>
        </w:rPr>
        <w:t xml:space="preserve"> Regency was selected due to the significant growth of QRIS adoption among local MSMEs and its alignment with the research objectives concerning the roles of financial literacy, lifestyle, and QRIS effectiveness on business sustainability.</w:t>
      </w:r>
    </w:p>
    <w:p w:rsidR="00864498" w:rsidRDefault="00CE6CD7" w:rsidP="009B028E">
      <w:pPr>
        <w:pBdr>
          <w:top w:val="nil"/>
          <w:left w:val="nil"/>
          <w:bottom w:val="nil"/>
          <w:right w:val="nil"/>
          <w:between w:val="nil"/>
        </w:pBd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2.3 Data Collection</w:t>
      </w:r>
    </w:p>
    <w:p w:rsidR="00864498" w:rsidRPr="00FC72F5" w:rsidRDefault="00CE6CD7" w:rsidP="00FC72F5">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in this study were collected using techniques aligned with the quantitative approach. Data collection was conducted to obtain information on QRIS usage effectiveness, as influenced by financial literacy and lifestyle, and the impact on MSME business sustainability. Primary data were collected using a questionnaire distributed directly and via Google Forms</w:t>
      </w:r>
    </w:p>
    <w:p w:rsidR="00864498" w:rsidRDefault="00CE6CD7" w:rsidP="009B028E">
      <w:pPr>
        <w:pBdr>
          <w:top w:val="nil"/>
          <w:left w:val="nil"/>
          <w:bottom w:val="nil"/>
          <w:right w:val="nil"/>
          <w:between w:val="nil"/>
        </w:pBd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2.4 Sampling</w:t>
      </w:r>
    </w:p>
    <w:p w:rsidR="00864498" w:rsidRDefault="00CE6CD7" w:rsidP="009B028E">
      <w:pPr>
        <w:pBdr>
          <w:top w:val="nil"/>
          <w:left w:val="nil"/>
          <w:bottom w:val="nil"/>
          <w:right w:val="nil"/>
          <w:between w:val="nil"/>
        </w:pBd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sz w:val="24"/>
          <w:szCs w:val="24"/>
        </w:rPr>
        <w:t>Sampling is the process of selecting elements from the population to be studied as a sample. The sampling technique used in this study is simple random sampling. The required sample size for this study is 400 respondents, specifically MSMEs that have been using QRIS for at least 6 months.</w:t>
      </w:r>
      <w:r>
        <w:rPr>
          <w:rFonts w:ascii="Times New Roman" w:eastAsia="Times New Roman" w:hAnsi="Times New Roman" w:cs="Times New Roman"/>
          <w:b/>
          <w:bCs/>
          <w:color w:val="000000"/>
          <w:sz w:val="24"/>
          <w:szCs w:val="24"/>
        </w:rPr>
        <w:tab/>
      </w:r>
    </w:p>
    <w:p w:rsidR="00FC72F5" w:rsidRPr="009B028E" w:rsidRDefault="00FC72F5" w:rsidP="009B028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64498" w:rsidRDefault="00CE6CD7" w:rsidP="009B028E">
      <w:pPr>
        <w:pBdr>
          <w:top w:val="nil"/>
          <w:left w:val="nil"/>
          <w:bottom w:val="nil"/>
          <w:right w:val="nil"/>
          <w:between w:val="nil"/>
        </w:pBd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2.5 Data Analysis</w:t>
      </w:r>
    </w:p>
    <w:p w:rsidR="00864498" w:rsidRDefault="00CE6CD7" w:rsidP="009B02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analysis using Structural Equation </w:t>
      </w:r>
      <w:proofErr w:type="spellStart"/>
      <w:r>
        <w:rPr>
          <w:rFonts w:ascii="Times New Roman" w:eastAsia="Times New Roman" w:hAnsi="Times New Roman" w:cs="Times New Roman"/>
          <w:sz w:val="24"/>
          <w:szCs w:val="24"/>
        </w:rPr>
        <w:t>Modeling</w:t>
      </w:r>
      <w:proofErr w:type="spellEnd"/>
      <w:r>
        <w:rPr>
          <w:rFonts w:ascii="Times New Roman" w:eastAsia="Times New Roman" w:hAnsi="Times New Roman" w:cs="Times New Roman"/>
          <w:sz w:val="24"/>
          <w:szCs w:val="24"/>
        </w:rPr>
        <w:t xml:space="preserve"> with Partial Least Squares (PLS-</w:t>
      </w:r>
      <w:proofErr w:type="gramStart"/>
      <w:r>
        <w:rPr>
          <w:rFonts w:ascii="Times New Roman" w:eastAsia="Times New Roman" w:hAnsi="Times New Roman" w:cs="Times New Roman"/>
          <w:sz w:val="24"/>
          <w:szCs w:val="24"/>
        </w:rPr>
        <w:t>SEM)  facilitates</w:t>
      </w:r>
      <w:proofErr w:type="gramEnd"/>
      <w:r>
        <w:rPr>
          <w:rFonts w:ascii="Times New Roman" w:eastAsia="Times New Roman" w:hAnsi="Times New Roman" w:cs="Times New Roman"/>
          <w:sz w:val="24"/>
          <w:szCs w:val="24"/>
        </w:rPr>
        <w:t xml:space="preserve"> data analysis and interpretation (Zeng et al., 2021). Descriptive statistical tests were used to test the outer model for validity and reliability, as well as the inner model. (R², f², Q²), (3) uji </w:t>
      </w:r>
      <w:proofErr w:type="spellStart"/>
      <w:r>
        <w:rPr>
          <w:rFonts w:ascii="Times New Roman" w:eastAsia="Times New Roman" w:hAnsi="Times New Roman" w:cs="Times New Roman"/>
          <w:sz w:val="24"/>
          <w:szCs w:val="24"/>
        </w:rPr>
        <w:t>hipotesis</w:t>
      </w:r>
      <w:proofErr w:type="spellEnd"/>
      <w:r>
        <w:rPr>
          <w:rFonts w:ascii="Times New Roman" w:eastAsia="Times New Roman" w:hAnsi="Times New Roman" w:cs="Times New Roman"/>
          <w:sz w:val="24"/>
          <w:szCs w:val="24"/>
        </w:rPr>
        <w:t xml:space="preserve"> (path coefficient, t‑statistic, p‑value).</w:t>
      </w:r>
    </w:p>
    <w:p w:rsidR="00864498" w:rsidRDefault="00CE6CD7" w:rsidP="009B028E">
      <w:pPr>
        <w:pBdr>
          <w:top w:val="nil"/>
          <w:left w:val="nil"/>
          <w:bottom w:val="nil"/>
          <w:right w:val="nil"/>
          <w:between w:val="nil"/>
        </w:pBd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 Results and Discussion</w:t>
      </w:r>
    </w:p>
    <w:p w:rsidR="00864498" w:rsidRDefault="00CE6CD7" w:rsidP="00A611C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research data was </w:t>
      </w:r>
      <w:proofErr w:type="spellStart"/>
      <w:r>
        <w:rPr>
          <w:rFonts w:ascii="Times New Roman" w:eastAsia="Times New Roman" w:hAnsi="Times New Roman" w:cs="Times New Roman"/>
          <w:color w:val="000000"/>
          <w:sz w:val="24"/>
          <w:szCs w:val="24"/>
        </w:rPr>
        <w:t>analyzed</w:t>
      </w:r>
      <w:proofErr w:type="spellEnd"/>
      <w:r>
        <w:rPr>
          <w:rFonts w:ascii="Times New Roman" w:eastAsia="Times New Roman" w:hAnsi="Times New Roman" w:cs="Times New Roman"/>
          <w:color w:val="000000"/>
          <w:sz w:val="24"/>
          <w:szCs w:val="24"/>
        </w:rPr>
        <w:t xml:space="preserve"> using descriptive statistical tests with a total of 400 MSME respondents, 30% of whom were over 40 years old, 51.3% female, and 59.7% high school graduates.</w:t>
      </w:r>
    </w:p>
    <w:p w:rsidR="00864498" w:rsidRDefault="00CE6CD7">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Table</w:t>
      </w:r>
      <w:r>
        <w:rPr>
          <w:rFonts w:ascii="Times New Roman" w:eastAsia="Times New Roman" w:hAnsi="Times New Roman" w:cs="Times New Roman"/>
          <w:color w:val="000000"/>
          <w:sz w:val="24"/>
          <w:szCs w:val="24"/>
        </w:rPr>
        <w:t xml:space="preserve"> 1: </w:t>
      </w:r>
      <w:r>
        <w:rPr>
          <w:rFonts w:ascii="Times New Roman" w:eastAsia="Times New Roman" w:hAnsi="Times New Roman" w:cs="Times New Roman"/>
          <w:sz w:val="24"/>
          <w:szCs w:val="24"/>
        </w:rPr>
        <w:t>Descriptive Statistics</w:t>
      </w:r>
    </w:p>
    <w:tbl>
      <w:tblPr>
        <w:tblStyle w:val="a"/>
        <w:tblW w:w="7716" w:type="dxa"/>
        <w:tblInd w:w="832" w:type="dxa"/>
        <w:tblBorders>
          <w:top w:val="single" w:sz="4" w:space="0" w:color="000000"/>
          <w:left w:val="nil"/>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635"/>
        <w:gridCol w:w="1147"/>
        <w:gridCol w:w="1170"/>
        <w:gridCol w:w="737"/>
        <w:gridCol w:w="1422"/>
      </w:tblGrid>
      <w:tr w:rsidR="00864498" w:rsidTr="00A611CE">
        <w:trPr>
          <w:trHeight w:val="242"/>
        </w:trPr>
        <w:tc>
          <w:tcPr>
            <w:tcW w:w="2605" w:type="dxa"/>
            <w:tcBorders>
              <w:right w:val="nil"/>
            </w:tcBorders>
          </w:tcPr>
          <w:p w:rsidR="00864498" w:rsidRDefault="00CE6CD7">
            <w:r>
              <w:t>Variable</w:t>
            </w:r>
          </w:p>
        </w:tc>
        <w:tc>
          <w:tcPr>
            <w:tcW w:w="635" w:type="dxa"/>
            <w:tcBorders>
              <w:left w:val="nil"/>
              <w:right w:val="nil"/>
            </w:tcBorders>
          </w:tcPr>
          <w:p w:rsidR="00864498" w:rsidRDefault="00CE6CD7">
            <w:r>
              <w:t>N</w:t>
            </w:r>
          </w:p>
        </w:tc>
        <w:tc>
          <w:tcPr>
            <w:tcW w:w="1147" w:type="dxa"/>
            <w:tcBorders>
              <w:left w:val="nil"/>
              <w:bottom w:val="single" w:sz="4" w:space="0" w:color="000000"/>
              <w:right w:val="nil"/>
            </w:tcBorders>
          </w:tcPr>
          <w:p w:rsidR="00864498" w:rsidRDefault="00CE6CD7">
            <w:r>
              <w:t>Minimum</w:t>
            </w:r>
          </w:p>
        </w:tc>
        <w:tc>
          <w:tcPr>
            <w:tcW w:w="1170" w:type="dxa"/>
            <w:tcBorders>
              <w:left w:val="nil"/>
              <w:bottom w:val="single" w:sz="4" w:space="0" w:color="000000"/>
              <w:right w:val="nil"/>
            </w:tcBorders>
          </w:tcPr>
          <w:p w:rsidR="00864498" w:rsidRDefault="00CE6CD7">
            <w:r>
              <w:t>Maximum</w:t>
            </w:r>
          </w:p>
        </w:tc>
        <w:tc>
          <w:tcPr>
            <w:tcW w:w="737" w:type="dxa"/>
            <w:tcBorders>
              <w:left w:val="nil"/>
              <w:bottom w:val="single" w:sz="4" w:space="0" w:color="000000"/>
              <w:right w:val="nil"/>
            </w:tcBorders>
          </w:tcPr>
          <w:p w:rsidR="00864498" w:rsidRDefault="00CE6CD7">
            <w:r>
              <w:t>Mean</w:t>
            </w:r>
          </w:p>
        </w:tc>
        <w:tc>
          <w:tcPr>
            <w:tcW w:w="1422" w:type="dxa"/>
            <w:tcBorders>
              <w:left w:val="nil"/>
              <w:right w:val="nil"/>
            </w:tcBorders>
          </w:tcPr>
          <w:p w:rsidR="00864498" w:rsidRDefault="00CE6CD7">
            <w:r>
              <w:t>Standard Deviation</w:t>
            </w:r>
          </w:p>
        </w:tc>
      </w:tr>
      <w:tr w:rsidR="00864498" w:rsidTr="00A611CE">
        <w:trPr>
          <w:trHeight w:val="1280"/>
        </w:trPr>
        <w:tc>
          <w:tcPr>
            <w:tcW w:w="2605" w:type="dxa"/>
            <w:tcBorders>
              <w:right w:val="nil"/>
            </w:tcBorders>
          </w:tcPr>
          <w:p w:rsidR="00864498" w:rsidRDefault="00CE6CD7">
            <w:pPr>
              <w:rPr>
                <w:rFonts w:ascii="Times New Roman" w:eastAsia="Times New Roman" w:hAnsi="Times New Roman" w:cs="Times New Roman"/>
              </w:rPr>
            </w:pPr>
            <w:r>
              <w:rPr>
                <w:rFonts w:ascii="Times New Roman" w:eastAsia="Times New Roman" w:hAnsi="Times New Roman" w:cs="Times New Roman"/>
              </w:rPr>
              <w:t>Financial Literacy</w:t>
            </w:r>
          </w:p>
          <w:p w:rsidR="00864498" w:rsidRDefault="00CE6CD7">
            <w:pPr>
              <w:rPr>
                <w:rFonts w:ascii="Times New Roman" w:eastAsia="Times New Roman" w:hAnsi="Times New Roman" w:cs="Times New Roman"/>
              </w:rPr>
            </w:pPr>
            <w:r>
              <w:rPr>
                <w:rFonts w:ascii="Times New Roman" w:eastAsia="Times New Roman" w:hAnsi="Times New Roman" w:cs="Times New Roman"/>
              </w:rPr>
              <w:t>Lifestyle</w:t>
            </w:r>
          </w:p>
          <w:p w:rsidR="00864498" w:rsidRDefault="00CE6CD7">
            <w:pPr>
              <w:rPr>
                <w:rFonts w:ascii="Times New Roman" w:eastAsia="Times New Roman" w:hAnsi="Times New Roman" w:cs="Times New Roman"/>
              </w:rPr>
            </w:pPr>
            <w:r>
              <w:rPr>
                <w:rFonts w:ascii="Times New Roman" w:eastAsia="Times New Roman" w:hAnsi="Times New Roman" w:cs="Times New Roman"/>
              </w:rPr>
              <w:t>Sustainability</w:t>
            </w:r>
          </w:p>
          <w:p w:rsidR="00864498" w:rsidRDefault="00CE6CD7">
            <w:r>
              <w:rPr>
                <w:rFonts w:ascii="Times New Roman" w:eastAsia="Times New Roman" w:hAnsi="Times New Roman" w:cs="Times New Roman"/>
                <w:color w:val="000000"/>
              </w:rPr>
              <w:t>Effectiveness of QRIS Use</w:t>
            </w:r>
          </w:p>
          <w:p w:rsidR="00864498" w:rsidRDefault="00864498"/>
        </w:tc>
        <w:tc>
          <w:tcPr>
            <w:tcW w:w="635" w:type="dxa"/>
            <w:tcBorders>
              <w:left w:val="nil"/>
              <w:right w:val="nil"/>
            </w:tcBorders>
          </w:tcPr>
          <w:p w:rsidR="00864498" w:rsidRDefault="00CE6CD7">
            <w:r>
              <w:t>400</w:t>
            </w:r>
          </w:p>
          <w:p w:rsidR="00864498" w:rsidRDefault="00CE6CD7">
            <w:r>
              <w:t>400</w:t>
            </w:r>
          </w:p>
          <w:p w:rsidR="00864498" w:rsidRDefault="00CE6CD7">
            <w:r>
              <w:t>400</w:t>
            </w:r>
          </w:p>
          <w:p w:rsidR="00864498" w:rsidRDefault="00CE6CD7">
            <w:r>
              <w:t>400</w:t>
            </w:r>
          </w:p>
        </w:tc>
        <w:tc>
          <w:tcPr>
            <w:tcW w:w="1147" w:type="dxa"/>
            <w:tcBorders>
              <w:left w:val="nil"/>
              <w:right w:val="nil"/>
            </w:tcBorders>
          </w:tcPr>
          <w:p w:rsidR="00864498" w:rsidRDefault="00CE6CD7">
            <w:r>
              <w:t>1</w:t>
            </w:r>
          </w:p>
          <w:p w:rsidR="00864498" w:rsidRDefault="00CE6CD7">
            <w:r>
              <w:t>1</w:t>
            </w:r>
          </w:p>
          <w:p w:rsidR="00864498" w:rsidRDefault="00CE6CD7">
            <w:r>
              <w:t>1</w:t>
            </w:r>
          </w:p>
          <w:p w:rsidR="00864498" w:rsidRDefault="00CE6CD7">
            <w:r>
              <w:t>1</w:t>
            </w:r>
          </w:p>
        </w:tc>
        <w:tc>
          <w:tcPr>
            <w:tcW w:w="1170" w:type="dxa"/>
            <w:tcBorders>
              <w:left w:val="nil"/>
              <w:right w:val="nil"/>
            </w:tcBorders>
          </w:tcPr>
          <w:p w:rsidR="00864498" w:rsidRDefault="00CE6CD7">
            <w:r>
              <w:t>5</w:t>
            </w:r>
          </w:p>
          <w:p w:rsidR="00864498" w:rsidRDefault="00CE6CD7">
            <w:r>
              <w:t>5</w:t>
            </w:r>
          </w:p>
          <w:p w:rsidR="00864498" w:rsidRDefault="00CE6CD7">
            <w:r>
              <w:t>5</w:t>
            </w:r>
          </w:p>
          <w:p w:rsidR="00864498" w:rsidRDefault="00CE6CD7">
            <w:r>
              <w:t>5</w:t>
            </w:r>
          </w:p>
        </w:tc>
        <w:tc>
          <w:tcPr>
            <w:tcW w:w="737" w:type="dxa"/>
            <w:tcBorders>
              <w:left w:val="nil"/>
              <w:right w:val="nil"/>
            </w:tcBorders>
          </w:tcPr>
          <w:p w:rsidR="00864498" w:rsidRDefault="00CE6CD7">
            <w:r>
              <w:t>3.64</w:t>
            </w:r>
          </w:p>
          <w:p w:rsidR="00864498" w:rsidRDefault="00CE6CD7">
            <w:r>
              <w:t>3,53</w:t>
            </w:r>
          </w:p>
          <w:p w:rsidR="00864498" w:rsidRDefault="00CE6CD7">
            <w:r>
              <w:t>3.80</w:t>
            </w:r>
          </w:p>
          <w:p w:rsidR="00864498" w:rsidRDefault="00CE6CD7">
            <w:r>
              <w:t>3.99</w:t>
            </w:r>
          </w:p>
        </w:tc>
        <w:tc>
          <w:tcPr>
            <w:tcW w:w="1422" w:type="dxa"/>
            <w:tcBorders>
              <w:left w:val="nil"/>
              <w:right w:val="nil"/>
            </w:tcBorders>
          </w:tcPr>
          <w:p w:rsidR="00864498" w:rsidRDefault="00CE6CD7">
            <w:r>
              <w:t>1,01</w:t>
            </w:r>
          </w:p>
          <w:p w:rsidR="00864498" w:rsidRDefault="00CE6CD7">
            <w:r>
              <w:t>1,39</w:t>
            </w:r>
          </w:p>
          <w:p w:rsidR="00864498" w:rsidRDefault="00CE6CD7">
            <w:pPr>
              <w:tabs>
                <w:tab w:val="left" w:pos="954"/>
              </w:tabs>
            </w:pPr>
            <w:r>
              <w:t>0.99</w:t>
            </w:r>
          </w:p>
          <w:p w:rsidR="00864498" w:rsidRDefault="00CE6CD7">
            <w:r>
              <w:t>0,72</w:t>
            </w:r>
          </w:p>
        </w:tc>
      </w:tr>
    </w:tbl>
    <w:p w:rsidR="00864498" w:rsidRDefault="00864498">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9B028E" w:rsidRDefault="00CE6CD7" w:rsidP="009B028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The descriptive statistical analysis shows that MSMEs demonstrate adequate financial literacy, lifestyle characteristics aligned with digital technology adoption, high QRIS usage effectiveness, and </w:t>
      </w:r>
      <w:proofErr w:type="spellStart"/>
      <w:r>
        <w:rPr>
          <w:rFonts w:ascii="Times New Roman" w:eastAsia="Times New Roman" w:hAnsi="Times New Roman" w:cs="Times New Roman"/>
          <w:sz w:val="24"/>
          <w:szCs w:val="24"/>
        </w:rPr>
        <w:t>favorable</w:t>
      </w:r>
      <w:proofErr w:type="spellEnd"/>
      <w:r>
        <w:rPr>
          <w:rFonts w:ascii="Times New Roman" w:eastAsia="Times New Roman" w:hAnsi="Times New Roman" w:cs="Times New Roman"/>
          <w:sz w:val="24"/>
          <w:szCs w:val="24"/>
        </w:rPr>
        <w:t xml:space="preserve"> business sustainability. These results suggest that QRIS-based digital transformation is positively associated with long-term business sustainability among MSMEs</w:t>
      </w:r>
      <w:r>
        <w:rPr>
          <w:rFonts w:ascii="Times New Roman" w:eastAsia="Times New Roman" w:hAnsi="Times New Roman" w:cs="Times New Roman"/>
          <w:color w:val="000000"/>
          <w:sz w:val="24"/>
          <w:szCs w:val="24"/>
        </w:rPr>
        <w:t>.</w:t>
      </w:r>
    </w:p>
    <w:p w:rsidR="00864498" w:rsidRDefault="00A611CE" w:rsidP="00A611C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noProof/>
        </w:rPr>
        <w:drawing>
          <wp:anchor distT="0" distB="0" distL="114300" distR="114300" simplePos="0" relativeHeight="251658240" behindDoc="0" locked="0" layoutInCell="1" hidden="0" allowOverlap="1">
            <wp:simplePos x="0" y="0"/>
            <wp:positionH relativeFrom="column">
              <wp:posOffset>476885</wp:posOffset>
            </wp:positionH>
            <wp:positionV relativeFrom="paragraph">
              <wp:posOffset>318770</wp:posOffset>
            </wp:positionV>
            <wp:extent cx="4781550" cy="225361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781550" cy="2253615"/>
                    </a:xfrm>
                    <a:prstGeom prst="rect">
                      <a:avLst/>
                    </a:prstGeom>
                    <a:ln/>
                  </pic:spPr>
                </pic:pic>
              </a:graphicData>
            </a:graphic>
          </wp:anchor>
        </w:drawing>
      </w:r>
      <w:r w:rsidR="00CE6CD7">
        <w:rPr>
          <w:rFonts w:ascii="Times New Roman" w:eastAsia="Times New Roman" w:hAnsi="Times New Roman" w:cs="Times New Roman"/>
          <w:sz w:val="24"/>
          <w:szCs w:val="24"/>
        </w:rPr>
        <w:t>The results of the outer model assessment for validity and reliability are presented in the figure</w:t>
      </w:r>
      <w:r w:rsidR="00CE6CD7">
        <w:t xml:space="preserve"> </w:t>
      </w:r>
    </w:p>
    <w:p w:rsidR="00864498" w:rsidRDefault="00864498">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864498" w:rsidRDefault="00864498">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864498" w:rsidRDefault="00864498">
      <w:pPr>
        <w:spacing w:before="240" w:after="0" w:line="240" w:lineRule="auto"/>
        <w:jc w:val="both"/>
        <w:rPr>
          <w:rFonts w:ascii="Times New Roman" w:eastAsia="Times New Roman" w:hAnsi="Times New Roman" w:cs="Times New Roman"/>
          <w:sz w:val="24"/>
          <w:szCs w:val="24"/>
        </w:rPr>
      </w:pPr>
    </w:p>
    <w:p w:rsidR="00864498" w:rsidRDefault="00864498">
      <w:pPr>
        <w:spacing w:before="240" w:after="0" w:line="240" w:lineRule="auto"/>
        <w:jc w:val="both"/>
        <w:rPr>
          <w:rFonts w:ascii="Times New Roman" w:eastAsia="Times New Roman" w:hAnsi="Times New Roman" w:cs="Times New Roman"/>
          <w:sz w:val="24"/>
          <w:szCs w:val="24"/>
        </w:rPr>
      </w:pPr>
    </w:p>
    <w:p w:rsidR="00864498" w:rsidRDefault="00864498">
      <w:pPr>
        <w:spacing w:before="240" w:after="0" w:line="240" w:lineRule="auto"/>
        <w:jc w:val="both"/>
        <w:rPr>
          <w:rFonts w:ascii="Times New Roman" w:eastAsia="Times New Roman" w:hAnsi="Times New Roman" w:cs="Times New Roman"/>
          <w:sz w:val="24"/>
          <w:szCs w:val="24"/>
        </w:rPr>
      </w:pPr>
    </w:p>
    <w:p w:rsidR="009B028E" w:rsidRDefault="009B028E">
      <w:pPr>
        <w:spacing w:before="240" w:after="0" w:line="240" w:lineRule="auto"/>
        <w:jc w:val="both"/>
        <w:rPr>
          <w:rFonts w:ascii="Times New Roman" w:eastAsia="Times New Roman" w:hAnsi="Times New Roman" w:cs="Times New Roman"/>
          <w:sz w:val="24"/>
          <w:szCs w:val="24"/>
        </w:rPr>
      </w:pPr>
    </w:p>
    <w:p w:rsidR="009B028E" w:rsidRDefault="009B028E">
      <w:pPr>
        <w:spacing w:before="240" w:after="0" w:line="240" w:lineRule="auto"/>
        <w:jc w:val="both"/>
        <w:rPr>
          <w:rFonts w:ascii="Times New Roman" w:eastAsia="Times New Roman" w:hAnsi="Times New Roman" w:cs="Times New Roman"/>
          <w:sz w:val="24"/>
          <w:szCs w:val="24"/>
        </w:rPr>
      </w:pPr>
    </w:p>
    <w:p w:rsidR="009B028E" w:rsidRDefault="009B028E" w:rsidP="009B028E">
      <w:pPr>
        <w:spacing w:before="24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w:t>
      </w:r>
      <w:r>
        <w:t xml:space="preserve"> </w:t>
      </w:r>
      <w:r>
        <w:rPr>
          <w:rFonts w:ascii="Times New Roman" w:eastAsia="Times New Roman" w:hAnsi="Times New Roman" w:cs="Times New Roman"/>
          <w:sz w:val="24"/>
          <w:szCs w:val="24"/>
        </w:rPr>
        <w:t>Structural Outer Model Test</w:t>
      </w:r>
    </w:p>
    <w:p w:rsidR="00864498" w:rsidRDefault="00CE6CD7" w:rsidP="00515F16">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Construct validity assessment was performed on the outer model to confirm the constructs met requirements prior to the subsequent research stage. The assessment addressed two types of validity: convergent and discriminant. Convergent validity was evaluated using Average Variance Extracted (AVE) values and factor loading scores to confirm indicator consistency within the same construct.</w:t>
      </w:r>
    </w:p>
    <w:p w:rsidR="00864498" w:rsidRDefault="00CE6CD7">
      <w:pPr>
        <w:tabs>
          <w:tab w:val="left" w:pos="4800"/>
        </w:tabs>
        <w:spacing w:before="24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2: </w:t>
      </w:r>
      <w:r>
        <w:rPr>
          <w:rFonts w:ascii="Times New Roman" w:eastAsia="Times New Roman" w:hAnsi="Times New Roman" w:cs="Times New Roman"/>
          <w:i/>
          <w:iCs/>
          <w:sz w:val="24"/>
          <w:szCs w:val="24"/>
        </w:rPr>
        <w:t>Average Variance Extracted</w:t>
      </w:r>
      <w:r>
        <w:rPr>
          <w:rFonts w:ascii="Times New Roman" w:eastAsia="Times New Roman" w:hAnsi="Times New Roman" w:cs="Times New Roman"/>
          <w:sz w:val="24"/>
          <w:szCs w:val="24"/>
        </w:rPr>
        <w:t xml:space="preserve"> (AVE)</w:t>
      </w:r>
    </w:p>
    <w:tbl>
      <w:tblPr>
        <w:tblStyle w:val="a0"/>
        <w:tblW w:w="8157"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8"/>
        <w:gridCol w:w="4079"/>
      </w:tblGrid>
      <w:tr w:rsidR="00864498" w:rsidRPr="00FC72F5">
        <w:tc>
          <w:tcPr>
            <w:tcW w:w="4078" w:type="dxa"/>
            <w:tcBorders>
              <w:top w:val="single" w:sz="4" w:space="0" w:color="000000"/>
              <w:left w:val="single" w:sz="4" w:space="0" w:color="000000"/>
              <w:bottom w:val="single" w:sz="4" w:space="0" w:color="000000"/>
              <w:right w:val="nil"/>
            </w:tcBorders>
          </w:tcPr>
          <w:p w:rsidR="00864498" w:rsidRPr="00FC72F5" w:rsidRDefault="00CE6CD7">
            <w:pPr>
              <w:tabs>
                <w:tab w:val="left" w:pos="7371"/>
              </w:tabs>
              <w:jc w:val="center"/>
              <w:rPr>
                <w:rFonts w:ascii="Times New Roman" w:eastAsia="Times New Roman" w:hAnsi="Times New Roman" w:cs="Times New Roman"/>
                <w:sz w:val="24"/>
                <w:szCs w:val="24"/>
              </w:rPr>
            </w:pPr>
            <w:r w:rsidRPr="00FC72F5">
              <w:rPr>
                <w:rFonts w:ascii="Times New Roman" w:eastAsia="Times New Roman" w:hAnsi="Times New Roman" w:cs="Times New Roman"/>
                <w:sz w:val="24"/>
                <w:szCs w:val="24"/>
              </w:rPr>
              <w:t>Variable</w:t>
            </w:r>
          </w:p>
        </w:tc>
        <w:tc>
          <w:tcPr>
            <w:tcW w:w="4079" w:type="dxa"/>
            <w:tcBorders>
              <w:top w:val="single" w:sz="4" w:space="0" w:color="000000"/>
              <w:left w:val="nil"/>
              <w:bottom w:val="single" w:sz="4" w:space="0" w:color="000000"/>
              <w:right w:val="single" w:sz="4" w:space="0" w:color="000000"/>
            </w:tcBorders>
          </w:tcPr>
          <w:p w:rsidR="00864498" w:rsidRPr="00FC72F5" w:rsidRDefault="00CE6CD7">
            <w:pPr>
              <w:tabs>
                <w:tab w:val="left" w:pos="7371"/>
              </w:tabs>
              <w:jc w:val="center"/>
              <w:rPr>
                <w:rFonts w:ascii="Times New Roman" w:eastAsia="Times New Roman" w:hAnsi="Times New Roman" w:cs="Times New Roman"/>
                <w:sz w:val="24"/>
                <w:szCs w:val="24"/>
              </w:rPr>
            </w:pPr>
            <w:r w:rsidRPr="00FC72F5">
              <w:rPr>
                <w:rFonts w:ascii="Times New Roman" w:eastAsia="Times New Roman" w:hAnsi="Times New Roman" w:cs="Times New Roman"/>
                <w:sz w:val="24"/>
                <w:szCs w:val="24"/>
              </w:rPr>
              <w:t>Average variance extracted (AVE)</w:t>
            </w:r>
          </w:p>
        </w:tc>
      </w:tr>
      <w:tr w:rsidR="00864498" w:rsidRPr="00FC72F5">
        <w:tc>
          <w:tcPr>
            <w:tcW w:w="4078" w:type="dxa"/>
            <w:tcBorders>
              <w:top w:val="single" w:sz="4" w:space="0" w:color="000000"/>
              <w:left w:val="single" w:sz="4" w:space="0" w:color="000000"/>
              <w:bottom w:val="nil"/>
              <w:right w:val="nil"/>
            </w:tcBorders>
            <w:vAlign w:val="center"/>
          </w:tcPr>
          <w:p w:rsidR="00864498" w:rsidRPr="00FC72F5" w:rsidRDefault="00CE6CD7">
            <w:pPr>
              <w:tabs>
                <w:tab w:val="left" w:pos="7371"/>
              </w:tabs>
              <w:rPr>
                <w:rFonts w:ascii="Times New Roman" w:eastAsia="Times New Roman" w:hAnsi="Times New Roman" w:cs="Times New Roman"/>
                <w:sz w:val="24"/>
                <w:szCs w:val="24"/>
              </w:rPr>
            </w:pPr>
            <w:r w:rsidRPr="00FC72F5">
              <w:rPr>
                <w:rFonts w:ascii="Times New Roman" w:eastAsia="Times New Roman" w:hAnsi="Times New Roman" w:cs="Times New Roman"/>
                <w:sz w:val="24"/>
                <w:szCs w:val="24"/>
              </w:rPr>
              <w:t>Financial Literacy</w:t>
            </w:r>
          </w:p>
        </w:tc>
        <w:tc>
          <w:tcPr>
            <w:tcW w:w="4079" w:type="dxa"/>
            <w:tcBorders>
              <w:top w:val="single" w:sz="4" w:space="0" w:color="000000"/>
              <w:left w:val="nil"/>
              <w:bottom w:val="nil"/>
              <w:right w:val="single" w:sz="4" w:space="0" w:color="000000"/>
            </w:tcBorders>
            <w:vAlign w:val="center"/>
          </w:tcPr>
          <w:p w:rsidR="00864498" w:rsidRPr="00FC72F5" w:rsidRDefault="00CE6CD7">
            <w:pPr>
              <w:tabs>
                <w:tab w:val="left" w:pos="7371"/>
              </w:tabs>
              <w:jc w:val="center"/>
              <w:rPr>
                <w:rFonts w:ascii="Times New Roman" w:eastAsia="Times New Roman" w:hAnsi="Times New Roman" w:cs="Times New Roman"/>
                <w:sz w:val="24"/>
                <w:szCs w:val="24"/>
              </w:rPr>
            </w:pPr>
            <w:r w:rsidRPr="00FC72F5">
              <w:rPr>
                <w:rFonts w:ascii="Times New Roman" w:eastAsia="Times New Roman" w:hAnsi="Times New Roman" w:cs="Times New Roman"/>
                <w:sz w:val="24"/>
                <w:szCs w:val="24"/>
              </w:rPr>
              <w:t>0,731</w:t>
            </w:r>
          </w:p>
        </w:tc>
      </w:tr>
      <w:tr w:rsidR="00864498" w:rsidRPr="00FC72F5">
        <w:tc>
          <w:tcPr>
            <w:tcW w:w="4078" w:type="dxa"/>
            <w:tcBorders>
              <w:top w:val="nil"/>
              <w:left w:val="single" w:sz="4" w:space="0" w:color="000000"/>
              <w:bottom w:val="nil"/>
              <w:right w:val="nil"/>
            </w:tcBorders>
            <w:vAlign w:val="center"/>
          </w:tcPr>
          <w:p w:rsidR="00864498" w:rsidRPr="00FC72F5" w:rsidRDefault="00CE6CD7">
            <w:pPr>
              <w:tabs>
                <w:tab w:val="left" w:pos="7371"/>
              </w:tabs>
              <w:rPr>
                <w:rFonts w:ascii="Times New Roman" w:eastAsia="Times New Roman" w:hAnsi="Times New Roman" w:cs="Times New Roman"/>
                <w:sz w:val="24"/>
                <w:szCs w:val="24"/>
              </w:rPr>
            </w:pPr>
            <w:r w:rsidRPr="00FC72F5">
              <w:rPr>
                <w:rFonts w:ascii="Times New Roman" w:eastAsia="Times New Roman" w:hAnsi="Times New Roman" w:cs="Times New Roman"/>
                <w:i/>
                <w:iCs/>
                <w:sz w:val="24"/>
                <w:szCs w:val="24"/>
              </w:rPr>
              <w:t xml:space="preserve">Lifestyle </w:t>
            </w:r>
          </w:p>
        </w:tc>
        <w:tc>
          <w:tcPr>
            <w:tcW w:w="4079" w:type="dxa"/>
            <w:tcBorders>
              <w:top w:val="nil"/>
              <w:left w:val="nil"/>
              <w:bottom w:val="nil"/>
              <w:right w:val="single" w:sz="4" w:space="0" w:color="000000"/>
            </w:tcBorders>
            <w:vAlign w:val="center"/>
          </w:tcPr>
          <w:p w:rsidR="00864498" w:rsidRPr="00FC72F5" w:rsidRDefault="00CE6CD7">
            <w:pPr>
              <w:tabs>
                <w:tab w:val="left" w:pos="7371"/>
              </w:tabs>
              <w:jc w:val="center"/>
              <w:rPr>
                <w:rFonts w:ascii="Times New Roman" w:eastAsia="Times New Roman" w:hAnsi="Times New Roman" w:cs="Times New Roman"/>
                <w:sz w:val="24"/>
                <w:szCs w:val="24"/>
              </w:rPr>
            </w:pPr>
            <w:r w:rsidRPr="00FC72F5">
              <w:rPr>
                <w:rFonts w:ascii="Times New Roman" w:eastAsia="Times New Roman" w:hAnsi="Times New Roman" w:cs="Times New Roman"/>
                <w:sz w:val="24"/>
                <w:szCs w:val="24"/>
              </w:rPr>
              <w:t>0,856</w:t>
            </w:r>
          </w:p>
        </w:tc>
      </w:tr>
      <w:tr w:rsidR="00864498" w:rsidRPr="00FC72F5">
        <w:tc>
          <w:tcPr>
            <w:tcW w:w="4078" w:type="dxa"/>
            <w:tcBorders>
              <w:top w:val="nil"/>
              <w:left w:val="single" w:sz="4" w:space="0" w:color="000000"/>
              <w:bottom w:val="nil"/>
              <w:right w:val="nil"/>
            </w:tcBorders>
            <w:vAlign w:val="center"/>
          </w:tcPr>
          <w:p w:rsidR="00864498" w:rsidRPr="00FC72F5" w:rsidRDefault="00CE6CD7">
            <w:pPr>
              <w:tabs>
                <w:tab w:val="left" w:pos="7371"/>
              </w:tabs>
              <w:rPr>
                <w:rFonts w:ascii="Times New Roman" w:eastAsia="Times New Roman" w:hAnsi="Times New Roman" w:cs="Times New Roman"/>
                <w:sz w:val="24"/>
                <w:szCs w:val="24"/>
              </w:rPr>
            </w:pPr>
            <w:r w:rsidRPr="00FC72F5">
              <w:rPr>
                <w:rFonts w:ascii="Times New Roman" w:eastAsia="Times New Roman" w:hAnsi="Times New Roman" w:cs="Times New Roman"/>
                <w:sz w:val="24"/>
                <w:szCs w:val="24"/>
              </w:rPr>
              <w:t>Sustainability SMEs</w:t>
            </w:r>
          </w:p>
        </w:tc>
        <w:tc>
          <w:tcPr>
            <w:tcW w:w="4079" w:type="dxa"/>
            <w:tcBorders>
              <w:top w:val="nil"/>
              <w:left w:val="nil"/>
              <w:bottom w:val="nil"/>
              <w:right w:val="single" w:sz="4" w:space="0" w:color="000000"/>
            </w:tcBorders>
            <w:vAlign w:val="center"/>
          </w:tcPr>
          <w:p w:rsidR="00864498" w:rsidRPr="00FC72F5" w:rsidRDefault="00CE6CD7">
            <w:pPr>
              <w:tabs>
                <w:tab w:val="left" w:pos="7371"/>
              </w:tabs>
              <w:jc w:val="center"/>
              <w:rPr>
                <w:rFonts w:ascii="Times New Roman" w:eastAsia="Times New Roman" w:hAnsi="Times New Roman" w:cs="Times New Roman"/>
                <w:sz w:val="24"/>
                <w:szCs w:val="24"/>
              </w:rPr>
            </w:pPr>
            <w:r w:rsidRPr="00FC72F5">
              <w:rPr>
                <w:rFonts w:ascii="Times New Roman" w:eastAsia="Times New Roman" w:hAnsi="Times New Roman" w:cs="Times New Roman"/>
                <w:sz w:val="24"/>
                <w:szCs w:val="24"/>
              </w:rPr>
              <w:t>0,719</w:t>
            </w:r>
          </w:p>
        </w:tc>
      </w:tr>
      <w:tr w:rsidR="00864498" w:rsidRPr="00FC72F5">
        <w:tc>
          <w:tcPr>
            <w:tcW w:w="4078" w:type="dxa"/>
            <w:tcBorders>
              <w:top w:val="nil"/>
              <w:left w:val="single" w:sz="4" w:space="0" w:color="000000"/>
              <w:bottom w:val="single" w:sz="4" w:space="0" w:color="000000"/>
              <w:right w:val="nil"/>
            </w:tcBorders>
            <w:vAlign w:val="center"/>
          </w:tcPr>
          <w:p w:rsidR="00864498" w:rsidRPr="00FC72F5" w:rsidRDefault="00CE6CD7">
            <w:pPr>
              <w:tabs>
                <w:tab w:val="left" w:pos="7371"/>
              </w:tabs>
              <w:rPr>
                <w:rFonts w:ascii="Times New Roman" w:eastAsia="Times New Roman" w:hAnsi="Times New Roman" w:cs="Times New Roman"/>
                <w:i/>
                <w:iCs/>
                <w:sz w:val="24"/>
                <w:szCs w:val="24"/>
              </w:rPr>
            </w:pPr>
            <w:r w:rsidRPr="00FC72F5">
              <w:rPr>
                <w:rFonts w:ascii="Times New Roman" w:eastAsia="Times New Roman" w:hAnsi="Times New Roman" w:cs="Times New Roman"/>
                <w:sz w:val="24"/>
                <w:szCs w:val="24"/>
              </w:rPr>
              <w:t xml:space="preserve">effectiveness </w:t>
            </w:r>
            <w:r w:rsidRPr="00FC72F5">
              <w:rPr>
                <w:rFonts w:ascii="Times New Roman" w:eastAsia="Times New Roman" w:hAnsi="Times New Roman" w:cs="Times New Roman"/>
                <w:i/>
                <w:iCs/>
                <w:sz w:val="24"/>
                <w:szCs w:val="24"/>
              </w:rPr>
              <w:t>QRIS</w:t>
            </w:r>
            <w:r w:rsidRPr="00FC72F5">
              <w:rPr>
                <w:rFonts w:ascii="Times New Roman" w:eastAsia="Times New Roman" w:hAnsi="Times New Roman" w:cs="Times New Roman"/>
                <w:sz w:val="24"/>
                <w:szCs w:val="24"/>
              </w:rPr>
              <w:t>)</w:t>
            </w:r>
          </w:p>
        </w:tc>
        <w:tc>
          <w:tcPr>
            <w:tcW w:w="4079" w:type="dxa"/>
            <w:tcBorders>
              <w:top w:val="nil"/>
              <w:left w:val="nil"/>
              <w:bottom w:val="single" w:sz="4" w:space="0" w:color="000000"/>
              <w:right w:val="single" w:sz="4" w:space="0" w:color="000000"/>
            </w:tcBorders>
            <w:vAlign w:val="center"/>
          </w:tcPr>
          <w:p w:rsidR="00864498" w:rsidRPr="00FC72F5" w:rsidRDefault="00CE6CD7">
            <w:pPr>
              <w:tabs>
                <w:tab w:val="left" w:pos="7371"/>
              </w:tabs>
              <w:jc w:val="center"/>
              <w:rPr>
                <w:rFonts w:ascii="Times New Roman" w:eastAsia="Times New Roman" w:hAnsi="Times New Roman" w:cs="Times New Roman"/>
                <w:sz w:val="24"/>
                <w:szCs w:val="24"/>
              </w:rPr>
            </w:pPr>
            <w:r w:rsidRPr="00FC72F5">
              <w:rPr>
                <w:rFonts w:ascii="Times New Roman" w:eastAsia="Times New Roman" w:hAnsi="Times New Roman" w:cs="Times New Roman"/>
                <w:sz w:val="24"/>
                <w:szCs w:val="24"/>
              </w:rPr>
              <w:t>0,632</w:t>
            </w:r>
          </w:p>
        </w:tc>
      </w:tr>
    </w:tbl>
    <w:p w:rsidR="00FC72F5" w:rsidRDefault="00CE6CD7" w:rsidP="00A611CE">
      <w:pPr>
        <w:spacing w:before="24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2 shows that all research variables met the reliability criteria after confirming validity requirements were satisfied. The inner model in Partial Least Squares Structural Equation Mode</w:t>
      </w:r>
      <w:r w:rsidR="005056C7">
        <w:rPr>
          <w:rFonts w:ascii="Times New Roman" w:eastAsia="Times New Roman" w:hAnsi="Times New Roman" w:cs="Times New Roman"/>
          <w:sz w:val="24"/>
          <w:szCs w:val="24"/>
        </w:rPr>
        <w:t>l</w:t>
      </w:r>
      <w:r>
        <w:rPr>
          <w:rFonts w:ascii="Times New Roman" w:eastAsia="Times New Roman" w:hAnsi="Times New Roman" w:cs="Times New Roman"/>
          <w:sz w:val="24"/>
          <w:szCs w:val="24"/>
        </w:rPr>
        <w:t>ling (PLS-SEM) was then assessed to examine relationships between latent variables and evaluate the model's explanatory power for the dependent variable. The inner model evaluation focused on two criteria: path coefficients and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rsidR="00864498" w:rsidRDefault="00CE6CD7">
      <w:pPr>
        <w:tabs>
          <w:tab w:val="left" w:pos="4800"/>
        </w:tabs>
        <w:spacing w:after="0" w:line="360" w:lineRule="auto"/>
        <w:jc w:val="center"/>
        <w:rPr>
          <w:rFonts w:ascii="Times New Roman" w:eastAsia="Times New Roman" w:hAnsi="Times New Roman" w:cs="Times New Roman"/>
          <w:b/>
          <w:bCs/>
          <w:i/>
          <w:iCs/>
        </w:rPr>
      </w:pPr>
      <w:r>
        <w:rPr>
          <w:rFonts w:ascii="Times New Roman" w:eastAsia="Times New Roman" w:hAnsi="Times New Roman" w:cs="Times New Roman"/>
          <w:b/>
          <w:bCs/>
        </w:rPr>
        <w:t>Table 3: Outer Model</w:t>
      </w:r>
    </w:p>
    <w:tbl>
      <w:tblPr>
        <w:tblStyle w:val="a1"/>
        <w:tblW w:w="9555" w:type="dxa"/>
        <w:tblInd w:w="-20" w:type="dxa"/>
        <w:tblLayout w:type="fixed"/>
        <w:tblLook w:val="0400" w:firstRow="0" w:lastRow="0" w:firstColumn="0" w:lastColumn="0" w:noHBand="0" w:noVBand="1"/>
      </w:tblPr>
      <w:tblGrid>
        <w:gridCol w:w="2519"/>
        <w:gridCol w:w="1077"/>
        <w:gridCol w:w="1043"/>
        <w:gridCol w:w="1079"/>
        <w:gridCol w:w="1300"/>
        <w:gridCol w:w="778"/>
        <w:gridCol w:w="778"/>
        <w:gridCol w:w="981"/>
      </w:tblGrid>
      <w:tr w:rsidR="00864498" w:rsidRPr="00FC72F5" w:rsidTr="00FC72F5">
        <w:trPr>
          <w:trHeight w:val="552"/>
        </w:trPr>
        <w:tc>
          <w:tcPr>
            <w:tcW w:w="2519" w:type="dxa"/>
            <w:tcBorders>
              <w:top w:val="single" w:sz="4" w:space="0" w:color="000000"/>
              <w:left w:val="single" w:sz="4" w:space="0" w:color="000000"/>
              <w:bottom w:val="single" w:sz="4" w:space="0" w:color="000000"/>
            </w:tcBorders>
            <w:tcMar>
              <w:top w:w="0" w:type="dxa"/>
              <w:left w:w="120" w:type="dxa"/>
              <w:bottom w:w="0" w:type="dxa"/>
              <w:right w:w="120" w:type="dxa"/>
            </w:tcMar>
            <w:vAlign w:val="center"/>
          </w:tcPr>
          <w:p w:rsidR="00864498" w:rsidRPr="00FC72F5" w:rsidRDefault="00864498" w:rsidP="00FC72F5">
            <w:pPr>
              <w:tabs>
                <w:tab w:val="left" w:pos="4800"/>
              </w:tabs>
              <w:spacing w:after="0" w:line="240" w:lineRule="auto"/>
              <w:jc w:val="center"/>
              <w:rPr>
                <w:rFonts w:asciiTheme="majorBidi" w:eastAsia="Times New Roman" w:hAnsiTheme="majorBidi" w:cstheme="majorBidi"/>
                <w:sz w:val="24"/>
                <w:szCs w:val="24"/>
              </w:rPr>
            </w:pPr>
          </w:p>
        </w:tc>
        <w:tc>
          <w:tcPr>
            <w:tcW w:w="1077" w:type="dxa"/>
            <w:tcBorders>
              <w:top w:val="single" w:sz="4" w:space="0" w:color="000000"/>
              <w:bottom w:val="single" w:sz="4" w:space="0" w:color="000000"/>
            </w:tcBorders>
            <w:tcMar>
              <w:top w:w="0" w:type="dxa"/>
              <w:left w:w="120" w:type="dxa"/>
              <w:bottom w:w="0" w:type="dxa"/>
              <w:right w:w="120" w:type="dxa"/>
            </w:tcMar>
            <w:vAlign w:val="center"/>
          </w:tcPr>
          <w:p w:rsidR="00864498" w:rsidRPr="00FC72F5" w:rsidRDefault="00CE6CD7" w:rsidP="00FC72F5">
            <w:pPr>
              <w:tabs>
                <w:tab w:val="left" w:pos="4800"/>
              </w:tabs>
              <w:spacing w:after="0" w:line="240" w:lineRule="auto"/>
              <w:jc w:val="center"/>
              <w:rPr>
                <w:rFonts w:asciiTheme="majorBidi" w:eastAsia="Times New Roman" w:hAnsiTheme="majorBidi" w:cstheme="majorBidi"/>
                <w:sz w:val="24"/>
                <w:szCs w:val="24"/>
              </w:rPr>
            </w:pPr>
            <w:r w:rsidRPr="00FC72F5">
              <w:rPr>
                <w:rFonts w:asciiTheme="majorBidi" w:eastAsia="Times New Roman" w:hAnsiTheme="majorBidi" w:cstheme="majorBidi"/>
                <w:sz w:val="24"/>
                <w:szCs w:val="24"/>
              </w:rPr>
              <w:t>Original sample (O)</w:t>
            </w:r>
          </w:p>
        </w:tc>
        <w:tc>
          <w:tcPr>
            <w:tcW w:w="1043" w:type="dxa"/>
            <w:tcBorders>
              <w:top w:val="single" w:sz="4" w:space="0" w:color="000000"/>
              <w:bottom w:val="single" w:sz="4" w:space="0" w:color="000000"/>
            </w:tcBorders>
            <w:tcMar>
              <w:top w:w="0" w:type="dxa"/>
              <w:left w:w="120" w:type="dxa"/>
              <w:bottom w:w="0" w:type="dxa"/>
              <w:right w:w="120" w:type="dxa"/>
            </w:tcMar>
            <w:vAlign w:val="center"/>
          </w:tcPr>
          <w:p w:rsidR="00864498" w:rsidRPr="00FC72F5" w:rsidRDefault="00CE6CD7" w:rsidP="00FC72F5">
            <w:pPr>
              <w:tabs>
                <w:tab w:val="left" w:pos="4800"/>
              </w:tabs>
              <w:spacing w:after="0" w:line="240" w:lineRule="auto"/>
              <w:jc w:val="center"/>
              <w:rPr>
                <w:rFonts w:asciiTheme="majorBidi" w:eastAsia="Times New Roman" w:hAnsiTheme="majorBidi" w:cstheme="majorBidi"/>
                <w:sz w:val="24"/>
                <w:szCs w:val="24"/>
              </w:rPr>
            </w:pPr>
            <w:r w:rsidRPr="00FC72F5">
              <w:rPr>
                <w:rFonts w:asciiTheme="majorBidi" w:eastAsia="Times New Roman" w:hAnsiTheme="majorBidi" w:cstheme="majorBidi"/>
                <w:sz w:val="24"/>
                <w:szCs w:val="24"/>
              </w:rPr>
              <w:t>Sample mean (M)</w:t>
            </w:r>
          </w:p>
        </w:tc>
        <w:tc>
          <w:tcPr>
            <w:tcW w:w="1079" w:type="dxa"/>
            <w:tcBorders>
              <w:top w:val="single" w:sz="4" w:space="0" w:color="000000"/>
              <w:bottom w:val="single" w:sz="4" w:space="0" w:color="000000"/>
            </w:tcBorders>
            <w:tcMar>
              <w:top w:w="0" w:type="dxa"/>
              <w:left w:w="120" w:type="dxa"/>
              <w:bottom w:w="0" w:type="dxa"/>
              <w:right w:w="120" w:type="dxa"/>
            </w:tcMar>
            <w:vAlign w:val="center"/>
          </w:tcPr>
          <w:p w:rsidR="00864498" w:rsidRPr="00FC72F5" w:rsidRDefault="00CE6CD7" w:rsidP="00FC72F5">
            <w:pPr>
              <w:tabs>
                <w:tab w:val="left" w:pos="4800"/>
              </w:tabs>
              <w:spacing w:after="0" w:line="240" w:lineRule="auto"/>
              <w:jc w:val="center"/>
              <w:rPr>
                <w:rFonts w:asciiTheme="majorBidi" w:eastAsia="Times New Roman" w:hAnsiTheme="majorBidi" w:cstheme="majorBidi"/>
                <w:sz w:val="24"/>
                <w:szCs w:val="24"/>
              </w:rPr>
            </w:pPr>
            <w:r w:rsidRPr="00FC72F5">
              <w:rPr>
                <w:rFonts w:asciiTheme="majorBidi" w:eastAsia="Times New Roman" w:hAnsiTheme="majorBidi" w:cstheme="majorBidi"/>
                <w:sz w:val="24"/>
                <w:szCs w:val="24"/>
              </w:rPr>
              <w:t>Standard deviation (STDEV)</w:t>
            </w:r>
          </w:p>
        </w:tc>
        <w:tc>
          <w:tcPr>
            <w:tcW w:w="1300" w:type="dxa"/>
            <w:tcBorders>
              <w:top w:val="single" w:sz="4" w:space="0" w:color="000000"/>
              <w:bottom w:val="single" w:sz="4" w:space="0" w:color="000000"/>
            </w:tcBorders>
            <w:tcMar>
              <w:top w:w="0" w:type="dxa"/>
              <w:left w:w="120" w:type="dxa"/>
              <w:bottom w:w="0" w:type="dxa"/>
              <w:right w:w="120" w:type="dxa"/>
            </w:tcMar>
            <w:vAlign w:val="center"/>
          </w:tcPr>
          <w:p w:rsidR="00864498" w:rsidRPr="00FC72F5" w:rsidRDefault="00CE6CD7" w:rsidP="00FC72F5">
            <w:pPr>
              <w:tabs>
                <w:tab w:val="left" w:pos="4800"/>
              </w:tabs>
              <w:spacing w:after="0" w:line="240" w:lineRule="auto"/>
              <w:jc w:val="center"/>
              <w:rPr>
                <w:rFonts w:asciiTheme="majorBidi" w:eastAsia="Times New Roman" w:hAnsiTheme="majorBidi" w:cstheme="majorBidi"/>
                <w:sz w:val="24"/>
                <w:szCs w:val="24"/>
              </w:rPr>
            </w:pPr>
            <w:r w:rsidRPr="00FC72F5">
              <w:rPr>
                <w:rFonts w:asciiTheme="majorBidi" w:eastAsia="Times New Roman" w:hAnsiTheme="majorBidi" w:cstheme="majorBidi"/>
                <w:sz w:val="24"/>
                <w:szCs w:val="24"/>
              </w:rPr>
              <w:t>T statistics (|O/STDEV|)</w:t>
            </w:r>
          </w:p>
        </w:tc>
        <w:tc>
          <w:tcPr>
            <w:tcW w:w="778" w:type="dxa"/>
            <w:tcBorders>
              <w:top w:val="single" w:sz="4" w:space="0" w:color="000000"/>
              <w:bottom w:val="single" w:sz="4" w:space="0" w:color="000000"/>
            </w:tcBorders>
            <w:tcMar>
              <w:top w:w="0" w:type="dxa"/>
              <w:left w:w="120" w:type="dxa"/>
              <w:bottom w:w="0" w:type="dxa"/>
              <w:right w:w="120" w:type="dxa"/>
            </w:tcMar>
            <w:vAlign w:val="center"/>
          </w:tcPr>
          <w:p w:rsidR="00864498" w:rsidRPr="00FC72F5" w:rsidRDefault="00CE6CD7" w:rsidP="00FC72F5">
            <w:pPr>
              <w:tabs>
                <w:tab w:val="left" w:pos="4800"/>
              </w:tabs>
              <w:spacing w:after="0" w:line="240" w:lineRule="auto"/>
              <w:jc w:val="center"/>
              <w:rPr>
                <w:rFonts w:asciiTheme="majorBidi" w:eastAsia="Times New Roman" w:hAnsiTheme="majorBidi" w:cstheme="majorBidi"/>
                <w:sz w:val="24"/>
                <w:szCs w:val="24"/>
              </w:rPr>
            </w:pPr>
            <w:r w:rsidRPr="00FC72F5">
              <w:rPr>
                <w:rFonts w:asciiTheme="majorBidi" w:eastAsia="Times New Roman" w:hAnsiTheme="majorBidi" w:cstheme="majorBidi"/>
                <w:sz w:val="24"/>
                <w:szCs w:val="24"/>
              </w:rPr>
              <w:t>P values</w:t>
            </w:r>
          </w:p>
        </w:tc>
        <w:tc>
          <w:tcPr>
            <w:tcW w:w="778" w:type="dxa"/>
            <w:tcBorders>
              <w:top w:val="single" w:sz="4" w:space="0" w:color="000000"/>
              <w:bottom w:val="single" w:sz="4" w:space="0" w:color="000000"/>
            </w:tcBorders>
            <w:vAlign w:val="center"/>
          </w:tcPr>
          <w:p w:rsidR="00864498" w:rsidRPr="00FC72F5" w:rsidRDefault="00864498" w:rsidP="00FC72F5">
            <w:pPr>
              <w:tabs>
                <w:tab w:val="left" w:pos="4800"/>
              </w:tabs>
              <w:spacing w:after="0" w:line="240" w:lineRule="auto"/>
              <w:jc w:val="center"/>
              <w:rPr>
                <w:rFonts w:asciiTheme="majorBidi" w:eastAsia="Times New Roman" w:hAnsiTheme="majorBidi" w:cstheme="majorBidi"/>
                <w:sz w:val="24"/>
                <w:szCs w:val="24"/>
              </w:rPr>
            </w:pPr>
          </w:p>
        </w:tc>
        <w:tc>
          <w:tcPr>
            <w:tcW w:w="981" w:type="dxa"/>
            <w:tcBorders>
              <w:top w:val="single" w:sz="4" w:space="0" w:color="000000"/>
              <w:bottom w:val="single" w:sz="4" w:space="0" w:color="000000"/>
              <w:right w:val="single" w:sz="4" w:space="0" w:color="000000"/>
            </w:tcBorders>
            <w:vAlign w:val="center"/>
          </w:tcPr>
          <w:p w:rsidR="00864498" w:rsidRPr="00FC72F5" w:rsidRDefault="00CE6CD7" w:rsidP="00FC72F5">
            <w:pPr>
              <w:tabs>
                <w:tab w:val="left" w:pos="4800"/>
              </w:tabs>
              <w:spacing w:after="0" w:line="240" w:lineRule="auto"/>
              <w:jc w:val="center"/>
              <w:rPr>
                <w:rFonts w:asciiTheme="majorBidi" w:eastAsia="Times New Roman" w:hAnsiTheme="majorBidi" w:cstheme="majorBidi"/>
                <w:sz w:val="24"/>
                <w:szCs w:val="24"/>
              </w:rPr>
            </w:pPr>
            <w:r w:rsidRPr="00FC72F5">
              <w:rPr>
                <w:rFonts w:asciiTheme="majorBidi" w:eastAsia="Times New Roman" w:hAnsiTheme="majorBidi" w:cstheme="majorBidi"/>
                <w:sz w:val="24"/>
                <w:szCs w:val="24"/>
              </w:rPr>
              <w:t>R-</w:t>
            </w:r>
            <w:r w:rsidRPr="00FC72F5">
              <w:rPr>
                <w:rFonts w:asciiTheme="majorBidi" w:eastAsia="Times New Roman" w:hAnsiTheme="majorBidi" w:cstheme="majorBidi"/>
                <w:i/>
                <w:iCs/>
                <w:sz w:val="24"/>
                <w:szCs w:val="24"/>
              </w:rPr>
              <w:t>Square Adjusted</w:t>
            </w:r>
          </w:p>
        </w:tc>
      </w:tr>
      <w:tr w:rsidR="00864498" w:rsidRPr="00FC72F5" w:rsidTr="00FC72F5">
        <w:tc>
          <w:tcPr>
            <w:tcW w:w="2519" w:type="dxa"/>
            <w:tcBorders>
              <w:top w:val="single" w:sz="4" w:space="0" w:color="000000"/>
              <w:left w:val="single" w:sz="4" w:space="0" w:color="000000"/>
            </w:tcBorders>
            <w:tcMar>
              <w:top w:w="0" w:type="dxa"/>
              <w:left w:w="120" w:type="dxa"/>
              <w:bottom w:w="0" w:type="dxa"/>
              <w:right w:w="120" w:type="dxa"/>
            </w:tcMar>
            <w:vAlign w:val="center"/>
          </w:tcPr>
          <w:p w:rsidR="00864498" w:rsidRPr="00FC72F5" w:rsidRDefault="00CE6CD7">
            <w:pPr>
              <w:tabs>
                <w:tab w:val="left" w:pos="4800"/>
              </w:tabs>
              <w:spacing w:after="0" w:line="240" w:lineRule="auto"/>
              <w:rPr>
                <w:rFonts w:asciiTheme="majorBidi" w:eastAsia="Times New Roman" w:hAnsiTheme="majorBidi" w:cstheme="majorBidi"/>
                <w:sz w:val="24"/>
                <w:szCs w:val="24"/>
              </w:rPr>
            </w:pPr>
            <w:r w:rsidRPr="00FC72F5">
              <w:rPr>
                <w:rFonts w:asciiTheme="majorBidi" w:eastAsia="Times New Roman" w:hAnsiTheme="majorBidi" w:cstheme="majorBidi"/>
                <w:sz w:val="24"/>
                <w:szCs w:val="24"/>
              </w:rPr>
              <w:t>Financial Literacy -</w:t>
            </w:r>
            <w:proofErr w:type="gramStart"/>
            <w:r w:rsidRPr="00FC72F5">
              <w:rPr>
                <w:rFonts w:asciiTheme="majorBidi" w:eastAsia="Times New Roman" w:hAnsiTheme="majorBidi" w:cstheme="majorBidi"/>
                <w:sz w:val="24"/>
                <w:szCs w:val="24"/>
              </w:rPr>
              <w:t xml:space="preserve">&gt;  </w:t>
            </w:r>
            <w:proofErr w:type="spellStart"/>
            <w:r w:rsidRPr="00FC72F5">
              <w:rPr>
                <w:rFonts w:asciiTheme="majorBidi" w:eastAsia="Times New Roman" w:hAnsiTheme="majorBidi" w:cstheme="majorBidi"/>
                <w:sz w:val="24"/>
                <w:szCs w:val="24"/>
              </w:rPr>
              <w:t>Sustainabiliy</w:t>
            </w:r>
            <w:proofErr w:type="spellEnd"/>
            <w:proofErr w:type="gramEnd"/>
          </w:p>
        </w:tc>
        <w:tc>
          <w:tcPr>
            <w:tcW w:w="1077" w:type="dxa"/>
            <w:tcBorders>
              <w:top w:val="single" w:sz="4" w:space="0" w:color="000000"/>
            </w:tcBorders>
            <w:tcMar>
              <w:top w:w="0" w:type="dxa"/>
              <w:left w:w="120" w:type="dxa"/>
              <w:bottom w:w="0" w:type="dxa"/>
              <w:right w:w="120" w:type="dxa"/>
            </w:tcMar>
            <w:vAlign w:val="center"/>
          </w:tcPr>
          <w:p w:rsidR="00864498" w:rsidRPr="00FC72F5" w:rsidRDefault="00CE6CD7">
            <w:pPr>
              <w:tabs>
                <w:tab w:val="left" w:pos="4800"/>
              </w:tabs>
              <w:spacing w:after="0" w:line="240" w:lineRule="auto"/>
              <w:jc w:val="center"/>
              <w:rPr>
                <w:rFonts w:asciiTheme="majorBidi" w:eastAsia="Times New Roman" w:hAnsiTheme="majorBidi" w:cstheme="majorBidi"/>
                <w:sz w:val="24"/>
                <w:szCs w:val="24"/>
              </w:rPr>
            </w:pPr>
            <w:r w:rsidRPr="00FC72F5">
              <w:rPr>
                <w:rFonts w:asciiTheme="majorBidi" w:eastAsia="Times New Roman" w:hAnsiTheme="majorBidi" w:cstheme="majorBidi"/>
                <w:sz w:val="24"/>
                <w:szCs w:val="24"/>
              </w:rPr>
              <w:t>0.351</w:t>
            </w:r>
          </w:p>
        </w:tc>
        <w:tc>
          <w:tcPr>
            <w:tcW w:w="1043" w:type="dxa"/>
            <w:tcBorders>
              <w:top w:val="single" w:sz="4" w:space="0" w:color="000000"/>
            </w:tcBorders>
            <w:tcMar>
              <w:top w:w="0" w:type="dxa"/>
              <w:left w:w="120" w:type="dxa"/>
              <w:bottom w:w="0" w:type="dxa"/>
              <w:right w:w="120" w:type="dxa"/>
            </w:tcMar>
            <w:vAlign w:val="center"/>
          </w:tcPr>
          <w:p w:rsidR="00864498" w:rsidRPr="00FC72F5" w:rsidRDefault="00CE6CD7">
            <w:pPr>
              <w:tabs>
                <w:tab w:val="left" w:pos="4800"/>
              </w:tabs>
              <w:spacing w:after="0" w:line="240" w:lineRule="auto"/>
              <w:jc w:val="center"/>
              <w:rPr>
                <w:rFonts w:asciiTheme="majorBidi" w:eastAsia="Times New Roman" w:hAnsiTheme="majorBidi" w:cstheme="majorBidi"/>
                <w:sz w:val="24"/>
                <w:szCs w:val="24"/>
              </w:rPr>
            </w:pPr>
            <w:r w:rsidRPr="00FC72F5">
              <w:rPr>
                <w:rFonts w:asciiTheme="majorBidi" w:eastAsia="Times New Roman" w:hAnsiTheme="majorBidi" w:cstheme="majorBidi"/>
                <w:sz w:val="24"/>
                <w:szCs w:val="24"/>
              </w:rPr>
              <w:t>0.352</w:t>
            </w:r>
          </w:p>
        </w:tc>
        <w:tc>
          <w:tcPr>
            <w:tcW w:w="1079" w:type="dxa"/>
            <w:tcBorders>
              <w:top w:val="single" w:sz="4" w:space="0" w:color="000000"/>
            </w:tcBorders>
            <w:tcMar>
              <w:top w:w="0" w:type="dxa"/>
              <w:left w:w="120" w:type="dxa"/>
              <w:bottom w:w="0" w:type="dxa"/>
              <w:right w:w="120" w:type="dxa"/>
            </w:tcMar>
            <w:vAlign w:val="center"/>
          </w:tcPr>
          <w:p w:rsidR="00864498" w:rsidRPr="00FC72F5" w:rsidRDefault="00CE6CD7">
            <w:pPr>
              <w:tabs>
                <w:tab w:val="left" w:pos="4800"/>
              </w:tabs>
              <w:spacing w:after="0" w:line="240" w:lineRule="auto"/>
              <w:jc w:val="center"/>
              <w:rPr>
                <w:rFonts w:asciiTheme="majorBidi" w:eastAsia="Times New Roman" w:hAnsiTheme="majorBidi" w:cstheme="majorBidi"/>
                <w:sz w:val="24"/>
                <w:szCs w:val="24"/>
              </w:rPr>
            </w:pPr>
            <w:r w:rsidRPr="00FC72F5">
              <w:rPr>
                <w:rFonts w:asciiTheme="majorBidi" w:eastAsia="Times New Roman" w:hAnsiTheme="majorBidi" w:cstheme="majorBidi"/>
                <w:sz w:val="24"/>
                <w:szCs w:val="24"/>
              </w:rPr>
              <w:t>0.046</w:t>
            </w:r>
          </w:p>
        </w:tc>
        <w:tc>
          <w:tcPr>
            <w:tcW w:w="1300" w:type="dxa"/>
            <w:tcBorders>
              <w:top w:val="single" w:sz="4" w:space="0" w:color="000000"/>
            </w:tcBorders>
            <w:tcMar>
              <w:top w:w="0" w:type="dxa"/>
              <w:left w:w="120" w:type="dxa"/>
              <w:bottom w:w="0" w:type="dxa"/>
              <w:right w:w="120" w:type="dxa"/>
            </w:tcMar>
            <w:vAlign w:val="center"/>
          </w:tcPr>
          <w:p w:rsidR="00864498" w:rsidRPr="00FC72F5" w:rsidRDefault="00CE6CD7">
            <w:pPr>
              <w:tabs>
                <w:tab w:val="left" w:pos="4800"/>
              </w:tabs>
              <w:spacing w:after="0" w:line="240" w:lineRule="auto"/>
              <w:jc w:val="center"/>
              <w:rPr>
                <w:rFonts w:asciiTheme="majorBidi" w:eastAsia="Times New Roman" w:hAnsiTheme="majorBidi" w:cstheme="majorBidi"/>
                <w:sz w:val="24"/>
                <w:szCs w:val="24"/>
              </w:rPr>
            </w:pPr>
            <w:r w:rsidRPr="00FC72F5">
              <w:rPr>
                <w:rFonts w:asciiTheme="majorBidi" w:eastAsia="Times New Roman" w:hAnsiTheme="majorBidi" w:cstheme="majorBidi"/>
                <w:sz w:val="24"/>
                <w:szCs w:val="24"/>
              </w:rPr>
              <w:t>7.551</w:t>
            </w:r>
          </w:p>
        </w:tc>
        <w:tc>
          <w:tcPr>
            <w:tcW w:w="778" w:type="dxa"/>
            <w:tcBorders>
              <w:top w:val="single" w:sz="4" w:space="0" w:color="000000"/>
            </w:tcBorders>
            <w:tcMar>
              <w:top w:w="0" w:type="dxa"/>
              <w:left w:w="120" w:type="dxa"/>
              <w:bottom w:w="0" w:type="dxa"/>
              <w:right w:w="120" w:type="dxa"/>
            </w:tcMar>
            <w:vAlign w:val="center"/>
          </w:tcPr>
          <w:p w:rsidR="00864498" w:rsidRPr="00FC72F5" w:rsidRDefault="00CE6CD7">
            <w:pPr>
              <w:tabs>
                <w:tab w:val="left" w:pos="4800"/>
              </w:tabs>
              <w:spacing w:after="0" w:line="240" w:lineRule="auto"/>
              <w:jc w:val="center"/>
              <w:rPr>
                <w:rFonts w:asciiTheme="majorBidi" w:eastAsia="Times New Roman" w:hAnsiTheme="majorBidi" w:cstheme="majorBidi"/>
                <w:color w:val="EE0000"/>
                <w:sz w:val="24"/>
                <w:szCs w:val="24"/>
              </w:rPr>
            </w:pPr>
            <w:r w:rsidRPr="00FC72F5">
              <w:rPr>
                <w:rFonts w:asciiTheme="majorBidi" w:eastAsia="Times New Roman" w:hAnsiTheme="majorBidi" w:cstheme="majorBidi"/>
                <w:color w:val="385623"/>
                <w:sz w:val="24"/>
                <w:szCs w:val="24"/>
              </w:rPr>
              <w:t>0.000</w:t>
            </w:r>
          </w:p>
        </w:tc>
        <w:tc>
          <w:tcPr>
            <w:tcW w:w="778" w:type="dxa"/>
            <w:tcBorders>
              <w:top w:val="single" w:sz="4" w:space="0" w:color="000000"/>
            </w:tcBorders>
          </w:tcPr>
          <w:p w:rsidR="00864498" w:rsidRPr="00FC72F5" w:rsidRDefault="00864498">
            <w:pPr>
              <w:tabs>
                <w:tab w:val="left" w:pos="4800"/>
              </w:tabs>
              <w:spacing w:after="0" w:line="240" w:lineRule="auto"/>
              <w:jc w:val="center"/>
              <w:rPr>
                <w:rFonts w:asciiTheme="majorBidi" w:eastAsia="Times New Roman" w:hAnsiTheme="majorBidi" w:cstheme="majorBidi"/>
                <w:color w:val="385623"/>
                <w:sz w:val="24"/>
                <w:szCs w:val="24"/>
              </w:rPr>
            </w:pPr>
          </w:p>
        </w:tc>
        <w:tc>
          <w:tcPr>
            <w:tcW w:w="981" w:type="dxa"/>
            <w:tcBorders>
              <w:top w:val="single" w:sz="4" w:space="0" w:color="000000"/>
              <w:right w:val="single" w:sz="4" w:space="0" w:color="000000"/>
            </w:tcBorders>
          </w:tcPr>
          <w:p w:rsidR="00864498" w:rsidRPr="00FC72F5" w:rsidRDefault="00864498">
            <w:pPr>
              <w:tabs>
                <w:tab w:val="left" w:pos="4800"/>
              </w:tabs>
              <w:spacing w:after="0" w:line="240" w:lineRule="auto"/>
              <w:jc w:val="center"/>
              <w:rPr>
                <w:rFonts w:asciiTheme="majorBidi" w:eastAsia="Times New Roman" w:hAnsiTheme="majorBidi" w:cstheme="majorBidi"/>
                <w:color w:val="385623"/>
                <w:sz w:val="24"/>
                <w:szCs w:val="24"/>
              </w:rPr>
            </w:pPr>
          </w:p>
        </w:tc>
      </w:tr>
      <w:tr w:rsidR="00864498" w:rsidRPr="00FC72F5" w:rsidTr="00FC72F5">
        <w:tc>
          <w:tcPr>
            <w:tcW w:w="2519" w:type="dxa"/>
            <w:tcBorders>
              <w:left w:val="single" w:sz="4" w:space="0" w:color="000000"/>
            </w:tcBorders>
            <w:tcMar>
              <w:top w:w="0" w:type="dxa"/>
              <w:left w:w="120" w:type="dxa"/>
              <w:bottom w:w="0" w:type="dxa"/>
              <w:right w:w="120" w:type="dxa"/>
            </w:tcMar>
            <w:vAlign w:val="center"/>
          </w:tcPr>
          <w:p w:rsidR="00864498" w:rsidRPr="00FC72F5" w:rsidRDefault="00CE6CD7">
            <w:pPr>
              <w:tabs>
                <w:tab w:val="left" w:pos="4800"/>
              </w:tabs>
              <w:spacing w:after="0" w:line="240" w:lineRule="auto"/>
              <w:rPr>
                <w:rFonts w:asciiTheme="majorBidi" w:eastAsia="Times New Roman" w:hAnsiTheme="majorBidi" w:cstheme="majorBidi"/>
                <w:sz w:val="24"/>
                <w:szCs w:val="24"/>
              </w:rPr>
            </w:pPr>
            <w:r w:rsidRPr="00FC72F5">
              <w:rPr>
                <w:rFonts w:asciiTheme="majorBidi" w:eastAsia="Times New Roman" w:hAnsiTheme="majorBidi" w:cstheme="majorBidi"/>
                <w:sz w:val="24"/>
                <w:szCs w:val="24"/>
              </w:rPr>
              <w:t>Lifestyle -&gt; Sustainability</w:t>
            </w:r>
          </w:p>
        </w:tc>
        <w:tc>
          <w:tcPr>
            <w:tcW w:w="1077" w:type="dxa"/>
            <w:tcMar>
              <w:top w:w="0" w:type="dxa"/>
              <w:left w:w="120" w:type="dxa"/>
              <w:bottom w:w="0" w:type="dxa"/>
              <w:right w:w="120" w:type="dxa"/>
            </w:tcMar>
            <w:vAlign w:val="center"/>
          </w:tcPr>
          <w:p w:rsidR="00864498" w:rsidRPr="00FC72F5" w:rsidRDefault="00CE6CD7">
            <w:pPr>
              <w:tabs>
                <w:tab w:val="left" w:pos="4800"/>
              </w:tabs>
              <w:spacing w:after="0" w:line="240" w:lineRule="auto"/>
              <w:jc w:val="center"/>
              <w:rPr>
                <w:rFonts w:asciiTheme="majorBidi" w:eastAsia="Times New Roman" w:hAnsiTheme="majorBidi" w:cstheme="majorBidi"/>
                <w:sz w:val="24"/>
                <w:szCs w:val="24"/>
              </w:rPr>
            </w:pPr>
            <w:r w:rsidRPr="00FC72F5">
              <w:rPr>
                <w:rFonts w:asciiTheme="majorBidi" w:eastAsia="Times New Roman" w:hAnsiTheme="majorBidi" w:cstheme="majorBidi"/>
                <w:sz w:val="24"/>
                <w:szCs w:val="24"/>
              </w:rPr>
              <w:t xml:space="preserve">0.286 </w:t>
            </w:r>
          </w:p>
        </w:tc>
        <w:tc>
          <w:tcPr>
            <w:tcW w:w="1043" w:type="dxa"/>
            <w:tcMar>
              <w:top w:w="0" w:type="dxa"/>
              <w:left w:w="120" w:type="dxa"/>
              <w:bottom w:w="0" w:type="dxa"/>
              <w:right w:w="120" w:type="dxa"/>
            </w:tcMar>
            <w:vAlign w:val="center"/>
          </w:tcPr>
          <w:p w:rsidR="00864498" w:rsidRPr="00FC72F5" w:rsidRDefault="00CE6CD7">
            <w:pPr>
              <w:tabs>
                <w:tab w:val="left" w:pos="4800"/>
              </w:tabs>
              <w:spacing w:after="0" w:line="240" w:lineRule="auto"/>
              <w:jc w:val="center"/>
              <w:rPr>
                <w:rFonts w:asciiTheme="majorBidi" w:eastAsia="Times New Roman" w:hAnsiTheme="majorBidi" w:cstheme="majorBidi"/>
                <w:sz w:val="24"/>
                <w:szCs w:val="24"/>
              </w:rPr>
            </w:pPr>
            <w:r w:rsidRPr="00FC72F5">
              <w:rPr>
                <w:rFonts w:asciiTheme="majorBidi" w:eastAsia="Times New Roman" w:hAnsiTheme="majorBidi" w:cstheme="majorBidi"/>
                <w:sz w:val="24"/>
                <w:szCs w:val="24"/>
              </w:rPr>
              <w:t xml:space="preserve">0.288 </w:t>
            </w:r>
          </w:p>
        </w:tc>
        <w:tc>
          <w:tcPr>
            <w:tcW w:w="1079" w:type="dxa"/>
            <w:tcMar>
              <w:top w:w="0" w:type="dxa"/>
              <w:left w:w="120" w:type="dxa"/>
              <w:bottom w:w="0" w:type="dxa"/>
              <w:right w:w="120" w:type="dxa"/>
            </w:tcMar>
            <w:vAlign w:val="center"/>
          </w:tcPr>
          <w:p w:rsidR="00864498" w:rsidRPr="00FC72F5" w:rsidRDefault="00CE6CD7">
            <w:pPr>
              <w:tabs>
                <w:tab w:val="left" w:pos="4800"/>
              </w:tabs>
              <w:spacing w:after="0" w:line="240" w:lineRule="auto"/>
              <w:jc w:val="center"/>
              <w:rPr>
                <w:rFonts w:asciiTheme="majorBidi" w:eastAsia="Times New Roman" w:hAnsiTheme="majorBidi" w:cstheme="majorBidi"/>
                <w:sz w:val="24"/>
                <w:szCs w:val="24"/>
              </w:rPr>
            </w:pPr>
            <w:r w:rsidRPr="00FC72F5">
              <w:rPr>
                <w:rFonts w:asciiTheme="majorBidi" w:eastAsia="Times New Roman" w:hAnsiTheme="majorBidi" w:cstheme="majorBidi"/>
                <w:sz w:val="24"/>
                <w:szCs w:val="24"/>
              </w:rPr>
              <w:t xml:space="preserve">0.046 </w:t>
            </w:r>
          </w:p>
        </w:tc>
        <w:tc>
          <w:tcPr>
            <w:tcW w:w="1300" w:type="dxa"/>
            <w:tcMar>
              <w:top w:w="0" w:type="dxa"/>
              <w:left w:w="120" w:type="dxa"/>
              <w:bottom w:w="0" w:type="dxa"/>
              <w:right w:w="120" w:type="dxa"/>
            </w:tcMar>
            <w:vAlign w:val="center"/>
          </w:tcPr>
          <w:p w:rsidR="00864498" w:rsidRPr="00FC72F5" w:rsidRDefault="00CE6CD7">
            <w:pPr>
              <w:tabs>
                <w:tab w:val="left" w:pos="4800"/>
              </w:tabs>
              <w:spacing w:after="0" w:line="240" w:lineRule="auto"/>
              <w:jc w:val="center"/>
              <w:rPr>
                <w:rFonts w:asciiTheme="majorBidi" w:eastAsia="Times New Roman" w:hAnsiTheme="majorBidi" w:cstheme="majorBidi"/>
                <w:sz w:val="24"/>
                <w:szCs w:val="24"/>
              </w:rPr>
            </w:pPr>
            <w:r w:rsidRPr="00FC72F5">
              <w:rPr>
                <w:rFonts w:asciiTheme="majorBidi" w:eastAsia="Times New Roman" w:hAnsiTheme="majorBidi" w:cstheme="majorBidi"/>
                <w:sz w:val="24"/>
                <w:szCs w:val="24"/>
              </w:rPr>
              <w:t xml:space="preserve">6.155 </w:t>
            </w:r>
          </w:p>
        </w:tc>
        <w:tc>
          <w:tcPr>
            <w:tcW w:w="778" w:type="dxa"/>
            <w:tcMar>
              <w:top w:w="0" w:type="dxa"/>
              <w:left w:w="120" w:type="dxa"/>
              <w:bottom w:w="0" w:type="dxa"/>
              <w:right w:w="120" w:type="dxa"/>
            </w:tcMar>
            <w:vAlign w:val="center"/>
          </w:tcPr>
          <w:p w:rsidR="00864498" w:rsidRPr="00FC72F5" w:rsidRDefault="00CE6CD7">
            <w:pPr>
              <w:tabs>
                <w:tab w:val="left" w:pos="4800"/>
              </w:tabs>
              <w:spacing w:after="0" w:line="240" w:lineRule="auto"/>
              <w:jc w:val="center"/>
              <w:rPr>
                <w:rFonts w:asciiTheme="majorBidi" w:eastAsia="Times New Roman" w:hAnsiTheme="majorBidi" w:cstheme="majorBidi"/>
                <w:color w:val="006600"/>
                <w:sz w:val="24"/>
                <w:szCs w:val="24"/>
              </w:rPr>
            </w:pPr>
            <w:r w:rsidRPr="00FC72F5">
              <w:rPr>
                <w:rFonts w:asciiTheme="majorBidi" w:eastAsia="Times New Roman" w:hAnsiTheme="majorBidi" w:cstheme="majorBidi"/>
                <w:color w:val="006600"/>
                <w:sz w:val="24"/>
                <w:szCs w:val="24"/>
              </w:rPr>
              <w:t xml:space="preserve">0.000 </w:t>
            </w:r>
          </w:p>
        </w:tc>
        <w:tc>
          <w:tcPr>
            <w:tcW w:w="778" w:type="dxa"/>
          </w:tcPr>
          <w:p w:rsidR="00864498" w:rsidRPr="00FC72F5" w:rsidRDefault="00864498">
            <w:pPr>
              <w:tabs>
                <w:tab w:val="left" w:pos="4800"/>
              </w:tabs>
              <w:spacing w:after="0" w:line="240" w:lineRule="auto"/>
              <w:jc w:val="center"/>
              <w:rPr>
                <w:rFonts w:asciiTheme="majorBidi" w:eastAsia="Times New Roman" w:hAnsiTheme="majorBidi" w:cstheme="majorBidi"/>
                <w:color w:val="006600"/>
                <w:sz w:val="24"/>
                <w:szCs w:val="24"/>
              </w:rPr>
            </w:pPr>
          </w:p>
        </w:tc>
        <w:tc>
          <w:tcPr>
            <w:tcW w:w="981" w:type="dxa"/>
            <w:tcBorders>
              <w:right w:val="single" w:sz="4" w:space="0" w:color="000000"/>
            </w:tcBorders>
          </w:tcPr>
          <w:p w:rsidR="00864498" w:rsidRPr="00FC72F5" w:rsidRDefault="00864498">
            <w:pPr>
              <w:tabs>
                <w:tab w:val="left" w:pos="4800"/>
              </w:tabs>
              <w:spacing w:after="0" w:line="240" w:lineRule="auto"/>
              <w:jc w:val="center"/>
              <w:rPr>
                <w:rFonts w:asciiTheme="majorBidi" w:eastAsia="Times New Roman" w:hAnsiTheme="majorBidi" w:cstheme="majorBidi"/>
                <w:color w:val="006600"/>
                <w:sz w:val="24"/>
                <w:szCs w:val="24"/>
              </w:rPr>
            </w:pPr>
          </w:p>
        </w:tc>
      </w:tr>
      <w:tr w:rsidR="00864498" w:rsidRPr="00FC72F5" w:rsidTr="00FC72F5">
        <w:trPr>
          <w:trHeight w:val="390"/>
        </w:trPr>
        <w:tc>
          <w:tcPr>
            <w:tcW w:w="2519" w:type="dxa"/>
            <w:tcBorders>
              <w:left w:val="single" w:sz="4" w:space="0" w:color="000000"/>
            </w:tcBorders>
            <w:tcMar>
              <w:top w:w="0" w:type="dxa"/>
              <w:left w:w="120" w:type="dxa"/>
              <w:bottom w:w="0" w:type="dxa"/>
              <w:right w:w="120" w:type="dxa"/>
            </w:tcMar>
            <w:vAlign w:val="center"/>
          </w:tcPr>
          <w:p w:rsidR="00864498" w:rsidRPr="00FC72F5" w:rsidRDefault="00CE6CD7">
            <w:pPr>
              <w:tabs>
                <w:tab w:val="left" w:pos="4800"/>
              </w:tabs>
              <w:spacing w:after="0" w:line="240" w:lineRule="auto"/>
              <w:rPr>
                <w:rFonts w:asciiTheme="majorBidi" w:eastAsia="Times New Roman" w:hAnsiTheme="majorBidi" w:cstheme="majorBidi"/>
                <w:sz w:val="24"/>
                <w:szCs w:val="24"/>
              </w:rPr>
            </w:pPr>
            <w:r w:rsidRPr="00FC72F5">
              <w:rPr>
                <w:rFonts w:asciiTheme="majorBidi" w:eastAsia="Times New Roman" w:hAnsiTheme="majorBidi" w:cstheme="majorBidi"/>
                <w:sz w:val="24"/>
                <w:szCs w:val="24"/>
              </w:rPr>
              <w:t xml:space="preserve">Financial Literacy -&gt; </w:t>
            </w:r>
            <w:proofErr w:type="spellStart"/>
            <w:proofErr w:type="gramStart"/>
            <w:r w:rsidRPr="00FC72F5">
              <w:rPr>
                <w:rFonts w:asciiTheme="majorBidi" w:eastAsia="Times New Roman" w:hAnsiTheme="majorBidi" w:cstheme="majorBidi"/>
                <w:sz w:val="24"/>
                <w:szCs w:val="24"/>
              </w:rPr>
              <w:t>Efektivitas</w:t>
            </w:r>
            <w:proofErr w:type="spellEnd"/>
            <w:r w:rsidRPr="00FC72F5">
              <w:rPr>
                <w:rFonts w:asciiTheme="majorBidi" w:eastAsia="Times New Roman" w:hAnsiTheme="majorBidi" w:cstheme="majorBidi"/>
                <w:sz w:val="24"/>
                <w:szCs w:val="24"/>
              </w:rPr>
              <w:t xml:space="preserve">  QRIS</w:t>
            </w:r>
            <w:proofErr w:type="gramEnd"/>
            <w:r w:rsidRPr="00FC72F5">
              <w:rPr>
                <w:rFonts w:asciiTheme="majorBidi" w:eastAsia="Times New Roman" w:hAnsiTheme="majorBidi" w:cstheme="majorBidi"/>
                <w:sz w:val="24"/>
                <w:szCs w:val="24"/>
              </w:rPr>
              <w:t xml:space="preserve"> </w:t>
            </w:r>
          </w:p>
        </w:tc>
        <w:tc>
          <w:tcPr>
            <w:tcW w:w="1077" w:type="dxa"/>
            <w:tcMar>
              <w:top w:w="0" w:type="dxa"/>
              <w:left w:w="120" w:type="dxa"/>
              <w:bottom w:w="0" w:type="dxa"/>
              <w:right w:w="120" w:type="dxa"/>
            </w:tcMar>
            <w:vAlign w:val="center"/>
          </w:tcPr>
          <w:p w:rsidR="00864498" w:rsidRPr="00FC72F5" w:rsidRDefault="00CE6CD7">
            <w:pPr>
              <w:tabs>
                <w:tab w:val="left" w:pos="4800"/>
              </w:tabs>
              <w:spacing w:after="0" w:line="240" w:lineRule="auto"/>
              <w:jc w:val="center"/>
              <w:rPr>
                <w:rFonts w:asciiTheme="majorBidi" w:eastAsia="Times New Roman" w:hAnsiTheme="majorBidi" w:cstheme="majorBidi"/>
                <w:sz w:val="24"/>
                <w:szCs w:val="24"/>
              </w:rPr>
            </w:pPr>
            <w:r w:rsidRPr="00FC72F5">
              <w:rPr>
                <w:rFonts w:asciiTheme="majorBidi" w:eastAsia="Times New Roman" w:hAnsiTheme="majorBidi" w:cstheme="majorBidi"/>
                <w:sz w:val="24"/>
                <w:szCs w:val="24"/>
              </w:rPr>
              <w:t xml:space="preserve">0.315 </w:t>
            </w:r>
          </w:p>
        </w:tc>
        <w:tc>
          <w:tcPr>
            <w:tcW w:w="1043" w:type="dxa"/>
            <w:tcMar>
              <w:top w:w="0" w:type="dxa"/>
              <w:left w:w="120" w:type="dxa"/>
              <w:bottom w:w="0" w:type="dxa"/>
              <w:right w:w="120" w:type="dxa"/>
            </w:tcMar>
            <w:vAlign w:val="center"/>
          </w:tcPr>
          <w:p w:rsidR="00864498" w:rsidRPr="00FC72F5" w:rsidRDefault="00CE6CD7">
            <w:pPr>
              <w:tabs>
                <w:tab w:val="left" w:pos="4800"/>
              </w:tabs>
              <w:spacing w:after="0" w:line="240" w:lineRule="auto"/>
              <w:jc w:val="center"/>
              <w:rPr>
                <w:rFonts w:asciiTheme="majorBidi" w:eastAsia="Times New Roman" w:hAnsiTheme="majorBidi" w:cstheme="majorBidi"/>
                <w:sz w:val="24"/>
                <w:szCs w:val="24"/>
              </w:rPr>
            </w:pPr>
            <w:r w:rsidRPr="00FC72F5">
              <w:rPr>
                <w:rFonts w:asciiTheme="majorBidi" w:eastAsia="Times New Roman" w:hAnsiTheme="majorBidi" w:cstheme="majorBidi"/>
                <w:sz w:val="24"/>
                <w:szCs w:val="24"/>
              </w:rPr>
              <w:t xml:space="preserve">0.319 </w:t>
            </w:r>
          </w:p>
        </w:tc>
        <w:tc>
          <w:tcPr>
            <w:tcW w:w="1079" w:type="dxa"/>
            <w:tcMar>
              <w:top w:w="0" w:type="dxa"/>
              <w:left w:w="120" w:type="dxa"/>
              <w:bottom w:w="0" w:type="dxa"/>
              <w:right w:w="120" w:type="dxa"/>
            </w:tcMar>
            <w:vAlign w:val="center"/>
          </w:tcPr>
          <w:p w:rsidR="00864498" w:rsidRPr="00FC72F5" w:rsidRDefault="00CE6CD7">
            <w:pPr>
              <w:tabs>
                <w:tab w:val="left" w:pos="4800"/>
              </w:tabs>
              <w:spacing w:after="0" w:line="240" w:lineRule="auto"/>
              <w:jc w:val="center"/>
              <w:rPr>
                <w:rFonts w:asciiTheme="majorBidi" w:eastAsia="Times New Roman" w:hAnsiTheme="majorBidi" w:cstheme="majorBidi"/>
                <w:sz w:val="24"/>
                <w:szCs w:val="24"/>
              </w:rPr>
            </w:pPr>
            <w:r w:rsidRPr="00FC72F5">
              <w:rPr>
                <w:rFonts w:asciiTheme="majorBidi" w:eastAsia="Times New Roman" w:hAnsiTheme="majorBidi" w:cstheme="majorBidi"/>
                <w:sz w:val="24"/>
                <w:szCs w:val="24"/>
              </w:rPr>
              <w:t xml:space="preserve">0.044 </w:t>
            </w:r>
          </w:p>
        </w:tc>
        <w:tc>
          <w:tcPr>
            <w:tcW w:w="1300" w:type="dxa"/>
            <w:tcMar>
              <w:top w:w="0" w:type="dxa"/>
              <w:left w:w="120" w:type="dxa"/>
              <w:bottom w:w="0" w:type="dxa"/>
              <w:right w:w="120" w:type="dxa"/>
            </w:tcMar>
            <w:vAlign w:val="center"/>
          </w:tcPr>
          <w:p w:rsidR="00864498" w:rsidRPr="00FC72F5" w:rsidRDefault="00CE6CD7">
            <w:pPr>
              <w:tabs>
                <w:tab w:val="left" w:pos="4800"/>
              </w:tabs>
              <w:spacing w:after="0" w:line="240" w:lineRule="auto"/>
              <w:jc w:val="center"/>
              <w:rPr>
                <w:rFonts w:asciiTheme="majorBidi" w:eastAsia="Times New Roman" w:hAnsiTheme="majorBidi" w:cstheme="majorBidi"/>
                <w:sz w:val="24"/>
                <w:szCs w:val="24"/>
              </w:rPr>
            </w:pPr>
            <w:r w:rsidRPr="00FC72F5">
              <w:rPr>
                <w:rFonts w:asciiTheme="majorBidi" w:eastAsia="Times New Roman" w:hAnsiTheme="majorBidi" w:cstheme="majorBidi"/>
                <w:sz w:val="24"/>
                <w:szCs w:val="24"/>
              </w:rPr>
              <w:t xml:space="preserve">7.215 </w:t>
            </w:r>
          </w:p>
        </w:tc>
        <w:tc>
          <w:tcPr>
            <w:tcW w:w="778" w:type="dxa"/>
            <w:tcMar>
              <w:top w:w="0" w:type="dxa"/>
              <w:left w:w="120" w:type="dxa"/>
              <w:bottom w:w="0" w:type="dxa"/>
              <w:right w:w="120" w:type="dxa"/>
            </w:tcMar>
            <w:vAlign w:val="center"/>
          </w:tcPr>
          <w:p w:rsidR="00864498" w:rsidRPr="00FC72F5" w:rsidRDefault="00CE6CD7">
            <w:pPr>
              <w:tabs>
                <w:tab w:val="left" w:pos="4800"/>
              </w:tabs>
              <w:spacing w:after="0" w:line="240" w:lineRule="auto"/>
              <w:jc w:val="center"/>
              <w:rPr>
                <w:rFonts w:asciiTheme="majorBidi" w:eastAsia="Times New Roman" w:hAnsiTheme="majorBidi" w:cstheme="majorBidi"/>
                <w:sz w:val="24"/>
                <w:szCs w:val="24"/>
              </w:rPr>
            </w:pPr>
            <w:r w:rsidRPr="00FC72F5">
              <w:rPr>
                <w:rFonts w:asciiTheme="majorBidi" w:eastAsia="Times New Roman" w:hAnsiTheme="majorBidi" w:cstheme="majorBidi"/>
                <w:color w:val="006600"/>
                <w:sz w:val="24"/>
                <w:szCs w:val="24"/>
              </w:rPr>
              <w:t xml:space="preserve">0.000 </w:t>
            </w:r>
          </w:p>
        </w:tc>
        <w:tc>
          <w:tcPr>
            <w:tcW w:w="778" w:type="dxa"/>
          </w:tcPr>
          <w:p w:rsidR="00864498" w:rsidRPr="00FC72F5" w:rsidRDefault="00864498">
            <w:pPr>
              <w:tabs>
                <w:tab w:val="left" w:pos="4800"/>
              </w:tabs>
              <w:spacing w:after="0" w:line="240" w:lineRule="auto"/>
              <w:jc w:val="center"/>
              <w:rPr>
                <w:rFonts w:asciiTheme="majorBidi" w:eastAsia="Times New Roman" w:hAnsiTheme="majorBidi" w:cstheme="majorBidi"/>
                <w:color w:val="006600"/>
                <w:sz w:val="24"/>
                <w:szCs w:val="24"/>
              </w:rPr>
            </w:pPr>
          </w:p>
        </w:tc>
        <w:tc>
          <w:tcPr>
            <w:tcW w:w="981" w:type="dxa"/>
            <w:tcBorders>
              <w:right w:val="single" w:sz="4" w:space="0" w:color="000000"/>
            </w:tcBorders>
          </w:tcPr>
          <w:p w:rsidR="00864498" w:rsidRPr="00FC72F5" w:rsidRDefault="00864498">
            <w:pPr>
              <w:tabs>
                <w:tab w:val="left" w:pos="4800"/>
              </w:tabs>
              <w:spacing w:after="0" w:line="240" w:lineRule="auto"/>
              <w:jc w:val="center"/>
              <w:rPr>
                <w:rFonts w:asciiTheme="majorBidi" w:eastAsia="Times New Roman" w:hAnsiTheme="majorBidi" w:cstheme="majorBidi"/>
                <w:color w:val="006600"/>
                <w:sz w:val="24"/>
                <w:szCs w:val="24"/>
              </w:rPr>
            </w:pPr>
          </w:p>
        </w:tc>
      </w:tr>
      <w:tr w:rsidR="00864498" w:rsidRPr="00FC72F5" w:rsidTr="00FC72F5">
        <w:tc>
          <w:tcPr>
            <w:tcW w:w="2519" w:type="dxa"/>
            <w:tcBorders>
              <w:left w:val="single" w:sz="4" w:space="0" w:color="000000"/>
            </w:tcBorders>
            <w:tcMar>
              <w:top w:w="0" w:type="dxa"/>
              <w:left w:w="120" w:type="dxa"/>
              <w:bottom w:w="0" w:type="dxa"/>
              <w:right w:w="120" w:type="dxa"/>
            </w:tcMar>
            <w:vAlign w:val="center"/>
          </w:tcPr>
          <w:p w:rsidR="00864498" w:rsidRPr="00FC72F5" w:rsidRDefault="00CE6CD7">
            <w:pPr>
              <w:tabs>
                <w:tab w:val="left" w:pos="4800"/>
              </w:tabs>
              <w:spacing w:after="0" w:line="240" w:lineRule="auto"/>
              <w:rPr>
                <w:rFonts w:asciiTheme="majorBidi" w:eastAsia="Times New Roman" w:hAnsiTheme="majorBidi" w:cstheme="majorBidi"/>
                <w:sz w:val="24"/>
                <w:szCs w:val="24"/>
              </w:rPr>
            </w:pPr>
            <w:r w:rsidRPr="00FC72F5">
              <w:rPr>
                <w:rFonts w:asciiTheme="majorBidi" w:eastAsia="Times New Roman" w:hAnsiTheme="majorBidi" w:cstheme="majorBidi"/>
                <w:sz w:val="24"/>
                <w:szCs w:val="24"/>
              </w:rPr>
              <w:t xml:space="preserve">Lifestyle -&gt; </w:t>
            </w:r>
            <w:proofErr w:type="spellStart"/>
            <w:r w:rsidRPr="00FC72F5">
              <w:rPr>
                <w:rFonts w:asciiTheme="majorBidi" w:eastAsia="Times New Roman" w:hAnsiTheme="majorBidi" w:cstheme="majorBidi"/>
                <w:sz w:val="24"/>
                <w:szCs w:val="24"/>
              </w:rPr>
              <w:t>Efektiveness</w:t>
            </w:r>
            <w:proofErr w:type="spellEnd"/>
            <w:r w:rsidRPr="00FC72F5">
              <w:rPr>
                <w:rFonts w:asciiTheme="majorBidi" w:eastAsia="Times New Roman" w:hAnsiTheme="majorBidi" w:cstheme="majorBidi"/>
                <w:sz w:val="24"/>
                <w:szCs w:val="24"/>
              </w:rPr>
              <w:t xml:space="preserve"> QRIS </w:t>
            </w:r>
          </w:p>
        </w:tc>
        <w:tc>
          <w:tcPr>
            <w:tcW w:w="1077" w:type="dxa"/>
            <w:tcMar>
              <w:top w:w="0" w:type="dxa"/>
              <w:left w:w="120" w:type="dxa"/>
              <w:bottom w:w="0" w:type="dxa"/>
              <w:right w:w="120" w:type="dxa"/>
            </w:tcMar>
            <w:vAlign w:val="center"/>
          </w:tcPr>
          <w:p w:rsidR="00864498" w:rsidRPr="00FC72F5" w:rsidRDefault="00CE6CD7">
            <w:pPr>
              <w:tabs>
                <w:tab w:val="left" w:pos="4800"/>
              </w:tabs>
              <w:spacing w:after="0" w:line="240" w:lineRule="auto"/>
              <w:jc w:val="center"/>
              <w:rPr>
                <w:rFonts w:asciiTheme="majorBidi" w:eastAsia="Times New Roman" w:hAnsiTheme="majorBidi" w:cstheme="majorBidi"/>
                <w:sz w:val="24"/>
                <w:szCs w:val="24"/>
              </w:rPr>
            </w:pPr>
            <w:r w:rsidRPr="00FC72F5">
              <w:rPr>
                <w:rFonts w:asciiTheme="majorBidi" w:eastAsia="Times New Roman" w:hAnsiTheme="majorBidi" w:cstheme="majorBidi"/>
                <w:sz w:val="24"/>
                <w:szCs w:val="24"/>
              </w:rPr>
              <w:t xml:space="preserve">0.113 </w:t>
            </w:r>
          </w:p>
        </w:tc>
        <w:tc>
          <w:tcPr>
            <w:tcW w:w="1043" w:type="dxa"/>
            <w:tcMar>
              <w:top w:w="0" w:type="dxa"/>
              <w:left w:w="120" w:type="dxa"/>
              <w:bottom w:w="0" w:type="dxa"/>
              <w:right w:w="120" w:type="dxa"/>
            </w:tcMar>
            <w:vAlign w:val="center"/>
          </w:tcPr>
          <w:p w:rsidR="00864498" w:rsidRPr="00FC72F5" w:rsidRDefault="00CE6CD7">
            <w:pPr>
              <w:tabs>
                <w:tab w:val="left" w:pos="4800"/>
              </w:tabs>
              <w:spacing w:after="0" w:line="240" w:lineRule="auto"/>
              <w:jc w:val="center"/>
              <w:rPr>
                <w:rFonts w:asciiTheme="majorBidi" w:eastAsia="Times New Roman" w:hAnsiTheme="majorBidi" w:cstheme="majorBidi"/>
                <w:sz w:val="24"/>
                <w:szCs w:val="24"/>
              </w:rPr>
            </w:pPr>
            <w:r w:rsidRPr="00FC72F5">
              <w:rPr>
                <w:rFonts w:asciiTheme="majorBidi" w:eastAsia="Times New Roman" w:hAnsiTheme="majorBidi" w:cstheme="majorBidi"/>
                <w:sz w:val="24"/>
                <w:szCs w:val="24"/>
              </w:rPr>
              <w:t xml:space="preserve">0.114 </w:t>
            </w:r>
          </w:p>
        </w:tc>
        <w:tc>
          <w:tcPr>
            <w:tcW w:w="1079" w:type="dxa"/>
            <w:tcMar>
              <w:top w:w="0" w:type="dxa"/>
              <w:left w:w="120" w:type="dxa"/>
              <w:bottom w:w="0" w:type="dxa"/>
              <w:right w:w="120" w:type="dxa"/>
            </w:tcMar>
            <w:vAlign w:val="center"/>
          </w:tcPr>
          <w:p w:rsidR="00864498" w:rsidRPr="00FC72F5" w:rsidRDefault="00CE6CD7">
            <w:pPr>
              <w:tabs>
                <w:tab w:val="left" w:pos="4800"/>
              </w:tabs>
              <w:spacing w:after="0" w:line="240" w:lineRule="auto"/>
              <w:jc w:val="center"/>
              <w:rPr>
                <w:rFonts w:asciiTheme="majorBidi" w:eastAsia="Times New Roman" w:hAnsiTheme="majorBidi" w:cstheme="majorBidi"/>
                <w:sz w:val="24"/>
                <w:szCs w:val="24"/>
              </w:rPr>
            </w:pPr>
            <w:r w:rsidRPr="00FC72F5">
              <w:rPr>
                <w:rFonts w:asciiTheme="majorBidi" w:eastAsia="Times New Roman" w:hAnsiTheme="majorBidi" w:cstheme="majorBidi"/>
                <w:sz w:val="24"/>
                <w:szCs w:val="24"/>
              </w:rPr>
              <w:t xml:space="preserve">0.048 </w:t>
            </w:r>
          </w:p>
        </w:tc>
        <w:tc>
          <w:tcPr>
            <w:tcW w:w="1300" w:type="dxa"/>
            <w:tcMar>
              <w:top w:w="0" w:type="dxa"/>
              <w:left w:w="120" w:type="dxa"/>
              <w:bottom w:w="0" w:type="dxa"/>
              <w:right w:w="120" w:type="dxa"/>
            </w:tcMar>
            <w:vAlign w:val="center"/>
          </w:tcPr>
          <w:p w:rsidR="00864498" w:rsidRPr="00FC72F5" w:rsidRDefault="00CE6CD7">
            <w:pPr>
              <w:tabs>
                <w:tab w:val="left" w:pos="4800"/>
              </w:tabs>
              <w:spacing w:after="0" w:line="240" w:lineRule="auto"/>
              <w:jc w:val="center"/>
              <w:rPr>
                <w:rFonts w:asciiTheme="majorBidi" w:eastAsia="Times New Roman" w:hAnsiTheme="majorBidi" w:cstheme="majorBidi"/>
                <w:sz w:val="24"/>
                <w:szCs w:val="24"/>
              </w:rPr>
            </w:pPr>
            <w:r w:rsidRPr="00FC72F5">
              <w:rPr>
                <w:rFonts w:asciiTheme="majorBidi" w:eastAsia="Times New Roman" w:hAnsiTheme="majorBidi" w:cstheme="majorBidi"/>
                <w:sz w:val="24"/>
                <w:szCs w:val="24"/>
              </w:rPr>
              <w:t xml:space="preserve">2.322 </w:t>
            </w:r>
          </w:p>
        </w:tc>
        <w:tc>
          <w:tcPr>
            <w:tcW w:w="778" w:type="dxa"/>
            <w:tcMar>
              <w:top w:w="0" w:type="dxa"/>
              <w:left w:w="120" w:type="dxa"/>
              <w:bottom w:w="0" w:type="dxa"/>
              <w:right w:w="120" w:type="dxa"/>
            </w:tcMar>
            <w:vAlign w:val="center"/>
          </w:tcPr>
          <w:p w:rsidR="00864498" w:rsidRPr="00FC72F5" w:rsidRDefault="00CE6CD7">
            <w:pPr>
              <w:tabs>
                <w:tab w:val="left" w:pos="4800"/>
              </w:tabs>
              <w:spacing w:after="0" w:line="240" w:lineRule="auto"/>
              <w:jc w:val="center"/>
              <w:rPr>
                <w:rFonts w:asciiTheme="majorBidi" w:eastAsia="Times New Roman" w:hAnsiTheme="majorBidi" w:cstheme="majorBidi"/>
                <w:color w:val="006600"/>
                <w:sz w:val="24"/>
                <w:szCs w:val="24"/>
              </w:rPr>
            </w:pPr>
            <w:r w:rsidRPr="00FC72F5">
              <w:rPr>
                <w:rFonts w:asciiTheme="majorBidi" w:eastAsia="Times New Roman" w:hAnsiTheme="majorBidi" w:cstheme="majorBidi"/>
                <w:color w:val="006600"/>
                <w:sz w:val="24"/>
                <w:szCs w:val="24"/>
              </w:rPr>
              <w:t xml:space="preserve">0.020 </w:t>
            </w:r>
          </w:p>
        </w:tc>
        <w:tc>
          <w:tcPr>
            <w:tcW w:w="778" w:type="dxa"/>
          </w:tcPr>
          <w:p w:rsidR="00864498" w:rsidRPr="00FC72F5" w:rsidRDefault="00864498">
            <w:pPr>
              <w:tabs>
                <w:tab w:val="left" w:pos="4800"/>
              </w:tabs>
              <w:spacing w:after="0" w:line="240" w:lineRule="auto"/>
              <w:jc w:val="center"/>
              <w:rPr>
                <w:rFonts w:asciiTheme="majorBidi" w:eastAsia="Times New Roman" w:hAnsiTheme="majorBidi" w:cstheme="majorBidi"/>
                <w:color w:val="006600"/>
                <w:sz w:val="24"/>
                <w:szCs w:val="24"/>
              </w:rPr>
            </w:pPr>
          </w:p>
        </w:tc>
        <w:tc>
          <w:tcPr>
            <w:tcW w:w="981" w:type="dxa"/>
            <w:tcBorders>
              <w:right w:val="single" w:sz="4" w:space="0" w:color="000000"/>
            </w:tcBorders>
          </w:tcPr>
          <w:p w:rsidR="00864498" w:rsidRPr="00FC72F5" w:rsidRDefault="00864498">
            <w:pPr>
              <w:tabs>
                <w:tab w:val="left" w:pos="4800"/>
              </w:tabs>
              <w:spacing w:after="0" w:line="240" w:lineRule="auto"/>
              <w:jc w:val="center"/>
              <w:rPr>
                <w:rFonts w:asciiTheme="majorBidi" w:eastAsia="Times New Roman" w:hAnsiTheme="majorBidi" w:cstheme="majorBidi"/>
                <w:color w:val="006600"/>
                <w:sz w:val="24"/>
                <w:szCs w:val="24"/>
              </w:rPr>
            </w:pPr>
          </w:p>
        </w:tc>
      </w:tr>
      <w:tr w:rsidR="00864498" w:rsidRPr="00FC72F5" w:rsidTr="00FC72F5">
        <w:tc>
          <w:tcPr>
            <w:tcW w:w="2519" w:type="dxa"/>
            <w:tcBorders>
              <w:left w:val="single" w:sz="4" w:space="0" w:color="000000"/>
            </w:tcBorders>
            <w:tcMar>
              <w:top w:w="0" w:type="dxa"/>
              <w:left w:w="120" w:type="dxa"/>
              <w:bottom w:w="0" w:type="dxa"/>
              <w:right w:w="120" w:type="dxa"/>
            </w:tcMar>
            <w:vAlign w:val="center"/>
          </w:tcPr>
          <w:p w:rsidR="00864498" w:rsidRPr="00FC72F5" w:rsidRDefault="00CE6CD7">
            <w:pPr>
              <w:tabs>
                <w:tab w:val="left" w:pos="4800"/>
              </w:tabs>
              <w:spacing w:after="0" w:line="240" w:lineRule="auto"/>
              <w:rPr>
                <w:rFonts w:asciiTheme="majorBidi" w:eastAsia="Times New Roman" w:hAnsiTheme="majorBidi" w:cstheme="majorBidi"/>
                <w:sz w:val="24"/>
                <w:szCs w:val="24"/>
              </w:rPr>
            </w:pPr>
            <w:proofErr w:type="spellStart"/>
            <w:r w:rsidRPr="00FC72F5">
              <w:rPr>
                <w:rFonts w:asciiTheme="majorBidi" w:eastAsia="Times New Roman" w:hAnsiTheme="majorBidi" w:cstheme="majorBidi"/>
                <w:sz w:val="24"/>
                <w:szCs w:val="24"/>
              </w:rPr>
              <w:t>Efektivitas</w:t>
            </w:r>
            <w:proofErr w:type="spellEnd"/>
            <w:r w:rsidRPr="00FC72F5">
              <w:rPr>
                <w:rFonts w:asciiTheme="majorBidi" w:eastAsia="Times New Roman" w:hAnsiTheme="majorBidi" w:cstheme="majorBidi"/>
                <w:sz w:val="24"/>
                <w:szCs w:val="24"/>
              </w:rPr>
              <w:t xml:space="preserve"> -&gt; Sustainability</w:t>
            </w:r>
          </w:p>
        </w:tc>
        <w:tc>
          <w:tcPr>
            <w:tcW w:w="1077" w:type="dxa"/>
            <w:tcMar>
              <w:top w:w="0" w:type="dxa"/>
              <w:left w:w="120" w:type="dxa"/>
              <w:bottom w:w="0" w:type="dxa"/>
              <w:right w:w="120" w:type="dxa"/>
            </w:tcMar>
            <w:vAlign w:val="center"/>
          </w:tcPr>
          <w:p w:rsidR="00864498" w:rsidRPr="00FC72F5" w:rsidRDefault="00CE6CD7">
            <w:pPr>
              <w:tabs>
                <w:tab w:val="left" w:pos="4800"/>
              </w:tabs>
              <w:spacing w:after="0" w:line="240" w:lineRule="auto"/>
              <w:jc w:val="center"/>
              <w:rPr>
                <w:rFonts w:asciiTheme="majorBidi" w:eastAsia="Times New Roman" w:hAnsiTheme="majorBidi" w:cstheme="majorBidi"/>
                <w:sz w:val="24"/>
                <w:szCs w:val="24"/>
              </w:rPr>
            </w:pPr>
            <w:r w:rsidRPr="00FC72F5">
              <w:rPr>
                <w:rFonts w:asciiTheme="majorBidi" w:eastAsia="Times New Roman" w:hAnsiTheme="majorBidi" w:cstheme="majorBidi"/>
                <w:sz w:val="24"/>
                <w:szCs w:val="24"/>
              </w:rPr>
              <w:t xml:space="preserve">0.018 </w:t>
            </w:r>
          </w:p>
        </w:tc>
        <w:tc>
          <w:tcPr>
            <w:tcW w:w="1043" w:type="dxa"/>
            <w:tcMar>
              <w:top w:w="0" w:type="dxa"/>
              <w:left w:w="120" w:type="dxa"/>
              <w:bottom w:w="0" w:type="dxa"/>
              <w:right w:w="120" w:type="dxa"/>
            </w:tcMar>
            <w:vAlign w:val="center"/>
          </w:tcPr>
          <w:p w:rsidR="00864498" w:rsidRPr="00FC72F5" w:rsidRDefault="00CE6CD7">
            <w:pPr>
              <w:tabs>
                <w:tab w:val="left" w:pos="4800"/>
              </w:tabs>
              <w:spacing w:after="0" w:line="240" w:lineRule="auto"/>
              <w:jc w:val="center"/>
              <w:rPr>
                <w:rFonts w:asciiTheme="majorBidi" w:eastAsia="Times New Roman" w:hAnsiTheme="majorBidi" w:cstheme="majorBidi"/>
                <w:sz w:val="24"/>
                <w:szCs w:val="24"/>
              </w:rPr>
            </w:pPr>
            <w:r w:rsidRPr="00FC72F5">
              <w:rPr>
                <w:rFonts w:asciiTheme="majorBidi" w:eastAsia="Times New Roman" w:hAnsiTheme="majorBidi" w:cstheme="majorBidi"/>
                <w:sz w:val="24"/>
                <w:szCs w:val="24"/>
              </w:rPr>
              <w:t xml:space="preserve">0.020 </w:t>
            </w:r>
          </w:p>
        </w:tc>
        <w:tc>
          <w:tcPr>
            <w:tcW w:w="1079" w:type="dxa"/>
            <w:tcMar>
              <w:top w:w="0" w:type="dxa"/>
              <w:left w:w="120" w:type="dxa"/>
              <w:bottom w:w="0" w:type="dxa"/>
              <w:right w:w="120" w:type="dxa"/>
            </w:tcMar>
            <w:vAlign w:val="center"/>
          </w:tcPr>
          <w:p w:rsidR="00864498" w:rsidRPr="00FC72F5" w:rsidRDefault="00CE6CD7">
            <w:pPr>
              <w:tabs>
                <w:tab w:val="left" w:pos="4800"/>
              </w:tabs>
              <w:spacing w:after="0" w:line="240" w:lineRule="auto"/>
              <w:jc w:val="center"/>
              <w:rPr>
                <w:rFonts w:asciiTheme="majorBidi" w:eastAsia="Times New Roman" w:hAnsiTheme="majorBidi" w:cstheme="majorBidi"/>
                <w:sz w:val="24"/>
                <w:szCs w:val="24"/>
              </w:rPr>
            </w:pPr>
            <w:r w:rsidRPr="00FC72F5">
              <w:rPr>
                <w:rFonts w:asciiTheme="majorBidi" w:eastAsia="Times New Roman" w:hAnsiTheme="majorBidi" w:cstheme="majorBidi"/>
                <w:sz w:val="24"/>
                <w:szCs w:val="24"/>
              </w:rPr>
              <w:t xml:space="preserve">0.049 </w:t>
            </w:r>
          </w:p>
        </w:tc>
        <w:tc>
          <w:tcPr>
            <w:tcW w:w="1300" w:type="dxa"/>
            <w:tcMar>
              <w:top w:w="0" w:type="dxa"/>
              <w:left w:w="120" w:type="dxa"/>
              <w:bottom w:w="0" w:type="dxa"/>
              <w:right w:w="120" w:type="dxa"/>
            </w:tcMar>
            <w:vAlign w:val="center"/>
          </w:tcPr>
          <w:p w:rsidR="00864498" w:rsidRPr="00FC72F5" w:rsidRDefault="00CE6CD7">
            <w:pPr>
              <w:tabs>
                <w:tab w:val="left" w:pos="4800"/>
              </w:tabs>
              <w:spacing w:after="0" w:line="240" w:lineRule="auto"/>
              <w:jc w:val="center"/>
              <w:rPr>
                <w:rFonts w:asciiTheme="majorBidi" w:eastAsia="Times New Roman" w:hAnsiTheme="majorBidi" w:cstheme="majorBidi"/>
                <w:sz w:val="24"/>
                <w:szCs w:val="24"/>
              </w:rPr>
            </w:pPr>
            <w:r w:rsidRPr="00FC72F5">
              <w:rPr>
                <w:rFonts w:asciiTheme="majorBidi" w:eastAsia="Times New Roman" w:hAnsiTheme="majorBidi" w:cstheme="majorBidi"/>
                <w:sz w:val="24"/>
                <w:szCs w:val="24"/>
              </w:rPr>
              <w:t xml:space="preserve">0.377 </w:t>
            </w:r>
          </w:p>
        </w:tc>
        <w:tc>
          <w:tcPr>
            <w:tcW w:w="778" w:type="dxa"/>
            <w:tcMar>
              <w:top w:w="0" w:type="dxa"/>
              <w:left w:w="120" w:type="dxa"/>
              <w:bottom w:w="0" w:type="dxa"/>
              <w:right w:w="120" w:type="dxa"/>
            </w:tcMar>
            <w:vAlign w:val="center"/>
          </w:tcPr>
          <w:p w:rsidR="00864498" w:rsidRPr="00FC72F5" w:rsidRDefault="00CE6CD7">
            <w:pPr>
              <w:tabs>
                <w:tab w:val="left" w:pos="4800"/>
              </w:tabs>
              <w:spacing w:after="0" w:line="240" w:lineRule="auto"/>
              <w:jc w:val="center"/>
              <w:rPr>
                <w:rFonts w:asciiTheme="majorBidi" w:eastAsia="Times New Roman" w:hAnsiTheme="majorBidi" w:cstheme="majorBidi"/>
                <w:sz w:val="24"/>
                <w:szCs w:val="24"/>
              </w:rPr>
            </w:pPr>
            <w:r w:rsidRPr="00FC72F5">
              <w:rPr>
                <w:rFonts w:asciiTheme="majorBidi" w:eastAsia="Times New Roman" w:hAnsiTheme="majorBidi" w:cstheme="majorBidi"/>
                <w:color w:val="EE0000"/>
                <w:sz w:val="24"/>
                <w:szCs w:val="24"/>
              </w:rPr>
              <w:t xml:space="preserve">0.706 </w:t>
            </w:r>
          </w:p>
        </w:tc>
        <w:tc>
          <w:tcPr>
            <w:tcW w:w="778" w:type="dxa"/>
          </w:tcPr>
          <w:p w:rsidR="00864498" w:rsidRPr="00FC72F5" w:rsidRDefault="00864498">
            <w:pPr>
              <w:tabs>
                <w:tab w:val="left" w:pos="4800"/>
              </w:tabs>
              <w:spacing w:after="0" w:line="240" w:lineRule="auto"/>
              <w:jc w:val="center"/>
              <w:rPr>
                <w:rFonts w:asciiTheme="majorBidi" w:eastAsia="Times New Roman" w:hAnsiTheme="majorBidi" w:cstheme="majorBidi"/>
                <w:color w:val="EE0000"/>
                <w:sz w:val="24"/>
                <w:szCs w:val="24"/>
              </w:rPr>
            </w:pPr>
          </w:p>
        </w:tc>
        <w:tc>
          <w:tcPr>
            <w:tcW w:w="981" w:type="dxa"/>
            <w:tcBorders>
              <w:right w:val="single" w:sz="4" w:space="0" w:color="000000"/>
            </w:tcBorders>
          </w:tcPr>
          <w:p w:rsidR="00864498" w:rsidRPr="00FC72F5" w:rsidRDefault="00864498">
            <w:pPr>
              <w:tabs>
                <w:tab w:val="left" w:pos="4800"/>
              </w:tabs>
              <w:spacing w:after="0" w:line="240" w:lineRule="auto"/>
              <w:jc w:val="center"/>
              <w:rPr>
                <w:rFonts w:asciiTheme="majorBidi" w:eastAsia="Times New Roman" w:hAnsiTheme="majorBidi" w:cstheme="majorBidi"/>
                <w:color w:val="EE0000"/>
                <w:sz w:val="24"/>
                <w:szCs w:val="24"/>
              </w:rPr>
            </w:pPr>
          </w:p>
        </w:tc>
      </w:tr>
      <w:tr w:rsidR="00864498" w:rsidRPr="00FC72F5" w:rsidTr="00FC72F5">
        <w:tc>
          <w:tcPr>
            <w:tcW w:w="2519" w:type="dxa"/>
            <w:tcBorders>
              <w:left w:val="single" w:sz="4" w:space="0" w:color="000000"/>
            </w:tcBorders>
            <w:tcMar>
              <w:top w:w="0" w:type="dxa"/>
              <w:left w:w="120" w:type="dxa"/>
              <w:bottom w:w="0" w:type="dxa"/>
              <w:right w:w="120" w:type="dxa"/>
            </w:tcMar>
            <w:vAlign w:val="center"/>
          </w:tcPr>
          <w:p w:rsidR="00864498" w:rsidRPr="00FC72F5" w:rsidRDefault="00CE6CD7">
            <w:pPr>
              <w:tabs>
                <w:tab w:val="left" w:pos="4800"/>
              </w:tabs>
              <w:spacing w:after="0" w:line="240" w:lineRule="auto"/>
              <w:rPr>
                <w:rFonts w:asciiTheme="majorBidi" w:eastAsia="Times New Roman" w:hAnsiTheme="majorBidi" w:cstheme="majorBidi"/>
                <w:sz w:val="24"/>
                <w:szCs w:val="24"/>
              </w:rPr>
            </w:pPr>
            <w:r w:rsidRPr="00FC72F5">
              <w:rPr>
                <w:rFonts w:asciiTheme="majorBidi" w:eastAsia="Times New Roman" w:hAnsiTheme="majorBidi" w:cstheme="majorBidi"/>
                <w:sz w:val="24"/>
                <w:szCs w:val="24"/>
              </w:rPr>
              <w:t xml:space="preserve">Financial Literacy -&gt; </w:t>
            </w:r>
            <w:proofErr w:type="spellStart"/>
            <w:r w:rsidRPr="00FC72F5">
              <w:rPr>
                <w:rFonts w:asciiTheme="majorBidi" w:eastAsia="Times New Roman" w:hAnsiTheme="majorBidi" w:cstheme="majorBidi"/>
                <w:sz w:val="24"/>
                <w:szCs w:val="24"/>
              </w:rPr>
              <w:t>Efektivenesss</w:t>
            </w:r>
            <w:proofErr w:type="spellEnd"/>
            <w:r w:rsidRPr="00FC72F5">
              <w:rPr>
                <w:rFonts w:asciiTheme="majorBidi" w:eastAsia="Times New Roman" w:hAnsiTheme="majorBidi" w:cstheme="majorBidi"/>
                <w:sz w:val="24"/>
                <w:szCs w:val="24"/>
              </w:rPr>
              <w:t xml:space="preserve"> QRIS -&gt; Sustainability </w:t>
            </w:r>
          </w:p>
        </w:tc>
        <w:tc>
          <w:tcPr>
            <w:tcW w:w="1077" w:type="dxa"/>
            <w:tcMar>
              <w:top w:w="0" w:type="dxa"/>
              <w:left w:w="120" w:type="dxa"/>
              <w:bottom w:w="0" w:type="dxa"/>
              <w:right w:w="120" w:type="dxa"/>
            </w:tcMar>
            <w:vAlign w:val="center"/>
          </w:tcPr>
          <w:p w:rsidR="00864498" w:rsidRPr="00FC72F5" w:rsidRDefault="00CE6CD7">
            <w:pPr>
              <w:tabs>
                <w:tab w:val="left" w:pos="4800"/>
              </w:tabs>
              <w:spacing w:after="0" w:line="240" w:lineRule="auto"/>
              <w:jc w:val="center"/>
              <w:rPr>
                <w:rFonts w:asciiTheme="majorBidi" w:eastAsia="Times New Roman" w:hAnsiTheme="majorBidi" w:cstheme="majorBidi"/>
                <w:sz w:val="24"/>
                <w:szCs w:val="24"/>
              </w:rPr>
            </w:pPr>
            <w:r w:rsidRPr="00FC72F5">
              <w:rPr>
                <w:rFonts w:asciiTheme="majorBidi" w:eastAsia="Times New Roman" w:hAnsiTheme="majorBidi" w:cstheme="majorBidi"/>
                <w:sz w:val="24"/>
                <w:szCs w:val="24"/>
              </w:rPr>
              <w:t xml:space="preserve">0.006 </w:t>
            </w:r>
          </w:p>
        </w:tc>
        <w:tc>
          <w:tcPr>
            <w:tcW w:w="1043" w:type="dxa"/>
            <w:tcMar>
              <w:top w:w="0" w:type="dxa"/>
              <w:left w:w="120" w:type="dxa"/>
              <w:bottom w:w="0" w:type="dxa"/>
              <w:right w:w="120" w:type="dxa"/>
            </w:tcMar>
            <w:vAlign w:val="center"/>
          </w:tcPr>
          <w:p w:rsidR="00864498" w:rsidRPr="00FC72F5" w:rsidRDefault="00CE6CD7">
            <w:pPr>
              <w:tabs>
                <w:tab w:val="left" w:pos="4800"/>
              </w:tabs>
              <w:spacing w:after="0" w:line="240" w:lineRule="auto"/>
              <w:jc w:val="center"/>
              <w:rPr>
                <w:rFonts w:asciiTheme="majorBidi" w:eastAsia="Times New Roman" w:hAnsiTheme="majorBidi" w:cstheme="majorBidi"/>
                <w:sz w:val="24"/>
                <w:szCs w:val="24"/>
              </w:rPr>
            </w:pPr>
            <w:r w:rsidRPr="00FC72F5">
              <w:rPr>
                <w:rFonts w:asciiTheme="majorBidi" w:eastAsia="Times New Roman" w:hAnsiTheme="majorBidi" w:cstheme="majorBidi"/>
                <w:sz w:val="24"/>
                <w:szCs w:val="24"/>
              </w:rPr>
              <w:t xml:space="preserve">0.006 </w:t>
            </w:r>
          </w:p>
        </w:tc>
        <w:tc>
          <w:tcPr>
            <w:tcW w:w="1079" w:type="dxa"/>
            <w:tcMar>
              <w:top w:w="0" w:type="dxa"/>
              <w:left w:w="120" w:type="dxa"/>
              <w:bottom w:w="0" w:type="dxa"/>
              <w:right w:w="120" w:type="dxa"/>
            </w:tcMar>
            <w:vAlign w:val="center"/>
          </w:tcPr>
          <w:p w:rsidR="00864498" w:rsidRPr="00FC72F5" w:rsidRDefault="00CE6CD7">
            <w:pPr>
              <w:tabs>
                <w:tab w:val="left" w:pos="4800"/>
              </w:tabs>
              <w:spacing w:after="0" w:line="240" w:lineRule="auto"/>
              <w:jc w:val="center"/>
              <w:rPr>
                <w:rFonts w:asciiTheme="majorBidi" w:eastAsia="Times New Roman" w:hAnsiTheme="majorBidi" w:cstheme="majorBidi"/>
                <w:sz w:val="24"/>
                <w:szCs w:val="24"/>
              </w:rPr>
            </w:pPr>
            <w:r w:rsidRPr="00FC72F5">
              <w:rPr>
                <w:rFonts w:asciiTheme="majorBidi" w:eastAsia="Times New Roman" w:hAnsiTheme="majorBidi" w:cstheme="majorBidi"/>
                <w:sz w:val="24"/>
                <w:szCs w:val="24"/>
              </w:rPr>
              <w:t xml:space="preserve">0.016 </w:t>
            </w:r>
          </w:p>
        </w:tc>
        <w:tc>
          <w:tcPr>
            <w:tcW w:w="1300" w:type="dxa"/>
            <w:tcMar>
              <w:top w:w="0" w:type="dxa"/>
              <w:left w:w="120" w:type="dxa"/>
              <w:bottom w:w="0" w:type="dxa"/>
              <w:right w:w="120" w:type="dxa"/>
            </w:tcMar>
            <w:vAlign w:val="center"/>
          </w:tcPr>
          <w:p w:rsidR="00864498" w:rsidRPr="00FC72F5" w:rsidRDefault="00CE6CD7">
            <w:pPr>
              <w:tabs>
                <w:tab w:val="left" w:pos="4800"/>
              </w:tabs>
              <w:spacing w:after="0" w:line="240" w:lineRule="auto"/>
              <w:jc w:val="center"/>
              <w:rPr>
                <w:rFonts w:asciiTheme="majorBidi" w:eastAsia="Times New Roman" w:hAnsiTheme="majorBidi" w:cstheme="majorBidi"/>
                <w:sz w:val="24"/>
                <w:szCs w:val="24"/>
              </w:rPr>
            </w:pPr>
            <w:r w:rsidRPr="00FC72F5">
              <w:rPr>
                <w:rFonts w:asciiTheme="majorBidi" w:eastAsia="Times New Roman" w:hAnsiTheme="majorBidi" w:cstheme="majorBidi"/>
                <w:sz w:val="24"/>
                <w:szCs w:val="24"/>
              </w:rPr>
              <w:t xml:space="preserve">0.364 </w:t>
            </w:r>
          </w:p>
        </w:tc>
        <w:tc>
          <w:tcPr>
            <w:tcW w:w="778" w:type="dxa"/>
            <w:tcMar>
              <w:top w:w="0" w:type="dxa"/>
              <w:left w:w="120" w:type="dxa"/>
              <w:bottom w:w="0" w:type="dxa"/>
              <w:right w:w="120" w:type="dxa"/>
            </w:tcMar>
            <w:vAlign w:val="center"/>
          </w:tcPr>
          <w:p w:rsidR="00864498" w:rsidRPr="00FC72F5" w:rsidRDefault="00CE6CD7">
            <w:pPr>
              <w:tabs>
                <w:tab w:val="left" w:pos="4800"/>
              </w:tabs>
              <w:spacing w:after="0" w:line="240" w:lineRule="auto"/>
              <w:jc w:val="center"/>
              <w:rPr>
                <w:rFonts w:asciiTheme="majorBidi" w:eastAsia="Times New Roman" w:hAnsiTheme="majorBidi" w:cstheme="majorBidi"/>
                <w:color w:val="EE0000"/>
                <w:sz w:val="24"/>
                <w:szCs w:val="24"/>
              </w:rPr>
            </w:pPr>
            <w:r w:rsidRPr="00FC72F5">
              <w:rPr>
                <w:rFonts w:asciiTheme="majorBidi" w:eastAsia="Times New Roman" w:hAnsiTheme="majorBidi" w:cstheme="majorBidi"/>
                <w:color w:val="EE0000"/>
                <w:sz w:val="24"/>
                <w:szCs w:val="24"/>
              </w:rPr>
              <w:t xml:space="preserve">0.716 </w:t>
            </w:r>
          </w:p>
        </w:tc>
        <w:tc>
          <w:tcPr>
            <w:tcW w:w="778" w:type="dxa"/>
          </w:tcPr>
          <w:p w:rsidR="00864498" w:rsidRPr="00FC72F5" w:rsidRDefault="00864498">
            <w:pPr>
              <w:tabs>
                <w:tab w:val="left" w:pos="4800"/>
              </w:tabs>
              <w:spacing w:after="0" w:line="240" w:lineRule="auto"/>
              <w:jc w:val="center"/>
              <w:rPr>
                <w:rFonts w:asciiTheme="majorBidi" w:eastAsia="Times New Roman" w:hAnsiTheme="majorBidi" w:cstheme="majorBidi"/>
                <w:color w:val="EE0000"/>
                <w:sz w:val="24"/>
                <w:szCs w:val="24"/>
              </w:rPr>
            </w:pPr>
          </w:p>
        </w:tc>
        <w:tc>
          <w:tcPr>
            <w:tcW w:w="981" w:type="dxa"/>
            <w:tcBorders>
              <w:right w:val="single" w:sz="4" w:space="0" w:color="000000"/>
            </w:tcBorders>
          </w:tcPr>
          <w:p w:rsidR="00864498" w:rsidRPr="00FC72F5" w:rsidRDefault="00864498">
            <w:pPr>
              <w:tabs>
                <w:tab w:val="left" w:pos="4800"/>
              </w:tabs>
              <w:spacing w:after="0" w:line="240" w:lineRule="auto"/>
              <w:jc w:val="center"/>
              <w:rPr>
                <w:rFonts w:asciiTheme="majorBidi" w:eastAsia="Times New Roman" w:hAnsiTheme="majorBidi" w:cstheme="majorBidi"/>
                <w:color w:val="EE0000"/>
                <w:sz w:val="24"/>
                <w:szCs w:val="24"/>
              </w:rPr>
            </w:pPr>
          </w:p>
        </w:tc>
      </w:tr>
      <w:tr w:rsidR="00864498" w:rsidRPr="00FC72F5" w:rsidTr="00FC72F5">
        <w:tc>
          <w:tcPr>
            <w:tcW w:w="2519" w:type="dxa"/>
            <w:tcBorders>
              <w:left w:val="single" w:sz="4" w:space="0" w:color="000000"/>
            </w:tcBorders>
            <w:tcMar>
              <w:top w:w="0" w:type="dxa"/>
              <w:left w:w="120" w:type="dxa"/>
              <w:bottom w:w="0" w:type="dxa"/>
              <w:right w:w="120" w:type="dxa"/>
            </w:tcMar>
            <w:vAlign w:val="center"/>
          </w:tcPr>
          <w:p w:rsidR="00864498" w:rsidRPr="00FC72F5" w:rsidRDefault="00CE6CD7">
            <w:pPr>
              <w:tabs>
                <w:tab w:val="left" w:pos="4800"/>
              </w:tabs>
              <w:spacing w:after="0" w:line="240" w:lineRule="auto"/>
              <w:rPr>
                <w:rFonts w:asciiTheme="majorBidi" w:eastAsia="Times New Roman" w:hAnsiTheme="majorBidi" w:cstheme="majorBidi"/>
                <w:sz w:val="24"/>
                <w:szCs w:val="24"/>
              </w:rPr>
            </w:pPr>
            <w:r w:rsidRPr="00FC72F5">
              <w:rPr>
                <w:rFonts w:asciiTheme="majorBidi" w:eastAsia="Times New Roman" w:hAnsiTheme="majorBidi" w:cstheme="majorBidi"/>
                <w:sz w:val="24"/>
                <w:szCs w:val="24"/>
              </w:rPr>
              <w:lastRenderedPageBreak/>
              <w:t xml:space="preserve">Lifestyle -&gt; </w:t>
            </w:r>
            <w:proofErr w:type="spellStart"/>
            <w:r w:rsidRPr="00FC72F5">
              <w:rPr>
                <w:rFonts w:asciiTheme="majorBidi" w:eastAsia="Times New Roman" w:hAnsiTheme="majorBidi" w:cstheme="majorBidi"/>
                <w:sz w:val="24"/>
                <w:szCs w:val="24"/>
              </w:rPr>
              <w:t>Efektiveness</w:t>
            </w:r>
            <w:proofErr w:type="spellEnd"/>
            <w:r w:rsidRPr="00FC72F5">
              <w:rPr>
                <w:rFonts w:asciiTheme="majorBidi" w:eastAsia="Times New Roman" w:hAnsiTheme="majorBidi" w:cstheme="majorBidi"/>
                <w:sz w:val="24"/>
                <w:szCs w:val="24"/>
              </w:rPr>
              <w:t xml:space="preserve"> QRIS -&gt; Sustainability </w:t>
            </w:r>
          </w:p>
        </w:tc>
        <w:tc>
          <w:tcPr>
            <w:tcW w:w="1077" w:type="dxa"/>
            <w:tcMar>
              <w:top w:w="0" w:type="dxa"/>
              <w:left w:w="120" w:type="dxa"/>
              <w:bottom w:w="0" w:type="dxa"/>
              <w:right w:w="120" w:type="dxa"/>
            </w:tcMar>
            <w:vAlign w:val="center"/>
          </w:tcPr>
          <w:p w:rsidR="00864498" w:rsidRPr="00FC72F5" w:rsidRDefault="00CE6CD7">
            <w:pPr>
              <w:tabs>
                <w:tab w:val="left" w:pos="4800"/>
              </w:tabs>
              <w:spacing w:after="0" w:line="240" w:lineRule="auto"/>
              <w:jc w:val="center"/>
              <w:rPr>
                <w:rFonts w:asciiTheme="majorBidi" w:eastAsia="Times New Roman" w:hAnsiTheme="majorBidi" w:cstheme="majorBidi"/>
                <w:sz w:val="24"/>
                <w:szCs w:val="24"/>
              </w:rPr>
            </w:pPr>
            <w:r w:rsidRPr="00FC72F5">
              <w:rPr>
                <w:rFonts w:asciiTheme="majorBidi" w:eastAsia="Times New Roman" w:hAnsiTheme="majorBidi" w:cstheme="majorBidi"/>
                <w:sz w:val="24"/>
                <w:szCs w:val="24"/>
              </w:rPr>
              <w:t xml:space="preserve">0.002 </w:t>
            </w:r>
          </w:p>
        </w:tc>
        <w:tc>
          <w:tcPr>
            <w:tcW w:w="1043" w:type="dxa"/>
            <w:tcMar>
              <w:top w:w="0" w:type="dxa"/>
              <w:left w:w="120" w:type="dxa"/>
              <w:bottom w:w="0" w:type="dxa"/>
              <w:right w:w="120" w:type="dxa"/>
            </w:tcMar>
            <w:vAlign w:val="center"/>
          </w:tcPr>
          <w:p w:rsidR="00864498" w:rsidRPr="00FC72F5" w:rsidRDefault="00CE6CD7">
            <w:pPr>
              <w:tabs>
                <w:tab w:val="left" w:pos="4800"/>
              </w:tabs>
              <w:spacing w:after="0" w:line="240" w:lineRule="auto"/>
              <w:jc w:val="center"/>
              <w:rPr>
                <w:rFonts w:asciiTheme="majorBidi" w:eastAsia="Times New Roman" w:hAnsiTheme="majorBidi" w:cstheme="majorBidi"/>
                <w:sz w:val="24"/>
                <w:szCs w:val="24"/>
              </w:rPr>
            </w:pPr>
            <w:r w:rsidRPr="00FC72F5">
              <w:rPr>
                <w:rFonts w:asciiTheme="majorBidi" w:eastAsia="Times New Roman" w:hAnsiTheme="majorBidi" w:cstheme="majorBidi"/>
                <w:sz w:val="24"/>
                <w:szCs w:val="24"/>
              </w:rPr>
              <w:t xml:space="preserve">0.002 </w:t>
            </w:r>
          </w:p>
        </w:tc>
        <w:tc>
          <w:tcPr>
            <w:tcW w:w="1079" w:type="dxa"/>
            <w:tcMar>
              <w:top w:w="0" w:type="dxa"/>
              <w:left w:w="120" w:type="dxa"/>
              <w:bottom w:w="0" w:type="dxa"/>
              <w:right w:w="120" w:type="dxa"/>
            </w:tcMar>
            <w:vAlign w:val="center"/>
          </w:tcPr>
          <w:p w:rsidR="00864498" w:rsidRPr="00FC72F5" w:rsidRDefault="00CE6CD7">
            <w:pPr>
              <w:tabs>
                <w:tab w:val="left" w:pos="4800"/>
              </w:tabs>
              <w:spacing w:after="0" w:line="240" w:lineRule="auto"/>
              <w:jc w:val="center"/>
              <w:rPr>
                <w:rFonts w:asciiTheme="majorBidi" w:eastAsia="Times New Roman" w:hAnsiTheme="majorBidi" w:cstheme="majorBidi"/>
                <w:sz w:val="24"/>
                <w:szCs w:val="24"/>
              </w:rPr>
            </w:pPr>
            <w:r w:rsidRPr="00FC72F5">
              <w:rPr>
                <w:rFonts w:asciiTheme="majorBidi" w:eastAsia="Times New Roman" w:hAnsiTheme="majorBidi" w:cstheme="majorBidi"/>
                <w:sz w:val="24"/>
                <w:szCs w:val="24"/>
              </w:rPr>
              <w:t xml:space="preserve">0.006 </w:t>
            </w:r>
          </w:p>
        </w:tc>
        <w:tc>
          <w:tcPr>
            <w:tcW w:w="1300" w:type="dxa"/>
            <w:tcMar>
              <w:top w:w="0" w:type="dxa"/>
              <w:left w:w="120" w:type="dxa"/>
              <w:bottom w:w="0" w:type="dxa"/>
              <w:right w:w="120" w:type="dxa"/>
            </w:tcMar>
            <w:vAlign w:val="center"/>
          </w:tcPr>
          <w:p w:rsidR="00864498" w:rsidRPr="00FC72F5" w:rsidRDefault="00CE6CD7">
            <w:pPr>
              <w:tabs>
                <w:tab w:val="left" w:pos="4800"/>
              </w:tabs>
              <w:spacing w:after="0" w:line="240" w:lineRule="auto"/>
              <w:jc w:val="center"/>
              <w:rPr>
                <w:rFonts w:asciiTheme="majorBidi" w:eastAsia="Times New Roman" w:hAnsiTheme="majorBidi" w:cstheme="majorBidi"/>
                <w:sz w:val="24"/>
                <w:szCs w:val="24"/>
              </w:rPr>
            </w:pPr>
            <w:r w:rsidRPr="00FC72F5">
              <w:rPr>
                <w:rFonts w:asciiTheme="majorBidi" w:eastAsia="Times New Roman" w:hAnsiTheme="majorBidi" w:cstheme="majorBidi"/>
                <w:sz w:val="24"/>
                <w:szCs w:val="24"/>
              </w:rPr>
              <w:t xml:space="preserve">0.343 </w:t>
            </w:r>
          </w:p>
        </w:tc>
        <w:tc>
          <w:tcPr>
            <w:tcW w:w="778" w:type="dxa"/>
            <w:tcMar>
              <w:top w:w="0" w:type="dxa"/>
              <w:left w:w="120" w:type="dxa"/>
              <w:bottom w:w="0" w:type="dxa"/>
              <w:right w:w="120" w:type="dxa"/>
            </w:tcMar>
            <w:vAlign w:val="center"/>
          </w:tcPr>
          <w:p w:rsidR="00864498" w:rsidRPr="00FC72F5" w:rsidRDefault="00CE6CD7">
            <w:pPr>
              <w:tabs>
                <w:tab w:val="left" w:pos="4800"/>
              </w:tabs>
              <w:spacing w:after="0" w:line="240" w:lineRule="auto"/>
              <w:jc w:val="center"/>
              <w:rPr>
                <w:rFonts w:asciiTheme="majorBidi" w:eastAsia="Times New Roman" w:hAnsiTheme="majorBidi" w:cstheme="majorBidi"/>
                <w:sz w:val="24"/>
                <w:szCs w:val="24"/>
              </w:rPr>
            </w:pPr>
            <w:r w:rsidRPr="00FC72F5">
              <w:rPr>
                <w:rFonts w:asciiTheme="majorBidi" w:eastAsia="Times New Roman" w:hAnsiTheme="majorBidi" w:cstheme="majorBidi"/>
                <w:color w:val="EE0000"/>
                <w:sz w:val="24"/>
                <w:szCs w:val="24"/>
              </w:rPr>
              <w:t xml:space="preserve">0.731 </w:t>
            </w:r>
          </w:p>
        </w:tc>
        <w:tc>
          <w:tcPr>
            <w:tcW w:w="778" w:type="dxa"/>
          </w:tcPr>
          <w:p w:rsidR="00864498" w:rsidRPr="00FC72F5" w:rsidRDefault="00864498">
            <w:pPr>
              <w:tabs>
                <w:tab w:val="left" w:pos="4800"/>
              </w:tabs>
              <w:spacing w:after="0" w:line="240" w:lineRule="auto"/>
              <w:jc w:val="center"/>
              <w:rPr>
                <w:rFonts w:asciiTheme="majorBidi" w:eastAsia="Times New Roman" w:hAnsiTheme="majorBidi" w:cstheme="majorBidi"/>
                <w:color w:val="EE0000"/>
                <w:sz w:val="24"/>
                <w:szCs w:val="24"/>
              </w:rPr>
            </w:pPr>
          </w:p>
        </w:tc>
        <w:tc>
          <w:tcPr>
            <w:tcW w:w="981" w:type="dxa"/>
            <w:tcBorders>
              <w:right w:val="single" w:sz="4" w:space="0" w:color="000000"/>
            </w:tcBorders>
          </w:tcPr>
          <w:p w:rsidR="00864498" w:rsidRPr="00FC72F5" w:rsidRDefault="00864498">
            <w:pPr>
              <w:tabs>
                <w:tab w:val="left" w:pos="4800"/>
              </w:tabs>
              <w:spacing w:after="0" w:line="240" w:lineRule="auto"/>
              <w:jc w:val="center"/>
              <w:rPr>
                <w:rFonts w:asciiTheme="majorBidi" w:eastAsia="Times New Roman" w:hAnsiTheme="majorBidi" w:cstheme="majorBidi"/>
                <w:color w:val="EE0000"/>
                <w:sz w:val="24"/>
                <w:szCs w:val="24"/>
              </w:rPr>
            </w:pPr>
          </w:p>
        </w:tc>
      </w:tr>
      <w:tr w:rsidR="00864498" w:rsidRPr="00FC72F5" w:rsidTr="00FC72F5">
        <w:tc>
          <w:tcPr>
            <w:tcW w:w="2519" w:type="dxa"/>
            <w:tcBorders>
              <w:left w:val="single" w:sz="4" w:space="0" w:color="000000"/>
              <w:bottom w:val="single" w:sz="4" w:space="0" w:color="000000"/>
            </w:tcBorders>
            <w:tcMar>
              <w:top w:w="0" w:type="dxa"/>
              <w:left w:w="120" w:type="dxa"/>
              <w:bottom w:w="0" w:type="dxa"/>
              <w:right w:w="120" w:type="dxa"/>
            </w:tcMar>
            <w:vAlign w:val="center"/>
          </w:tcPr>
          <w:p w:rsidR="00864498" w:rsidRPr="00FC72F5" w:rsidRDefault="00CE6CD7">
            <w:pPr>
              <w:tabs>
                <w:tab w:val="left" w:pos="4800"/>
              </w:tabs>
              <w:spacing w:after="0" w:line="240" w:lineRule="auto"/>
              <w:rPr>
                <w:rFonts w:asciiTheme="majorBidi" w:eastAsia="Times New Roman" w:hAnsiTheme="majorBidi" w:cstheme="majorBidi"/>
                <w:sz w:val="24"/>
                <w:szCs w:val="24"/>
              </w:rPr>
            </w:pPr>
            <w:proofErr w:type="spellStart"/>
            <w:r w:rsidRPr="00FC72F5">
              <w:rPr>
                <w:rFonts w:asciiTheme="majorBidi" w:eastAsia="Times New Roman" w:hAnsiTheme="majorBidi" w:cstheme="majorBidi"/>
                <w:sz w:val="24"/>
                <w:szCs w:val="24"/>
              </w:rPr>
              <w:t>Sustanability</w:t>
            </w:r>
            <w:proofErr w:type="spellEnd"/>
          </w:p>
        </w:tc>
        <w:tc>
          <w:tcPr>
            <w:tcW w:w="1077" w:type="dxa"/>
            <w:tcBorders>
              <w:bottom w:val="single" w:sz="4" w:space="0" w:color="000000"/>
            </w:tcBorders>
            <w:tcMar>
              <w:top w:w="0" w:type="dxa"/>
              <w:left w:w="120" w:type="dxa"/>
              <w:bottom w:w="0" w:type="dxa"/>
              <w:right w:w="120" w:type="dxa"/>
            </w:tcMar>
            <w:vAlign w:val="center"/>
          </w:tcPr>
          <w:p w:rsidR="00864498" w:rsidRPr="00FC72F5" w:rsidRDefault="00864498">
            <w:pPr>
              <w:tabs>
                <w:tab w:val="left" w:pos="4800"/>
              </w:tabs>
              <w:spacing w:after="0" w:line="240" w:lineRule="auto"/>
              <w:jc w:val="center"/>
              <w:rPr>
                <w:rFonts w:asciiTheme="majorBidi" w:eastAsia="Times New Roman" w:hAnsiTheme="majorBidi" w:cstheme="majorBidi"/>
                <w:sz w:val="24"/>
                <w:szCs w:val="24"/>
              </w:rPr>
            </w:pPr>
          </w:p>
        </w:tc>
        <w:tc>
          <w:tcPr>
            <w:tcW w:w="1043" w:type="dxa"/>
            <w:tcBorders>
              <w:bottom w:val="single" w:sz="4" w:space="0" w:color="000000"/>
            </w:tcBorders>
            <w:tcMar>
              <w:top w:w="0" w:type="dxa"/>
              <w:left w:w="120" w:type="dxa"/>
              <w:bottom w:w="0" w:type="dxa"/>
              <w:right w:w="120" w:type="dxa"/>
            </w:tcMar>
            <w:vAlign w:val="center"/>
          </w:tcPr>
          <w:p w:rsidR="00864498" w:rsidRPr="00FC72F5" w:rsidRDefault="00864498">
            <w:pPr>
              <w:tabs>
                <w:tab w:val="left" w:pos="4800"/>
              </w:tabs>
              <w:spacing w:after="0" w:line="240" w:lineRule="auto"/>
              <w:jc w:val="center"/>
              <w:rPr>
                <w:rFonts w:asciiTheme="majorBidi" w:eastAsia="Times New Roman" w:hAnsiTheme="majorBidi" w:cstheme="majorBidi"/>
                <w:sz w:val="24"/>
                <w:szCs w:val="24"/>
              </w:rPr>
            </w:pPr>
          </w:p>
        </w:tc>
        <w:tc>
          <w:tcPr>
            <w:tcW w:w="1079" w:type="dxa"/>
            <w:tcBorders>
              <w:bottom w:val="single" w:sz="4" w:space="0" w:color="000000"/>
            </w:tcBorders>
            <w:tcMar>
              <w:top w:w="0" w:type="dxa"/>
              <w:left w:w="120" w:type="dxa"/>
              <w:bottom w:w="0" w:type="dxa"/>
              <w:right w:w="120" w:type="dxa"/>
            </w:tcMar>
            <w:vAlign w:val="center"/>
          </w:tcPr>
          <w:p w:rsidR="00864498" w:rsidRPr="00FC72F5" w:rsidRDefault="00864498">
            <w:pPr>
              <w:tabs>
                <w:tab w:val="left" w:pos="4800"/>
              </w:tabs>
              <w:spacing w:after="0" w:line="240" w:lineRule="auto"/>
              <w:jc w:val="center"/>
              <w:rPr>
                <w:rFonts w:asciiTheme="majorBidi" w:eastAsia="Times New Roman" w:hAnsiTheme="majorBidi" w:cstheme="majorBidi"/>
                <w:sz w:val="24"/>
                <w:szCs w:val="24"/>
              </w:rPr>
            </w:pPr>
          </w:p>
        </w:tc>
        <w:tc>
          <w:tcPr>
            <w:tcW w:w="1300" w:type="dxa"/>
            <w:tcBorders>
              <w:bottom w:val="single" w:sz="4" w:space="0" w:color="000000"/>
            </w:tcBorders>
            <w:tcMar>
              <w:top w:w="0" w:type="dxa"/>
              <w:left w:w="120" w:type="dxa"/>
              <w:bottom w:w="0" w:type="dxa"/>
              <w:right w:w="120" w:type="dxa"/>
            </w:tcMar>
            <w:vAlign w:val="center"/>
          </w:tcPr>
          <w:p w:rsidR="00864498" w:rsidRPr="00FC72F5" w:rsidRDefault="00864498">
            <w:pPr>
              <w:tabs>
                <w:tab w:val="left" w:pos="4800"/>
              </w:tabs>
              <w:spacing w:after="0" w:line="240" w:lineRule="auto"/>
              <w:jc w:val="center"/>
              <w:rPr>
                <w:rFonts w:asciiTheme="majorBidi" w:eastAsia="Times New Roman" w:hAnsiTheme="majorBidi" w:cstheme="majorBidi"/>
                <w:sz w:val="24"/>
                <w:szCs w:val="24"/>
              </w:rPr>
            </w:pPr>
          </w:p>
        </w:tc>
        <w:tc>
          <w:tcPr>
            <w:tcW w:w="778" w:type="dxa"/>
            <w:tcBorders>
              <w:bottom w:val="single" w:sz="4" w:space="0" w:color="000000"/>
            </w:tcBorders>
            <w:tcMar>
              <w:top w:w="0" w:type="dxa"/>
              <w:left w:w="120" w:type="dxa"/>
              <w:bottom w:w="0" w:type="dxa"/>
              <w:right w:w="120" w:type="dxa"/>
            </w:tcMar>
            <w:vAlign w:val="center"/>
          </w:tcPr>
          <w:p w:rsidR="00864498" w:rsidRPr="00FC72F5" w:rsidRDefault="00864498">
            <w:pPr>
              <w:tabs>
                <w:tab w:val="left" w:pos="4800"/>
              </w:tabs>
              <w:spacing w:after="0" w:line="240" w:lineRule="auto"/>
              <w:jc w:val="center"/>
              <w:rPr>
                <w:rFonts w:asciiTheme="majorBidi" w:eastAsia="Times New Roman" w:hAnsiTheme="majorBidi" w:cstheme="majorBidi"/>
                <w:color w:val="EE0000"/>
                <w:sz w:val="24"/>
                <w:szCs w:val="24"/>
              </w:rPr>
            </w:pPr>
          </w:p>
        </w:tc>
        <w:tc>
          <w:tcPr>
            <w:tcW w:w="778" w:type="dxa"/>
            <w:tcBorders>
              <w:bottom w:val="single" w:sz="4" w:space="0" w:color="000000"/>
            </w:tcBorders>
            <w:vAlign w:val="center"/>
          </w:tcPr>
          <w:p w:rsidR="00864498" w:rsidRPr="00FC72F5" w:rsidRDefault="00864498">
            <w:pPr>
              <w:tabs>
                <w:tab w:val="left" w:pos="4800"/>
              </w:tabs>
              <w:jc w:val="center"/>
              <w:rPr>
                <w:rFonts w:asciiTheme="majorBidi" w:eastAsia="Times New Roman" w:hAnsiTheme="majorBidi" w:cstheme="majorBidi"/>
                <w:sz w:val="24"/>
                <w:szCs w:val="24"/>
              </w:rPr>
            </w:pPr>
          </w:p>
        </w:tc>
        <w:tc>
          <w:tcPr>
            <w:tcW w:w="981" w:type="dxa"/>
            <w:tcBorders>
              <w:bottom w:val="single" w:sz="4" w:space="0" w:color="000000"/>
              <w:right w:val="single" w:sz="4" w:space="0" w:color="000000"/>
            </w:tcBorders>
            <w:vAlign w:val="center"/>
          </w:tcPr>
          <w:p w:rsidR="00864498" w:rsidRPr="00FC72F5" w:rsidRDefault="00CE6CD7">
            <w:pPr>
              <w:tabs>
                <w:tab w:val="left" w:pos="4800"/>
              </w:tabs>
              <w:jc w:val="center"/>
              <w:rPr>
                <w:rFonts w:asciiTheme="majorBidi" w:eastAsia="Times New Roman" w:hAnsiTheme="majorBidi" w:cstheme="majorBidi"/>
                <w:sz w:val="24"/>
                <w:szCs w:val="24"/>
              </w:rPr>
            </w:pPr>
            <w:r w:rsidRPr="00FC72F5">
              <w:rPr>
                <w:rFonts w:asciiTheme="majorBidi" w:eastAsia="Times New Roman" w:hAnsiTheme="majorBidi" w:cstheme="majorBidi"/>
                <w:sz w:val="24"/>
                <w:szCs w:val="24"/>
              </w:rPr>
              <w:t>0,256</w:t>
            </w:r>
          </w:p>
        </w:tc>
      </w:tr>
    </w:tbl>
    <w:p w:rsidR="00864498" w:rsidRDefault="00CE6CD7" w:rsidP="00A611CE">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structural equation derived from </w:t>
      </w:r>
      <w:proofErr w:type="spellStart"/>
      <w:r>
        <w:rPr>
          <w:rFonts w:ascii="Times New Roman" w:eastAsia="Times New Roman" w:hAnsi="Times New Roman" w:cs="Times New Roman"/>
          <w:sz w:val="24"/>
          <w:szCs w:val="24"/>
        </w:rPr>
        <w:t>SmartPLS</w:t>
      </w:r>
      <w:proofErr w:type="spellEnd"/>
      <w:r>
        <w:rPr>
          <w:rFonts w:ascii="Times New Roman" w:eastAsia="Times New Roman" w:hAnsi="Times New Roman" w:cs="Times New Roman"/>
          <w:sz w:val="24"/>
          <w:szCs w:val="24"/>
        </w:rPr>
        <w:t xml:space="preserve"> analysis is as follows:</w:t>
      </w:r>
    </w:p>
    <w:p w:rsidR="00864498" w:rsidRDefault="00CE6CD7" w:rsidP="00FC72F5">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Equation </w:t>
      </w:r>
      <w:proofErr w:type="gramStart"/>
      <w:r>
        <w:rPr>
          <w:rFonts w:ascii="Times New Roman" w:eastAsia="Times New Roman" w:hAnsi="Times New Roman" w:cs="Times New Roman"/>
          <w:sz w:val="24"/>
          <w:szCs w:val="24"/>
        </w:rPr>
        <w:t>1 :</w:t>
      </w:r>
      <w:proofErr w:type="gramEnd"/>
      <w:r>
        <w:rPr>
          <w:rFonts w:ascii="Times New Roman" w:eastAsia="Times New Roman" w:hAnsi="Times New Roman" w:cs="Times New Roman"/>
          <w:sz w:val="24"/>
          <w:szCs w:val="24"/>
        </w:rPr>
        <w:t xml:space="preserve"> QRIS usage effectiveness  </w:t>
      </w:r>
      <w:r>
        <w:rPr>
          <w:rFonts w:ascii="Times New Roman" w:eastAsia="Times New Roman" w:hAnsi="Times New Roman" w:cs="Times New Roman"/>
          <w:b/>
          <w:bCs/>
          <w:sz w:val="24"/>
          <w:szCs w:val="24"/>
        </w:rPr>
        <w:t>Z = 0.315X_1 + 0.113X_2 + e</w:t>
      </w:r>
    </w:p>
    <w:p w:rsidR="00864498" w:rsidRDefault="00CE6CD7" w:rsidP="00FC72F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indicate that a one-unit increase in Financial Literacy corresponds to a 0.315 increase in QRIS Usage Effectiveness. Similarly, a one-unit increase in Lifestyle corresponds to a 0.113 increase in QRIS Usage Effectiveness.</w:t>
      </w:r>
    </w:p>
    <w:p w:rsidR="00864498" w:rsidRDefault="00CE6CD7" w:rsidP="00FC72F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2: Sustainability of MSME Businesses </w:t>
      </w:r>
      <w:r>
        <w:rPr>
          <w:rFonts w:ascii="Times New Roman" w:eastAsia="Times New Roman" w:hAnsi="Times New Roman" w:cs="Times New Roman"/>
          <w:b/>
          <w:bCs/>
          <w:sz w:val="24"/>
          <w:szCs w:val="24"/>
        </w:rPr>
        <w:t>Y=0.351X1+0.286X2+0.018Z+e2</w:t>
      </w:r>
    </w:p>
    <w:p w:rsidR="00864498" w:rsidRDefault="00CE6CD7" w:rsidP="00FC72F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suggest that a one-unit increase in financial literacy corresponds to a 0.351 increase in sustainability. A one-unit increase in lifestyle corresponds to a 0.286 increase in sustainability. QRIS usage effectiveness has a marginal effect of 0.018 on sustainability.</w:t>
      </w:r>
    </w:p>
    <w:p w:rsidR="00864498" w:rsidRDefault="00CE6CD7" w:rsidP="00FC72F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X1 = Financial Literacy</w:t>
      </w:r>
    </w:p>
    <w:p w:rsidR="00864498" w:rsidRDefault="00CE6CD7" w:rsidP="00FC72F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X2 = Lifestyle</w:t>
      </w:r>
    </w:p>
    <w:p w:rsidR="00864498" w:rsidRDefault="00CE6CD7" w:rsidP="00FC72F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 = Susta</w:t>
      </w:r>
      <w:r w:rsidR="00A611CE">
        <w:rPr>
          <w:rFonts w:ascii="Times New Roman" w:eastAsia="Times New Roman" w:hAnsi="Times New Roman" w:cs="Times New Roman"/>
          <w:sz w:val="24"/>
          <w:szCs w:val="24"/>
        </w:rPr>
        <w:t>i</w:t>
      </w:r>
      <w:r>
        <w:rPr>
          <w:rFonts w:ascii="Times New Roman" w:eastAsia="Times New Roman" w:hAnsi="Times New Roman" w:cs="Times New Roman"/>
          <w:sz w:val="24"/>
          <w:szCs w:val="24"/>
        </w:rPr>
        <w:t>nability</w:t>
      </w:r>
    </w:p>
    <w:p w:rsidR="00864498" w:rsidRDefault="00CE6CD7" w:rsidP="00A611C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 = Effectiveness</w:t>
      </w:r>
    </w:p>
    <w:p w:rsidR="00864498" w:rsidRDefault="00CE6CD7" w:rsidP="00FC72F5">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path coefficient indicates that financial literacy has the strongest association with MSME sustainability among the variables, with a value of 0.351.</w:t>
      </w:r>
    </w:p>
    <w:p w:rsidR="00864498" w:rsidRDefault="00CE6CD7" w:rsidP="00FC72F5">
      <w:pPr>
        <w:spacing w:before="24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R² value of 0.256 falls within the weak to moderate category. Financial literacy, lifestyle, and QRIS usage effectiveness collectively explain 25.6% of the variance in MSME business sustainability, while the remaining 74.4% is explained by variables outside the research model.</w:t>
      </w:r>
    </w:p>
    <w:p w:rsidR="00864498" w:rsidRDefault="00CE6CD7" w:rsidP="00FC72F5">
      <w:pPr>
        <w:spacing w:after="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Conclusion</w:t>
      </w:r>
    </w:p>
    <w:p w:rsidR="00864498" w:rsidRDefault="00CE6CD7" w:rsidP="00FC72F5">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examined the QRIS usage effectiveness among MSMEs in </w:t>
      </w:r>
      <w:proofErr w:type="spellStart"/>
      <w:r>
        <w:rPr>
          <w:rFonts w:ascii="Times New Roman" w:eastAsia="Times New Roman" w:hAnsi="Times New Roman" w:cs="Times New Roman"/>
          <w:sz w:val="24"/>
          <w:szCs w:val="24"/>
        </w:rPr>
        <w:t>Pandeglang</w:t>
      </w:r>
      <w:proofErr w:type="spellEnd"/>
      <w:r>
        <w:rPr>
          <w:rFonts w:ascii="Times New Roman" w:eastAsia="Times New Roman" w:hAnsi="Times New Roman" w:cs="Times New Roman"/>
          <w:sz w:val="24"/>
          <w:szCs w:val="24"/>
        </w:rPr>
        <w:t>, focusing on the influence of financial literacy and lifestyle and its impact on business sustainability. Using Partial Least Squares (PLS) for analysis, the following conclusions are derived from the findings: 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lastRenderedPageBreak/>
        <w:t>Financial literacy has a positive and significant effect on MSME sustainability. A high level of financial literacy enables MSMEs to manage cash flow and separate personal finances from business capital. Structured financial management directly supports long-term business sustainability. 2) Lifestyle has a positive and significant effect on MSME sustainability. Current lifestyle trends prioritize efficiency and convenience.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Adapting business strategies to customer lifestyle trends encourages MSMEs to innovate in payment digitalization, which improves operational excellence and supports long-term business sustainability. 3) Financial literacy has a positive and significant effect on QRIS usage effectiveness in MSMEs. High financial literacy enables MSMEs to view QRIS as an instrument for transparent, accurate, and automated transaction records. This understanding allows MSMEs to utilize QRIS transaction data to </w:t>
      </w:r>
      <w:proofErr w:type="spellStart"/>
      <w:r>
        <w:rPr>
          <w:rFonts w:ascii="Times New Roman" w:eastAsia="Times New Roman" w:hAnsi="Times New Roman" w:cs="Times New Roman"/>
          <w:sz w:val="24"/>
          <w:szCs w:val="24"/>
        </w:rPr>
        <w:t>analyze</w:t>
      </w:r>
      <w:proofErr w:type="spellEnd"/>
      <w:r>
        <w:rPr>
          <w:rFonts w:ascii="Times New Roman" w:eastAsia="Times New Roman" w:hAnsi="Times New Roman" w:cs="Times New Roman"/>
          <w:sz w:val="24"/>
          <w:szCs w:val="24"/>
        </w:rPr>
        <w:t xml:space="preserve"> cash flow and monitor business health, making technology integration more effective for MSME operations. 4) Lifestyle has a positive and significant effect on QRIS usage effectiveness in MSMEs. Digital lifestyle trends demand faster and more convenient payment systems, encouraging MSMEs to integrate QRIS into operations to meet customer expectations and increase QRIS usage effectiveness. 5) QRIS usage effectiveness in MSMEs has no significant effect on MSME sustainability in </w:t>
      </w:r>
      <w:proofErr w:type="spellStart"/>
      <w:r>
        <w:rPr>
          <w:rFonts w:ascii="Times New Roman" w:eastAsia="Times New Roman" w:hAnsi="Times New Roman" w:cs="Times New Roman"/>
          <w:sz w:val="24"/>
          <w:szCs w:val="24"/>
        </w:rPr>
        <w:t>Pandeglang</w:t>
      </w:r>
      <w:proofErr w:type="spellEnd"/>
      <w:r>
        <w:rPr>
          <w:rFonts w:ascii="Times New Roman" w:eastAsia="Times New Roman" w:hAnsi="Times New Roman" w:cs="Times New Roman"/>
          <w:sz w:val="24"/>
          <w:szCs w:val="24"/>
        </w:rPr>
        <w:t xml:space="preserve"> Regency. The finding indicates that although QRIS is effective as a transaction tool, it is not yet a primary driver of long-term business sustainability. 6) QRIS usage effectiveness does not mediate the influence of financial literacy on business sustainability. QRIS usage in MSMEs remains short-term transactional and has not been optimized as a strategic management tool for business sustainability. Although MSMEs possess good financial literacy, QRIS is primarily used as a payment method to follow market trends or facilitate consumers, without integrating digital transaction data into long-term financial planning. Consequently, QRIS usage effectiveness fails to serve as a significant mediator in translating financial knowledge into real business sustainability. 7) QRIS usage effectiveness does not mediate the influence of lifestyle on business sustainability. Digital lifestyle primarily influences short-term consumption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and payment method preferences but fails to strengthen dynamic capabilities or fundamental strategies that ensure long-term business sustainability. Although modern lifestyle demands increase QRIS usage effectiveness, this does not automatically guarantee business sustainability without comprehensive risk management and financial planning.</w:t>
      </w:r>
    </w:p>
    <w:p w:rsidR="00A611CE" w:rsidRDefault="00A611CE" w:rsidP="00FC72F5">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rsidR="00864498" w:rsidRDefault="00CE6CD7" w:rsidP="00FC72F5">
      <w:pPr>
        <w:pBdr>
          <w:top w:val="nil"/>
          <w:left w:val="nil"/>
          <w:bottom w:val="nil"/>
          <w:right w:val="nil"/>
          <w:between w:val="nil"/>
        </w:pBdr>
        <w:spacing w:after="0" w:line="360" w:lineRule="auto"/>
        <w:ind w:left="270" w:hanging="27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Theoretical Contributions</w:t>
      </w:r>
    </w:p>
    <w:p w:rsidR="00864498" w:rsidRDefault="00CE6CD7" w:rsidP="00FC72F5">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proposes a conceptual framework integrating financial literacy, lifestyle, QRIS usage effectiveness, and MSME business sustainability. The framework can be used as a foundation for future research on digital financial inclusion and MSME development.</w:t>
      </w:r>
    </w:p>
    <w:p w:rsidR="00864498" w:rsidRDefault="00CE6CD7" w:rsidP="00FC72F5">
      <w:pPr>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Practical Implications</w:t>
      </w:r>
    </w:p>
    <w:p w:rsidR="00864498" w:rsidRDefault="00CE6CD7" w:rsidP="00FC72F5">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findings can guide the government and Bank Indonesia in formulating policies and programs on digital financial inclusion, QRIS dissemination, and financial literacy enhancement for MSMEs.</w:t>
      </w:r>
    </w:p>
    <w:p w:rsidR="00864498" w:rsidRDefault="00CE6CD7" w:rsidP="00FC72F5">
      <w:pPr>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Policy Recommendations</w:t>
      </w:r>
    </w:p>
    <w:p w:rsidR="00864498" w:rsidRDefault="00CE6CD7" w:rsidP="00FC72F5">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findings can guide the government and Bank Indonesia in formulating policies and programs on digital financial inclusion, QRIS dissemination, and financial literacy enhancement for MSMEs.</w:t>
      </w:r>
    </w:p>
    <w:p w:rsidR="00864498" w:rsidRDefault="00864498">
      <w:pPr>
        <w:rPr>
          <w:rFonts w:ascii="Times New Roman" w:eastAsia="Times New Roman" w:hAnsi="Times New Roman" w:cs="Times New Roman"/>
          <w:b/>
          <w:bCs/>
          <w:sz w:val="24"/>
          <w:szCs w:val="24"/>
        </w:rPr>
      </w:pPr>
      <w:bookmarkStart w:id="2" w:name="_heading=h.ubcu4yg7lq8" w:colFirst="0" w:colLast="0"/>
      <w:bookmarkEnd w:id="2"/>
    </w:p>
    <w:p w:rsidR="00FC72F5" w:rsidRDefault="00FC72F5">
      <w:pPr>
        <w:rPr>
          <w:rFonts w:ascii="Times New Roman" w:eastAsia="Times New Roman" w:hAnsi="Times New Roman" w:cs="Times New Roman"/>
          <w:b/>
          <w:bCs/>
          <w:sz w:val="24"/>
          <w:szCs w:val="24"/>
        </w:rPr>
      </w:pPr>
    </w:p>
    <w:p w:rsidR="00FC72F5" w:rsidRDefault="00FC72F5">
      <w:pPr>
        <w:rPr>
          <w:rFonts w:ascii="Times New Roman" w:eastAsia="Times New Roman" w:hAnsi="Times New Roman" w:cs="Times New Roman"/>
          <w:b/>
          <w:bCs/>
          <w:sz w:val="24"/>
          <w:szCs w:val="24"/>
        </w:rPr>
      </w:pPr>
    </w:p>
    <w:p w:rsidR="00A611CE" w:rsidRDefault="00A611CE">
      <w:pPr>
        <w:rPr>
          <w:rFonts w:ascii="Times New Roman" w:eastAsia="Times New Roman" w:hAnsi="Times New Roman" w:cs="Times New Roman"/>
          <w:b/>
          <w:bCs/>
          <w:sz w:val="24"/>
          <w:szCs w:val="24"/>
        </w:rPr>
      </w:pPr>
    </w:p>
    <w:p w:rsidR="00A611CE" w:rsidRDefault="00A611CE">
      <w:pPr>
        <w:rPr>
          <w:rFonts w:ascii="Times New Roman" w:eastAsia="Times New Roman" w:hAnsi="Times New Roman" w:cs="Times New Roman"/>
          <w:b/>
          <w:bCs/>
          <w:sz w:val="24"/>
          <w:szCs w:val="24"/>
        </w:rPr>
      </w:pPr>
    </w:p>
    <w:p w:rsidR="00A611CE" w:rsidRDefault="00A611CE">
      <w:pPr>
        <w:rPr>
          <w:rFonts w:ascii="Times New Roman" w:eastAsia="Times New Roman" w:hAnsi="Times New Roman" w:cs="Times New Roman"/>
          <w:b/>
          <w:bCs/>
          <w:sz w:val="24"/>
          <w:szCs w:val="24"/>
        </w:rPr>
      </w:pPr>
    </w:p>
    <w:p w:rsidR="00A611CE" w:rsidRDefault="00A611CE">
      <w:pPr>
        <w:rPr>
          <w:rFonts w:ascii="Times New Roman" w:eastAsia="Times New Roman" w:hAnsi="Times New Roman" w:cs="Times New Roman"/>
          <w:b/>
          <w:bCs/>
          <w:sz w:val="24"/>
          <w:szCs w:val="24"/>
        </w:rPr>
      </w:pPr>
    </w:p>
    <w:p w:rsidR="00A611CE" w:rsidRDefault="00A611CE">
      <w:pPr>
        <w:rPr>
          <w:rFonts w:ascii="Times New Roman" w:eastAsia="Times New Roman" w:hAnsi="Times New Roman" w:cs="Times New Roman"/>
          <w:b/>
          <w:bCs/>
          <w:sz w:val="24"/>
          <w:szCs w:val="24"/>
        </w:rPr>
      </w:pPr>
    </w:p>
    <w:p w:rsidR="00A611CE" w:rsidRDefault="00A611CE">
      <w:pPr>
        <w:rPr>
          <w:rFonts w:ascii="Times New Roman" w:eastAsia="Times New Roman" w:hAnsi="Times New Roman" w:cs="Times New Roman"/>
          <w:b/>
          <w:bCs/>
          <w:sz w:val="24"/>
          <w:szCs w:val="24"/>
        </w:rPr>
      </w:pPr>
    </w:p>
    <w:p w:rsidR="00A611CE" w:rsidRDefault="00A611CE">
      <w:pPr>
        <w:rPr>
          <w:rFonts w:ascii="Times New Roman" w:eastAsia="Times New Roman" w:hAnsi="Times New Roman" w:cs="Times New Roman"/>
          <w:b/>
          <w:bCs/>
          <w:sz w:val="24"/>
          <w:szCs w:val="24"/>
        </w:rPr>
      </w:pPr>
    </w:p>
    <w:p w:rsidR="00A611CE" w:rsidRDefault="00A611CE">
      <w:pPr>
        <w:rPr>
          <w:rFonts w:ascii="Times New Roman" w:eastAsia="Times New Roman" w:hAnsi="Times New Roman" w:cs="Times New Roman"/>
          <w:b/>
          <w:bCs/>
          <w:sz w:val="24"/>
          <w:szCs w:val="24"/>
        </w:rPr>
      </w:pPr>
    </w:p>
    <w:p w:rsidR="00A611CE" w:rsidRDefault="00A611CE">
      <w:pPr>
        <w:rPr>
          <w:rFonts w:ascii="Times New Roman" w:eastAsia="Times New Roman" w:hAnsi="Times New Roman" w:cs="Times New Roman"/>
          <w:b/>
          <w:bCs/>
          <w:sz w:val="24"/>
          <w:szCs w:val="24"/>
        </w:rPr>
      </w:pPr>
    </w:p>
    <w:p w:rsidR="00A611CE" w:rsidRDefault="00A611CE">
      <w:pPr>
        <w:rPr>
          <w:rFonts w:ascii="Times New Roman" w:eastAsia="Times New Roman" w:hAnsi="Times New Roman" w:cs="Times New Roman"/>
          <w:b/>
          <w:bCs/>
          <w:sz w:val="24"/>
          <w:szCs w:val="24"/>
        </w:rPr>
      </w:pPr>
    </w:p>
    <w:p w:rsidR="00A611CE" w:rsidRDefault="00A611CE">
      <w:pPr>
        <w:rPr>
          <w:rFonts w:ascii="Times New Roman" w:eastAsia="Times New Roman" w:hAnsi="Times New Roman" w:cs="Times New Roman"/>
          <w:b/>
          <w:bCs/>
          <w:sz w:val="24"/>
          <w:szCs w:val="24"/>
        </w:rPr>
      </w:pPr>
    </w:p>
    <w:p w:rsidR="00FC72F5" w:rsidRDefault="00FC72F5">
      <w:pPr>
        <w:rPr>
          <w:rFonts w:ascii="Times New Roman" w:eastAsia="Times New Roman" w:hAnsi="Times New Roman" w:cs="Times New Roman"/>
          <w:b/>
          <w:bCs/>
          <w:sz w:val="24"/>
          <w:szCs w:val="24"/>
        </w:rPr>
      </w:pPr>
    </w:p>
    <w:p w:rsidR="00864498" w:rsidRDefault="00CE6CD7" w:rsidP="00FC72F5">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Reference</w:t>
      </w:r>
      <w:r w:rsidR="00FC72F5">
        <w:rPr>
          <w:rFonts w:ascii="Times New Roman" w:eastAsia="Times New Roman" w:hAnsi="Times New Roman" w:cs="Times New Roman"/>
          <w:b/>
          <w:bCs/>
          <w:sz w:val="24"/>
          <w:szCs w:val="24"/>
        </w:rPr>
        <w:t>s</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Ach, Y., </w:t>
      </w:r>
      <w:proofErr w:type="spellStart"/>
      <w:proofErr w:type="gramStart"/>
      <w:r>
        <w:rPr>
          <w:rFonts w:ascii="Times New Roman" w:eastAsia="Times New Roman" w:hAnsi="Times New Roman" w:cs="Times New Roman"/>
          <w:sz w:val="24"/>
          <w:szCs w:val="24"/>
        </w:rPr>
        <w:t>Masrizal</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Rusanti</w:t>
      </w:r>
      <w:proofErr w:type="spellEnd"/>
      <w:r>
        <w:rPr>
          <w:rFonts w:ascii="Times New Roman" w:eastAsia="Times New Roman" w:hAnsi="Times New Roman" w:cs="Times New Roman"/>
          <w:sz w:val="24"/>
          <w:szCs w:val="24"/>
        </w:rPr>
        <w:t xml:space="preserve">, R. (2025). Modelling the adoption of QRIS payment method usage among young adults in Indonesia Available to Purchase. </w:t>
      </w:r>
      <w:r>
        <w:rPr>
          <w:rFonts w:ascii="Times New Roman" w:eastAsia="Times New Roman" w:hAnsi="Times New Roman" w:cs="Times New Roman"/>
          <w:i/>
          <w:iCs/>
          <w:sz w:val="24"/>
          <w:szCs w:val="24"/>
        </w:rPr>
        <w:t>Journal of Science and Technology Policy Management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17</w:t>
      </w:r>
      <w:r>
        <w:rPr>
          <w:rFonts w:ascii="Times New Roman" w:eastAsia="Times New Roman" w:hAnsi="Times New Roman" w:cs="Times New Roman"/>
          <w:sz w:val="24"/>
          <w:szCs w:val="24"/>
        </w:rPr>
        <w:t>(4).</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Akhtar, S. (2023). Sustainable Lifestyle: A Path towards Environmental Sustainability and Sustainable Development. </w:t>
      </w:r>
      <w:r>
        <w:rPr>
          <w:rFonts w:ascii="Times New Roman" w:eastAsia="Times New Roman" w:hAnsi="Times New Roman" w:cs="Times New Roman"/>
          <w:i/>
          <w:iCs/>
          <w:sz w:val="24"/>
          <w:szCs w:val="24"/>
        </w:rPr>
        <w:t>Management Journal for Advanced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w:t>
      </w:r>
      <w:r>
        <w:rPr>
          <w:rFonts w:ascii="Times New Roman" w:eastAsia="Times New Roman" w:hAnsi="Times New Roman" w:cs="Times New Roman"/>
          <w:sz w:val="24"/>
          <w:szCs w:val="24"/>
        </w:rPr>
        <w:t>(4), 50–53. https://doi.org/10.54741/mjar.3.4.8</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Al-</w:t>
      </w:r>
      <w:proofErr w:type="spellStart"/>
      <w:r>
        <w:rPr>
          <w:rFonts w:ascii="Times New Roman" w:eastAsia="Times New Roman" w:hAnsi="Times New Roman" w:cs="Times New Roman"/>
          <w:sz w:val="24"/>
          <w:szCs w:val="24"/>
        </w:rPr>
        <w:t>Tuhaif</w:t>
      </w:r>
      <w:proofErr w:type="spellEnd"/>
      <w:r>
        <w:rPr>
          <w:rFonts w:ascii="Times New Roman" w:eastAsia="Times New Roman" w:hAnsi="Times New Roman" w:cs="Times New Roman"/>
          <w:sz w:val="24"/>
          <w:szCs w:val="24"/>
        </w:rPr>
        <w:t xml:space="preserve">, M. S. (2026). Unlocking digital transformation barriers in the public organizations: an extension of the Technology Acceptance Model (TAM). </w:t>
      </w:r>
      <w:r>
        <w:rPr>
          <w:rFonts w:ascii="Times New Roman" w:eastAsia="Times New Roman" w:hAnsi="Times New Roman" w:cs="Times New Roman"/>
          <w:i/>
          <w:iCs/>
          <w:sz w:val="24"/>
          <w:szCs w:val="24"/>
        </w:rPr>
        <w:t>Management &amp; Sustainability: An Arab Review</w:t>
      </w:r>
      <w:r>
        <w:rPr>
          <w:rFonts w:ascii="Times New Roman" w:eastAsia="Times New Roman" w:hAnsi="Times New Roman" w:cs="Times New Roman"/>
          <w:sz w:val="24"/>
          <w:szCs w:val="24"/>
        </w:rPr>
        <w:t>, 1–28. https://doi.org/https://doi.org/10.1108/MSAR-07-2025-0230</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Almunawar</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nabil</w:t>
      </w:r>
      <w:proofErr w:type="spellEnd"/>
      <w:r>
        <w:rPr>
          <w:rFonts w:ascii="Times New Roman" w:eastAsia="Times New Roman" w:hAnsi="Times New Roman" w:cs="Times New Roman"/>
          <w:sz w:val="24"/>
          <w:szCs w:val="24"/>
        </w:rPr>
        <w:t xml:space="preserve">. (2026). Quick response code Indonesia standard (QRIS): a policy–driven cashless payment system. </w:t>
      </w:r>
      <w:r>
        <w:rPr>
          <w:rFonts w:ascii="Times New Roman" w:eastAsia="Times New Roman" w:hAnsi="Times New Roman" w:cs="Times New Roman"/>
          <w:i/>
          <w:iCs/>
          <w:sz w:val="24"/>
          <w:szCs w:val="24"/>
        </w:rPr>
        <w:t>Journal of Science and Technology Policy Management</w:t>
      </w:r>
      <w:r>
        <w:rPr>
          <w:rFonts w:ascii="Times New Roman" w:eastAsia="Times New Roman" w:hAnsi="Times New Roman" w:cs="Times New Roman"/>
          <w:sz w:val="24"/>
          <w:szCs w:val="24"/>
        </w:rPr>
        <w:t>, 1–19. https://doi.org/10.1108/JSTPM-03-2025-0121</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Andika</w:t>
      </w:r>
      <w:proofErr w:type="spellEnd"/>
      <w:r>
        <w:rPr>
          <w:rFonts w:ascii="Times New Roman" w:eastAsia="Times New Roman" w:hAnsi="Times New Roman" w:cs="Times New Roman"/>
          <w:sz w:val="24"/>
          <w:szCs w:val="24"/>
        </w:rPr>
        <w:t xml:space="preserve">, A. (2022). </w:t>
      </w:r>
      <w:proofErr w:type="spellStart"/>
      <w:r>
        <w:rPr>
          <w:rFonts w:ascii="Times New Roman" w:eastAsia="Times New Roman" w:hAnsi="Times New Roman" w:cs="Times New Roman"/>
          <w:i/>
          <w:iCs/>
          <w:sz w:val="24"/>
          <w:szCs w:val="24"/>
        </w:rPr>
        <w:t>Pengaruh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Literasi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Keuangan</w:t>
      </w:r>
      <w:proofErr w:type="spellEnd"/>
      <w:r>
        <w:rPr>
          <w:rFonts w:ascii="Times New Roman" w:eastAsia="Times New Roman" w:hAnsi="Times New Roman" w:cs="Times New Roman"/>
          <w:i/>
          <w:iCs/>
          <w:sz w:val="24"/>
          <w:szCs w:val="24"/>
        </w:rPr>
        <w:t xml:space="preserve"> dan </w:t>
      </w:r>
      <w:proofErr w:type="spellStart"/>
      <w:r>
        <w:rPr>
          <w:rFonts w:ascii="Times New Roman" w:eastAsia="Times New Roman" w:hAnsi="Times New Roman" w:cs="Times New Roman"/>
          <w:i/>
          <w:iCs/>
          <w:sz w:val="24"/>
          <w:szCs w:val="24"/>
        </w:rPr>
        <w:t>Kemudahan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Penggunaan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terhadap</w:t>
      </w:r>
      <w:proofErr w:type="spellEnd"/>
      <w:r>
        <w:rPr>
          <w:rFonts w:ascii="Times New Roman" w:eastAsia="Times New Roman" w:hAnsi="Times New Roman" w:cs="Times New Roman"/>
          <w:i/>
          <w:iCs/>
          <w:sz w:val="24"/>
          <w:szCs w:val="24"/>
        </w:rPr>
        <w:t xml:space="preserve"> Keputusan </w:t>
      </w:r>
      <w:proofErr w:type="spellStart"/>
      <w:r>
        <w:rPr>
          <w:rFonts w:ascii="Times New Roman" w:eastAsia="Times New Roman" w:hAnsi="Times New Roman" w:cs="Times New Roman"/>
          <w:i/>
          <w:iCs/>
          <w:sz w:val="24"/>
          <w:szCs w:val="24"/>
        </w:rPr>
        <w:t>Menggunakan</w:t>
      </w:r>
      <w:proofErr w:type="spellEnd"/>
      <w:r>
        <w:rPr>
          <w:rFonts w:ascii="Times New Roman" w:eastAsia="Times New Roman" w:hAnsi="Times New Roman" w:cs="Times New Roman"/>
          <w:i/>
          <w:iCs/>
          <w:sz w:val="24"/>
          <w:szCs w:val="24"/>
        </w:rPr>
        <w:t xml:space="preserve"> QRIS pada UMKM</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w:t>
      </w:r>
      <w:r>
        <w:rPr>
          <w:rFonts w:ascii="Times New Roman" w:eastAsia="Times New Roman" w:hAnsi="Times New Roman" w:cs="Times New Roman"/>
          <w:sz w:val="24"/>
          <w:szCs w:val="24"/>
        </w:rPr>
        <w:t>(5), 1068–1078.</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Arthur, N., &amp; Tang, Q. (2017). Ownership Concentration and Financial Reporting Quality: International Evidence. </w:t>
      </w:r>
      <w:r>
        <w:rPr>
          <w:rFonts w:ascii="Times New Roman" w:eastAsia="Times New Roman" w:hAnsi="Times New Roman" w:cs="Times New Roman"/>
          <w:i/>
          <w:iCs/>
          <w:sz w:val="24"/>
          <w:szCs w:val="24"/>
        </w:rPr>
        <w:t>Journal of Financial Reporting and Accounting</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11</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qq</w:t>
      </w:r>
      <w:proofErr w:type="spellEnd"/>
      <w:r>
        <w:rPr>
          <w:rFonts w:ascii="Times New Roman" w:eastAsia="Times New Roman" w:hAnsi="Times New Roman" w:cs="Times New Roman"/>
          <w:sz w:val="24"/>
          <w:szCs w:val="24"/>
        </w:rPr>
        <w:t>), 1–45.</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Böhme</w:t>
      </w:r>
      <w:proofErr w:type="spellEnd"/>
      <w:r>
        <w:rPr>
          <w:rFonts w:ascii="Times New Roman" w:eastAsia="Times New Roman" w:hAnsi="Times New Roman" w:cs="Times New Roman"/>
          <w:sz w:val="24"/>
          <w:szCs w:val="24"/>
        </w:rPr>
        <w:t xml:space="preserve">, J., Walsh, Z., &amp; </w:t>
      </w:r>
      <w:proofErr w:type="spellStart"/>
      <w:r>
        <w:rPr>
          <w:rFonts w:ascii="Times New Roman" w:eastAsia="Times New Roman" w:hAnsi="Times New Roman" w:cs="Times New Roman"/>
          <w:sz w:val="24"/>
          <w:szCs w:val="24"/>
        </w:rPr>
        <w:t>Wamsler</w:t>
      </w:r>
      <w:proofErr w:type="spellEnd"/>
      <w:r>
        <w:rPr>
          <w:rFonts w:ascii="Times New Roman" w:eastAsia="Times New Roman" w:hAnsi="Times New Roman" w:cs="Times New Roman"/>
          <w:sz w:val="24"/>
          <w:szCs w:val="24"/>
        </w:rPr>
        <w:t xml:space="preserve">, C. (2022). Sustainable lifestyles: towards a relational approach. </w:t>
      </w:r>
      <w:r>
        <w:rPr>
          <w:rFonts w:ascii="Times New Roman" w:eastAsia="Times New Roman" w:hAnsi="Times New Roman" w:cs="Times New Roman"/>
          <w:i/>
          <w:iCs/>
          <w:sz w:val="24"/>
          <w:szCs w:val="24"/>
        </w:rPr>
        <w:t>Sustainability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17</w:t>
      </w:r>
      <w:r>
        <w:rPr>
          <w:rFonts w:ascii="Times New Roman" w:eastAsia="Times New Roman" w:hAnsi="Times New Roman" w:cs="Times New Roman"/>
          <w:sz w:val="24"/>
          <w:szCs w:val="24"/>
        </w:rPr>
        <w:t>(5), 2063–2076. https://doi.org/10.1007/s11625-022-01117-y</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Boraty</w:t>
      </w:r>
      <w:proofErr w:type="spellEnd"/>
      <w:r>
        <w:rPr>
          <w:rFonts w:ascii="Times New Roman" w:eastAsia="Times New Roman" w:hAnsi="Times New Roman" w:cs="Times New Roman"/>
          <w:sz w:val="24"/>
          <w:szCs w:val="24"/>
        </w:rPr>
        <w:t xml:space="preserve">, K. (2026). </w:t>
      </w:r>
      <w:r>
        <w:rPr>
          <w:rFonts w:ascii="Times New Roman" w:eastAsia="Times New Roman" w:hAnsi="Times New Roman" w:cs="Times New Roman"/>
          <w:i/>
          <w:iCs/>
          <w:sz w:val="24"/>
          <w:szCs w:val="24"/>
        </w:rPr>
        <w:t xml:space="preserve">The Role of Fintech in Enhancing Financial Innovation in </w:t>
      </w:r>
      <w:proofErr w:type="gramStart"/>
      <w:r>
        <w:rPr>
          <w:rFonts w:ascii="Times New Roman" w:eastAsia="Times New Roman" w:hAnsi="Times New Roman" w:cs="Times New Roman"/>
          <w:i/>
          <w:iCs/>
          <w:sz w:val="24"/>
          <w:szCs w:val="24"/>
        </w:rPr>
        <w:t>Asia :</w:t>
      </w:r>
      <w:proofErr w:type="gramEnd"/>
      <w:r>
        <w:rPr>
          <w:rFonts w:ascii="Times New Roman" w:eastAsia="Times New Roman" w:hAnsi="Times New Roman" w:cs="Times New Roman"/>
          <w:i/>
          <w:iCs/>
          <w:sz w:val="24"/>
          <w:szCs w:val="24"/>
        </w:rPr>
        <w:t xml:space="preserve"> Sustainable Development Approach</w:t>
      </w:r>
      <w:r>
        <w:rPr>
          <w:rFonts w:ascii="Times New Roman" w:eastAsia="Times New Roman" w:hAnsi="Times New Roman" w:cs="Times New Roman"/>
          <w:sz w:val="24"/>
          <w:szCs w:val="24"/>
        </w:rPr>
        <w:t>. 1–32.</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Cam, E., &amp; </w:t>
      </w:r>
      <w:proofErr w:type="spellStart"/>
      <w:r>
        <w:rPr>
          <w:rFonts w:ascii="Times New Roman" w:eastAsia="Times New Roman" w:hAnsi="Times New Roman" w:cs="Times New Roman"/>
          <w:sz w:val="24"/>
          <w:szCs w:val="24"/>
        </w:rPr>
        <w:t>Bala</w:t>
      </w:r>
      <w:proofErr w:type="spellEnd"/>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Havva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Alkan</w:t>
      </w:r>
      <w:proofErr w:type="spellEnd"/>
      <w:r>
        <w:rPr>
          <w:rFonts w:ascii="Times New Roman" w:eastAsia="Times New Roman" w:hAnsi="Times New Roman" w:cs="Times New Roman"/>
          <w:sz w:val="24"/>
          <w:szCs w:val="24"/>
        </w:rPr>
        <w:t xml:space="preserve">. (2026). An alternative spatial reflex to the global nomadic lifestyle experience: </w:t>
      </w:r>
      <w:proofErr w:type="spellStart"/>
      <w:r>
        <w:rPr>
          <w:rFonts w:ascii="Times New Roman" w:eastAsia="Times New Roman" w:hAnsi="Times New Roman" w:cs="Times New Roman"/>
          <w:sz w:val="24"/>
          <w:szCs w:val="24"/>
        </w:rPr>
        <w:t>Escapecore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Archnet</w:t>
      </w:r>
      <w:proofErr w:type="spellEnd"/>
      <w:r>
        <w:rPr>
          <w:rFonts w:ascii="Times New Roman" w:eastAsia="Times New Roman" w:hAnsi="Times New Roman" w:cs="Times New Roman"/>
          <w:i/>
          <w:iCs/>
          <w:sz w:val="24"/>
          <w:szCs w:val="24"/>
        </w:rPr>
        <w:t>-IJAR: International Journal of Architectural Research</w:t>
      </w:r>
      <w:r>
        <w:rPr>
          <w:rFonts w:ascii="Times New Roman" w:eastAsia="Times New Roman" w:hAnsi="Times New Roman" w:cs="Times New Roman"/>
          <w:sz w:val="24"/>
          <w:szCs w:val="24"/>
        </w:rPr>
        <w:t>, 1–20. https://doi.org/https://doi.org/10.1108/ARCH-11-2025-0537</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Chaidir</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Yulianti</w:t>
      </w:r>
      <w:proofErr w:type="spellEnd"/>
      <w:r>
        <w:rPr>
          <w:rFonts w:ascii="Times New Roman" w:eastAsia="Times New Roman" w:hAnsi="Times New Roman" w:cs="Times New Roman"/>
          <w:sz w:val="24"/>
          <w:szCs w:val="24"/>
        </w:rPr>
        <w:t xml:space="preserve">, G., &amp; </w:t>
      </w:r>
      <w:proofErr w:type="spellStart"/>
      <w:r>
        <w:rPr>
          <w:rFonts w:ascii="Times New Roman" w:eastAsia="Times New Roman" w:hAnsi="Times New Roman" w:cs="Times New Roman"/>
          <w:sz w:val="24"/>
          <w:szCs w:val="24"/>
        </w:rPr>
        <w:t>Ruslaini</w:t>
      </w:r>
      <w:proofErr w:type="spellEnd"/>
      <w:r>
        <w:rPr>
          <w:rFonts w:ascii="Times New Roman" w:eastAsia="Times New Roman" w:hAnsi="Times New Roman" w:cs="Times New Roman"/>
          <w:sz w:val="24"/>
          <w:szCs w:val="24"/>
        </w:rPr>
        <w:t xml:space="preserve">. (2022). </w:t>
      </w:r>
      <w:proofErr w:type="spellStart"/>
      <w:r>
        <w:rPr>
          <w:rFonts w:ascii="Times New Roman" w:eastAsia="Times New Roman" w:hAnsi="Times New Roman" w:cs="Times New Roman"/>
          <w:sz w:val="24"/>
          <w:szCs w:val="24"/>
        </w:rPr>
        <w:t>Pengaruh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Literasi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Keuangan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Kinerja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Umkm</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Di</w:t>
      </w:r>
      <w:proofErr w:type="gramEnd"/>
      <w:r>
        <w:rPr>
          <w:rFonts w:ascii="Times New Roman" w:eastAsia="Times New Roman" w:hAnsi="Times New Roman" w:cs="Times New Roman"/>
          <w:sz w:val="24"/>
          <w:szCs w:val="24"/>
        </w:rPr>
        <w:t xml:space="preserve"> Indonesia.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Ekonomika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Manajemen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Akuntansi</w:t>
      </w:r>
      <w:proofErr w:type="spellEnd"/>
      <w:r>
        <w:rPr>
          <w:rFonts w:ascii="Times New Roman" w:eastAsia="Times New Roman" w:hAnsi="Times New Roman" w:cs="Times New Roman"/>
          <w:i/>
          <w:iCs/>
          <w:sz w:val="24"/>
          <w:szCs w:val="24"/>
        </w:rPr>
        <w:t xml:space="preserve">, Dan </w:t>
      </w:r>
      <w:proofErr w:type="spellStart"/>
      <w:r>
        <w:rPr>
          <w:rFonts w:ascii="Times New Roman" w:eastAsia="Times New Roman" w:hAnsi="Times New Roman" w:cs="Times New Roman"/>
          <w:i/>
          <w:iCs/>
          <w:sz w:val="24"/>
          <w:szCs w:val="24"/>
        </w:rPr>
        <w:t>Perbankan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Syari’ah</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10</w:t>
      </w:r>
      <w:r>
        <w:rPr>
          <w:rFonts w:ascii="Times New Roman" w:eastAsia="Times New Roman" w:hAnsi="Times New Roman" w:cs="Times New Roman"/>
          <w:sz w:val="24"/>
          <w:szCs w:val="24"/>
        </w:rPr>
        <w:t>(1), 104–118. https://doi.org/10.24903/je.v10i1.1217</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Chughtai</w:t>
      </w:r>
      <w:proofErr w:type="spellEnd"/>
      <w:r>
        <w:rPr>
          <w:rFonts w:ascii="Times New Roman" w:eastAsia="Times New Roman" w:hAnsi="Times New Roman" w:cs="Times New Roman"/>
          <w:sz w:val="24"/>
          <w:szCs w:val="24"/>
        </w:rPr>
        <w:t xml:space="preserve">, A. (2019). Servant leadership and perceived </w:t>
      </w:r>
      <w:proofErr w:type="gramStart"/>
      <w:r>
        <w:rPr>
          <w:rFonts w:ascii="Times New Roman" w:eastAsia="Times New Roman" w:hAnsi="Times New Roman" w:cs="Times New Roman"/>
          <w:sz w:val="24"/>
          <w:szCs w:val="24"/>
        </w:rPr>
        <w:t>employability :</w:t>
      </w:r>
      <w:proofErr w:type="gramEnd"/>
      <w:r>
        <w:rPr>
          <w:rFonts w:ascii="Times New Roman" w:eastAsia="Times New Roman" w:hAnsi="Times New Roman" w:cs="Times New Roman"/>
          <w:sz w:val="24"/>
          <w:szCs w:val="24"/>
        </w:rPr>
        <w:t xml:space="preserve"> proactive career behaviours as mediators. </w:t>
      </w:r>
      <w:r>
        <w:rPr>
          <w:rFonts w:ascii="Times New Roman" w:eastAsia="Times New Roman" w:hAnsi="Times New Roman" w:cs="Times New Roman"/>
          <w:i/>
          <w:iCs/>
          <w:sz w:val="24"/>
          <w:szCs w:val="24"/>
        </w:rPr>
        <w:t xml:space="preserve">Leadership &amp; Organization Development </w:t>
      </w:r>
      <w:proofErr w:type="spellStart"/>
      <w:r>
        <w:rPr>
          <w:rFonts w:ascii="Times New Roman" w:eastAsia="Times New Roman" w:hAnsi="Times New Roman" w:cs="Times New Roman"/>
          <w:i/>
          <w:iCs/>
          <w:sz w:val="24"/>
          <w:szCs w:val="24"/>
        </w:rPr>
        <w:t>Journa</w:t>
      </w:r>
      <w:proofErr w:type="spellEnd"/>
      <w:r>
        <w:rPr>
          <w:rFonts w:ascii="Times New Roman" w:eastAsia="Times New Roman" w:hAnsi="Times New Roman" w:cs="Times New Roman"/>
          <w:sz w:val="24"/>
          <w:szCs w:val="24"/>
        </w:rPr>
        <w:t>. https://doi.org/10.1108/LODJ-07-2018-0281</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DASMARAN, V., SANUSI, S., PRIHANTO, H., &amp; SOPIA, I. P. (2021). Simple Reporting Training and Introduction of </w:t>
      </w:r>
      <w:proofErr w:type="spellStart"/>
      <w:r>
        <w:rPr>
          <w:rFonts w:ascii="Times New Roman" w:eastAsia="Times New Roman" w:hAnsi="Times New Roman" w:cs="Times New Roman"/>
          <w:sz w:val="24"/>
          <w:szCs w:val="24"/>
        </w:rPr>
        <w:t>Sak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Emkm</w:t>
      </w:r>
      <w:proofErr w:type="spellEnd"/>
      <w:r>
        <w:rPr>
          <w:rFonts w:ascii="Times New Roman" w:eastAsia="Times New Roman" w:hAnsi="Times New Roman" w:cs="Times New Roman"/>
          <w:sz w:val="24"/>
          <w:szCs w:val="24"/>
        </w:rPr>
        <w:t xml:space="preserve"> To </w:t>
      </w:r>
      <w:proofErr w:type="spellStart"/>
      <w:r>
        <w:rPr>
          <w:rFonts w:ascii="Times New Roman" w:eastAsia="Times New Roman" w:hAnsi="Times New Roman" w:cs="Times New Roman"/>
          <w:sz w:val="24"/>
          <w:szCs w:val="24"/>
        </w:rPr>
        <w:t>Smes</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Banyuresmi</w:t>
      </w:r>
      <w:proofErr w:type="spellEnd"/>
      <w:r>
        <w:rPr>
          <w:rFonts w:ascii="Times New Roman" w:eastAsia="Times New Roman" w:hAnsi="Times New Roman" w:cs="Times New Roman"/>
          <w:sz w:val="24"/>
          <w:szCs w:val="24"/>
        </w:rPr>
        <w:t xml:space="preserve"> Village in Preparation for the </w:t>
      </w:r>
      <w:proofErr w:type="spellStart"/>
      <w:r>
        <w:rPr>
          <w:rFonts w:ascii="Times New Roman" w:eastAsia="Times New Roman" w:hAnsi="Times New Roman" w:cs="Times New Roman"/>
          <w:sz w:val="24"/>
          <w:szCs w:val="24"/>
        </w:rPr>
        <w:t>Pandeglang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Iccd</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w:t>
      </w:r>
      <w:r>
        <w:rPr>
          <w:rFonts w:ascii="Times New Roman" w:eastAsia="Times New Roman" w:hAnsi="Times New Roman" w:cs="Times New Roman"/>
          <w:sz w:val="24"/>
          <w:szCs w:val="24"/>
        </w:rPr>
        <w:t>(1), 189–191. https://doi.org/10.33068/iccd.vol3.iss1.335</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Davis, F. (1989). </w:t>
      </w:r>
      <w:r>
        <w:rPr>
          <w:rFonts w:ascii="Times New Roman" w:eastAsia="Times New Roman" w:hAnsi="Times New Roman" w:cs="Times New Roman"/>
          <w:i/>
          <w:iCs/>
          <w:sz w:val="24"/>
          <w:szCs w:val="24"/>
        </w:rPr>
        <w:t xml:space="preserve">Perceived </w:t>
      </w:r>
      <w:proofErr w:type="spellStart"/>
      <w:r>
        <w:rPr>
          <w:rFonts w:ascii="Times New Roman" w:eastAsia="Times New Roman" w:hAnsi="Times New Roman" w:cs="Times New Roman"/>
          <w:i/>
          <w:iCs/>
          <w:sz w:val="24"/>
          <w:szCs w:val="24"/>
        </w:rPr>
        <w:t>Usefullness</w:t>
      </w:r>
      <w:proofErr w:type="spellEnd"/>
      <w:r>
        <w:rPr>
          <w:rFonts w:ascii="Times New Roman" w:eastAsia="Times New Roman" w:hAnsi="Times New Roman" w:cs="Times New Roman"/>
          <w:i/>
          <w:iCs/>
          <w:sz w:val="24"/>
          <w:szCs w:val="24"/>
        </w:rPr>
        <w:t xml:space="preserve">. Perceived Ease of Use and User </w:t>
      </w:r>
      <w:proofErr w:type="spellStart"/>
      <w:r>
        <w:rPr>
          <w:rFonts w:ascii="Times New Roman" w:eastAsia="Times New Roman" w:hAnsi="Times New Roman" w:cs="Times New Roman"/>
          <w:i/>
          <w:iCs/>
          <w:sz w:val="24"/>
          <w:szCs w:val="24"/>
        </w:rPr>
        <w:t>Acceptamce</w:t>
      </w:r>
      <w:proofErr w:type="spellEnd"/>
      <w:r>
        <w:rPr>
          <w:rFonts w:ascii="Times New Roman" w:eastAsia="Times New Roman" w:hAnsi="Times New Roman" w:cs="Times New Roman"/>
          <w:i/>
          <w:iCs/>
          <w:sz w:val="24"/>
          <w:szCs w:val="24"/>
        </w:rPr>
        <w:t xml:space="preserve"> of Information </w:t>
      </w:r>
      <w:proofErr w:type="spellStart"/>
      <w:r>
        <w:rPr>
          <w:rFonts w:ascii="Times New Roman" w:eastAsia="Times New Roman" w:hAnsi="Times New Roman" w:cs="Times New Roman"/>
          <w:i/>
          <w:iCs/>
          <w:sz w:val="24"/>
          <w:szCs w:val="24"/>
        </w:rPr>
        <w:t>Technology.No</w:t>
      </w:r>
      <w:proofErr w:type="spellEnd"/>
      <w:r>
        <w:rPr>
          <w:rFonts w:ascii="Times New Roman" w:eastAsia="Times New Roman" w:hAnsi="Times New Roman" w:cs="Times New Roman"/>
          <w:i/>
          <w:iCs/>
          <w:sz w:val="24"/>
          <w:szCs w:val="24"/>
        </w:rPr>
        <w:t xml:space="preserve"> Title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13</w:t>
      </w:r>
      <w:r>
        <w:rPr>
          <w:rFonts w:ascii="Times New Roman" w:eastAsia="Times New Roman" w:hAnsi="Times New Roman" w:cs="Times New Roman"/>
          <w:sz w:val="24"/>
          <w:szCs w:val="24"/>
        </w:rPr>
        <w:t>(3), 319–340.</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Della </w:t>
      </w:r>
      <w:proofErr w:type="spellStart"/>
      <w:r>
        <w:rPr>
          <w:rFonts w:ascii="Times New Roman" w:eastAsia="Times New Roman" w:hAnsi="Times New Roman" w:cs="Times New Roman"/>
          <w:sz w:val="24"/>
          <w:szCs w:val="24"/>
        </w:rPr>
        <w:t>Barends</w:t>
      </w:r>
      <w:proofErr w:type="spellEnd"/>
      <w:r>
        <w:rPr>
          <w:rFonts w:ascii="Times New Roman" w:eastAsia="Times New Roman" w:hAnsi="Times New Roman" w:cs="Times New Roman"/>
          <w:sz w:val="24"/>
          <w:szCs w:val="24"/>
        </w:rPr>
        <w:t xml:space="preserve">, K., &amp; </w:t>
      </w:r>
      <w:proofErr w:type="spellStart"/>
      <w:r>
        <w:rPr>
          <w:rFonts w:ascii="Times New Roman" w:eastAsia="Times New Roman" w:hAnsi="Times New Roman" w:cs="Times New Roman"/>
          <w:sz w:val="24"/>
          <w:szCs w:val="24"/>
        </w:rPr>
        <w:t>Baridwan</w:t>
      </w:r>
      <w:proofErr w:type="spellEnd"/>
      <w:r>
        <w:rPr>
          <w:rFonts w:ascii="Times New Roman" w:eastAsia="Times New Roman" w:hAnsi="Times New Roman" w:cs="Times New Roman"/>
          <w:sz w:val="24"/>
          <w:szCs w:val="24"/>
        </w:rPr>
        <w:t xml:space="preserve">, Z. (2024). The Influence of Lifestyle, EWOM, Cashless Society, and Attitudes Toward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Use of QRIS Information Technology. </w:t>
      </w:r>
      <w:r>
        <w:rPr>
          <w:rFonts w:ascii="Times New Roman" w:eastAsia="Times New Roman" w:hAnsi="Times New Roman" w:cs="Times New Roman"/>
          <w:i/>
          <w:iCs/>
          <w:sz w:val="24"/>
          <w:szCs w:val="24"/>
        </w:rPr>
        <w:t xml:space="preserve">International Journal of </w:t>
      </w:r>
      <w:r>
        <w:rPr>
          <w:rFonts w:ascii="Times New Roman" w:eastAsia="Times New Roman" w:hAnsi="Times New Roman" w:cs="Times New Roman"/>
          <w:i/>
          <w:iCs/>
          <w:sz w:val="24"/>
          <w:szCs w:val="24"/>
        </w:rPr>
        <w:lastRenderedPageBreak/>
        <w:t>Research on Financial &amp; Business (IJRFB)</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w:t>
      </w:r>
      <w:r>
        <w:rPr>
          <w:rFonts w:ascii="Times New Roman" w:eastAsia="Times New Roman" w:hAnsi="Times New Roman" w:cs="Times New Roman"/>
          <w:sz w:val="24"/>
          <w:szCs w:val="24"/>
        </w:rPr>
        <w:t>(1), 75–101.</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Donaldson, L., &amp; Davis, J. H. (1991). Stewardship Theory or Agency Theory: CEO Governance and Shareholder Returns. </w:t>
      </w:r>
      <w:r>
        <w:rPr>
          <w:rFonts w:ascii="Times New Roman" w:eastAsia="Times New Roman" w:hAnsi="Times New Roman" w:cs="Times New Roman"/>
          <w:i/>
          <w:iCs/>
          <w:sz w:val="24"/>
          <w:szCs w:val="24"/>
        </w:rPr>
        <w:t>Australian Journal of Management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16</w:t>
      </w:r>
      <w:r>
        <w:rPr>
          <w:rFonts w:ascii="Times New Roman" w:eastAsia="Times New Roman" w:hAnsi="Times New Roman" w:cs="Times New Roman"/>
          <w:sz w:val="24"/>
          <w:szCs w:val="24"/>
        </w:rPr>
        <w:t>(1), 49–64. https://doi.org/10.1177/031289629101600103</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Dyah</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Hamidah</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Umi</w:t>
      </w:r>
      <w:proofErr w:type="spellEnd"/>
      <w:r>
        <w:rPr>
          <w:rFonts w:ascii="Times New Roman" w:eastAsia="Times New Roman" w:hAnsi="Times New Roman" w:cs="Times New Roman"/>
          <w:sz w:val="24"/>
          <w:szCs w:val="24"/>
        </w:rPr>
        <w:t xml:space="preserve">, W. (2025). Digitalization of Micro-Sized Enterprises: Determinants of Quick Response Code Indonesian Standard (QRIS), Fintech Usage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and Implications for Business Sustainability. </w:t>
      </w:r>
      <w:r>
        <w:rPr>
          <w:rFonts w:ascii="Times New Roman" w:eastAsia="Times New Roman" w:hAnsi="Times New Roman" w:cs="Times New Roman"/>
          <w:i/>
          <w:iCs/>
          <w:sz w:val="24"/>
          <w:szCs w:val="24"/>
        </w:rPr>
        <w:t>ABAC Journal; Bangkok</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45</w:t>
      </w:r>
      <w:r>
        <w:rPr>
          <w:rFonts w:ascii="Times New Roman" w:eastAsia="Times New Roman" w:hAnsi="Times New Roman" w:cs="Times New Roman"/>
          <w:sz w:val="24"/>
          <w:szCs w:val="24"/>
        </w:rPr>
        <w:t>(3), 114-137. https://doi.org/DOI:10.59865/abacj.2025.18</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Fachrudin</w:t>
      </w:r>
      <w:proofErr w:type="spellEnd"/>
      <w:r>
        <w:rPr>
          <w:rFonts w:ascii="Times New Roman" w:eastAsia="Times New Roman" w:hAnsi="Times New Roman" w:cs="Times New Roman"/>
          <w:sz w:val="24"/>
          <w:szCs w:val="24"/>
        </w:rPr>
        <w:t xml:space="preserve">, K. A., Iman, M. F., &amp; </w:t>
      </w:r>
      <w:proofErr w:type="spellStart"/>
      <w:r>
        <w:rPr>
          <w:rFonts w:ascii="Times New Roman" w:eastAsia="Times New Roman" w:hAnsi="Times New Roman" w:cs="Times New Roman"/>
          <w:sz w:val="24"/>
          <w:szCs w:val="24"/>
        </w:rPr>
        <w:t>Muliana</w:t>
      </w:r>
      <w:proofErr w:type="spellEnd"/>
      <w:r>
        <w:rPr>
          <w:rFonts w:ascii="Times New Roman" w:eastAsia="Times New Roman" w:hAnsi="Times New Roman" w:cs="Times New Roman"/>
          <w:sz w:val="24"/>
          <w:szCs w:val="24"/>
        </w:rPr>
        <w:t xml:space="preserve">, K. S. (2025). GATR Accounting and Finance Review. </w:t>
      </w:r>
      <w:r>
        <w:rPr>
          <w:rFonts w:ascii="Times New Roman" w:eastAsia="Times New Roman" w:hAnsi="Times New Roman" w:cs="Times New Roman"/>
          <w:i/>
          <w:iCs/>
          <w:sz w:val="24"/>
          <w:szCs w:val="24"/>
        </w:rPr>
        <w:t xml:space="preserve">GATR Accounting </w:t>
      </w:r>
      <w:proofErr w:type="gramStart"/>
      <w:r>
        <w:rPr>
          <w:rFonts w:ascii="Times New Roman" w:eastAsia="Times New Roman" w:hAnsi="Times New Roman" w:cs="Times New Roman"/>
          <w:i/>
          <w:iCs/>
          <w:sz w:val="24"/>
          <w:szCs w:val="24"/>
        </w:rPr>
        <w:t>And</w:t>
      </w:r>
      <w:proofErr w:type="gramEnd"/>
      <w:r>
        <w:rPr>
          <w:rFonts w:ascii="Times New Roman" w:eastAsia="Times New Roman" w:hAnsi="Times New Roman" w:cs="Times New Roman"/>
          <w:i/>
          <w:iCs/>
          <w:sz w:val="24"/>
          <w:szCs w:val="24"/>
        </w:rPr>
        <w:t xml:space="preserve"> Finance Review</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10</w:t>
      </w:r>
      <w:r>
        <w:rPr>
          <w:rFonts w:ascii="Times New Roman" w:eastAsia="Times New Roman" w:hAnsi="Times New Roman" w:cs="Times New Roman"/>
          <w:sz w:val="24"/>
          <w:szCs w:val="24"/>
        </w:rPr>
        <w:t>(1), 2636.</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Gonzalez, L. (2023). Financial literacy in for-profit vs pro-social peer-to-peer lending. </w:t>
      </w:r>
      <w:r>
        <w:rPr>
          <w:rFonts w:ascii="Times New Roman" w:eastAsia="Times New Roman" w:hAnsi="Times New Roman" w:cs="Times New Roman"/>
          <w:i/>
          <w:iCs/>
          <w:sz w:val="24"/>
          <w:szCs w:val="24"/>
        </w:rPr>
        <w:t>Managerial Finance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49</w:t>
      </w:r>
      <w:r>
        <w:rPr>
          <w:rFonts w:ascii="Times New Roman" w:eastAsia="Times New Roman" w:hAnsi="Times New Roman" w:cs="Times New Roman"/>
          <w:sz w:val="24"/>
          <w:szCs w:val="24"/>
        </w:rPr>
        <w:t>(2), 315–337. https://doi.org/https://doi.org/10.1108/MF-07-2021-0329</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Gunawan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Fatikasari</w:t>
      </w:r>
      <w:proofErr w:type="spellEnd"/>
      <w:r>
        <w:rPr>
          <w:rFonts w:ascii="Times New Roman" w:eastAsia="Times New Roman" w:hAnsi="Times New Roman" w:cs="Times New Roman"/>
          <w:sz w:val="24"/>
          <w:szCs w:val="24"/>
        </w:rPr>
        <w:t xml:space="preserve">, A. F., &amp; Putri, S. A. (2023). The Effect of Using Cashless (QRIS) on Daily Payment Transactions Using the Technology Acceptance Model. </w:t>
      </w:r>
      <w:r>
        <w:rPr>
          <w:rFonts w:ascii="Times New Roman" w:eastAsia="Times New Roman" w:hAnsi="Times New Roman" w:cs="Times New Roman"/>
          <w:i/>
          <w:iCs/>
          <w:sz w:val="24"/>
          <w:szCs w:val="24"/>
        </w:rPr>
        <w:t>Procedia Computer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227</w:t>
      </w:r>
      <w:r>
        <w:rPr>
          <w:rFonts w:ascii="Times New Roman" w:eastAsia="Times New Roman" w:hAnsi="Times New Roman" w:cs="Times New Roman"/>
          <w:sz w:val="24"/>
          <w:szCs w:val="24"/>
        </w:rPr>
        <w:t>, 548–556. https://doi.org/10.1016/j.procs.2023.10.557</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Hariyanto</w:t>
      </w:r>
      <w:proofErr w:type="spellEnd"/>
      <w:r>
        <w:rPr>
          <w:rFonts w:ascii="Times New Roman" w:eastAsia="Times New Roman" w:hAnsi="Times New Roman" w:cs="Times New Roman"/>
          <w:sz w:val="24"/>
          <w:szCs w:val="24"/>
        </w:rPr>
        <w:t xml:space="preserve">, D., </w:t>
      </w:r>
      <w:proofErr w:type="spellStart"/>
      <w:r>
        <w:rPr>
          <w:rFonts w:ascii="Times New Roman" w:eastAsia="Times New Roman" w:hAnsi="Times New Roman" w:cs="Times New Roman"/>
          <w:sz w:val="24"/>
          <w:szCs w:val="24"/>
        </w:rPr>
        <w:t>Safitri</w:t>
      </w:r>
      <w:proofErr w:type="spellEnd"/>
      <w:r>
        <w:rPr>
          <w:rFonts w:ascii="Times New Roman" w:eastAsia="Times New Roman" w:hAnsi="Times New Roman" w:cs="Times New Roman"/>
          <w:sz w:val="24"/>
          <w:szCs w:val="24"/>
        </w:rPr>
        <w:t xml:space="preserve">, H., </w:t>
      </w:r>
      <w:proofErr w:type="spellStart"/>
      <w:r>
        <w:rPr>
          <w:rFonts w:ascii="Times New Roman" w:eastAsia="Times New Roman" w:hAnsi="Times New Roman" w:cs="Times New Roman"/>
          <w:sz w:val="24"/>
          <w:szCs w:val="24"/>
        </w:rPr>
        <w:t>Affizzah</w:t>
      </w:r>
      <w:proofErr w:type="spellEnd"/>
      <w:r>
        <w:rPr>
          <w:rFonts w:ascii="Times New Roman" w:eastAsia="Times New Roman" w:hAnsi="Times New Roman" w:cs="Times New Roman"/>
          <w:sz w:val="24"/>
          <w:szCs w:val="24"/>
        </w:rPr>
        <w:t xml:space="preserve">, D., </w:t>
      </w:r>
      <w:proofErr w:type="spellStart"/>
      <w:r>
        <w:rPr>
          <w:rFonts w:ascii="Times New Roman" w:eastAsia="Times New Roman" w:hAnsi="Times New Roman" w:cs="Times New Roman"/>
          <w:sz w:val="24"/>
          <w:szCs w:val="24"/>
        </w:rPr>
        <w:t>Marikan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Afiza</w:t>
      </w:r>
      <w:proofErr w:type="spellEnd"/>
      <w:r>
        <w:rPr>
          <w:rFonts w:ascii="Times New Roman" w:eastAsia="Times New Roman" w:hAnsi="Times New Roman" w:cs="Times New Roman"/>
          <w:sz w:val="24"/>
          <w:szCs w:val="24"/>
        </w:rPr>
        <w:t xml:space="preserve">, N., &amp; Bakar, A. (2026). </w:t>
      </w:r>
      <w:r>
        <w:rPr>
          <w:rFonts w:ascii="Times New Roman" w:eastAsia="Times New Roman" w:hAnsi="Times New Roman" w:cs="Times New Roman"/>
          <w:i/>
          <w:iCs/>
          <w:sz w:val="24"/>
          <w:szCs w:val="24"/>
        </w:rPr>
        <w:t xml:space="preserve">The Concept of Fintech in The Sustainability of </w:t>
      </w:r>
      <w:proofErr w:type="gramStart"/>
      <w:r>
        <w:rPr>
          <w:rFonts w:ascii="Times New Roman" w:eastAsia="Times New Roman" w:hAnsi="Times New Roman" w:cs="Times New Roman"/>
          <w:i/>
          <w:iCs/>
          <w:sz w:val="24"/>
          <w:szCs w:val="24"/>
        </w:rPr>
        <w:t>MSM ’</w:t>
      </w:r>
      <w:proofErr w:type="gramEnd"/>
      <w:r>
        <w:rPr>
          <w:rFonts w:ascii="Times New Roman" w:eastAsia="Times New Roman" w:hAnsi="Times New Roman" w:cs="Times New Roman"/>
          <w:i/>
          <w:iCs/>
          <w:sz w:val="24"/>
          <w:szCs w:val="24"/>
        </w:rPr>
        <w:t xml:space="preserve"> s Business in West Kalimantan : Moderated by Ease of Digital Payment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16</w:t>
      </w:r>
      <w:r>
        <w:rPr>
          <w:rFonts w:ascii="Times New Roman" w:eastAsia="Times New Roman" w:hAnsi="Times New Roman" w:cs="Times New Roman"/>
          <w:sz w:val="24"/>
          <w:szCs w:val="24"/>
        </w:rPr>
        <w:t>(3), 521–529.</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Hong, T., Vu, N., Thanh, H., &amp; Tran, N. (2024). </w:t>
      </w:r>
      <w:r>
        <w:rPr>
          <w:rFonts w:ascii="Times New Roman" w:eastAsia="Times New Roman" w:hAnsi="Times New Roman" w:cs="Times New Roman"/>
          <w:i/>
          <w:iCs/>
          <w:sz w:val="24"/>
          <w:szCs w:val="24"/>
        </w:rPr>
        <w:t xml:space="preserve">Evolution of cashless </w:t>
      </w:r>
      <w:proofErr w:type="gramStart"/>
      <w:r>
        <w:rPr>
          <w:rFonts w:ascii="Times New Roman" w:eastAsia="Times New Roman" w:hAnsi="Times New Roman" w:cs="Times New Roman"/>
          <w:i/>
          <w:iCs/>
          <w:sz w:val="24"/>
          <w:szCs w:val="24"/>
        </w:rPr>
        <w:t>payment :</w:t>
      </w:r>
      <w:proofErr w:type="gramEnd"/>
      <w:r>
        <w:rPr>
          <w:rFonts w:ascii="Times New Roman" w:eastAsia="Times New Roman" w:hAnsi="Times New Roman" w:cs="Times New Roman"/>
          <w:i/>
          <w:iCs/>
          <w:sz w:val="24"/>
          <w:szCs w:val="24"/>
        </w:rPr>
        <w:t xml:space="preserve"> the case of Vietnam</w:t>
      </w:r>
      <w:r>
        <w:rPr>
          <w:rFonts w:ascii="Times New Roman" w:eastAsia="Times New Roman" w:hAnsi="Times New Roman" w:cs="Times New Roman"/>
          <w:sz w:val="24"/>
          <w:szCs w:val="24"/>
        </w:rPr>
        <w:t>. https://doi.org/10.1108/AJEB-10-2024-0118</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 R., KV, S., &amp; </w:t>
      </w:r>
      <w:proofErr w:type="spellStart"/>
      <w:r>
        <w:rPr>
          <w:rFonts w:ascii="Times New Roman" w:eastAsia="Times New Roman" w:hAnsi="Times New Roman" w:cs="Times New Roman"/>
          <w:sz w:val="24"/>
          <w:szCs w:val="24"/>
        </w:rPr>
        <w:t>Hungund</w:t>
      </w:r>
      <w:proofErr w:type="spellEnd"/>
      <w:r>
        <w:rPr>
          <w:rFonts w:ascii="Times New Roman" w:eastAsia="Times New Roman" w:hAnsi="Times New Roman" w:cs="Times New Roman"/>
          <w:sz w:val="24"/>
          <w:szCs w:val="24"/>
        </w:rPr>
        <w:t xml:space="preserve">, S. (2025). MSME/SME Financial Literacy: A Systematic Literature Review and Bibliometric Analysis. </w:t>
      </w:r>
      <w:r>
        <w:rPr>
          <w:rFonts w:ascii="Times New Roman" w:eastAsia="Times New Roman" w:hAnsi="Times New Roman" w:cs="Times New Roman"/>
          <w:i/>
          <w:iCs/>
          <w:sz w:val="24"/>
          <w:szCs w:val="24"/>
        </w:rPr>
        <w:t>Journal of the Knowledge Economy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16</w:t>
      </w:r>
      <w:r>
        <w:rPr>
          <w:rFonts w:ascii="Times New Roman" w:eastAsia="Times New Roman" w:hAnsi="Times New Roman" w:cs="Times New Roman"/>
          <w:sz w:val="24"/>
          <w:szCs w:val="24"/>
        </w:rPr>
        <w:t>(4), 14378–14405. https://doi.org/10.1007/s13132-024-02472-0</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Kanth</w:t>
      </w:r>
      <w:proofErr w:type="spellEnd"/>
      <w:r>
        <w:rPr>
          <w:rFonts w:ascii="Times New Roman" w:eastAsia="Times New Roman" w:hAnsi="Times New Roman" w:cs="Times New Roman"/>
          <w:sz w:val="24"/>
          <w:szCs w:val="24"/>
        </w:rPr>
        <w:t>, D., &amp; Sinha</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Ashish Ranjan. (2026). Does financial literacy of rural women entrepreneurs influence their financial well-being? The mediating role of personal financial </w:t>
      </w:r>
      <w:proofErr w:type="spellStart"/>
      <w:r>
        <w:rPr>
          <w:rFonts w:ascii="Times New Roman" w:eastAsia="Times New Roman" w:hAnsi="Times New Roman" w:cs="Times New Roman"/>
          <w:sz w:val="24"/>
          <w:szCs w:val="24"/>
        </w:rPr>
        <w:t>behaviou</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Journal of Economic and Administrative Sciences</w:t>
      </w:r>
      <w:r>
        <w:rPr>
          <w:rFonts w:ascii="Times New Roman" w:eastAsia="Times New Roman" w:hAnsi="Times New Roman" w:cs="Times New Roman"/>
          <w:sz w:val="24"/>
          <w:szCs w:val="24"/>
        </w:rPr>
        <w:t>, 1–27. https://doi.org/https://doi.org/10.1108/JEAS-05-2025-0253</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Kanungo, E. (2026). Determinants of digital financial literacy and its impact on digital financial inclusion in Odisha, India – a study on the mediating role of digital operations. </w:t>
      </w:r>
      <w:r>
        <w:rPr>
          <w:rFonts w:ascii="Times New Roman" w:eastAsia="Times New Roman" w:hAnsi="Times New Roman" w:cs="Times New Roman"/>
          <w:i/>
          <w:iCs/>
          <w:sz w:val="24"/>
          <w:szCs w:val="24"/>
        </w:rPr>
        <w:t>Journal of Science and Technology Policy Management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17</w:t>
      </w:r>
      <w:r>
        <w:rPr>
          <w:rFonts w:ascii="Times New Roman" w:eastAsia="Times New Roman" w:hAnsi="Times New Roman" w:cs="Times New Roman"/>
          <w:sz w:val="24"/>
          <w:szCs w:val="24"/>
        </w:rPr>
        <w:t>(2).</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Kurniawan, Y., </w:t>
      </w:r>
      <w:proofErr w:type="spellStart"/>
      <w:r>
        <w:rPr>
          <w:rFonts w:ascii="Times New Roman" w:eastAsia="Times New Roman" w:hAnsi="Times New Roman" w:cs="Times New Roman"/>
          <w:sz w:val="24"/>
          <w:szCs w:val="24"/>
        </w:rPr>
        <w:t>Sajidah</w:t>
      </w:r>
      <w:proofErr w:type="spellEnd"/>
      <w:r>
        <w:rPr>
          <w:rFonts w:ascii="Times New Roman" w:eastAsia="Times New Roman" w:hAnsi="Times New Roman" w:cs="Times New Roman"/>
          <w:sz w:val="24"/>
          <w:szCs w:val="24"/>
        </w:rPr>
        <w:t xml:space="preserve">, Putri Dhania Riza; </w:t>
      </w:r>
      <w:proofErr w:type="spellStart"/>
      <w:r>
        <w:rPr>
          <w:rFonts w:ascii="Times New Roman" w:eastAsia="Times New Roman" w:hAnsi="Times New Roman" w:cs="Times New Roman"/>
          <w:sz w:val="24"/>
          <w:szCs w:val="24"/>
        </w:rPr>
        <w:t>Filza</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Sephiana</w:t>
      </w:r>
      <w:proofErr w:type="spellEnd"/>
      <w:r>
        <w:rPr>
          <w:rFonts w:ascii="Times New Roman" w:eastAsia="Times New Roman" w:hAnsi="Times New Roman" w:cs="Times New Roman"/>
          <w:sz w:val="24"/>
          <w:szCs w:val="24"/>
        </w:rPr>
        <w:t xml:space="preserve">, B. (2026). The influence of using digital banking to impulsive buying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(the students’ perspective). </w:t>
      </w:r>
      <w:r>
        <w:rPr>
          <w:rFonts w:ascii="Times New Roman" w:eastAsia="Times New Roman" w:hAnsi="Times New Roman" w:cs="Times New Roman"/>
          <w:i/>
          <w:iCs/>
          <w:sz w:val="24"/>
          <w:szCs w:val="24"/>
        </w:rPr>
        <w:t>Journal of Science and Technology Policy Management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17</w:t>
      </w:r>
      <w:r>
        <w:rPr>
          <w:rFonts w:ascii="Times New Roman" w:eastAsia="Times New Roman" w:hAnsi="Times New Roman" w:cs="Times New Roman"/>
          <w:sz w:val="24"/>
          <w:szCs w:val="24"/>
        </w:rPr>
        <w:t>(2), 437–456. https://doi.org/https://doi.org/10.1108/JSTPM-04-2024-0146</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Mawardi</w:t>
      </w:r>
      <w:proofErr w:type="spellEnd"/>
      <w:r>
        <w:rPr>
          <w:rFonts w:ascii="Times New Roman" w:eastAsia="Times New Roman" w:hAnsi="Times New Roman" w:cs="Times New Roman"/>
          <w:sz w:val="24"/>
          <w:szCs w:val="24"/>
        </w:rPr>
        <w:t xml:space="preserve">, W., </w:t>
      </w:r>
      <w:proofErr w:type="spellStart"/>
      <w:r>
        <w:rPr>
          <w:rFonts w:ascii="Times New Roman" w:eastAsia="Times New Roman" w:hAnsi="Times New Roman" w:cs="Times New Roman"/>
          <w:sz w:val="24"/>
          <w:szCs w:val="24"/>
        </w:rPr>
        <w:t>Darwanto</w:t>
      </w:r>
      <w:proofErr w:type="spellEnd"/>
      <w:r>
        <w:rPr>
          <w:rFonts w:ascii="Times New Roman" w:eastAsia="Times New Roman" w:hAnsi="Times New Roman" w:cs="Times New Roman"/>
          <w:sz w:val="24"/>
          <w:szCs w:val="24"/>
        </w:rPr>
        <w:t xml:space="preserve">, Majid, R., </w:t>
      </w:r>
      <w:proofErr w:type="spellStart"/>
      <w:r>
        <w:rPr>
          <w:rFonts w:ascii="Times New Roman" w:eastAsia="Times New Roman" w:hAnsi="Times New Roman" w:cs="Times New Roman"/>
          <w:sz w:val="24"/>
          <w:szCs w:val="24"/>
        </w:rPr>
        <w:t>Hayati</w:t>
      </w:r>
      <w:proofErr w:type="spellEnd"/>
      <w:r>
        <w:rPr>
          <w:rFonts w:ascii="Times New Roman" w:eastAsia="Times New Roman" w:hAnsi="Times New Roman" w:cs="Times New Roman"/>
          <w:sz w:val="24"/>
          <w:szCs w:val="24"/>
        </w:rPr>
        <w:t xml:space="preserve">, B., &amp; </w:t>
      </w:r>
      <w:proofErr w:type="spellStart"/>
      <w:r>
        <w:rPr>
          <w:rFonts w:ascii="Times New Roman" w:eastAsia="Times New Roman" w:hAnsi="Times New Roman" w:cs="Times New Roman"/>
          <w:sz w:val="24"/>
          <w:szCs w:val="24"/>
        </w:rPr>
        <w:t>Utomo</w:t>
      </w:r>
      <w:proofErr w:type="spellEnd"/>
      <w:r>
        <w:rPr>
          <w:rFonts w:ascii="Times New Roman" w:eastAsia="Times New Roman" w:hAnsi="Times New Roman" w:cs="Times New Roman"/>
          <w:sz w:val="24"/>
          <w:szCs w:val="24"/>
        </w:rPr>
        <w:t xml:space="preserve">, M. F. W. (2026). Tech-driven financial inclusion: </w:t>
      </w:r>
      <w:proofErr w:type="spellStart"/>
      <w:r>
        <w:rPr>
          <w:rFonts w:ascii="Times New Roman" w:eastAsia="Times New Roman" w:hAnsi="Times New Roman" w:cs="Times New Roman"/>
          <w:sz w:val="24"/>
          <w:szCs w:val="24"/>
        </w:rPr>
        <w:t>analyzing</w:t>
      </w:r>
      <w:proofErr w:type="spellEnd"/>
      <w:r>
        <w:rPr>
          <w:rFonts w:ascii="Times New Roman" w:eastAsia="Times New Roman" w:hAnsi="Times New Roman" w:cs="Times New Roman"/>
          <w:sz w:val="24"/>
          <w:szCs w:val="24"/>
        </w:rPr>
        <w:t xml:space="preserve"> the determinants and implications of FinTech adoption for reducing financial exclusion in Indonesia. </w:t>
      </w:r>
      <w:r>
        <w:rPr>
          <w:rFonts w:ascii="Times New Roman" w:eastAsia="Times New Roman" w:hAnsi="Times New Roman" w:cs="Times New Roman"/>
          <w:i/>
          <w:iCs/>
          <w:sz w:val="24"/>
          <w:szCs w:val="24"/>
        </w:rPr>
        <w:t>Journal of Science and Technology Policy Management</w:t>
      </w:r>
      <w:r>
        <w:rPr>
          <w:rFonts w:ascii="Times New Roman" w:eastAsia="Times New Roman" w:hAnsi="Times New Roman" w:cs="Times New Roman"/>
          <w:sz w:val="24"/>
          <w:szCs w:val="24"/>
        </w:rPr>
        <w:t>, 1–24. https://doi.org/https://doi.org/10.1108/JSTPM-05-2025-0208</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Muchlis</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Agustia</w:t>
      </w:r>
      <w:proofErr w:type="spellEnd"/>
      <w:r>
        <w:rPr>
          <w:rFonts w:ascii="Times New Roman" w:eastAsia="Times New Roman" w:hAnsi="Times New Roman" w:cs="Times New Roman"/>
          <w:sz w:val="24"/>
          <w:szCs w:val="24"/>
        </w:rPr>
        <w:t xml:space="preserve">, D., &amp; </w:t>
      </w:r>
      <w:proofErr w:type="spellStart"/>
      <w:r>
        <w:rPr>
          <w:rFonts w:ascii="Times New Roman" w:eastAsia="Times New Roman" w:hAnsi="Times New Roman" w:cs="Times New Roman"/>
          <w:sz w:val="24"/>
          <w:szCs w:val="24"/>
        </w:rPr>
        <w:t>Narsa</w:t>
      </w:r>
      <w:proofErr w:type="spellEnd"/>
      <w:r>
        <w:rPr>
          <w:rFonts w:ascii="Times New Roman" w:eastAsia="Times New Roman" w:hAnsi="Times New Roman" w:cs="Times New Roman"/>
          <w:sz w:val="24"/>
          <w:szCs w:val="24"/>
        </w:rPr>
        <w:t xml:space="preserve">, I. M. (2021). </w:t>
      </w:r>
      <w:proofErr w:type="spellStart"/>
      <w:r>
        <w:rPr>
          <w:rFonts w:ascii="Times New Roman" w:eastAsia="Times New Roman" w:hAnsi="Times New Roman" w:cs="Times New Roman"/>
          <w:sz w:val="24"/>
          <w:szCs w:val="24"/>
        </w:rPr>
        <w:t>Pengaruh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Teknologi</w:t>
      </w:r>
      <w:proofErr w:type="spellEnd"/>
      <w:r>
        <w:rPr>
          <w:rFonts w:ascii="Times New Roman" w:eastAsia="Times New Roman" w:hAnsi="Times New Roman" w:cs="Times New Roman"/>
          <w:sz w:val="24"/>
          <w:szCs w:val="24"/>
        </w:rPr>
        <w:t xml:space="preserve"> Big Data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Nilai Perusahaan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Kinerja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Keuangan</w:t>
      </w:r>
      <w:proofErr w:type="spellEnd"/>
      <w:r>
        <w:rPr>
          <w:rFonts w:ascii="Times New Roman" w:eastAsia="Times New Roman" w:hAnsi="Times New Roman" w:cs="Times New Roman"/>
          <w:sz w:val="24"/>
          <w:szCs w:val="24"/>
        </w:rPr>
        <w:t xml:space="preserve"> Perusahaan Di Bursa </w:t>
      </w:r>
      <w:proofErr w:type="spellStart"/>
      <w:r>
        <w:rPr>
          <w:rFonts w:ascii="Times New Roman" w:eastAsia="Times New Roman" w:hAnsi="Times New Roman" w:cs="Times New Roman"/>
          <w:sz w:val="24"/>
          <w:szCs w:val="24"/>
        </w:rPr>
        <w:t>Efek</w:t>
      </w:r>
      <w:proofErr w:type="spellEnd"/>
      <w:r>
        <w:rPr>
          <w:rFonts w:ascii="Times New Roman" w:eastAsia="Times New Roman" w:hAnsi="Times New Roman" w:cs="Times New Roman"/>
          <w:sz w:val="24"/>
          <w:szCs w:val="24"/>
        </w:rPr>
        <w:t xml:space="preserve"> Indonesia. </w:t>
      </w:r>
      <w:r>
        <w:rPr>
          <w:rFonts w:ascii="Times New Roman" w:eastAsia="Times New Roman" w:hAnsi="Times New Roman" w:cs="Times New Roman"/>
          <w:i/>
          <w:iCs/>
          <w:sz w:val="24"/>
          <w:szCs w:val="24"/>
        </w:rPr>
        <w:t>EKUITAS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Ekonomi</w:t>
      </w:r>
      <w:proofErr w:type="spellEnd"/>
      <w:r>
        <w:rPr>
          <w:rFonts w:ascii="Times New Roman" w:eastAsia="Times New Roman" w:hAnsi="Times New Roman" w:cs="Times New Roman"/>
          <w:i/>
          <w:iCs/>
          <w:sz w:val="24"/>
          <w:szCs w:val="24"/>
        </w:rPr>
        <w:t xml:space="preserve"> Dan </w:t>
      </w:r>
      <w:proofErr w:type="spellStart"/>
      <w:r>
        <w:rPr>
          <w:rFonts w:ascii="Times New Roman" w:eastAsia="Times New Roman" w:hAnsi="Times New Roman" w:cs="Times New Roman"/>
          <w:i/>
          <w:iCs/>
          <w:sz w:val="24"/>
          <w:szCs w:val="24"/>
        </w:rPr>
        <w:t>Keuangan</w:t>
      </w:r>
      <w:proofErr w:type="spell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w:t>
      </w:r>
      <w:r>
        <w:rPr>
          <w:rFonts w:ascii="Times New Roman" w:eastAsia="Times New Roman" w:hAnsi="Times New Roman" w:cs="Times New Roman"/>
          <w:sz w:val="24"/>
          <w:szCs w:val="24"/>
        </w:rPr>
        <w:t>(2), 139–158. https://doi.org/10.24034/j25485024.y2021.v5.i2.4928</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Nugraheni</w:t>
      </w:r>
      <w:proofErr w:type="spellEnd"/>
      <w:r>
        <w:rPr>
          <w:rFonts w:ascii="Times New Roman" w:eastAsia="Times New Roman" w:hAnsi="Times New Roman" w:cs="Times New Roman"/>
          <w:sz w:val="24"/>
          <w:szCs w:val="24"/>
        </w:rPr>
        <w:t xml:space="preserve">, P., &amp; </w:t>
      </w:r>
      <w:proofErr w:type="spellStart"/>
      <w:r>
        <w:rPr>
          <w:rFonts w:ascii="Times New Roman" w:eastAsia="Times New Roman" w:hAnsi="Times New Roman" w:cs="Times New Roman"/>
          <w:sz w:val="24"/>
          <w:szCs w:val="24"/>
        </w:rPr>
        <w:t>Darma</w:t>
      </w:r>
      <w:proofErr w:type="spellEnd"/>
      <w:r>
        <w:rPr>
          <w:rFonts w:ascii="Times New Roman" w:eastAsia="Times New Roman" w:hAnsi="Times New Roman" w:cs="Times New Roman"/>
          <w:sz w:val="24"/>
          <w:szCs w:val="24"/>
        </w:rPr>
        <w:t xml:space="preserve">, E. S. (2025). </w:t>
      </w:r>
      <w:r>
        <w:rPr>
          <w:rFonts w:ascii="Times New Roman" w:eastAsia="Times New Roman" w:hAnsi="Times New Roman" w:cs="Times New Roman"/>
          <w:i/>
          <w:iCs/>
          <w:sz w:val="24"/>
          <w:szCs w:val="24"/>
        </w:rPr>
        <w:t xml:space="preserve">Adoption of Digital Technology and Financial </w:t>
      </w:r>
      <w:proofErr w:type="gramStart"/>
      <w:r>
        <w:rPr>
          <w:rFonts w:ascii="Times New Roman" w:eastAsia="Times New Roman" w:hAnsi="Times New Roman" w:cs="Times New Roman"/>
          <w:i/>
          <w:iCs/>
          <w:sz w:val="24"/>
          <w:szCs w:val="24"/>
        </w:rPr>
        <w:t>Knowledge :</w:t>
      </w:r>
      <w:proofErr w:type="gramEnd"/>
      <w:r>
        <w:rPr>
          <w:rFonts w:ascii="Times New Roman" w:eastAsia="Times New Roman" w:hAnsi="Times New Roman" w:cs="Times New Roman"/>
          <w:i/>
          <w:iCs/>
          <w:sz w:val="24"/>
          <w:szCs w:val="24"/>
        </w:rPr>
        <w:t xml:space="preserve"> Strategies for Achieving Sustainable Performance of MSMEs</w:t>
      </w:r>
      <w:r>
        <w:rPr>
          <w:rFonts w:ascii="Times New Roman" w:eastAsia="Times New Roman" w:hAnsi="Times New Roman" w:cs="Times New Roman"/>
          <w:sz w:val="24"/>
          <w:szCs w:val="24"/>
        </w:rPr>
        <w:t>. (2023), 1–16.</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Nuh</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Estradha</w:t>
      </w:r>
      <w:proofErr w:type="spellEnd"/>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Romy, &amp; </w:t>
      </w:r>
      <w:proofErr w:type="spellStart"/>
      <w:r>
        <w:rPr>
          <w:rFonts w:ascii="Times New Roman" w:eastAsia="Times New Roman" w:hAnsi="Times New Roman" w:cs="Times New Roman"/>
          <w:sz w:val="24"/>
          <w:szCs w:val="24"/>
        </w:rPr>
        <w:t>Ghali</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Dyah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Cahyasari</w:t>
      </w:r>
      <w:proofErr w:type="spellEnd"/>
      <w:r>
        <w:rPr>
          <w:rFonts w:ascii="Times New Roman" w:eastAsia="Times New Roman" w:hAnsi="Times New Roman" w:cs="Times New Roman"/>
          <w:sz w:val="24"/>
          <w:szCs w:val="24"/>
        </w:rPr>
        <w:t xml:space="preserve">; Zohra. (2026). Lifestyle evangelism in urban Co-living spaces: the role of social connectedness and relational dynamics among tourists. </w:t>
      </w:r>
      <w:r>
        <w:rPr>
          <w:rFonts w:ascii="Times New Roman" w:eastAsia="Times New Roman" w:hAnsi="Times New Roman" w:cs="Times New Roman"/>
          <w:i/>
          <w:iCs/>
          <w:sz w:val="24"/>
          <w:szCs w:val="24"/>
        </w:rPr>
        <w:t>Journal of Hospitality and Tourism Insights</w:t>
      </w:r>
      <w:r>
        <w:rPr>
          <w:rFonts w:ascii="Times New Roman" w:eastAsia="Times New Roman" w:hAnsi="Times New Roman" w:cs="Times New Roman"/>
          <w:sz w:val="24"/>
          <w:szCs w:val="24"/>
        </w:rPr>
        <w:t>, 1–19. https://doi.org/https://doi.org/10.1108/JHTI-10-2025-1159</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Papulasih</w:t>
      </w:r>
      <w:proofErr w:type="spellEnd"/>
      <w:r>
        <w:rPr>
          <w:rFonts w:ascii="Times New Roman" w:eastAsia="Times New Roman" w:hAnsi="Times New Roman" w:cs="Times New Roman"/>
          <w:sz w:val="24"/>
          <w:szCs w:val="24"/>
        </w:rPr>
        <w:t xml:space="preserve">, D., </w:t>
      </w:r>
      <w:proofErr w:type="spellStart"/>
      <w:r>
        <w:rPr>
          <w:rFonts w:ascii="Times New Roman" w:eastAsia="Times New Roman" w:hAnsi="Times New Roman" w:cs="Times New Roman"/>
          <w:sz w:val="24"/>
          <w:szCs w:val="24"/>
        </w:rPr>
        <w:t>Purwidianti</w:t>
      </w:r>
      <w:proofErr w:type="spellEnd"/>
      <w:r>
        <w:rPr>
          <w:rFonts w:ascii="Times New Roman" w:eastAsia="Times New Roman" w:hAnsi="Times New Roman" w:cs="Times New Roman"/>
          <w:sz w:val="24"/>
          <w:szCs w:val="24"/>
        </w:rPr>
        <w:t xml:space="preserve">, W., </w:t>
      </w:r>
      <w:proofErr w:type="spellStart"/>
      <w:r>
        <w:rPr>
          <w:rFonts w:ascii="Times New Roman" w:eastAsia="Times New Roman" w:hAnsi="Times New Roman" w:cs="Times New Roman"/>
          <w:sz w:val="24"/>
          <w:szCs w:val="24"/>
        </w:rPr>
        <w:t>Tubastuvi</w:t>
      </w:r>
      <w:proofErr w:type="spellEnd"/>
      <w:r>
        <w:rPr>
          <w:rFonts w:ascii="Times New Roman" w:eastAsia="Times New Roman" w:hAnsi="Times New Roman" w:cs="Times New Roman"/>
          <w:sz w:val="24"/>
          <w:szCs w:val="24"/>
        </w:rPr>
        <w:t xml:space="preserve">, N., &amp; </w:t>
      </w:r>
      <w:proofErr w:type="spellStart"/>
      <w:r>
        <w:rPr>
          <w:rFonts w:ascii="Times New Roman" w:eastAsia="Times New Roman" w:hAnsi="Times New Roman" w:cs="Times New Roman"/>
          <w:sz w:val="24"/>
          <w:szCs w:val="24"/>
        </w:rPr>
        <w:t>Utami</w:t>
      </w:r>
      <w:proofErr w:type="spellEnd"/>
      <w:r>
        <w:rPr>
          <w:rFonts w:ascii="Times New Roman" w:eastAsia="Times New Roman" w:hAnsi="Times New Roman" w:cs="Times New Roman"/>
          <w:sz w:val="24"/>
          <w:szCs w:val="24"/>
        </w:rPr>
        <w:t xml:space="preserve">, R. F. (2024). </w:t>
      </w:r>
      <w:proofErr w:type="spellStart"/>
      <w:r>
        <w:rPr>
          <w:rFonts w:ascii="Times New Roman" w:eastAsia="Times New Roman" w:hAnsi="Times New Roman" w:cs="Times New Roman"/>
          <w:sz w:val="24"/>
          <w:szCs w:val="24"/>
        </w:rPr>
        <w:t>Peran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Literasi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Keuangan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Mediasi</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Variabel</w:t>
      </w:r>
      <w:proofErr w:type="spellEnd"/>
      <w:r>
        <w:rPr>
          <w:rFonts w:ascii="Times New Roman" w:eastAsia="Times New Roman" w:hAnsi="Times New Roman" w:cs="Times New Roman"/>
          <w:sz w:val="24"/>
          <w:szCs w:val="24"/>
        </w:rPr>
        <w:t xml:space="preserve"> Financial Technology Dan </w:t>
      </w:r>
      <w:proofErr w:type="spellStart"/>
      <w:r>
        <w:rPr>
          <w:rFonts w:ascii="Times New Roman" w:eastAsia="Times New Roman" w:hAnsi="Times New Roman" w:cs="Times New Roman"/>
          <w:sz w:val="24"/>
          <w:szCs w:val="24"/>
        </w:rPr>
        <w:t>Karakteristik</w:t>
      </w:r>
      <w:proofErr w:type="spellEnd"/>
      <w:r>
        <w:rPr>
          <w:rFonts w:ascii="Times New Roman" w:eastAsia="Times New Roman" w:hAnsi="Times New Roman" w:cs="Times New Roman"/>
          <w:sz w:val="24"/>
          <w:szCs w:val="24"/>
        </w:rPr>
        <w:t xml:space="preserve"> UMKM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Keberlanjutan</w:t>
      </w:r>
      <w:proofErr w:type="spellEnd"/>
      <w:r>
        <w:rPr>
          <w:rFonts w:ascii="Times New Roman" w:eastAsia="Times New Roman" w:hAnsi="Times New Roman" w:cs="Times New Roman"/>
          <w:sz w:val="24"/>
          <w:szCs w:val="24"/>
        </w:rPr>
        <w:t xml:space="preserve"> UMKM.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Administrasi</w:t>
      </w:r>
      <w:proofErr w:type="spellEnd"/>
      <w:r>
        <w:rPr>
          <w:rFonts w:ascii="Times New Roman" w:eastAsia="Times New Roman" w:hAnsi="Times New Roman" w:cs="Times New Roman"/>
          <w:i/>
          <w:iCs/>
          <w:sz w:val="24"/>
          <w:szCs w:val="24"/>
        </w:rPr>
        <w:t xml:space="preserve"> Dan </w:t>
      </w:r>
      <w:proofErr w:type="spellStart"/>
      <w:r>
        <w:rPr>
          <w:rFonts w:ascii="Times New Roman" w:eastAsia="Times New Roman" w:hAnsi="Times New Roman" w:cs="Times New Roman"/>
          <w:i/>
          <w:iCs/>
          <w:sz w:val="24"/>
          <w:szCs w:val="24"/>
        </w:rPr>
        <w:t>Manajemen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14</w:t>
      </w:r>
      <w:r>
        <w:rPr>
          <w:rFonts w:ascii="Times New Roman" w:eastAsia="Times New Roman" w:hAnsi="Times New Roman" w:cs="Times New Roman"/>
          <w:sz w:val="24"/>
          <w:szCs w:val="24"/>
        </w:rPr>
        <w:t>, 25–25.</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Pratama</w:t>
      </w:r>
      <w:proofErr w:type="spellEnd"/>
      <w:r>
        <w:rPr>
          <w:rFonts w:ascii="Times New Roman" w:eastAsia="Times New Roman" w:hAnsi="Times New Roman" w:cs="Times New Roman"/>
          <w:sz w:val="24"/>
          <w:szCs w:val="24"/>
        </w:rPr>
        <w:t xml:space="preserve">, D. L., </w:t>
      </w:r>
      <w:proofErr w:type="spellStart"/>
      <w:r>
        <w:rPr>
          <w:rFonts w:ascii="Times New Roman" w:eastAsia="Times New Roman" w:hAnsi="Times New Roman" w:cs="Times New Roman"/>
          <w:sz w:val="24"/>
          <w:szCs w:val="24"/>
        </w:rPr>
        <w:t>Rimbano</w:t>
      </w:r>
      <w:proofErr w:type="spellEnd"/>
      <w:r>
        <w:rPr>
          <w:rFonts w:ascii="Times New Roman" w:eastAsia="Times New Roman" w:hAnsi="Times New Roman" w:cs="Times New Roman"/>
          <w:sz w:val="24"/>
          <w:szCs w:val="24"/>
        </w:rPr>
        <w:t xml:space="preserve">, D., </w:t>
      </w:r>
      <w:proofErr w:type="spellStart"/>
      <w:r>
        <w:rPr>
          <w:rFonts w:ascii="Times New Roman" w:eastAsia="Times New Roman" w:hAnsi="Times New Roman" w:cs="Times New Roman"/>
          <w:sz w:val="24"/>
          <w:szCs w:val="24"/>
        </w:rPr>
        <w:t>Utari</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Rahmawati</w:t>
      </w:r>
      <w:proofErr w:type="spellEnd"/>
      <w:r>
        <w:rPr>
          <w:rFonts w:ascii="Times New Roman" w:eastAsia="Times New Roman" w:hAnsi="Times New Roman" w:cs="Times New Roman"/>
          <w:sz w:val="24"/>
          <w:szCs w:val="24"/>
        </w:rPr>
        <w:t xml:space="preserve">, S., Putra, K., &amp; </w:t>
      </w:r>
      <w:proofErr w:type="spellStart"/>
      <w:r>
        <w:rPr>
          <w:rFonts w:ascii="Times New Roman" w:eastAsia="Times New Roman" w:hAnsi="Times New Roman" w:cs="Times New Roman"/>
          <w:sz w:val="24"/>
          <w:szCs w:val="24"/>
        </w:rPr>
        <w:t>Habibun</w:t>
      </w:r>
      <w:proofErr w:type="spellEnd"/>
      <w:r>
        <w:rPr>
          <w:rFonts w:ascii="Times New Roman" w:eastAsia="Times New Roman" w:hAnsi="Times New Roman" w:cs="Times New Roman"/>
          <w:sz w:val="24"/>
          <w:szCs w:val="24"/>
        </w:rPr>
        <w:t xml:space="preserve"> Rahman, M. Z. (2025). </w:t>
      </w:r>
      <w:proofErr w:type="spellStart"/>
      <w:r>
        <w:rPr>
          <w:rFonts w:ascii="Times New Roman" w:eastAsia="Times New Roman" w:hAnsi="Times New Roman" w:cs="Times New Roman"/>
          <w:sz w:val="24"/>
          <w:szCs w:val="24"/>
        </w:rPr>
        <w:t>Analisis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Pengaruh</w:t>
      </w:r>
      <w:proofErr w:type="spellEnd"/>
      <w:r>
        <w:rPr>
          <w:rFonts w:ascii="Times New Roman" w:eastAsia="Times New Roman" w:hAnsi="Times New Roman" w:cs="Times New Roman"/>
          <w:sz w:val="24"/>
          <w:szCs w:val="24"/>
        </w:rPr>
        <w:t xml:space="preserve"> Gaya </w:t>
      </w:r>
      <w:proofErr w:type="spellStart"/>
      <w:r>
        <w:rPr>
          <w:rFonts w:ascii="Times New Roman" w:eastAsia="Times New Roman" w:hAnsi="Times New Roman" w:cs="Times New Roman"/>
          <w:sz w:val="24"/>
          <w:szCs w:val="24"/>
        </w:rPr>
        <w:t>Hidup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Perilaku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Keuangan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Persepsi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Perkembangan</w:t>
      </w:r>
      <w:proofErr w:type="spellEnd"/>
      <w:r>
        <w:rPr>
          <w:rFonts w:ascii="Times New Roman" w:eastAsia="Times New Roman" w:hAnsi="Times New Roman" w:cs="Times New Roman"/>
          <w:sz w:val="24"/>
          <w:szCs w:val="24"/>
        </w:rPr>
        <w:t xml:space="preserve"> Usaha </w:t>
      </w:r>
      <w:proofErr w:type="gramStart"/>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Studi</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Literatur</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Industri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Umkm</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Ilmiah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Metansi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Manajemen</w:t>
      </w:r>
      <w:proofErr w:type="spellEnd"/>
      <w:r>
        <w:rPr>
          <w:rFonts w:ascii="Times New Roman" w:eastAsia="Times New Roman" w:hAnsi="Times New Roman" w:cs="Times New Roman"/>
          <w:i/>
          <w:iCs/>
          <w:sz w:val="24"/>
          <w:szCs w:val="24"/>
        </w:rPr>
        <w:t xml:space="preserve"> Dan </w:t>
      </w:r>
      <w:proofErr w:type="spellStart"/>
      <w:r>
        <w:rPr>
          <w:rFonts w:ascii="Times New Roman" w:eastAsia="Times New Roman" w:hAnsi="Times New Roman" w:cs="Times New Roman"/>
          <w:i/>
          <w:iCs/>
          <w:sz w:val="24"/>
          <w:szCs w:val="24"/>
        </w:rPr>
        <w:t>Akuntansi</w:t>
      </w:r>
      <w:proofErr w:type="spell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8</w:t>
      </w:r>
      <w:r>
        <w:rPr>
          <w:rFonts w:ascii="Times New Roman" w:eastAsia="Times New Roman" w:hAnsi="Times New Roman" w:cs="Times New Roman"/>
          <w:sz w:val="24"/>
          <w:szCs w:val="24"/>
        </w:rPr>
        <w:t>(1), 49–57. https://doi.org/10.57093/metansi.v8i1.347</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Pratiwi</w:t>
      </w:r>
      <w:proofErr w:type="spellEnd"/>
      <w:r>
        <w:rPr>
          <w:rFonts w:ascii="Times New Roman" w:eastAsia="Times New Roman" w:hAnsi="Times New Roman" w:cs="Times New Roman"/>
          <w:sz w:val="24"/>
          <w:szCs w:val="24"/>
        </w:rPr>
        <w:t xml:space="preserve">, A. (2025). QRIS Adoption Among Gen Z: Does Hedonic Lifestyle Matters? </w:t>
      </w:r>
      <w:r>
        <w:rPr>
          <w:rFonts w:ascii="Times New Roman" w:eastAsia="Times New Roman" w:hAnsi="Times New Roman" w:cs="Times New Roman"/>
          <w:i/>
          <w:iCs/>
          <w:sz w:val="24"/>
          <w:szCs w:val="24"/>
        </w:rPr>
        <w:t>Journal of Economics and Business Research (JUEBIR)</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4</w:t>
      </w:r>
      <w:r>
        <w:rPr>
          <w:rFonts w:ascii="Times New Roman" w:eastAsia="Times New Roman" w:hAnsi="Times New Roman" w:cs="Times New Roman"/>
          <w:sz w:val="24"/>
          <w:szCs w:val="24"/>
        </w:rPr>
        <w:t>(2), 247–258. https://doi.org/10.22515/juebir.v4i2.10762</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Puspitasari</w:t>
      </w:r>
      <w:proofErr w:type="spellEnd"/>
      <w:r>
        <w:rPr>
          <w:rFonts w:ascii="Times New Roman" w:eastAsia="Times New Roman" w:hAnsi="Times New Roman" w:cs="Times New Roman"/>
          <w:sz w:val="24"/>
          <w:szCs w:val="24"/>
        </w:rPr>
        <w:t xml:space="preserve">, A. A., &amp; </w:t>
      </w:r>
      <w:proofErr w:type="spellStart"/>
      <w:r>
        <w:rPr>
          <w:rFonts w:ascii="Times New Roman" w:eastAsia="Times New Roman" w:hAnsi="Times New Roman" w:cs="Times New Roman"/>
          <w:sz w:val="24"/>
          <w:szCs w:val="24"/>
        </w:rPr>
        <w:t>Salehudin</w:t>
      </w:r>
      <w:proofErr w:type="spellEnd"/>
      <w:r>
        <w:rPr>
          <w:rFonts w:ascii="Times New Roman" w:eastAsia="Times New Roman" w:hAnsi="Times New Roman" w:cs="Times New Roman"/>
          <w:sz w:val="24"/>
          <w:szCs w:val="24"/>
        </w:rPr>
        <w:t xml:space="preserve">, I. (2022). Quick Response Indonesian Standard (QRIS): Does Government Support Contribute to Cashless Payment System Long-term Adoption? </w:t>
      </w:r>
      <w:r>
        <w:rPr>
          <w:rFonts w:ascii="Times New Roman" w:eastAsia="Times New Roman" w:hAnsi="Times New Roman" w:cs="Times New Roman"/>
          <w:i/>
          <w:iCs/>
          <w:sz w:val="24"/>
          <w:szCs w:val="24"/>
        </w:rPr>
        <w:t>Journal of Marketing Innovation (JMI)</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w:t>
      </w:r>
      <w:r>
        <w:rPr>
          <w:rFonts w:ascii="Times New Roman" w:eastAsia="Times New Roman" w:hAnsi="Times New Roman" w:cs="Times New Roman"/>
          <w:sz w:val="24"/>
          <w:szCs w:val="24"/>
        </w:rPr>
        <w:t>(1), 1–15. https://doi.org/10.35313/jmi.v2i1.29</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Ramayanti</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Azhar</w:t>
      </w:r>
      <w:proofErr w:type="spellEnd"/>
      <w:r>
        <w:rPr>
          <w:rFonts w:ascii="Times New Roman" w:eastAsia="Times New Roman" w:hAnsi="Times New Roman" w:cs="Times New Roman"/>
          <w:sz w:val="24"/>
          <w:szCs w:val="24"/>
        </w:rPr>
        <w:t xml:space="preserve">, Z., &amp; Nik Azman, N. H. (2025). Factors influencing intentions to use QRIS: A two-staged PLS-SEM and ANN approach. </w:t>
      </w:r>
      <w:r>
        <w:rPr>
          <w:rFonts w:ascii="Times New Roman" w:eastAsia="Times New Roman" w:hAnsi="Times New Roman" w:cs="Times New Roman"/>
          <w:i/>
          <w:iCs/>
          <w:sz w:val="24"/>
          <w:szCs w:val="24"/>
        </w:rPr>
        <w:t>Telematics and Informatics Reports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17</w:t>
      </w:r>
      <w:r>
        <w:rPr>
          <w:rFonts w:ascii="Times New Roman" w:eastAsia="Times New Roman" w:hAnsi="Times New Roman" w:cs="Times New Roman"/>
          <w:sz w:val="24"/>
          <w:szCs w:val="24"/>
        </w:rPr>
        <w:t>(July 2024), 100185. https://doi.org/10.1016/j.teler.2024.100185</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Ratnawati</w:t>
      </w:r>
      <w:proofErr w:type="spellEnd"/>
      <w:r>
        <w:rPr>
          <w:rFonts w:ascii="Times New Roman" w:eastAsia="Times New Roman" w:hAnsi="Times New Roman" w:cs="Times New Roman"/>
          <w:sz w:val="24"/>
          <w:szCs w:val="24"/>
        </w:rPr>
        <w:t xml:space="preserve">, A. T., &amp; Malik, A. (2024). </w:t>
      </w:r>
      <w:r>
        <w:rPr>
          <w:rFonts w:ascii="Times New Roman" w:eastAsia="Times New Roman" w:hAnsi="Times New Roman" w:cs="Times New Roman"/>
          <w:i/>
          <w:iCs/>
          <w:sz w:val="24"/>
          <w:szCs w:val="24"/>
        </w:rPr>
        <w:t xml:space="preserve">GLOBAL BUSINESS &amp; FINANCE REVIEW The Effect of Perceived Ease of </w:t>
      </w:r>
      <w:proofErr w:type="gramStart"/>
      <w:r>
        <w:rPr>
          <w:rFonts w:ascii="Times New Roman" w:eastAsia="Times New Roman" w:hAnsi="Times New Roman" w:cs="Times New Roman"/>
          <w:i/>
          <w:iCs/>
          <w:sz w:val="24"/>
          <w:szCs w:val="24"/>
        </w:rPr>
        <w:t>Use ,</w:t>
      </w:r>
      <w:proofErr w:type="gramEnd"/>
      <w:r>
        <w:rPr>
          <w:rFonts w:ascii="Times New Roman" w:eastAsia="Times New Roman" w:hAnsi="Times New Roman" w:cs="Times New Roman"/>
          <w:i/>
          <w:iCs/>
          <w:sz w:val="24"/>
          <w:szCs w:val="24"/>
        </w:rPr>
        <w:t xml:space="preserve"> Benefits , and Risks on Intention in Using the Quick Response Code Indonesian Standard</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7</w:t>
      </w:r>
      <w:r>
        <w:rPr>
          <w:rFonts w:ascii="Times New Roman" w:eastAsia="Times New Roman" w:hAnsi="Times New Roman" w:cs="Times New Roman"/>
          <w:sz w:val="24"/>
          <w:szCs w:val="24"/>
        </w:rPr>
        <w:t>(August), 110–125.</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Rini</w:t>
      </w:r>
      <w:proofErr w:type="spellEnd"/>
      <w:r>
        <w:rPr>
          <w:rFonts w:ascii="Times New Roman" w:eastAsia="Times New Roman" w:hAnsi="Times New Roman" w:cs="Times New Roman"/>
          <w:sz w:val="24"/>
          <w:szCs w:val="24"/>
        </w:rPr>
        <w:t xml:space="preserve">, D. A., &amp; Sri, I. E. (2025). </w:t>
      </w:r>
      <w:r>
        <w:rPr>
          <w:rFonts w:ascii="Times New Roman" w:eastAsia="Times New Roman" w:hAnsi="Times New Roman" w:cs="Times New Roman"/>
          <w:i/>
          <w:iCs/>
          <w:sz w:val="24"/>
          <w:szCs w:val="24"/>
        </w:rPr>
        <w:t xml:space="preserve">How Digital and Financial Literacy Strengthens Financial Inclusion in </w:t>
      </w:r>
      <w:proofErr w:type="gramStart"/>
      <w:r>
        <w:rPr>
          <w:rFonts w:ascii="Times New Roman" w:eastAsia="Times New Roman" w:hAnsi="Times New Roman" w:cs="Times New Roman"/>
          <w:i/>
          <w:iCs/>
          <w:sz w:val="24"/>
          <w:szCs w:val="24"/>
        </w:rPr>
        <w:t>Indonesia ?</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01007</w:t>
      </w:r>
      <w:r>
        <w:rPr>
          <w:rFonts w:ascii="Times New Roman" w:eastAsia="Times New Roman" w:hAnsi="Times New Roman" w:cs="Times New Roman"/>
          <w:sz w:val="24"/>
          <w:szCs w:val="24"/>
        </w:rPr>
        <w:t>, 1–8.</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Riwayati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Esti</w:t>
      </w:r>
      <w:proofErr w:type="spellEnd"/>
      <w:r>
        <w:rPr>
          <w:rFonts w:ascii="Times New Roman" w:eastAsia="Times New Roman" w:hAnsi="Times New Roman" w:cs="Times New Roman"/>
          <w:sz w:val="24"/>
          <w:szCs w:val="24"/>
        </w:rPr>
        <w:t xml:space="preserve">, H. E., &amp; </w:t>
      </w:r>
      <w:proofErr w:type="spellStart"/>
      <w:r>
        <w:rPr>
          <w:rFonts w:ascii="Times New Roman" w:eastAsia="Times New Roman" w:hAnsi="Times New Roman" w:cs="Times New Roman"/>
          <w:sz w:val="24"/>
          <w:szCs w:val="24"/>
        </w:rPr>
        <w:t>Markonah</w:t>
      </w:r>
      <w:proofErr w:type="spellEnd"/>
      <w:r>
        <w:rPr>
          <w:rFonts w:ascii="Times New Roman" w:eastAsia="Times New Roman" w:hAnsi="Times New Roman" w:cs="Times New Roman"/>
          <w:sz w:val="24"/>
          <w:szCs w:val="24"/>
        </w:rPr>
        <w:t xml:space="preserve">. (2024). Financial inclusion strategy to increase the income of micro, small and medium enterprises through business credit in Indonesia. </w:t>
      </w:r>
      <w:r>
        <w:rPr>
          <w:rFonts w:ascii="Times New Roman" w:eastAsia="Times New Roman" w:hAnsi="Times New Roman" w:cs="Times New Roman"/>
          <w:i/>
          <w:iCs/>
          <w:sz w:val="24"/>
          <w:szCs w:val="24"/>
        </w:rPr>
        <w:t>Nurture; Karachi</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18</w:t>
      </w:r>
      <w:r>
        <w:rPr>
          <w:rFonts w:ascii="Times New Roman" w:eastAsia="Times New Roman" w:hAnsi="Times New Roman" w:cs="Times New Roman"/>
          <w:sz w:val="24"/>
          <w:szCs w:val="24"/>
        </w:rPr>
        <w:t>(3), 649–663. https://doi.org/DOI:10.55951/nurture.v18i3.748</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Rusanti</w:t>
      </w:r>
      <w:proofErr w:type="spellEnd"/>
      <w:r>
        <w:rPr>
          <w:rFonts w:ascii="Times New Roman" w:eastAsia="Times New Roman" w:hAnsi="Times New Roman" w:cs="Times New Roman"/>
          <w:sz w:val="24"/>
          <w:szCs w:val="24"/>
        </w:rPr>
        <w:t xml:space="preserve">, Y. A. M. E. (2025). Modelling the adoption of QRIS payment method usage among young adults in Indonesia. </w:t>
      </w:r>
      <w:r>
        <w:rPr>
          <w:rFonts w:ascii="Times New Roman" w:eastAsia="Times New Roman" w:hAnsi="Times New Roman" w:cs="Times New Roman"/>
          <w:i/>
          <w:iCs/>
          <w:sz w:val="24"/>
          <w:szCs w:val="24"/>
        </w:rPr>
        <w:t>Journal of Science and Technology Policy Management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w:t>
      </w:r>
      <w:r>
        <w:rPr>
          <w:rFonts w:ascii="Times New Roman" w:eastAsia="Times New Roman" w:hAnsi="Times New Roman" w:cs="Times New Roman"/>
          <w:sz w:val="24"/>
          <w:szCs w:val="24"/>
        </w:rPr>
        <w:t>(2).</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Safitri</w:t>
      </w:r>
      <w:proofErr w:type="spellEnd"/>
      <w:r>
        <w:rPr>
          <w:rFonts w:ascii="Times New Roman" w:eastAsia="Times New Roman" w:hAnsi="Times New Roman" w:cs="Times New Roman"/>
          <w:sz w:val="24"/>
          <w:szCs w:val="24"/>
        </w:rPr>
        <w:t xml:space="preserve">, J. (2024). </w:t>
      </w:r>
      <w:proofErr w:type="spellStart"/>
      <w:r>
        <w:rPr>
          <w:rFonts w:ascii="Times New Roman" w:eastAsia="Times New Roman" w:hAnsi="Times New Roman" w:cs="Times New Roman"/>
          <w:sz w:val="24"/>
          <w:szCs w:val="24"/>
        </w:rPr>
        <w:t>Pengaruh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Penggunaan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Qris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Perilaku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Konsumsi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Generasi</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Z :</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Analisis</w:t>
      </w:r>
      <w:proofErr w:type="spellEnd"/>
      <w:r>
        <w:rPr>
          <w:rFonts w:ascii="Times New Roman" w:eastAsia="Times New Roman" w:hAnsi="Times New Roman" w:cs="Times New Roman"/>
          <w:sz w:val="24"/>
          <w:szCs w:val="24"/>
        </w:rPr>
        <w:t xml:space="preserve"> Theory of Planned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Tpb</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Istiqro</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Hukum</w:t>
      </w:r>
      <w:proofErr w:type="spellEnd"/>
      <w:r>
        <w:rPr>
          <w:rFonts w:ascii="Times New Roman" w:eastAsia="Times New Roman" w:hAnsi="Times New Roman" w:cs="Times New Roman"/>
          <w:i/>
          <w:iCs/>
          <w:sz w:val="24"/>
          <w:szCs w:val="24"/>
        </w:rPr>
        <w:t xml:space="preserve"> Islam, </w:t>
      </w:r>
      <w:proofErr w:type="spellStart"/>
      <w:r>
        <w:rPr>
          <w:rFonts w:ascii="Times New Roman" w:eastAsia="Times New Roman" w:hAnsi="Times New Roman" w:cs="Times New Roman"/>
          <w:i/>
          <w:iCs/>
          <w:sz w:val="24"/>
          <w:szCs w:val="24"/>
        </w:rPr>
        <w:t>Ekonomi</w:t>
      </w:r>
      <w:proofErr w:type="spellEnd"/>
      <w:r>
        <w:rPr>
          <w:rFonts w:ascii="Times New Roman" w:eastAsia="Times New Roman" w:hAnsi="Times New Roman" w:cs="Times New Roman"/>
          <w:i/>
          <w:iCs/>
          <w:sz w:val="24"/>
          <w:szCs w:val="24"/>
        </w:rPr>
        <w:t xml:space="preserve"> Dan </w:t>
      </w:r>
      <w:proofErr w:type="spellStart"/>
      <w:r>
        <w:rPr>
          <w:rFonts w:ascii="Times New Roman" w:eastAsia="Times New Roman" w:hAnsi="Times New Roman" w:cs="Times New Roman"/>
          <w:i/>
          <w:iCs/>
          <w:sz w:val="24"/>
          <w:szCs w:val="24"/>
        </w:rPr>
        <w:t>Bisnis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10</w:t>
      </w:r>
      <w:r>
        <w:rPr>
          <w:rFonts w:ascii="Times New Roman" w:eastAsia="Times New Roman" w:hAnsi="Times New Roman" w:cs="Times New Roman"/>
          <w:sz w:val="24"/>
          <w:szCs w:val="24"/>
        </w:rPr>
        <w:t>(1), 32–48. https://doi.org/10.30739/istiqro.v10i1.2827</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Sekaran, U., &amp; </w:t>
      </w:r>
      <w:proofErr w:type="spellStart"/>
      <w:r>
        <w:rPr>
          <w:rFonts w:ascii="Times New Roman" w:eastAsia="Times New Roman" w:hAnsi="Times New Roman" w:cs="Times New Roman"/>
          <w:sz w:val="24"/>
          <w:szCs w:val="24"/>
        </w:rPr>
        <w:t>Bougle</w:t>
      </w:r>
      <w:proofErr w:type="spellEnd"/>
      <w:r>
        <w:rPr>
          <w:rFonts w:ascii="Times New Roman" w:eastAsia="Times New Roman" w:hAnsi="Times New Roman" w:cs="Times New Roman"/>
          <w:sz w:val="24"/>
          <w:szCs w:val="24"/>
        </w:rPr>
        <w:t xml:space="preserve">, R. (2017). </w:t>
      </w:r>
      <w:proofErr w:type="spellStart"/>
      <w:r>
        <w:rPr>
          <w:rFonts w:ascii="Times New Roman" w:eastAsia="Times New Roman" w:hAnsi="Times New Roman" w:cs="Times New Roman"/>
          <w:i/>
          <w:iCs/>
          <w:sz w:val="24"/>
          <w:szCs w:val="24"/>
        </w:rPr>
        <w:t>Metode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Penelitian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Untuk</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Bisnis</w:t>
      </w:r>
      <w:proofErr w:type="spellEnd"/>
      <w:r>
        <w:rPr>
          <w:rFonts w:ascii="Times New Roman" w:eastAsia="Times New Roman" w:hAnsi="Times New Roman" w:cs="Times New Roman"/>
          <w:sz w:val="24"/>
          <w:szCs w:val="24"/>
        </w:rPr>
        <w:t xml:space="preserve"> (6th ed.). </w:t>
      </w:r>
      <w:proofErr w:type="spellStart"/>
      <w:r>
        <w:rPr>
          <w:rFonts w:ascii="Times New Roman" w:eastAsia="Times New Roman" w:hAnsi="Times New Roman" w:cs="Times New Roman"/>
          <w:sz w:val="24"/>
          <w:szCs w:val="24"/>
        </w:rPr>
        <w:t>Salemba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Empat</w:t>
      </w:r>
      <w:proofErr w:type="spellEnd"/>
      <w:r>
        <w:rPr>
          <w:rFonts w:ascii="Times New Roman" w:eastAsia="Times New Roman" w:hAnsi="Times New Roman" w:cs="Times New Roman"/>
          <w:sz w:val="24"/>
          <w:szCs w:val="24"/>
        </w:rPr>
        <w:t>.</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Sharman, R., Harris, Z., Ernst, B., Mussallem, D., Larsen, A., &amp; </w:t>
      </w:r>
      <w:proofErr w:type="spellStart"/>
      <w:r>
        <w:rPr>
          <w:rFonts w:ascii="Times New Roman" w:eastAsia="Times New Roman" w:hAnsi="Times New Roman" w:cs="Times New Roman"/>
          <w:sz w:val="24"/>
          <w:szCs w:val="24"/>
        </w:rPr>
        <w:t>Gowin</w:t>
      </w:r>
      <w:proofErr w:type="spellEnd"/>
      <w:r>
        <w:rPr>
          <w:rFonts w:ascii="Times New Roman" w:eastAsia="Times New Roman" w:hAnsi="Times New Roman" w:cs="Times New Roman"/>
          <w:sz w:val="24"/>
          <w:szCs w:val="24"/>
        </w:rPr>
        <w:t xml:space="preserve">, K. (2024). Lifestyle Factors and Cancer: A Narrative Review. </w:t>
      </w:r>
      <w:r>
        <w:rPr>
          <w:rFonts w:ascii="Times New Roman" w:eastAsia="Times New Roman" w:hAnsi="Times New Roman" w:cs="Times New Roman"/>
          <w:i/>
          <w:iCs/>
          <w:sz w:val="24"/>
          <w:szCs w:val="24"/>
        </w:rPr>
        <w:t>Mayo Clinic Proceedings: Innovations, Quality and Outcomes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8</w:t>
      </w:r>
      <w:r>
        <w:rPr>
          <w:rFonts w:ascii="Times New Roman" w:eastAsia="Times New Roman" w:hAnsi="Times New Roman" w:cs="Times New Roman"/>
          <w:sz w:val="24"/>
          <w:szCs w:val="24"/>
        </w:rPr>
        <w:t>(2), 166–183. https://doi.org/10.1016/j.mayocpiqo.2024.01.004</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Shehadeh, M., Dawood, H. M., &amp; </w:t>
      </w:r>
      <w:proofErr w:type="spellStart"/>
      <w:r>
        <w:rPr>
          <w:rFonts w:ascii="Times New Roman" w:eastAsia="Times New Roman" w:hAnsi="Times New Roman" w:cs="Times New Roman"/>
          <w:sz w:val="24"/>
          <w:szCs w:val="24"/>
        </w:rPr>
        <w:t>Hussainey</w:t>
      </w:r>
      <w:proofErr w:type="spellEnd"/>
      <w:r>
        <w:rPr>
          <w:rFonts w:ascii="Times New Roman" w:eastAsia="Times New Roman" w:hAnsi="Times New Roman" w:cs="Times New Roman"/>
          <w:sz w:val="24"/>
          <w:szCs w:val="24"/>
        </w:rPr>
        <w:t xml:space="preserve">, K. (2025). Digital financial literacy and usage of cashless payments in Jordan: the moderating role of gender. </w:t>
      </w:r>
      <w:r>
        <w:rPr>
          <w:rFonts w:ascii="Times New Roman" w:eastAsia="Times New Roman" w:hAnsi="Times New Roman" w:cs="Times New Roman"/>
          <w:i/>
          <w:iCs/>
          <w:sz w:val="24"/>
          <w:szCs w:val="24"/>
        </w:rPr>
        <w:t>International Journal of Accounting and Information Management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33</w:t>
      </w:r>
      <w:r>
        <w:rPr>
          <w:rFonts w:ascii="Times New Roman" w:eastAsia="Times New Roman" w:hAnsi="Times New Roman" w:cs="Times New Roman"/>
          <w:sz w:val="24"/>
          <w:szCs w:val="24"/>
        </w:rPr>
        <w:t>(3), 354–382. https://doi.org/https://doi.org/10.1108/IJAIM-03-2024-0115</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Singh, J., </w:t>
      </w:r>
      <w:proofErr w:type="spellStart"/>
      <w:r>
        <w:rPr>
          <w:rFonts w:ascii="Times New Roman" w:eastAsia="Times New Roman" w:hAnsi="Times New Roman" w:cs="Times New Roman"/>
          <w:sz w:val="24"/>
          <w:szCs w:val="24"/>
        </w:rPr>
        <w:t>Crisafulli</w:t>
      </w:r>
      <w:proofErr w:type="spellEnd"/>
      <w:r>
        <w:rPr>
          <w:rFonts w:ascii="Times New Roman" w:eastAsia="Times New Roman" w:hAnsi="Times New Roman" w:cs="Times New Roman"/>
          <w:sz w:val="24"/>
          <w:szCs w:val="24"/>
        </w:rPr>
        <w:t xml:space="preserve">, B., &amp; </w:t>
      </w:r>
      <w:proofErr w:type="spellStart"/>
      <w:r>
        <w:rPr>
          <w:rFonts w:ascii="Times New Roman" w:eastAsia="Times New Roman" w:hAnsi="Times New Roman" w:cs="Times New Roman"/>
          <w:sz w:val="24"/>
          <w:szCs w:val="24"/>
        </w:rPr>
        <w:t>Quamina</w:t>
      </w:r>
      <w:proofErr w:type="spellEnd"/>
      <w:r>
        <w:rPr>
          <w:rFonts w:ascii="Times New Roman" w:eastAsia="Times New Roman" w:hAnsi="Times New Roman" w:cs="Times New Roman"/>
          <w:sz w:val="24"/>
          <w:szCs w:val="24"/>
        </w:rPr>
        <w:t xml:space="preserve">, L. T. (2019). ‘Corporate image at stake’: The impact of crises and response strategies on consumer perceptions of corporate brand alliances. </w:t>
      </w:r>
      <w:r>
        <w:rPr>
          <w:rFonts w:ascii="Times New Roman" w:eastAsia="Times New Roman" w:hAnsi="Times New Roman" w:cs="Times New Roman"/>
          <w:i/>
          <w:iCs/>
          <w:sz w:val="24"/>
          <w:szCs w:val="24"/>
        </w:rPr>
        <w:t>Journal of Business Research</w:t>
      </w:r>
      <w:r>
        <w:rPr>
          <w:rFonts w:ascii="Times New Roman" w:eastAsia="Times New Roman" w:hAnsi="Times New Roman" w:cs="Times New Roman"/>
          <w:sz w:val="24"/>
          <w:szCs w:val="24"/>
        </w:rPr>
        <w:t>, (January), 1–11. https://doi.org/10.1016/j.jbusres.2019.01.014</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Siregar</w:t>
      </w:r>
      <w:proofErr w:type="spellEnd"/>
      <w:r>
        <w:rPr>
          <w:rFonts w:ascii="Times New Roman" w:eastAsia="Times New Roman" w:hAnsi="Times New Roman" w:cs="Times New Roman"/>
          <w:sz w:val="24"/>
          <w:szCs w:val="24"/>
        </w:rPr>
        <w:t xml:space="preserve">, A. J., Islam, U., Sumatera, N., </w:t>
      </w:r>
      <w:proofErr w:type="spellStart"/>
      <w:r>
        <w:rPr>
          <w:rFonts w:ascii="Times New Roman" w:eastAsia="Times New Roman" w:hAnsi="Times New Roman" w:cs="Times New Roman"/>
          <w:sz w:val="24"/>
          <w:szCs w:val="24"/>
        </w:rPr>
        <w:t>Aryani</w:t>
      </w:r>
      <w:proofErr w:type="spellEnd"/>
      <w:r>
        <w:rPr>
          <w:rFonts w:ascii="Times New Roman" w:eastAsia="Times New Roman" w:hAnsi="Times New Roman" w:cs="Times New Roman"/>
          <w:sz w:val="24"/>
          <w:szCs w:val="24"/>
        </w:rPr>
        <w:t xml:space="preserve">, A. D., Islam, U., Sumatera, N., </w:t>
      </w:r>
      <w:proofErr w:type="spellStart"/>
      <w:r>
        <w:rPr>
          <w:rFonts w:ascii="Times New Roman" w:eastAsia="Times New Roman" w:hAnsi="Times New Roman" w:cs="Times New Roman"/>
          <w:sz w:val="24"/>
          <w:szCs w:val="24"/>
        </w:rPr>
        <w:t>Utami</w:t>
      </w:r>
      <w:proofErr w:type="spellEnd"/>
      <w:r>
        <w:rPr>
          <w:rFonts w:ascii="Times New Roman" w:eastAsia="Times New Roman" w:hAnsi="Times New Roman" w:cs="Times New Roman"/>
          <w:sz w:val="24"/>
          <w:szCs w:val="24"/>
        </w:rPr>
        <w:t xml:space="preserve">, D. A., Islam, U., Sumatera, N., Syariah, P., Negeri, U. I., &amp; Utara, S. (2025). </w:t>
      </w:r>
      <w:proofErr w:type="spellStart"/>
      <w:r>
        <w:rPr>
          <w:rFonts w:ascii="Times New Roman" w:eastAsia="Times New Roman" w:hAnsi="Times New Roman" w:cs="Times New Roman"/>
          <w:i/>
          <w:iCs/>
          <w:sz w:val="24"/>
          <w:szCs w:val="24"/>
        </w:rPr>
        <w:t>Penerapan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Penggunaan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Pembayaran</w:t>
      </w:r>
      <w:proofErr w:type="spellEnd"/>
      <w:r>
        <w:rPr>
          <w:rFonts w:ascii="Times New Roman" w:eastAsia="Times New Roman" w:hAnsi="Times New Roman" w:cs="Times New Roman"/>
          <w:i/>
          <w:iCs/>
          <w:sz w:val="24"/>
          <w:szCs w:val="24"/>
        </w:rPr>
        <w:t xml:space="preserve"> Digital QRIS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w:t>
      </w:r>
      <w:r>
        <w:rPr>
          <w:rFonts w:ascii="Times New Roman" w:eastAsia="Times New Roman" w:hAnsi="Times New Roman" w:cs="Times New Roman"/>
          <w:sz w:val="24"/>
          <w:szCs w:val="24"/>
        </w:rPr>
        <w:t>(1), 344–353.</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 W., Wu, J., &amp; Xu, Y. (2026). How does financial literacy alleviate financial anxiety? The mediating roles of planning and spending control. </w:t>
      </w:r>
      <w:r>
        <w:rPr>
          <w:rFonts w:ascii="Times New Roman" w:eastAsia="Times New Roman" w:hAnsi="Times New Roman" w:cs="Times New Roman"/>
          <w:i/>
          <w:iCs/>
          <w:sz w:val="24"/>
          <w:szCs w:val="24"/>
        </w:rPr>
        <w:t>International Journal of Bank Marketing</w:t>
      </w:r>
      <w:r>
        <w:rPr>
          <w:rFonts w:ascii="Times New Roman" w:eastAsia="Times New Roman" w:hAnsi="Times New Roman" w:cs="Times New Roman"/>
          <w:sz w:val="24"/>
          <w:szCs w:val="24"/>
        </w:rPr>
        <w:t>, 1–28. https://doi.org/https://doi.org/10.1108/IJBM-02-2025-0088</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Widjayanti</w:t>
      </w:r>
      <w:proofErr w:type="spellEnd"/>
      <w:r>
        <w:rPr>
          <w:rFonts w:ascii="Times New Roman" w:eastAsia="Times New Roman" w:hAnsi="Times New Roman" w:cs="Times New Roman"/>
          <w:sz w:val="24"/>
          <w:szCs w:val="24"/>
        </w:rPr>
        <w:t xml:space="preserve">, C. E., </w:t>
      </w:r>
      <w:proofErr w:type="spellStart"/>
      <w:r>
        <w:rPr>
          <w:rFonts w:ascii="Times New Roman" w:eastAsia="Times New Roman" w:hAnsi="Times New Roman" w:cs="Times New Roman"/>
          <w:sz w:val="24"/>
          <w:szCs w:val="24"/>
        </w:rPr>
        <w:t>Adawiyah</w:t>
      </w:r>
      <w:proofErr w:type="spellEnd"/>
      <w:r>
        <w:rPr>
          <w:rFonts w:ascii="Times New Roman" w:eastAsia="Times New Roman" w:hAnsi="Times New Roman" w:cs="Times New Roman"/>
          <w:sz w:val="24"/>
          <w:szCs w:val="24"/>
        </w:rPr>
        <w:t xml:space="preserve">, W. R., &amp; </w:t>
      </w:r>
      <w:proofErr w:type="spellStart"/>
      <w:r>
        <w:rPr>
          <w:rFonts w:ascii="Times New Roman" w:eastAsia="Times New Roman" w:hAnsi="Times New Roman" w:cs="Times New Roman"/>
          <w:sz w:val="24"/>
          <w:szCs w:val="24"/>
        </w:rPr>
        <w:t>Sudarto</w:t>
      </w:r>
      <w:proofErr w:type="spellEnd"/>
      <w:r>
        <w:rPr>
          <w:rFonts w:ascii="Times New Roman" w:eastAsia="Times New Roman" w:hAnsi="Times New Roman" w:cs="Times New Roman"/>
          <w:sz w:val="24"/>
          <w:szCs w:val="24"/>
        </w:rPr>
        <w:t xml:space="preserve">. (2025). Financial literacy innovation is mediated by financial attitudes and lifestyles on financial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in MSME players. </w:t>
      </w:r>
      <w:r>
        <w:rPr>
          <w:rFonts w:ascii="Times New Roman" w:eastAsia="Times New Roman" w:hAnsi="Times New Roman" w:cs="Times New Roman"/>
          <w:i/>
          <w:iCs/>
          <w:sz w:val="24"/>
          <w:szCs w:val="24"/>
        </w:rPr>
        <w:t>Journal of Innovation and Entrepreneurship</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14</w:t>
      </w:r>
      <w:r>
        <w:rPr>
          <w:rFonts w:ascii="Times New Roman" w:eastAsia="Times New Roman" w:hAnsi="Times New Roman" w:cs="Times New Roman"/>
          <w:sz w:val="24"/>
          <w:szCs w:val="24"/>
        </w:rPr>
        <w:t>(1). https://doi.org/10.1186/s13731-025-00525-5</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Yanto</w:t>
      </w:r>
      <w:proofErr w:type="spellEnd"/>
      <w:r>
        <w:rPr>
          <w:rFonts w:ascii="Times New Roman" w:eastAsia="Times New Roman" w:hAnsi="Times New Roman" w:cs="Times New Roman"/>
          <w:sz w:val="24"/>
          <w:szCs w:val="24"/>
        </w:rPr>
        <w:t xml:space="preserve">, H., </w:t>
      </w:r>
      <w:proofErr w:type="spellStart"/>
      <w:r>
        <w:rPr>
          <w:rFonts w:ascii="Times New Roman" w:eastAsia="Times New Roman" w:hAnsi="Times New Roman" w:cs="Times New Roman"/>
          <w:sz w:val="24"/>
          <w:szCs w:val="24"/>
        </w:rPr>
        <w:t>Prasetiyo</w:t>
      </w:r>
      <w:proofErr w:type="spellEnd"/>
      <w:r>
        <w:rPr>
          <w:rFonts w:ascii="Times New Roman" w:eastAsia="Times New Roman" w:hAnsi="Times New Roman" w:cs="Times New Roman"/>
          <w:sz w:val="24"/>
          <w:szCs w:val="24"/>
        </w:rPr>
        <w:t xml:space="preserve">, B., </w:t>
      </w:r>
      <w:proofErr w:type="spellStart"/>
      <w:r>
        <w:rPr>
          <w:rFonts w:ascii="Times New Roman" w:eastAsia="Times New Roman" w:hAnsi="Times New Roman" w:cs="Times New Roman"/>
          <w:sz w:val="24"/>
          <w:szCs w:val="24"/>
        </w:rPr>
        <w:t>Baroroh</w:t>
      </w:r>
      <w:proofErr w:type="spellEnd"/>
      <w:r>
        <w:rPr>
          <w:rFonts w:ascii="Times New Roman" w:eastAsia="Times New Roman" w:hAnsi="Times New Roman" w:cs="Times New Roman"/>
          <w:sz w:val="24"/>
          <w:szCs w:val="24"/>
        </w:rPr>
        <w:t xml:space="preserve">, N., </w:t>
      </w:r>
      <w:proofErr w:type="spellStart"/>
      <w:r>
        <w:rPr>
          <w:rFonts w:ascii="Times New Roman" w:eastAsia="Times New Roman" w:hAnsi="Times New Roman" w:cs="Times New Roman"/>
          <w:sz w:val="24"/>
          <w:szCs w:val="24"/>
        </w:rPr>
        <w:t>Hajawiyah</w:t>
      </w:r>
      <w:proofErr w:type="spellEnd"/>
      <w:r>
        <w:rPr>
          <w:rFonts w:ascii="Times New Roman" w:eastAsia="Times New Roman" w:hAnsi="Times New Roman" w:cs="Times New Roman"/>
          <w:sz w:val="24"/>
          <w:szCs w:val="24"/>
        </w:rPr>
        <w:t xml:space="preserve">, A., &amp; </w:t>
      </w:r>
      <w:proofErr w:type="spellStart"/>
      <w:r>
        <w:rPr>
          <w:rFonts w:ascii="Times New Roman" w:eastAsia="Times New Roman" w:hAnsi="Times New Roman" w:cs="Times New Roman"/>
          <w:sz w:val="24"/>
          <w:szCs w:val="24"/>
        </w:rPr>
        <w:t>Kardiyem</w:t>
      </w:r>
      <w:proofErr w:type="spellEnd"/>
      <w:r>
        <w:rPr>
          <w:rFonts w:ascii="Times New Roman" w:eastAsia="Times New Roman" w:hAnsi="Times New Roman" w:cs="Times New Roman"/>
          <w:sz w:val="24"/>
          <w:szCs w:val="24"/>
        </w:rPr>
        <w:t xml:space="preserve">, K. (2024). </w:t>
      </w:r>
      <w:proofErr w:type="spellStart"/>
      <w:r>
        <w:rPr>
          <w:rFonts w:ascii="Times New Roman" w:eastAsia="Times New Roman" w:hAnsi="Times New Roman" w:cs="Times New Roman"/>
          <w:sz w:val="24"/>
          <w:szCs w:val="24"/>
        </w:rPr>
        <w:t>Optimalisasi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Literasi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Keuangan</w:t>
      </w:r>
      <w:proofErr w:type="spellEnd"/>
      <w:r>
        <w:rPr>
          <w:rFonts w:ascii="Times New Roman" w:eastAsia="Times New Roman" w:hAnsi="Times New Roman" w:cs="Times New Roman"/>
          <w:sz w:val="24"/>
          <w:szCs w:val="24"/>
        </w:rPr>
        <w:t xml:space="preserve"> Digital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Peningkatan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Penggunaan</w:t>
      </w:r>
      <w:proofErr w:type="spellEnd"/>
      <w:r>
        <w:rPr>
          <w:rFonts w:ascii="Times New Roman" w:eastAsia="Times New Roman" w:hAnsi="Times New Roman" w:cs="Times New Roman"/>
          <w:sz w:val="24"/>
          <w:szCs w:val="24"/>
        </w:rPr>
        <w:t xml:space="preserve"> QRIS Pada UMKM. </w:t>
      </w:r>
      <w:r>
        <w:rPr>
          <w:rFonts w:ascii="Times New Roman" w:eastAsia="Times New Roman" w:hAnsi="Times New Roman" w:cs="Times New Roman"/>
          <w:i/>
          <w:iCs/>
          <w:sz w:val="24"/>
          <w:szCs w:val="24"/>
        </w:rPr>
        <w:t xml:space="preserve">Surya </w:t>
      </w:r>
      <w:proofErr w:type="spellStart"/>
      <w:r>
        <w:rPr>
          <w:rFonts w:ascii="Times New Roman" w:eastAsia="Times New Roman" w:hAnsi="Times New Roman" w:cs="Times New Roman"/>
          <w:i/>
          <w:iCs/>
          <w:sz w:val="24"/>
          <w:szCs w:val="24"/>
        </w:rPr>
        <w:t>Abdimas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8</w:t>
      </w:r>
      <w:r>
        <w:rPr>
          <w:rFonts w:ascii="Times New Roman" w:eastAsia="Times New Roman" w:hAnsi="Times New Roman" w:cs="Times New Roman"/>
          <w:sz w:val="24"/>
          <w:szCs w:val="24"/>
        </w:rPr>
        <w:t>(3), 386–394. https://doi.org/10.37729/abdimas.v8i3.4909</w:t>
      </w:r>
    </w:p>
    <w:p w:rsidR="00864498" w:rsidRDefault="00CE6CD7" w:rsidP="00FC72F5">
      <w:pPr>
        <w:widowControl w:val="0"/>
        <w:spacing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Zeng, N., Liu, Y., Gong, P., </w:t>
      </w:r>
      <w:proofErr w:type="spellStart"/>
      <w:r>
        <w:rPr>
          <w:rFonts w:ascii="Times New Roman" w:eastAsia="Times New Roman" w:hAnsi="Times New Roman" w:cs="Times New Roman"/>
          <w:sz w:val="24"/>
          <w:szCs w:val="24"/>
        </w:rPr>
        <w:t>Hertogh</w:t>
      </w:r>
      <w:proofErr w:type="spellEnd"/>
      <w:r>
        <w:rPr>
          <w:rFonts w:ascii="Times New Roman" w:eastAsia="Times New Roman" w:hAnsi="Times New Roman" w:cs="Times New Roman"/>
          <w:sz w:val="24"/>
          <w:szCs w:val="24"/>
        </w:rPr>
        <w:t xml:space="preserve">, M., &amp; König, M. (2021). Do right PLS and do PLS right: A critical review of the application of PLS-SEM in construction management research. </w:t>
      </w:r>
      <w:r>
        <w:rPr>
          <w:rFonts w:ascii="Times New Roman" w:eastAsia="Times New Roman" w:hAnsi="Times New Roman" w:cs="Times New Roman"/>
          <w:i/>
          <w:iCs/>
          <w:sz w:val="24"/>
          <w:szCs w:val="24"/>
        </w:rPr>
        <w:t>Frontiers of Engineering Management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8</w:t>
      </w:r>
      <w:r>
        <w:rPr>
          <w:rFonts w:ascii="Times New Roman" w:eastAsia="Times New Roman" w:hAnsi="Times New Roman" w:cs="Times New Roman"/>
          <w:sz w:val="24"/>
          <w:szCs w:val="24"/>
        </w:rPr>
        <w:t>(3), 356–369. https://doi.org/10.1007/s42524-021-0153-5</w:t>
      </w:r>
    </w:p>
    <w:p w:rsidR="00864498" w:rsidRDefault="00864498">
      <w:pPr>
        <w:widowControl w:val="0"/>
        <w:spacing w:line="240" w:lineRule="auto"/>
        <w:ind w:left="480" w:hanging="480"/>
        <w:jc w:val="both"/>
        <w:rPr>
          <w:rFonts w:ascii="Times New Roman" w:eastAsia="Times New Roman" w:hAnsi="Times New Roman" w:cs="Times New Roman"/>
          <w:sz w:val="24"/>
          <w:szCs w:val="24"/>
        </w:rPr>
      </w:pPr>
    </w:p>
    <w:sectPr w:rsidR="0086449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7190EC3-7B5C-4A7D-B9A0-6C12A74A57CD}"/>
    <w:embedBold r:id="rId2" w:fontKey="{DF779D3A-6BFD-4F2E-A7E0-FB46ED56E277}"/>
  </w:font>
  <w:font w:name="Georgia">
    <w:panose1 w:val="02040502050405020303"/>
    <w:charset w:val="00"/>
    <w:family w:val="roman"/>
    <w:pitch w:val="variable"/>
    <w:sig w:usb0="00000287" w:usb1="00000000" w:usb2="00000000" w:usb3="00000000" w:csb0="0000009F" w:csb1="00000000"/>
    <w:embedItalic r:id="rId3" w:fontKey="{F7910D9A-84BD-46E8-A24B-B30C60848D4C}"/>
  </w:font>
  <w:font w:name="Cambria">
    <w:panose1 w:val="02040503050406030204"/>
    <w:charset w:val="00"/>
    <w:family w:val="roman"/>
    <w:pitch w:val="variable"/>
    <w:sig w:usb0="E00006FF" w:usb1="420024FF" w:usb2="02000000" w:usb3="00000000" w:csb0="0000019F" w:csb1="00000000"/>
    <w:embedRegular r:id="rId4" w:fontKey="{5281637E-BFC6-4035-990F-18A19B86ED86}"/>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356CA9"/>
    <w:multiLevelType w:val="multilevel"/>
    <w:tmpl w:val="9D506E56"/>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498"/>
    <w:rsid w:val="003847AE"/>
    <w:rsid w:val="00416889"/>
    <w:rsid w:val="005056C7"/>
    <w:rsid w:val="00515F16"/>
    <w:rsid w:val="00864498"/>
    <w:rsid w:val="009B028E"/>
    <w:rsid w:val="00A611CE"/>
    <w:rsid w:val="00CE6CD7"/>
    <w:rsid w:val="00FC72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0BB0E"/>
  <w15:docId w15:val="{4B047AB3-1EE9-45EC-A8E7-F2C40B8D1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character" w:styleId="Hyperlink">
    <w:name w:val="Hyperlink"/>
    <w:basedOn w:val="DefaultParagraphFont"/>
    <w:uiPriority w:val="99"/>
    <w:unhideWhenUsed/>
    <w:rsid w:val="00CE6CD7"/>
    <w:rPr>
      <w:color w:val="0000FF" w:themeColor="hyperlink"/>
      <w:u w:val="single"/>
    </w:rPr>
  </w:style>
  <w:style w:type="character" w:styleId="UnresolvedMention">
    <w:name w:val="Unresolved Mention"/>
    <w:basedOn w:val="DefaultParagraphFont"/>
    <w:uiPriority w:val="99"/>
    <w:semiHidden/>
    <w:unhideWhenUsed/>
    <w:rsid w:val="00CE6C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vasutihat@unmabanten.ac.id"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mailto:verlianidasmaran@unmabanten.ac.id2*,%20enjatsudrajat@unmabanten.ac.id" TargetMode="Externa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gungdharma@unmabanten.ac.id" TargetMode="External"/><Relationship Id="rId11" Type="http://schemas.openxmlformats.org/officeDocument/2006/relationships/hyperlink" Target="mailto:masitoh@unmabanten.ac.id"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nonoariefrachman@unmabanten.ac.id" TargetMode="External"/><Relationship Id="rId4" Type="http://schemas.openxmlformats.org/officeDocument/2006/relationships/settings" Target="settings.xml"/><Relationship Id="rId9" Type="http://schemas.openxmlformats.org/officeDocument/2006/relationships/hyperlink" Target="mailto:noveliakikipermatasari@unmabanten.ac.id"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vJPNqR3ON0RGWzSqdtbIzcKGiA==">CgMxLjAyDmguajkyem0wdmFyN2RpMg1oLnViY3U0eWc3bHE4OAByITE0d09HMzZwODVRRmJWTUF0RFdsbm42YXFVZ1ExRXlyVQ==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1</Pages>
  <Words>6049</Words>
  <Characters>34480</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NUUR RAJIHAH BINTI RAZALI</cp:lastModifiedBy>
  <cp:revision>6</cp:revision>
  <dcterms:created xsi:type="dcterms:W3CDTF">2026-07-06T00:04:00Z</dcterms:created>
  <dcterms:modified xsi:type="dcterms:W3CDTF">2026-07-07T07:22:00Z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AMA Manual of Style 11th edition</vt:lpwstr>
  </property>
  <property fmtid="{D5CDD505-2E9C-101B-9397-08002B2CF9AE}" pid="4" name="Mendeley Recent Style Id 1_1">
    <vt:lpwstr>http://www.zotero.org/styles/apa</vt:lpwstr>
  </property>
  <property fmtid="{D5CDD505-2E9C-101B-9397-08002B2CF9AE}" pid="5" name="Mendeley Recent Style Name 1_1">
    <vt:lpwstr>APA Style 7th edition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APSA Style Manual revised 2018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ASA Style Guide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18th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(author-date/Harvard)</vt:lpwstr>
  </property>
  <property fmtid="{D5CDD505-2E9C-101B-9397-08002B2CF9AE}" pid="14" name="Mendeley Recent Style Id 6_1">
    <vt:lpwstr>http://www.zotero.org/styles/ieee</vt:lpwstr>
  </property>
  <property fmtid="{D5CDD505-2E9C-101B-9397-08002B2CF9AE}" pid="15" name="Mendeley Recent Style Name 6_1">
    <vt:lpwstr>IEEE Reference Guide version 11.29.2023</vt:lpwstr>
  </property>
  <property fmtid="{D5CDD505-2E9C-101B-9397-08002B2CF9AE}" pid="16" name="Mendeley Recent Style Id 7_1">
    <vt:lpwstr>http://www.zotero.org/styles/modern-language-association</vt:lpwstr>
  </property>
  <property fmtid="{D5CDD505-2E9C-101B-9397-08002B2CF9AE}" pid="17" name="Mendeley Recent Style Name 7_1">
    <vt:lpwstr>MLA Handbook 9th edition (in-text citations)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fb86aac7-2b07-390b-aefa-b5526a91f6ce</vt:lpwstr>
  </property>
  <property fmtid="{D5CDD505-2E9C-101B-9397-08002B2CF9AE}" pid="24" name="Mendeley Citation Style_1">
    <vt:lpwstr>http://www.zotero.org/styles/apa</vt:lpwstr>
  </property>
</Properties>
</file>