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EFEAA" w14:textId="237C5CBE" w:rsidR="002F10B3" w:rsidRDefault="002F10B3" w:rsidP="002F10B3">
      <w:pPr>
        <w:pStyle w:val="NoSpacing"/>
        <w:spacing w:line="360" w:lineRule="auto"/>
        <w:jc w:val="both"/>
        <w:rPr>
          <w:rFonts w:ascii="Times New Roman" w:hAnsi="Times New Roman" w:cs="Times New Roman"/>
          <w:b/>
        </w:rPr>
      </w:pPr>
    </w:p>
    <w:p w14:paraId="7B831F5F" w14:textId="707C9014" w:rsidR="008C0133" w:rsidRDefault="009F4106" w:rsidP="002F10B3">
      <w:pPr>
        <w:pStyle w:val="NoSpacing"/>
        <w:spacing w:line="360" w:lineRule="auto"/>
        <w:jc w:val="both"/>
        <w:rPr>
          <w:rFonts w:ascii="Times New Roman" w:hAnsi="Times New Roman" w:cs="Times New Roman"/>
          <w:b/>
        </w:rPr>
      </w:pPr>
      <w:r w:rsidRPr="00381786">
        <w:rPr>
          <w:rFonts w:ascii="Times New Roman" w:hAnsi="Times New Roman" w:cs="Times New Roman"/>
          <w:b/>
        </w:rPr>
        <w:t>Prevalence and Determinants of Communicable, Non-communi</w:t>
      </w:r>
      <w:r w:rsidR="00B24B5A" w:rsidRPr="00381786">
        <w:rPr>
          <w:rFonts w:ascii="Times New Roman" w:hAnsi="Times New Roman" w:cs="Times New Roman"/>
          <w:b/>
        </w:rPr>
        <w:t>cable, and Dual Disease</w:t>
      </w:r>
      <w:r w:rsidR="00A835CE" w:rsidRPr="00381786">
        <w:rPr>
          <w:rFonts w:ascii="Times New Roman" w:hAnsi="Times New Roman" w:cs="Times New Roman"/>
          <w:b/>
        </w:rPr>
        <w:t xml:space="preserve"> Burden a</w:t>
      </w:r>
      <w:r w:rsidRPr="00381786">
        <w:rPr>
          <w:rFonts w:ascii="Times New Roman" w:hAnsi="Times New Roman" w:cs="Times New Roman"/>
          <w:b/>
        </w:rPr>
        <w:t>mong Older Adults in India: Evidence from LASI Wave I</w:t>
      </w:r>
    </w:p>
    <w:p w14:paraId="3369E4B8" w14:textId="6EDD6E75" w:rsidR="002F10B3" w:rsidRPr="002F10B3" w:rsidRDefault="002F10B3" w:rsidP="002F10B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r>
      <w:r w:rsidRPr="002F10B3">
        <w:rPr>
          <w:rFonts w:ascii="Times New Roman" w:eastAsia="Times New Roman" w:hAnsi="Times New Roman" w:cs="Times New Roman"/>
          <w:b/>
          <w:bCs/>
          <w:sz w:val="24"/>
          <w:szCs w:val="24"/>
        </w:rPr>
        <w:t/>
      </w:r>
      <w:r w:rsidRPr="002F10B3">
        <w:rPr>
          <w:rFonts w:ascii="Times New Roman" w:eastAsia="Times New Roman" w:hAnsi="Times New Roman" w:cs="Times New Roman"/>
          <w:sz w:val="24"/>
          <w:szCs w:val="24"/>
        </w:rPr>
        <w:t xml:space="preserve"/>
      </w:r>
    </w:p>
    <w:p w14:paraId="7101142E" w14:textId="28B44B00" w:rsidR="0048092B" w:rsidRPr="0048092B" w:rsidRDefault="0048092B" w:rsidP="002F10B3">
      <w:pPr>
        <w:pStyle w:val="NoSpacing"/>
        <w:spacing w:line="360" w:lineRule="auto"/>
        <w:jc w:val="both"/>
        <w:rPr>
          <w:rFonts w:ascii="Times New Roman" w:hAnsi="Times New Roman" w:cs="Times New Roman"/>
          <w:vertAlign w:val="superscript"/>
        </w:rPr>
      </w:pPr>
      <w:r w:rsidRPr="0048092B">
        <w:rPr>
          <w:rFonts w:ascii="Times New Roman" w:hAnsi="Times New Roman" w:cs="Times New Roman"/>
        </w:rPr>
        <w:t/>
      </w:r>
      <w:r w:rsidRPr="0048092B">
        <w:rPr>
          <w:rFonts w:ascii="Times New Roman" w:hAnsi="Times New Roman" w:cs="Times New Roman"/>
          <w:vertAlign w:val="superscript"/>
        </w:rPr>
        <w:t/>
      </w:r>
      <w:r w:rsidRPr="0048092B">
        <w:rPr>
          <w:rFonts w:ascii="Times New Roman" w:hAnsi="Times New Roman" w:cs="Times New Roman"/>
        </w:rPr>
        <w:t/>
      </w:r>
      <w:r w:rsidRPr="0048092B">
        <w:rPr>
          <w:rFonts w:ascii="Times New Roman" w:hAnsi="Times New Roman" w:cs="Times New Roman"/>
          <w:vertAlign w:val="superscript"/>
        </w:rPr>
        <w:t/>
      </w:r>
      <w:r w:rsidRPr="0048092B">
        <w:rPr>
          <w:rFonts w:ascii="Times New Roman" w:hAnsi="Times New Roman" w:cs="Times New Roman"/>
        </w:rPr>
        <w:t/>
      </w:r>
      <w:r w:rsidRPr="0048092B">
        <w:rPr>
          <w:rFonts w:ascii="Times New Roman" w:hAnsi="Times New Roman" w:cs="Times New Roman"/>
          <w:vertAlign w:val="superscript"/>
        </w:rPr>
        <w:t/>
      </w:r>
      <w:r w:rsidRPr="0048092B">
        <w:rPr>
          <w:rFonts w:ascii="Times New Roman" w:hAnsi="Times New Roman" w:cs="Times New Roman"/>
        </w:rPr>
        <w:t/>
      </w:r>
      <w:r w:rsidRPr="0048092B">
        <w:rPr>
          <w:rFonts w:ascii="Times New Roman" w:hAnsi="Times New Roman" w:cs="Times New Roman"/>
          <w:vertAlign w:val="superscript"/>
        </w:rPr>
        <w:t/>
      </w:r>
      <w:r w:rsidRPr="0048092B">
        <w:rPr>
          <w:rFonts w:ascii="Times New Roman" w:hAnsi="Times New Roman" w:cs="Times New Roman"/>
        </w:rPr>
        <w:t/>
      </w:r>
      <w:r w:rsidRPr="0048092B">
        <w:rPr>
          <w:rFonts w:ascii="Times New Roman" w:hAnsi="Times New Roman" w:cs="Times New Roman"/>
          <w:vertAlign w:val="superscript"/>
        </w:rPr>
        <w:t/>
      </w:r>
    </w:p>
    <w:p w14:paraId="617DFB64" w14:textId="7D832075" w:rsidR="0048092B" w:rsidRDefault="00C138B3" w:rsidP="002F10B3">
      <w:pPr>
        <w:spacing w:before="100" w:beforeAutospacing="1" w:after="100" w:afterAutospacing="1"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vertAlign w:val="superscript"/>
        </w:rPr>
        <w:t/>
      </w:r>
      <w:r w:rsidR="0048092B" w:rsidRPr="0048092B">
        <w:rPr>
          <w:rFonts w:ascii="Times New Roman" w:eastAsia="Times New Roman" w:hAnsi="Times New Roman" w:cs="Times New Roman"/>
          <w:i/>
          <w:iCs/>
          <w:sz w:val="24"/>
          <w:szCs w:val="24"/>
        </w:rPr>
        <w:t/>
      </w:r>
    </w:p>
    <w:p w14:paraId="2AB1DF6A" w14:textId="2A812D94" w:rsidR="00C138B3" w:rsidRDefault="00C138B3" w:rsidP="002F10B3">
      <w:pPr>
        <w:spacing w:before="100" w:beforeAutospacing="1" w:after="100" w:afterAutospacing="1"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vertAlign w:val="superscript"/>
        </w:rPr>
        <w:t/>
      </w:r>
      <w:r w:rsidRPr="0048092B">
        <w:rPr>
          <w:rFonts w:ascii="Times New Roman" w:eastAsia="Times New Roman" w:hAnsi="Times New Roman" w:cs="Times New Roman"/>
          <w:i/>
          <w:iCs/>
          <w:sz w:val="24"/>
          <w:szCs w:val="24"/>
        </w:rPr>
        <w:t/>
      </w:r>
    </w:p>
    <w:p w14:paraId="57A4EC47" w14:textId="38BE5105" w:rsidR="00C138B3" w:rsidRDefault="00C138B3" w:rsidP="002F10B3">
      <w:pPr>
        <w:spacing w:before="100" w:beforeAutospacing="1" w:after="100" w:afterAutospacing="1"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vertAlign w:val="superscript"/>
        </w:rPr>
        <w:t/>
      </w:r>
      <w:r w:rsidRPr="0048092B">
        <w:rPr>
          <w:rFonts w:ascii="Times New Roman" w:eastAsia="Times New Roman" w:hAnsi="Times New Roman" w:cs="Times New Roman"/>
          <w:i/>
          <w:iCs/>
          <w:sz w:val="24"/>
          <w:szCs w:val="24"/>
        </w:rPr>
        <w:t/>
      </w:r>
    </w:p>
    <w:p w14:paraId="14C6FB1B" w14:textId="783706E1" w:rsidR="00C138B3" w:rsidRDefault="00C138B3" w:rsidP="002F10B3">
      <w:pPr>
        <w:spacing w:before="100" w:beforeAutospacing="1" w:after="100" w:afterAutospacing="1"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vertAlign w:val="superscript"/>
        </w:rPr>
        <w:t/>
      </w:r>
      <w:r w:rsidRPr="0048092B">
        <w:rPr>
          <w:rFonts w:ascii="Times New Roman" w:eastAsia="Times New Roman" w:hAnsi="Times New Roman" w:cs="Times New Roman"/>
          <w:i/>
          <w:iCs/>
          <w:sz w:val="24"/>
          <w:szCs w:val="24"/>
        </w:rPr>
        <w:t/>
      </w:r>
    </w:p>
    <w:p w14:paraId="6B53BFBC" w14:textId="2BE8BB23" w:rsidR="00C138B3" w:rsidRDefault="00C138B3" w:rsidP="002F10B3">
      <w:pPr>
        <w:spacing w:before="100" w:beforeAutospacing="1" w:after="100" w:afterAutospacing="1"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vertAlign w:val="superscript"/>
        </w:rPr>
        <w:t/>
      </w:r>
      <w:r w:rsidRPr="0048092B">
        <w:rPr>
          <w:rFonts w:ascii="Times New Roman" w:eastAsia="Times New Roman" w:hAnsi="Times New Roman" w:cs="Times New Roman"/>
          <w:i/>
          <w:iCs/>
          <w:sz w:val="24"/>
          <w:szCs w:val="24"/>
        </w:rPr>
        <w:t/>
      </w:r>
    </w:p>
    <w:p w14:paraId="4D3871DC" w14:textId="6AE481DA" w:rsidR="00C138B3" w:rsidRDefault="002F10B3" w:rsidP="002F10B3">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w:r>
      <w:r>
        <w:rPr>
          <w:rFonts w:ascii="Times New Roman" w:eastAsia="Times New Roman" w:hAnsi="Times New Roman" w:cs="Times New Roman"/>
          <w:sz w:val="24"/>
          <w:szCs w:val="24"/>
        </w:rPr>
        <w:t/>
      </w:r>
      <w:r w:rsidR="00C138B3">
        <w:rPr>
          <w:rFonts w:ascii="Times New Roman" w:eastAsia="Times New Roman" w:hAnsi="Times New Roman" w:cs="Times New Roman"/>
          <w:sz w:val="24"/>
          <w:szCs w:val="24"/>
        </w:rPr>
        <w:t/>
      </w:r>
    </w:p>
    <w:p w14:paraId="5B568373" w14:textId="01A97DA1" w:rsidR="002F10B3" w:rsidRDefault="002F10B3" w:rsidP="002F10B3">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14:paraId="5E453518" w14:textId="467A7010" w:rsidR="002F10B3" w:rsidRPr="002F10B3" w:rsidRDefault="002F10B3" w:rsidP="002F10B3">
      <w:pPr>
        <w:spacing w:before="100" w:beforeAutospacing="1" w:after="100" w:afterAutospacing="1" w:line="240" w:lineRule="auto"/>
        <w:jc w:val="both"/>
        <w:outlineLvl w:val="2"/>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w:r>
    </w:p>
    <w:p w14:paraId="63F46C1D" w14:textId="222B3453" w:rsidR="00C138B3" w:rsidRDefault="00C138B3" w:rsidP="002F10B3">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hyperlink r:id="rId8" w:history="1">
        <w:r w:rsidRPr="00633991">
          <w:rPr>
            <w:rStyle w:val="Hyperlink"/>
            <w:rFonts w:ascii="Times New Roman" w:eastAsia="Times New Roman" w:hAnsi="Times New Roman" w:cs="Times New Roman"/>
            <w:sz w:val="24"/>
            <w:szCs w:val="24"/>
          </w:rPr>
          <w:t/>
        </w:r>
      </w:hyperlink>
    </w:p>
    <w:p w14:paraId="348D9997" w14:textId="6229E7DB" w:rsidR="00C138B3" w:rsidRDefault="00C138B3" w:rsidP="002F10B3">
      <w:pPr>
        <w:spacing w:before="100" w:beforeAutospacing="1" w:after="100" w:afterAutospacing="1" w:line="240" w:lineRule="auto"/>
        <w:jc w:val="both"/>
        <w:outlineLvl w:val="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w:r>
      <w:proofErr w:type="gramEnd"/>
      <w:r>
        <w:rPr>
          <w:rFonts w:ascii="Times New Roman" w:eastAsia="Times New Roman" w:hAnsi="Times New Roman" w:cs="Times New Roman"/>
          <w:sz w:val="24"/>
          <w:szCs w:val="24"/>
        </w:rPr>
        <w:t xml:space="preserve"/>
      </w:r>
      <w:r w:rsidR="002F10B3">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rPr>
        <w:t/>
      </w:r>
    </w:p>
    <w:p w14:paraId="10B26EDB"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85380A8"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67B703E"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88DD1BD"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3B429FC"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51BB78B8"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0131252"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6B2A7B6"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5ED8B560" w14:textId="77777777" w:rsidR="002F10B3" w:rsidRDefault="002F10B3"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22ADFD5E" w14:textId="77777777" w:rsidR="002F10B3" w:rsidRDefault="002F10B3" w:rsidP="002F10B3">
      <w:pPr>
        <w:pStyle w:val="NoSpacing"/>
        <w:spacing w:line="360" w:lineRule="auto"/>
        <w:jc w:val="both"/>
        <w:rPr>
          <w:rFonts w:ascii="Times New Roman" w:hAnsi="Times New Roman" w:cs="Times New Roman"/>
          <w:b/>
        </w:rPr>
      </w:pPr>
      <w:r w:rsidRPr="00381786">
        <w:rPr>
          <w:rFonts w:ascii="Times New Roman" w:hAnsi="Times New Roman" w:cs="Times New Roman"/>
          <w:b/>
        </w:rPr>
        <w:lastRenderedPageBreak/>
        <w:t/>
      </w:r>
    </w:p>
    <w:p w14:paraId="787274D2" w14:textId="0974E150" w:rsidR="0082596E" w:rsidRPr="00381786" w:rsidRDefault="0082596E"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1786">
        <w:rPr>
          <w:rFonts w:ascii="Times New Roman" w:eastAsia="Times New Roman" w:hAnsi="Times New Roman" w:cs="Times New Roman"/>
          <w:b/>
          <w:bCs/>
          <w:sz w:val="24"/>
          <w:szCs w:val="24"/>
        </w:rPr>
        <w:t>Abstract</w:t>
      </w:r>
      <w:bookmarkStart w:id="0" w:name="_GoBack"/>
      <w:bookmarkEnd w:id="0"/>
    </w:p>
    <w:p w14:paraId="320CEB20" w14:textId="626F26FC" w:rsidR="00D5500D" w:rsidRPr="00381786" w:rsidRDefault="006410DF" w:rsidP="00086D35">
      <w:pPr>
        <w:spacing w:before="100" w:beforeAutospacing="1" w:after="100" w:afterAutospacing="1" w:line="360" w:lineRule="auto"/>
        <w:jc w:val="both"/>
        <w:rPr>
          <w:rFonts w:ascii="Times New Roman" w:eastAsia="Times New Roman" w:hAnsi="Times New Roman" w:cs="Times New Roman"/>
          <w:sz w:val="24"/>
          <w:szCs w:val="24"/>
        </w:rPr>
      </w:pPr>
      <w:r w:rsidRPr="00381786">
        <w:rPr>
          <w:rFonts w:ascii="Times New Roman" w:eastAsia="Times New Roman" w:hAnsi="Times New Roman" w:cs="Times New Roman"/>
          <w:sz w:val="24"/>
          <w:szCs w:val="24"/>
        </w:rPr>
        <w:t>Most existing studies on the double burden of communicable (CDs) and non-communicable diseases (NCDs) among older adults in India report these conditions separately, often leading to overlapping categories and obscuring their true distribution</w:t>
      </w:r>
      <w:r w:rsidR="00D5500D" w:rsidRPr="00381786">
        <w:rPr>
          <w:rFonts w:ascii="Times New Roman" w:eastAsia="Times New Roman" w:hAnsi="Times New Roman" w:cs="Times New Roman"/>
          <w:sz w:val="24"/>
          <w:szCs w:val="24"/>
        </w:rPr>
        <w:t xml:space="preserve">. </w:t>
      </w:r>
      <w:r w:rsidR="00581F65" w:rsidRPr="00381786">
        <w:rPr>
          <w:rFonts w:ascii="Times New Roman" w:eastAsia="Times New Roman" w:hAnsi="Times New Roman" w:cs="Times New Roman"/>
          <w:sz w:val="24"/>
          <w:szCs w:val="24"/>
        </w:rPr>
        <w:t xml:space="preserve">In this study, we analyze </w:t>
      </w:r>
      <w:r w:rsidR="00D5500D" w:rsidRPr="00381786">
        <w:rPr>
          <w:rFonts w:ascii="Times New Roman" w:eastAsia="Times New Roman" w:hAnsi="Times New Roman" w:cs="Times New Roman"/>
          <w:sz w:val="24"/>
          <w:szCs w:val="24"/>
        </w:rPr>
        <w:t>the distinct contribution of C</w:t>
      </w:r>
      <w:r w:rsidR="00581F65" w:rsidRPr="00381786">
        <w:rPr>
          <w:rFonts w:ascii="Times New Roman" w:eastAsia="Times New Roman" w:hAnsi="Times New Roman" w:cs="Times New Roman"/>
          <w:sz w:val="24"/>
          <w:szCs w:val="24"/>
        </w:rPr>
        <w:t>Ds alone, NCDs alone, and</w:t>
      </w:r>
      <w:r w:rsidR="00D5500D" w:rsidRPr="00381786">
        <w:rPr>
          <w:rFonts w:ascii="Times New Roman" w:eastAsia="Times New Roman" w:hAnsi="Times New Roman" w:cs="Times New Roman"/>
          <w:sz w:val="24"/>
          <w:szCs w:val="24"/>
        </w:rPr>
        <w:t xml:space="preserve"> coexistence </w:t>
      </w:r>
      <w:r w:rsidRPr="00381786">
        <w:rPr>
          <w:rFonts w:ascii="Times New Roman" w:eastAsia="Times New Roman" w:hAnsi="Times New Roman" w:cs="Times New Roman"/>
          <w:sz w:val="24"/>
          <w:szCs w:val="24"/>
        </w:rPr>
        <w:t>with</w:t>
      </w:r>
      <w:r w:rsidR="00581F65" w:rsidRPr="00381786">
        <w:rPr>
          <w:rFonts w:ascii="Times New Roman" w:eastAsia="Times New Roman" w:hAnsi="Times New Roman" w:cs="Times New Roman"/>
          <w:sz w:val="24"/>
          <w:szCs w:val="24"/>
        </w:rPr>
        <w:t xml:space="preserve"> their determinants which are</w:t>
      </w:r>
      <w:r w:rsidRPr="00381786">
        <w:rPr>
          <w:rFonts w:ascii="Times New Roman" w:eastAsia="Times New Roman" w:hAnsi="Times New Roman" w:cs="Times New Roman"/>
          <w:sz w:val="24"/>
          <w:szCs w:val="24"/>
        </w:rPr>
        <w:t xml:space="preserve"> essential</w:t>
      </w:r>
      <w:r w:rsidR="00C138B3">
        <w:rPr>
          <w:rFonts w:ascii="Times New Roman" w:eastAsia="Times New Roman" w:hAnsi="Times New Roman" w:cs="Times New Roman"/>
          <w:sz w:val="24"/>
          <w:szCs w:val="24"/>
        </w:rPr>
        <w:t xml:space="preserve"> for health planning. </w:t>
      </w:r>
      <w:r w:rsidR="00D5500D" w:rsidRPr="00381786">
        <w:rPr>
          <w:rFonts w:ascii="Times New Roman" w:eastAsia="Times New Roman" w:hAnsi="Times New Roman" w:cs="Times New Roman"/>
          <w:sz w:val="24"/>
          <w:szCs w:val="24"/>
        </w:rPr>
        <w:t xml:space="preserve">This study used nationally representative data from Wave I of the Longitudinal Aging Study in India (2017–18), including 31,347 adults aged ≥60 years. Respondents were classified into three mutually exclusive categories: only CDs (OCD), only NCDs (ONCD), and both (ONCD&amp;OCD). </w:t>
      </w:r>
      <w:r w:rsidR="00B12EBD" w:rsidRPr="00381786">
        <w:rPr>
          <w:rFonts w:ascii="Times New Roman" w:eastAsia="Times New Roman" w:hAnsi="Times New Roman" w:cs="Times New Roman"/>
          <w:sz w:val="24"/>
          <w:szCs w:val="24"/>
        </w:rPr>
        <w:t>Chi-square test and multinomial logistic regression examined associations with socio-demog</w:t>
      </w:r>
      <w:r w:rsidR="00086D35" w:rsidRPr="00381786">
        <w:rPr>
          <w:rFonts w:ascii="Times New Roman" w:eastAsia="Times New Roman" w:hAnsi="Times New Roman" w:cs="Times New Roman"/>
          <w:sz w:val="24"/>
          <w:szCs w:val="24"/>
        </w:rPr>
        <w:t xml:space="preserve">raphic, </w:t>
      </w:r>
      <w:r w:rsidR="00B12EBD" w:rsidRPr="00381786">
        <w:rPr>
          <w:rFonts w:ascii="Times New Roman" w:eastAsia="Times New Roman" w:hAnsi="Times New Roman" w:cs="Times New Roman"/>
          <w:sz w:val="24"/>
          <w:szCs w:val="24"/>
        </w:rPr>
        <w:t>lifestyle, an</w:t>
      </w:r>
      <w:r w:rsidR="00C138B3">
        <w:rPr>
          <w:rFonts w:ascii="Times New Roman" w:eastAsia="Times New Roman" w:hAnsi="Times New Roman" w:cs="Times New Roman"/>
          <w:sz w:val="24"/>
          <w:szCs w:val="24"/>
        </w:rPr>
        <w:t xml:space="preserve">d regional factors. </w:t>
      </w:r>
      <w:r w:rsidR="00D5500D" w:rsidRPr="00381786">
        <w:rPr>
          <w:rFonts w:ascii="Times New Roman" w:eastAsia="Times New Roman" w:hAnsi="Times New Roman" w:cs="Times New Roman"/>
          <w:sz w:val="24"/>
          <w:szCs w:val="24"/>
        </w:rPr>
        <w:t>Prevalence of OCD, ONCD, and ONCD&amp;OCD was 11.8%, 39.3%, and 15.1%, respectively; overall, more than two-thirds of older adults were affected by at least one condition. Females and overweight individuals were more likely to experience ONCD and ONCD&amp;OCD, whereas underweight individuals had higher odds of OCD. Urban residents showed higher odds of ONCD but lower odds of OCD.</w:t>
      </w:r>
      <w:r w:rsidR="005D10E6" w:rsidRPr="00381786">
        <w:rPr>
          <w:rFonts w:ascii="Times New Roman" w:eastAsia="Times New Roman" w:hAnsi="Times New Roman" w:cs="Times New Roman"/>
          <w:sz w:val="24"/>
          <w:szCs w:val="24"/>
        </w:rPr>
        <w:t xml:space="preserve"> Substantial state </w:t>
      </w:r>
      <w:r w:rsidR="00D5500D" w:rsidRPr="00381786">
        <w:rPr>
          <w:rFonts w:ascii="Times New Roman" w:eastAsia="Times New Roman" w:hAnsi="Times New Roman" w:cs="Times New Roman"/>
          <w:sz w:val="24"/>
          <w:szCs w:val="24"/>
        </w:rPr>
        <w:t>level variation was observed, with the highest prevalence of ONCD&amp;OCD in Haryana (29%), ONCD in Kerala</w:t>
      </w:r>
      <w:r w:rsidR="00086D35" w:rsidRPr="00381786">
        <w:rPr>
          <w:rFonts w:ascii="Times New Roman" w:eastAsia="Times New Roman" w:hAnsi="Times New Roman" w:cs="Times New Roman"/>
          <w:sz w:val="24"/>
          <w:szCs w:val="24"/>
        </w:rPr>
        <w:t xml:space="preserve"> (68%), and OCD in Chhattisgarh</w:t>
      </w:r>
      <w:r w:rsidR="007B5284" w:rsidRPr="00381786">
        <w:rPr>
          <w:rFonts w:ascii="Times New Roman" w:eastAsia="Times New Roman" w:hAnsi="Times New Roman" w:cs="Times New Roman"/>
          <w:sz w:val="24"/>
          <w:szCs w:val="24"/>
        </w:rPr>
        <w:t xml:space="preserve"> (3</w:t>
      </w:r>
      <w:r w:rsidR="00C138B3">
        <w:rPr>
          <w:rFonts w:ascii="Times New Roman" w:eastAsia="Times New Roman" w:hAnsi="Times New Roman" w:cs="Times New Roman"/>
          <w:sz w:val="24"/>
          <w:szCs w:val="24"/>
        </w:rPr>
        <w:t xml:space="preserve">3%). </w:t>
      </w:r>
      <w:r w:rsidR="00D5500D" w:rsidRPr="00381786">
        <w:rPr>
          <w:rFonts w:ascii="Times New Roman" w:eastAsia="Times New Roman" w:hAnsi="Times New Roman" w:cs="Times New Roman"/>
          <w:sz w:val="24"/>
          <w:szCs w:val="24"/>
        </w:rPr>
        <w:t>These non-overlapping estimates provide novel insights into the disease profile of India’s elderly and emphasize the need for integrated, elderly-focused interventions addressing both communicable and non-communicable disease risks.</w:t>
      </w:r>
    </w:p>
    <w:p w14:paraId="4EEE4F4E" w14:textId="0A715246" w:rsidR="00AE2025" w:rsidRPr="00381786" w:rsidRDefault="00D5500D" w:rsidP="00086D35">
      <w:pPr>
        <w:spacing w:before="100" w:beforeAutospacing="1" w:after="100" w:afterAutospacing="1" w:line="360" w:lineRule="auto"/>
        <w:jc w:val="both"/>
        <w:rPr>
          <w:rFonts w:ascii="Times New Roman" w:eastAsia="Times New Roman" w:hAnsi="Times New Roman" w:cs="Times New Roman"/>
          <w:sz w:val="24"/>
          <w:szCs w:val="24"/>
        </w:rPr>
      </w:pPr>
      <w:r w:rsidRPr="00381786">
        <w:rPr>
          <w:rFonts w:ascii="Times New Roman" w:eastAsia="Times New Roman" w:hAnsi="Times New Roman" w:cs="Times New Roman"/>
          <w:b/>
          <w:bCs/>
          <w:sz w:val="24"/>
          <w:szCs w:val="24"/>
        </w:rPr>
        <w:t>Key words:</w:t>
      </w:r>
      <w:r w:rsidRPr="00381786">
        <w:rPr>
          <w:rFonts w:ascii="Times New Roman" w:eastAsia="Times New Roman" w:hAnsi="Times New Roman" w:cs="Times New Roman"/>
          <w:sz w:val="24"/>
          <w:szCs w:val="24"/>
        </w:rPr>
        <w:t xml:space="preserve"> Communicable diseases, </w:t>
      </w:r>
      <w:r w:rsidR="00086D35" w:rsidRPr="00381786">
        <w:rPr>
          <w:rFonts w:ascii="Times New Roman" w:eastAsia="Times New Roman" w:hAnsi="Times New Roman" w:cs="Times New Roman"/>
          <w:sz w:val="24"/>
          <w:szCs w:val="24"/>
        </w:rPr>
        <w:t>dua</w:t>
      </w:r>
      <w:r w:rsidR="00E8759C" w:rsidRPr="00381786">
        <w:rPr>
          <w:rFonts w:ascii="Times New Roman" w:eastAsia="Times New Roman" w:hAnsi="Times New Roman" w:cs="Times New Roman"/>
          <w:sz w:val="24"/>
          <w:szCs w:val="24"/>
        </w:rPr>
        <w:t>l burden, elderly, India,</w:t>
      </w:r>
      <w:r w:rsidR="00086D35" w:rsidRPr="00381786">
        <w:rPr>
          <w:rFonts w:ascii="Times New Roman" w:eastAsia="Times New Roman" w:hAnsi="Times New Roman" w:cs="Times New Roman"/>
          <w:sz w:val="24"/>
          <w:szCs w:val="24"/>
        </w:rPr>
        <w:t xml:space="preserve"> </w:t>
      </w:r>
      <w:r w:rsidR="007258D0" w:rsidRPr="00381786">
        <w:rPr>
          <w:rFonts w:ascii="Times New Roman" w:eastAsia="Times New Roman" w:hAnsi="Times New Roman" w:cs="Times New Roman"/>
          <w:sz w:val="24"/>
          <w:szCs w:val="24"/>
        </w:rPr>
        <w:t>non-communicable diseases.</w:t>
      </w:r>
    </w:p>
    <w:p w14:paraId="71F158A1" w14:textId="74C44324" w:rsidR="00AE2025" w:rsidRPr="00381786" w:rsidRDefault="0082596E" w:rsidP="007258D0">
      <w:pPr>
        <w:pStyle w:val="NoSpacing"/>
        <w:tabs>
          <w:tab w:val="left" w:pos="3882"/>
        </w:tabs>
        <w:spacing w:line="360" w:lineRule="auto"/>
        <w:jc w:val="both"/>
        <w:rPr>
          <w:rFonts w:ascii="Times New Roman" w:hAnsi="Times New Roman" w:cs="Times New Roman"/>
          <w:b/>
          <w:color w:val="000000" w:themeColor="text1"/>
        </w:rPr>
      </w:pPr>
      <w:r w:rsidRPr="00381786">
        <w:rPr>
          <w:rFonts w:ascii="Times New Roman" w:hAnsi="Times New Roman" w:cs="Times New Roman"/>
          <w:b/>
          <w:color w:val="000000" w:themeColor="text1"/>
        </w:rPr>
        <w:t>Introduction</w:t>
      </w:r>
      <w:r w:rsidR="007258D0" w:rsidRPr="00381786">
        <w:rPr>
          <w:rFonts w:ascii="Times New Roman" w:hAnsi="Times New Roman" w:cs="Times New Roman"/>
          <w:b/>
          <w:color w:val="000000" w:themeColor="text1"/>
        </w:rPr>
        <w:tab/>
      </w:r>
    </w:p>
    <w:p w14:paraId="412994D4" w14:textId="0E32ECE3" w:rsidR="0082596E" w:rsidRPr="00381786" w:rsidRDefault="0082596E" w:rsidP="00086D35">
      <w:pPr>
        <w:pStyle w:val="NoSpacing"/>
        <w:spacing w:line="360" w:lineRule="auto"/>
        <w:jc w:val="both"/>
        <w:rPr>
          <w:rFonts w:ascii="Times New Roman" w:hAnsi="Times New Roman" w:cs="Times New Roman"/>
          <w:b/>
        </w:rPr>
      </w:pPr>
      <w:r w:rsidRPr="00381786">
        <w:rPr>
          <w:rFonts w:ascii="Times New Roman" w:hAnsi="Times New Roman" w:cs="Times New Roman"/>
        </w:rPr>
        <w:t xml:space="preserve">The global age distribution has shifted markedly in recent decades as life expectancy has increased. Most people worldwide can now expect to </w:t>
      </w:r>
      <w:r w:rsidR="00E37E29" w:rsidRPr="00381786">
        <w:rPr>
          <w:rFonts w:ascii="Times New Roman" w:hAnsi="Times New Roman" w:cs="Times New Roman"/>
        </w:rPr>
        <w:t>li</w:t>
      </w:r>
      <w:r w:rsidR="00D5500D" w:rsidRPr="00381786">
        <w:rPr>
          <w:rFonts w:ascii="Times New Roman" w:hAnsi="Times New Roman" w:cs="Times New Roman"/>
        </w:rPr>
        <w:t>ve into their 60s and beyond</w:t>
      </w:r>
      <w:r w:rsidR="00D65406" w:rsidRPr="00381786">
        <w:rPr>
          <w:rFonts w:ascii="Times New Roman" w:hAnsi="Times New Roman" w:cs="Times New Roman"/>
        </w:rPr>
        <w:t xml:space="preserve"> [1]</w:t>
      </w:r>
      <w:r w:rsidRPr="00381786">
        <w:rPr>
          <w:rFonts w:ascii="Times New Roman" w:hAnsi="Times New Roman" w:cs="Times New Roman"/>
        </w:rPr>
        <w:t>. This demographic change stems largely from reduced mortality in early life, improved maternal and child survival, and declining infectious diseases in lo</w:t>
      </w:r>
      <w:r w:rsidR="00E37E29" w:rsidRPr="00381786">
        <w:rPr>
          <w:rFonts w:ascii="Times New Roman" w:hAnsi="Times New Roman" w:cs="Times New Roman"/>
        </w:rPr>
        <w:t>w-</w:t>
      </w:r>
      <w:r w:rsidR="00D5500D" w:rsidRPr="00381786">
        <w:rPr>
          <w:rFonts w:ascii="Times New Roman" w:hAnsi="Times New Roman" w:cs="Times New Roman"/>
        </w:rPr>
        <w:t xml:space="preserve"> and middle-income countries</w:t>
      </w:r>
      <w:r w:rsidR="00D65406" w:rsidRPr="00381786">
        <w:rPr>
          <w:rFonts w:ascii="Times New Roman" w:hAnsi="Times New Roman" w:cs="Times New Roman"/>
          <w:vertAlign w:val="superscript"/>
        </w:rPr>
        <w:t xml:space="preserve"> </w:t>
      </w:r>
      <w:r w:rsidR="00D65406" w:rsidRPr="00381786">
        <w:rPr>
          <w:rFonts w:ascii="Times New Roman" w:hAnsi="Times New Roman" w:cs="Times New Roman"/>
        </w:rPr>
        <w:t>[2]</w:t>
      </w:r>
      <w:r w:rsidRPr="00381786">
        <w:rPr>
          <w:rFonts w:ascii="Times New Roman" w:hAnsi="Times New Roman" w:cs="Times New Roman"/>
        </w:rPr>
        <w:t>. In high-income countries, gains are further supported by r</w:t>
      </w:r>
      <w:r w:rsidR="00E37E29" w:rsidRPr="00381786">
        <w:rPr>
          <w:rFonts w:ascii="Times New Roman" w:hAnsi="Times New Roman" w:cs="Times New Roman"/>
        </w:rPr>
        <w:t>ed</w:t>
      </w:r>
      <w:r w:rsidR="00D65406" w:rsidRPr="00381786">
        <w:rPr>
          <w:rFonts w:ascii="Times New Roman" w:hAnsi="Times New Roman" w:cs="Times New Roman"/>
        </w:rPr>
        <w:t>uced mortality in later life [3]</w:t>
      </w:r>
      <w:r w:rsidRPr="00381786">
        <w:rPr>
          <w:rFonts w:ascii="Times New Roman" w:hAnsi="Times New Roman" w:cs="Times New Roman"/>
        </w:rPr>
        <w:t>. Consequently, both developed and developing countries are experiencing population aging, creating new challenges for healthcare, lab</w:t>
      </w:r>
      <w:r w:rsidR="00E37E29" w:rsidRPr="00381786">
        <w:rPr>
          <w:rFonts w:ascii="Times New Roman" w:hAnsi="Times New Roman" w:cs="Times New Roman"/>
        </w:rPr>
        <w:t>o</w:t>
      </w:r>
      <w:r w:rsidR="00D5500D" w:rsidRPr="00381786">
        <w:rPr>
          <w:rFonts w:ascii="Times New Roman" w:hAnsi="Times New Roman" w:cs="Times New Roman"/>
        </w:rPr>
        <w:t>r markets, and social systems</w:t>
      </w:r>
      <w:r w:rsidR="00D65406" w:rsidRPr="00381786">
        <w:rPr>
          <w:rFonts w:ascii="Times New Roman" w:hAnsi="Times New Roman" w:cs="Times New Roman"/>
        </w:rPr>
        <w:t xml:space="preserve"> [4]</w:t>
      </w:r>
      <w:r w:rsidRPr="00381786">
        <w:rPr>
          <w:rFonts w:ascii="Times New Roman" w:hAnsi="Times New Roman" w:cs="Times New Roman"/>
        </w:rPr>
        <w:t xml:space="preserve">. By 2030, one in six people globally will be aged ≥60, and the population aged ≥80 is projected to triple between 2020 </w:t>
      </w:r>
      <w:r w:rsidR="00E37E29" w:rsidRPr="00381786">
        <w:rPr>
          <w:rFonts w:ascii="Times New Roman" w:hAnsi="Times New Roman" w:cs="Times New Roman"/>
        </w:rPr>
        <w:t>an</w:t>
      </w:r>
      <w:r w:rsidR="00D5500D" w:rsidRPr="00381786">
        <w:rPr>
          <w:rFonts w:ascii="Times New Roman" w:hAnsi="Times New Roman" w:cs="Times New Roman"/>
        </w:rPr>
        <w:t>d 2050, reaching 426 million</w:t>
      </w:r>
      <w:r w:rsidR="0088012B" w:rsidRPr="00381786">
        <w:rPr>
          <w:rFonts w:ascii="Times New Roman" w:hAnsi="Times New Roman" w:cs="Times New Roman"/>
        </w:rPr>
        <w:t xml:space="preserve"> </w:t>
      </w:r>
      <w:r w:rsidR="00D65406" w:rsidRPr="00381786">
        <w:rPr>
          <w:rFonts w:ascii="Times New Roman" w:hAnsi="Times New Roman" w:cs="Times New Roman"/>
        </w:rPr>
        <w:t>[5]</w:t>
      </w:r>
      <w:r w:rsidRPr="00381786">
        <w:rPr>
          <w:rFonts w:ascii="Times New Roman" w:hAnsi="Times New Roman" w:cs="Times New Roman"/>
        </w:rPr>
        <w:t>.</w:t>
      </w:r>
    </w:p>
    <w:p w14:paraId="733F5750" w14:textId="4F87E2A7" w:rsidR="0082596E" w:rsidRPr="00381786" w:rsidRDefault="0082596E" w:rsidP="00086D35">
      <w:pPr>
        <w:pStyle w:val="NormalWeb"/>
        <w:spacing w:line="360" w:lineRule="auto"/>
        <w:jc w:val="both"/>
      </w:pPr>
      <w:r w:rsidRPr="00381786">
        <w:lastRenderedPageBreak/>
        <w:t>South Asia, while still characterized by young populations, is already facing a</w:t>
      </w:r>
      <w:r w:rsidR="00D5500D" w:rsidRPr="00381786">
        <w:t>ging-related health challenges</w:t>
      </w:r>
      <w:r w:rsidR="00785FFE" w:rsidRPr="00381786">
        <w:t xml:space="preserve"> </w:t>
      </w:r>
      <w:r w:rsidR="00D65406" w:rsidRPr="00381786">
        <w:t>[6-7]</w:t>
      </w:r>
      <w:r w:rsidR="00785FFE" w:rsidRPr="00381786">
        <w:t xml:space="preserve">. </w:t>
      </w:r>
      <w:r w:rsidRPr="00381786">
        <w:t xml:space="preserve">In India, with 8% or more </w:t>
      </w:r>
      <w:r w:rsidR="00E37E29" w:rsidRPr="00381786">
        <w:t>of the po</w:t>
      </w:r>
      <w:r w:rsidR="00D5500D" w:rsidRPr="00381786">
        <w:t>pulation now aged ≥60</w:t>
      </w:r>
      <w:r w:rsidR="00384440" w:rsidRPr="00381786">
        <w:t xml:space="preserve"> </w:t>
      </w:r>
      <w:r w:rsidR="00D65406" w:rsidRPr="00381786">
        <w:t>[6,</w:t>
      </w:r>
      <w:r w:rsidR="00384440" w:rsidRPr="00381786">
        <w:t xml:space="preserve"> </w:t>
      </w:r>
      <w:r w:rsidR="00D65406" w:rsidRPr="00381786">
        <w:t>8-10]</w:t>
      </w:r>
      <w:r w:rsidRPr="00381786">
        <w:t>, the health system confronts a “double burden” of disease: infectious diseases (CDs), which remain prevalent, and rapidly rising no</w:t>
      </w:r>
      <w:r w:rsidR="00E37E29" w:rsidRPr="00381786">
        <w:t>n-c</w:t>
      </w:r>
      <w:r w:rsidR="00D5500D" w:rsidRPr="00381786">
        <w:t>ommunicable diseases (NCDs)</w:t>
      </w:r>
      <w:r w:rsidR="00581F65" w:rsidRPr="00381786">
        <w:t xml:space="preserve"> </w:t>
      </w:r>
      <w:r w:rsidR="00384440" w:rsidRPr="00381786">
        <w:t>[11]</w:t>
      </w:r>
      <w:r w:rsidRPr="00381786">
        <w:t>. Historically, CDs such as tuberculosis, diarrheal diseases, and respiratory infections dominated India’s mortality profile. Today, chronic conditions including hypertension, diabetes, and cardiovascular disease have surged, driven by demographic aging, sedentary lifestyles, and dietary changes. For older adults, this combined exposure is particularly concerning, as declining physiological resilience and reduced social support heighten vulnerability. Once considered diseases of affluence, NCDs are now widespread in low- an</w:t>
      </w:r>
      <w:r w:rsidR="00D5500D" w:rsidRPr="00381786">
        <w:t>d middle-income countries</w:t>
      </w:r>
      <w:r w:rsidR="00384440" w:rsidRPr="00381786">
        <w:t xml:space="preserve"> [6</w:t>
      </w:r>
      <w:proofErr w:type="gramStart"/>
      <w:r w:rsidR="00384440" w:rsidRPr="00381786">
        <w:t>,12</w:t>
      </w:r>
      <w:proofErr w:type="gramEnd"/>
      <w:r w:rsidR="00384440" w:rsidRPr="00381786">
        <w:t>]</w:t>
      </w:r>
      <w:r w:rsidRPr="00381786">
        <w:t>. According to India’s National Health Mission, NCDs account for 71% of global deaths annually (41 million), and one in four Indians is at risk of d</w:t>
      </w:r>
      <w:r w:rsidR="00E37E29" w:rsidRPr="00381786">
        <w:t xml:space="preserve">ying </w:t>
      </w:r>
      <w:r w:rsidR="00D5500D" w:rsidRPr="00381786">
        <w:t>from an NCD before age 70</w:t>
      </w:r>
      <w:r w:rsidR="00384440" w:rsidRPr="00381786">
        <w:t>[4,13]</w:t>
      </w:r>
      <w:r w:rsidRPr="00381786">
        <w:t>.</w:t>
      </w:r>
    </w:p>
    <w:p w14:paraId="72EFCE16" w14:textId="7E36218F" w:rsidR="00785FFE" w:rsidRPr="00381786" w:rsidRDefault="0082596E" w:rsidP="00086D35">
      <w:pPr>
        <w:pStyle w:val="NormalWeb"/>
        <w:spacing w:line="360" w:lineRule="auto"/>
        <w:jc w:val="both"/>
      </w:pPr>
      <w:r w:rsidRPr="00381786">
        <w:t>The co-occurrence of CDs and NCDs poses a moun</w:t>
      </w:r>
      <w:r w:rsidR="00E37E29" w:rsidRPr="00381786">
        <w:t>tin</w:t>
      </w:r>
      <w:r w:rsidR="00D5500D" w:rsidRPr="00381786">
        <w:t>g threat for health systems</w:t>
      </w:r>
      <w:r w:rsidR="00384440" w:rsidRPr="00381786">
        <w:t xml:space="preserve"> [14]</w:t>
      </w:r>
      <w:r w:rsidRPr="00381786">
        <w:t>. India’s epidemiological transition, marked by the persistence of</w:t>
      </w:r>
      <w:r w:rsidR="00E37E29" w:rsidRPr="00381786">
        <w:t xml:space="preserve"> CD</w:t>
      </w:r>
      <w:r w:rsidR="00D5500D" w:rsidRPr="00381786">
        <w:t>s alongside increasing NCDs</w:t>
      </w:r>
      <w:r w:rsidR="00381786">
        <w:t xml:space="preserve"> </w:t>
      </w:r>
      <w:r w:rsidR="00384440" w:rsidRPr="00381786">
        <w:t>[15]</w:t>
      </w:r>
      <w:r w:rsidRPr="00381786">
        <w:t>, underscores the need for in</w:t>
      </w:r>
      <w:r w:rsidR="00E37E29" w:rsidRPr="00381786">
        <w:t>tegra</w:t>
      </w:r>
      <w:r w:rsidR="00D5500D" w:rsidRPr="00381786">
        <w:t>ted healthcare strategies</w:t>
      </w:r>
      <w:r w:rsidR="00384440" w:rsidRPr="00381786">
        <w:t xml:space="preserve"> [7</w:t>
      </w:r>
      <w:proofErr w:type="gramStart"/>
      <w:r w:rsidR="00384440" w:rsidRPr="00381786">
        <w:t>,16</w:t>
      </w:r>
      <w:proofErr w:type="gramEnd"/>
      <w:r w:rsidR="00384440" w:rsidRPr="00381786">
        <w:t>]</w:t>
      </w:r>
      <w:r w:rsidR="00581F65" w:rsidRPr="00381786">
        <w:t>.</w:t>
      </w:r>
      <w:r w:rsidRPr="00381786">
        <w:t>Several studies have assessed the prevalence of chronic diseases among older adults and identified socio-demograp</w:t>
      </w:r>
      <w:r w:rsidR="00E37E29" w:rsidRPr="00381786">
        <w:t>hic an</w:t>
      </w:r>
      <w:r w:rsidR="00D5500D" w:rsidRPr="00381786">
        <w:t>d lifestyle determinants</w:t>
      </w:r>
      <w:r w:rsidR="00384440" w:rsidRPr="00381786">
        <w:t xml:space="preserve"> [17-18]</w:t>
      </w:r>
      <w:r w:rsidRPr="00381786">
        <w:t>. For instance, hypertension was the most prevalent condition among Indians aged ≥50, with up to 35.9% prevalence and high levels of under-diagnosis</w:t>
      </w:r>
      <w:r w:rsidR="00D5500D" w:rsidRPr="00381786">
        <w:t xml:space="preserve"> and under-treatment</w:t>
      </w:r>
      <w:r w:rsidR="00D5500D" w:rsidRPr="00381786">
        <w:rPr>
          <w:vertAlign w:val="superscript"/>
        </w:rPr>
        <w:t>17</w:t>
      </w:r>
      <w:r w:rsidRPr="00381786">
        <w:t>. According to LASI Wave-I, hypertension affected 26.9% of older adults, with 7.8% report</w:t>
      </w:r>
      <w:r w:rsidR="00E37E29" w:rsidRPr="00381786">
        <w:t>ing</w:t>
      </w:r>
      <w:r w:rsidR="00D5500D" w:rsidRPr="00381786">
        <w:t xml:space="preserve"> co-morbidity with diabetes</w:t>
      </w:r>
      <w:r w:rsidR="00384440" w:rsidRPr="00381786">
        <w:t xml:space="preserve"> [18]</w:t>
      </w:r>
      <w:r w:rsidRPr="00381786">
        <w:t>. Among those aged ≥60, prevalence was 26</w:t>
      </w:r>
      <w:r w:rsidR="00E37E29" w:rsidRPr="00381786">
        <w:t>.7</w:t>
      </w:r>
      <w:r w:rsidR="00D5500D" w:rsidRPr="00381786">
        <w:t>% for CDs and 53.1% for NCDs</w:t>
      </w:r>
      <w:r w:rsidR="00381786">
        <w:t xml:space="preserve"> </w:t>
      </w:r>
      <w:r w:rsidR="00384440" w:rsidRPr="00381786">
        <w:t>[6</w:t>
      </w:r>
      <w:proofErr w:type="gramStart"/>
      <w:r w:rsidR="00384440" w:rsidRPr="00381786">
        <w:t>]</w:t>
      </w:r>
      <w:r w:rsidR="00581F65" w:rsidRPr="00381786">
        <w:t xml:space="preserve"> </w:t>
      </w:r>
      <w:r w:rsidR="00785FFE" w:rsidRPr="00381786">
        <w:t>.</w:t>
      </w:r>
      <w:proofErr w:type="gramEnd"/>
    </w:p>
    <w:p w14:paraId="509E26A9" w14:textId="74C2063E" w:rsidR="0082596E" w:rsidRPr="00381786" w:rsidRDefault="0082596E" w:rsidP="00086D35">
      <w:pPr>
        <w:pStyle w:val="NormalWeb"/>
        <w:spacing w:line="360" w:lineRule="auto"/>
        <w:jc w:val="both"/>
      </w:pPr>
      <w:r w:rsidRPr="00381786">
        <w:t>Despite such estimates, a critical gap remains: most studies assess CDs and NCDs separately, often producing overlapping prevalence that obscures the unique burden of each and their coexistence. For example, reported prevalence of NCDs often includes individuals who also suffer from CDs, and vice versa, complicating understanding of disease-specific burdens. Disaggregating these groups is essential to inform health system preparedness and targeted interventions for the elderly.</w:t>
      </w:r>
    </w:p>
    <w:p w14:paraId="32D4E625" w14:textId="67407D5A" w:rsidR="00AE2025" w:rsidRPr="00381786" w:rsidRDefault="0082596E" w:rsidP="00086D35">
      <w:pPr>
        <w:pStyle w:val="NormalWeb"/>
        <w:spacing w:line="360" w:lineRule="auto"/>
        <w:jc w:val="both"/>
      </w:pPr>
      <w:r w:rsidRPr="00381786">
        <w:t>The present study addresses this gap by classifying individuals in LASI Wave-I into four mu</w:t>
      </w:r>
      <w:r w:rsidR="00E37E29" w:rsidRPr="00381786">
        <w:t xml:space="preserve">tually exclusive categories: (i) </w:t>
      </w:r>
      <w:r w:rsidRPr="00381786">
        <w:t>only</w:t>
      </w:r>
      <w:r w:rsidR="00E37E29" w:rsidRPr="00381786">
        <w:t xml:space="preserve"> communicable diseases (OCD), (ii</w:t>
      </w:r>
      <w:r w:rsidRPr="00381786">
        <w:t>) only non-</w:t>
      </w:r>
      <w:r w:rsidR="00E37E29" w:rsidRPr="00381786">
        <w:t>communicable diseases (ONCD), (iii</w:t>
      </w:r>
      <w:r w:rsidRPr="00381786">
        <w:t>) coexis</w:t>
      </w:r>
      <w:r w:rsidR="00E37E29" w:rsidRPr="00381786">
        <w:t>tence of both (ONCD&amp;OCD), and (iv</w:t>
      </w:r>
      <w:r w:rsidRPr="00381786">
        <w:t xml:space="preserve">) neither condition. This classification allows more precise estimates of CDs, NCDs, their coexistence, and conditional prevalence. By analyzing socio-demographic, anthropometric, and lifestyle correlates, this study offers new insights into the distribution of single and dual disease burdens </w:t>
      </w:r>
      <w:r w:rsidRPr="00381786">
        <w:lastRenderedPageBreak/>
        <w:t>among India’s elderly, a perspective critical for designing integrated infectious and</w:t>
      </w:r>
      <w:r w:rsidR="00AE2025" w:rsidRPr="00381786">
        <w:t xml:space="preserve"> chronic disease interventions.</w:t>
      </w:r>
    </w:p>
    <w:p w14:paraId="59F90E28" w14:textId="2C8DFA40" w:rsidR="0082596E" w:rsidRPr="00381786" w:rsidRDefault="0082596E" w:rsidP="00086D35">
      <w:pPr>
        <w:pStyle w:val="NormalWeb"/>
        <w:spacing w:line="360" w:lineRule="auto"/>
        <w:jc w:val="both"/>
        <w:rPr>
          <w:b/>
        </w:rPr>
      </w:pPr>
      <w:r w:rsidRPr="00381786">
        <w:rPr>
          <w:b/>
          <w:color w:val="000000" w:themeColor="text1"/>
        </w:rPr>
        <w:t>Data and Methodology</w:t>
      </w:r>
    </w:p>
    <w:p w14:paraId="42A107D9" w14:textId="3BA87AB0" w:rsidR="0082596E" w:rsidRPr="00381786" w:rsidRDefault="0082596E" w:rsidP="00086D35">
      <w:pPr>
        <w:pStyle w:val="NormalWeb"/>
        <w:spacing w:line="360" w:lineRule="auto"/>
        <w:jc w:val="both"/>
      </w:pPr>
      <w:r w:rsidRPr="00381786">
        <w:rPr>
          <w:rStyle w:val="Strong"/>
        </w:rPr>
        <w:t>Data:</w:t>
      </w:r>
      <w:r w:rsidRPr="00381786">
        <w:t xml:space="preserve"> We used data from the Longitudinal Ageing Study in India (LASI) Wave-I, conducted in 2017–18. LASI is a nationally representative, multidisciplinary, and internationally harmonized panel survey including 72,250 individuals aged ≥45 years and their spouses, covering all Indian states and union territories except Sikkim. The survey was conducted by the International Institute for Population Sciences (IIPS), in collaboration with the University </w:t>
      </w:r>
      <w:proofErr w:type="gramStart"/>
      <w:r w:rsidR="00581F65" w:rsidRPr="00381786">
        <w:t>of</w:t>
      </w:r>
      <w:proofErr w:type="gramEnd"/>
      <w:r w:rsidRPr="00381786">
        <w:t xml:space="preserve"> Southern California (USC) and the Harvard T.H. Chan </w:t>
      </w:r>
      <w:r w:rsidR="00E37E29" w:rsidRPr="00381786">
        <w:t>Sch</w:t>
      </w:r>
      <w:r w:rsidR="00E41295" w:rsidRPr="00381786">
        <w:t>ool of Public Health (HSPH)</w:t>
      </w:r>
      <w:r w:rsidR="00581F65" w:rsidRPr="00381786">
        <w:t xml:space="preserve"> </w:t>
      </w:r>
      <w:r w:rsidR="00384440" w:rsidRPr="00381786">
        <w:t>[19]</w:t>
      </w:r>
      <w:r w:rsidRPr="00381786">
        <w:t>. A multistage stratified area probability cluster sampling design was employed, with household, individual, biomarker, and community schedules.</w:t>
      </w:r>
    </w:p>
    <w:p w14:paraId="36B6D837" w14:textId="77777777" w:rsidR="0082596E" w:rsidRPr="00381786" w:rsidRDefault="0082596E" w:rsidP="00086D35">
      <w:pPr>
        <w:pStyle w:val="NormalWeb"/>
        <w:spacing w:line="360" w:lineRule="auto"/>
        <w:jc w:val="both"/>
      </w:pPr>
      <w:r w:rsidRPr="00381786">
        <w:rPr>
          <w:rStyle w:val="Strong"/>
        </w:rPr>
        <w:t>Sample and Measures:</w:t>
      </w:r>
      <w:r w:rsidRPr="00381786">
        <w:t xml:space="preserve"> Of 72,250 participants, 31,464 respondents aged ≥60 were eligible. Because the study focuses on elderly health risks, individuals &lt;60 were excluded. Participants self-reported diagnosis of NCDs (hypertension, diabetes, cancer, chronic lung disease, heart disease, stroke, bone/joint disorders, neurological/psychiatric issues, high cholesterol) as binary responses (Yes = 1, No = 0). Communicable diseases (jaundice/hepatitis, tuberculosis, malaria, diarrhea/gastroenteritis, typhoid, urinary tract infection, anemia, </w:t>
      </w:r>
      <w:proofErr w:type="spellStart"/>
      <w:r w:rsidRPr="00381786">
        <w:t>chikungunya</w:t>
      </w:r>
      <w:proofErr w:type="spellEnd"/>
      <w:r w:rsidRPr="00381786">
        <w:t xml:space="preserve">, </w:t>
      </w:r>
      <w:proofErr w:type="gramStart"/>
      <w:r w:rsidRPr="00381786">
        <w:t>dengue</w:t>
      </w:r>
      <w:proofErr w:type="gramEnd"/>
      <w:r w:rsidRPr="00381786">
        <w:t>) were assessed for the past 2 years, also binary. Responses were aggregated to classify disease burden into four categories: ONCD (NCDs only), OCD (CDs only), ONCD&amp;OCD (both), and None (neither). After excluding 117 cases with missing data, the final sample comprised 31,347 elderly individuals.</w:t>
      </w:r>
    </w:p>
    <w:p w14:paraId="41350BFC" w14:textId="71C85C92" w:rsidR="0024439E" w:rsidRPr="00381786" w:rsidRDefault="0082596E" w:rsidP="00086D35">
      <w:pPr>
        <w:pStyle w:val="NormalWeb"/>
        <w:spacing w:line="360" w:lineRule="auto"/>
        <w:jc w:val="both"/>
      </w:pPr>
      <w:r w:rsidRPr="00381786">
        <w:rPr>
          <w:rStyle w:val="Strong"/>
        </w:rPr>
        <w:t>Analytical Approach:</w:t>
      </w:r>
      <w:r w:rsidRPr="00381786">
        <w:t xml:space="preserve"> To assess correlates of disease burden, we considered 15 risk factors. Socio-demographic factors included age (60–64, 65–69, ≥70), residence (rural/urban), gender, schooling (ever/never), religion (Hindu/other), marital status (in union/not in union), living arrangement (with spouse/children v</w:t>
      </w:r>
      <w:r w:rsidR="00581F65" w:rsidRPr="00381786">
        <w:t>/</w:t>
      </w:r>
      <w:r w:rsidRPr="00381786">
        <w:t>s not), and life satisfaction. Anthropometric factors included waist-hip ratio (low/moderate/high), body mass index (underweight ≤18.5, normal 18.5–24.9, overweight ≥25), and activities of daily living (dependent/independent). Socioeconomic and lifestyle variables included housing type (</w:t>
      </w:r>
      <w:proofErr w:type="spellStart"/>
      <w:r w:rsidRPr="00381786">
        <w:t>pucca</w:t>
      </w:r>
      <w:proofErr w:type="spellEnd"/>
      <w:r w:rsidR="00A835CE" w:rsidRPr="00381786">
        <w:t xml:space="preserve"> </w:t>
      </w:r>
      <w:r w:rsidRPr="00381786">
        <w:t>/not), MPCE quintile, tobacco/alcohol use, and work status (working, worked previously, never worked). Selection was inform</w:t>
      </w:r>
      <w:r w:rsidR="00E37E29" w:rsidRPr="00381786">
        <w:t xml:space="preserve">ed </w:t>
      </w:r>
      <w:r w:rsidR="00E41295" w:rsidRPr="00381786">
        <w:t xml:space="preserve">by prior studies using </w:t>
      </w:r>
      <w:proofErr w:type="gramStart"/>
      <w:r w:rsidR="00E41295" w:rsidRPr="00381786">
        <w:t>SAGE</w:t>
      </w:r>
      <w:r w:rsidR="00384440" w:rsidRPr="00381786">
        <w:t>[</w:t>
      </w:r>
      <w:proofErr w:type="gramEnd"/>
      <w:r w:rsidR="00384440" w:rsidRPr="00381786">
        <w:t>17]</w:t>
      </w:r>
      <w:r w:rsidR="00E41295" w:rsidRPr="00381786">
        <w:t xml:space="preserve"> , LASI</w:t>
      </w:r>
      <w:r w:rsidR="00384440" w:rsidRPr="00381786">
        <w:t xml:space="preserve"> [18]</w:t>
      </w:r>
      <w:r w:rsidRPr="00381786">
        <w:t>, and other sources highlighting the roles of education, wealth, residence, obesity, tobacco/alcohol use, religion, and w</w:t>
      </w:r>
      <w:r w:rsidR="00B12EBD" w:rsidRPr="00381786">
        <w:t xml:space="preserve">aist-hip ratio in </w:t>
      </w:r>
      <w:r w:rsidR="00B12EBD" w:rsidRPr="00381786">
        <w:lastRenderedPageBreak/>
        <w:t>disease risk</w:t>
      </w:r>
      <w:r w:rsidR="00384440" w:rsidRPr="00381786">
        <w:t xml:space="preserve"> [20-23]</w:t>
      </w:r>
      <w:r w:rsidRPr="00381786">
        <w:t>. Where necessary, categories were collapsed to meet analytical requir</w:t>
      </w:r>
      <w:r w:rsidR="00AE2025" w:rsidRPr="00381786">
        <w:t>ements for regression modeling.</w:t>
      </w:r>
    </w:p>
    <w:p w14:paraId="0B1289D9" w14:textId="77777777" w:rsidR="0082596E" w:rsidRPr="00381786" w:rsidRDefault="0082596E" w:rsidP="00086D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1786">
        <w:rPr>
          <w:rFonts w:ascii="Times New Roman" w:eastAsia="Times New Roman" w:hAnsi="Times New Roman" w:cs="Times New Roman"/>
          <w:b/>
          <w:bCs/>
          <w:sz w:val="24"/>
          <w:szCs w:val="24"/>
        </w:rPr>
        <w:t>Statistical Analysis</w:t>
      </w:r>
    </w:p>
    <w:p w14:paraId="4B4E916D" w14:textId="7990C661" w:rsidR="0082596E" w:rsidRPr="00381786" w:rsidRDefault="0082596E" w:rsidP="00086D35">
      <w:pPr>
        <w:spacing w:before="100" w:beforeAutospacing="1" w:after="100" w:afterAutospacing="1" w:line="360" w:lineRule="auto"/>
        <w:jc w:val="both"/>
        <w:rPr>
          <w:rFonts w:ascii="Times New Roman" w:eastAsia="Times New Roman" w:hAnsi="Times New Roman" w:cs="Times New Roman"/>
          <w:sz w:val="24"/>
          <w:szCs w:val="24"/>
        </w:rPr>
      </w:pPr>
      <w:r w:rsidRPr="00381786">
        <w:rPr>
          <w:rFonts w:ascii="Times New Roman" w:eastAsia="Times New Roman" w:hAnsi="Times New Roman" w:cs="Times New Roman"/>
          <w:sz w:val="24"/>
          <w:szCs w:val="24"/>
        </w:rPr>
        <w:t>To estimate prevalence, the analytical sample of 31,347 elderly individuals aged 60 years and above was classified into four mutually exclusive categories: ONCD&amp;OCD (diagnosed with at least one non-communicable and one communicable disease), ONCD (at least one NCD only), OCD (at least one CD only), and None (neither NCD nor CD). The distribution was as follows: ONCD&amp;OCD (4,719), ONCD (12,307), OCD (3,705), and None (10,616). To further assess disease burden, conditional prevalence was calculated by comparing ONCD&amp;OCD with ONCD (for NCDs) a</w:t>
      </w:r>
      <w:r w:rsidR="00520E1D" w:rsidRPr="00381786">
        <w:rPr>
          <w:rFonts w:ascii="Times New Roman" w:eastAsia="Times New Roman" w:hAnsi="Times New Roman" w:cs="Times New Roman"/>
          <w:sz w:val="24"/>
          <w:szCs w:val="24"/>
        </w:rPr>
        <w:t xml:space="preserve">nd ONCD&amp;OCD with OCD (for CDs). </w:t>
      </w:r>
      <w:r w:rsidRPr="00381786">
        <w:rPr>
          <w:rFonts w:ascii="Times New Roman" w:eastAsia="Times New Roman" w:hAnsi="Times New Roman" w:cs="Times New Roman"/>
          <w:sz w:val="24"/>
          <w:szCs w:val="24"/>
        </w:rPr>
        <w:t>Given that both the dependent and independent variables were categorical, chi-square tests were first applied to examine bivariate associations between disease categories and selected risk factors. However, chi-square tests only indicate association without adjusting for confounders. To overcome this, binary logistic regression models were employed. Although multinomial logistic regression is often recommended for analyzing outcomes with</w:t>
      </w:r>
      <w:r w:rsidR="00A835CE" w:rsidRPr="00381786">
        <w:rPr>
          <w:rFonts w:ascii="Times New Roman" w:eastAsia="Times New Roman" w:hAnsi="Times New Roman" w:cs="Times New Roman"/>
          <w:sz w:val="24"/>
          <w:szCs w:val="24"/>
        </w:rPr>
        <w:t xml:space="preserve"> multiple unordered categories</w:t>
      </w:r>
      <w:r w:rsidR="00384440" w:rsidRPr="00381786">
        <w:rPr>
          <w:rFonts w:ascii="Times New Roman" w:eastAsia="Times New Roman" w:hAnsi="Times New Roman" w:cs="Times New Roman"/>
          <w:sz w:val="24"/>
          <w:szCs w:val="24"/>
        </w:rPr>
        <w:t xml:space="preserve"> [24]</w:t>
      </w:r>
      <w:r w:rsidRPr="00381786">
        <w:rPr>
          <w:rFonts w:ascii="Times New Roman" w:eastAsia="Times New Roman" w:hAnsi="Times New Roman" w:cs="Times New Roman"/>
          <w:sz w:val="24"/>
          <w:szCs w:val="24"/>
        </w:rPr>
        <w:t>, its application requires sufficient cell counts across predictor–outcome combinations. In this study, a large proportion of zero-frequency cells (~70%) violated this assumption, potentially af</w:t>
      </w:r>
      <w:r w:rsidR="000C42AC" w:rsidRPr="00381786">
        <w:rPr>
          <w:rFonts w:ascii="Times New Roman" w:eastAsia="Times New Roman" w:hAnsi="Times New Roman" w:cs="Times New Roman"/>
          <w:sz w:val="24"/>
          <w:szCs w:val="24"/>
        </w:rPr>
        <w:t>fec</w:t>
      </w:r>
      <w:r w:rsidR="00A835CE" w:rsidRPr="00381786">
        <w:rPr>
          <w:rFonts w:ascii="Times New Roman" w:eastAsia="Times New Roman" w:hAnsi="Times New Roman" w:cs="Times New Roman"/>
          <w:sz w:val="24"/>
          <w:szCs w:val="24"/>
        </w:rPr>
        <w:t>ting stability of estimates</w:t>
      </w:r>
      <w:r w:rsidR="00384440" w:rsidRPr="00381786">
        <w:rPr>
          <w:rFonts w:ascii="Times New Roman" w:eastAsia="Times New Roman" w:hAnsi="Times New Roman" w:cs="Times New Roman"/>
          <w:sz w:val="24"/>
          <w:szCs w:val="24"/>
        </w:rPr>
        <w:t xml:space="preserve"> [25]</w:t>
      </w:r>
      <w:r w:rsidRPr="00381786">
        <w:rPr>
          <w:rFonts w:ascii="Times New Roman" w:eastAsia="Times New Roman" w:hAnsi="Times New Roman" w:cs="Times New Roman"/>
          <w:sz w:val="24"/>
          <w:szCs w:val="24"/>
        </w:rPr>
        <w:t>. Therefore, a piecewise binary logistic regression approach was adopted, fitting separate models for each outcome category (ONCD v</w:t>
      </w:r>
      <w:r w:rsidR="00581F65" w:rsidRPr="00381786">
        <w:rPr>
          <w:rFonts w:ascii="Times New Roman" w:eastAsia="Times New Roman" w:hAnsi="Times New Roman" w:cs="Times New Roman"/>
          <w:sz w:val="24"/>
          <w:szCs w:val="24"/>
        </w:rPr>
        <w:t>/</w:t>
      </w:r>
      <w:r w:rsidRPr="00381786">
        <w:rPr>
          <w:rFonts w:ascii="Times New Roman" w:eastAsia="Times New Roman" w:hAnsi="Times New Roman" w:cs="Times New Roman"/>
          <w:sz w:val="24"/>
          <w:szCs w:val="24"/>
        </w:rPr>
        <w:t>s None, OCD v</w:t>
      </w:r>
      <w:r w:rsidR="00581F65" w:rsidRPr="00381786">
        <w:rPr>
          <w:rFonts w:ascii="Times New Roman" w:eastAsia="Times New Roman" w:hAnsi="Times New Roman" w:cs="Times New Roman"/>
          <w:sz w:val="24"/>
          <w:szCs w:val="24"/>
        </w:rPr>
        <w:t>/</w:t>
      </w:r>
      <w:r w:rsidRPr="00381786">
        <w:rPr>
          <w:rFonts w:ascii="Times New Roman" w:eastAsia="Times New Roman" w:hAnsi="Times New Roman" w:cs="Times New Roman"/>
          <w:sz w:val="24"/>
          <w:szCs w:val="24"/>
        </w:rPr>
        <w:t>s None, ONCD&amp;OCD v</w:t>
      </w:r>
      <w:r w:rsidR="00581F65" w:rsidRPr="00381786">
        <w:rPr>
          <w:rFonts w:ascii="Times New Roman" w:eastAsia="Times New Roman" w:hAnsi="Times New Roman" w:cs="Times New Roman"/>
          <w:sz w:val="24"/>
          <w:szCs w:val="24"/>
        </w:rPr>
        <w:t>/</w:t>
      </w:r>
      <w:r w:rsidRPr="00381786">
        <w:rPr>
          <w:rFonts w:ascii="Times New Roman" w:eastAsia="Times New Roman" w:hAnsi="Times New Roman" w:cs="Times New Roman"/>
          <w:sz w:val="24"/>
          <w:szCs w:val="24"/>
        </w:rPr>
        <w:t xml:space="preserve">s </w:t>
      </w:r>
      <w:proofErr w:type="gramStart"/>
      <w:r w:rsidRPr="00381786">
        <w:rPr>
          <w:rFonts w:ascii="Times New Roman" w:eastAsia="Times New Roman" w:hAnsi="Times New Roman" w:cs="Times New Roman"/>
          <w:sz w:val="24"/>
          <w:szCs w:val="24"/>
        </w:rPr>
        <w:t>None</w:t>
      </w:r>
      <w:proofErr w:type="gramEnd"/>
      <w:r w:rsidRPr="00381786">
        <w:rPr>
          <w:rFonts w:ascii="Times New Roman" w:eastAsia="Times New Roman" w:hAnsi="Times New Roman" w:cs="Times New Roman"/>
          <w:sz w:val="24"/>
          <w:szCs w:val="24"/>
        </w:rPr>
        <w:t>). This approach provided more stable and interpretable estimates. All statistical analyses were performed using SPSS version 30.</w:t>
      </w:r>
    </w:p>
    <w:p w14:paraId="7EA09EAD" w14:textId="77777777" w:rsidR="0024439E" w:rsidRPr="00381786" w:rsidRDefault="00956CA5" w:rsidP="00086D35">
      <w:pPr>
        <w:pStyle w:val="NoSpacing"/>
        <w:spacing w:line="360" w:lineRule="auto"/>
        <w:jc w:val="both"/>
        <w:rPr>
          <w:rFonts w:ascii="Times New Roman" w:hAnsi="Times New Roman" w:cs="Times New Roman"/>
          <w:b/>
          <w:bCs/>
        </w:rPr>
      </w:pPr>
      <w:r w:rsidRPr="00381786">
        <w:rPr>
          <w:rFonts w:ascii="Times New Roman" w:hAnsi="Times New Roman" w:cs="Times New Roman"/>
          <w:b/>
          <w:bCs/>
        </w:rPr>
        <w:t>Results</w:t>
      </w:r>
    </w:p>
    <w:p w14:paraId="02BCDB54" w14:textId="77777777" w:rsidR="00830BBC" w:rsidRPr="00381786" w:rsidRDefault="00830BBC" w:rsidP="00086D35">
      <w:pPr>
        <w:pStyle w:val="NoSpacing"/>
        <w:spacing w:line="360" w:lineRule="auto"/>
        <w:jc w:val="both"/>
        <w:rPr>
          <w:rFonts w:ascii="Times New Roman" w:hAnsi="Times New Roman" w:cs="Times New Roman"/>
          <w:b/>
          <w:bCs/>
        </w:rPr>
      </w:pPr>
    </w:p>
    <w:p w14:paraId="405132E7" w14:textId="77777777" w:rsidR="00C67BA4" w:rsidRPr="00381786" w:rsidRDefault="00956CA5" w:rsidP="00086D35">
      <w:pPr>
        <w:pStyle w:val="NoSpacing"/>
        <w:spacing w:line="360" w:lineRule="auto"/>
        <w:jc w:val="both"/>
        <w:rPr>
          <w:rFonts w:ascii="Times New Roman" w:hAnsi="Times New Roman" w:cs="Times New Roman"/>
        </w:rPr>
      </w:pPr>
      <w:r w:rsidRPr="00381786">
        <w:rPr>
          <w:rFonts w:ascii="Times New Roman" w:hAnsi="Times New Roman" w:cs="Times New Roman"/>
          <w:bCs/>
        </w:rPr>
        <w:t xml:space="preserve">Based on the analytical sample of 31,347 elderly individuals, the estimated prevalence of ONCD&amp;OCD, ONCD, </w:t>
      </w:r>
      <w:r w:rsidR="0074469A" w:rsidRPr="00381786">
        <w:rPr>
          <w:rFonts w:ascii="Times New Roman" w:hAnsi="Times New Roman" w:cs="Times New Roman"/>
          <w:bCs/>
        </w:rPr>
        <w:t>a</w:t>
      </w:r>
      <w:r w:rsidR="006544FD" w:rsidRPr="00381786">
        <w:rPr>
          <w:rFonts w:ascii="Times New Roman" w:hAnsi="Times New Roman" w:cs="Times New Roman"/>
          <w:bCs/>
        </w:rPr>
        <w:t xml:space="preserve">nd OCD is presented in Figure </w:t>
      </w:r>
      <w:r w:rsidR="00D169D9" w:rsidRPr="00381786">
        <w:rPr>
          <w:rFonts w:ascii="Times New Roman" w:hAnsi="Times New Roman" w:cs="Times New Roman"/>
          <w:bCs/>
        </w:rPr>
        <w:t>1</w:t>
      </w:r>
      <w:r w:rsidR="00581F65" w:rsidRPr="00381786">
        <w:rPr>
          <w:rFonts w:ascii="Times New Roman" w:hAnsi="Times New Roman" w:cs="Times New Roman"/>
          <w:bCs/>
        </w:rPr>
        <w:t>(</w:t>
      </w:r>
      <w:r w:rsidR="0074469A" w:rsidRPr="00381786">
        <w:rPr>
          <w:rFonts w:ascii="Times New Roman" w:hAnsi="Times New Roman" w:cs="Times New Roman"/>
          <w:bCs/>
        </w:rPr>
        <w:t>a</w:t>
      </w:r>
      <w:r w:rsidR="00581F65" w:rsidRPr="00381786">
        <w:rPr>
          <w:rFonts w:ascii="Times New Roman" w:hAnsi="Times New Roman" w:cs="Times New Roman"/>
          <w:bCs/>
        </w:rPr>
        <w:t>)</w:t>
      </w:r>
      <w:r w:rsidRPr="00381786">
        <w:rPr>
          <w:rFonts w:ascii="Times New Roman" w:hAnsi="Times New Roman" w:cs="Times New Roman"/>
          <w:bCs/>
        </w:rPr>
        <w:t xml:space="preserve">. </w:t>
      </w:r>
      <w:r w:rsidR="00223002" w:rsidRPr="00381786">
        <w:rPr>
          <w:rFonts w:ascii="Times New Roman" w:hAnsi="Times New Roman" w:cs="Times New Roman"/>
          <w:bCs/>
        </w:rPr>
        <w:t>Specifically,</w:t>
      </w:r>
      <w:r w:rsidR="003F385C" w:rsidRPr="00381786">
        <w:rPr>
          <w:rFonts w:ascii="Times New Roman" w:hAnsi="Times New Roman" w:cs="Times New Roman"/>
          <w:bCs/>
        </w:rPr>
        <w:t xml:space="preserve"> </w:t>
      </w:r>
      <w:r w:rsidRPr="00381786">
        <w:rPr>
          <w:rFonts w:ascii="Times New Roman" w:hAnsi="Times New Roman" w:cs="Times New Roman"/>
          <w:bCs/>
        </w:rPr>
        <w:t>the prevalence of ONCD was 39.3%, OCD   was 11.8%, and ONCD&amp;OCD   was 15.1%. T</w:t>
      </w:r>
      <w:r w:rsidR="004966DF" w:rsidRPr="00381786">
        <w:rPr>
          <w:rFonts w:ascii="Times New Roman" w:hAnsi="Times New Roman" w:cs="Times New Roman"/>
          <w:bCs/>
        </w:rPr>
        <w:t>hese estimates further revealed</w:t>
      </w:r>
      <w:r w:rsidR="004608B0" w:rsidRPr="00381786">
        <w:rPr>
          <w:rFonts w:ascii="Times New Roman" w:hAnsi="Times New Roman" w:cs="Times New Roman"/>
        </w:rPr>
        <w:t xml:space="preserve"> </w:t>
      </w:r>
      <w:r w:rsidR="00C829A9" w:rsidRPr="00381786">
        <w:rPr>
          <w:rFonts w:ascii="Times New Roman" w:hAnsi="Times New Roman" w:cs="Times New Roman"/>
          <w:bCs/>
        </w:rPr>
        <w:t>that prevalence of NCDs as 54.4%, CDs as 26.9% and at least one of these as 66.2% among elderly</w:t>
      </w:r>
      <w:r w:rsidR="004608B0" w:rsidRPr="00381786">
        <w:rPr>
          <w:rFonts w:ascii="Times New Roman" w:hAnsi="Times New Roman" w:cs="Times New Roman"/>
          <w:bCs/>
        </w:rPr>
        <w:t xml:space="preserve"> </w:t>
      </w:r>
      <w:r w:rsidR="004608B0" w:rsidRPr="00381786">
        <w:rPr>
          <w:rFonts w:ascii="Times New Roman" w:hAnsi="Times New Roman" w:cs="Times New Roman"/>
        </w:rPr>
        <w:t xml:space="preserve">groups respectively. </w:t>
      </w:r>
    </w:p>
    <w:p w14:paraId="790735B5" w14:textId="74FB475E" w:rsidR="00C67BA4" w:rsidRPr="00381786" w:rsidRDefault="00C67BA4" w:rsidP="00086D35">
      <w:pPr>
        <w:pStyle w:val="NoSpacing"/>
        <w:spacing w:line="360" w:lineRule="auto"/>
        <w:jc w:val="both"/>
        <w:rPr>
          <w:rFonts w:ascii="Times New Roman" w:hAnsi="Times New Roman" w:cs="Times New Roman"/>
        </w:rPr>
      </w:pPr>
      <w:r w:rsidRPr="00381786">
        <w:rPr>
          <w:rFonts w:ascii="Times New Roman" w:hAnsi="Times New Roman" w:cs="Times New Roman"/>
          <w:noProof/>
        </w:rPr>
        <w:lastRenderedPageBreak/>
        <w:drawing>
          <wp:anchor distT="0" distB="0" distL="114300" distR="114300" simplePos="0" relativeHeight="251664384" behindDoc="1" locked="0" layoutInCell="1" allowOverlap="1" wp14:anchorId="4ECFA3B4" wp14:editId="66EDD61C">
            <wp:simplePos x="0" y="0"/>
            <wp:positionH relativeFrom="column">
              <wp:posOffset>530225</wp:posOffset>
            </wp:positionH>
            <wp:positionV relativeFrom="paragraph">
              <wp:posOffset>-219710</wp:posOffset>
            </wp:positionV>
            <wp:extent cx="4739640" cy="2788920"/>
            <wp:effectExtent l="0" t="0" r="381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147" t="9656" r="1687" b="4429"/>
                    <a:stretch/>
                  </pic:blipFill>
                  <pic:spPr bwMode="auto">
                    <a:xfrm>
                      <a:off x="0" y="0"/>
                      <a:ext cx="4739640" cy="2788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04C072" w14:textId="77777777" w:rsidR="00C67BA4" w:rsidRPr="00381786" w:rsidRDefault="00C67BA4" w:rsidP="00086D35">
      <w:pPr>
        <w:pStyle w:val="NoSpacing"/>
        <w:spacing w:line="360" w:lineRule="auto"/>
        <w:jc w:val="both"/>
        <w:rPr>
          <w:rFonts w:ascii="Times New Roman" w:hAnsi="Times New Roman" w:cs="Times New Roman"/>
        </w:rPr>
      </w:pPr>
    </w:p>
    <w:p w14:paraId="2CAA1B9D" w14:textId="77777777" w:rsidR="00C67BA4" w:rsidRPr="00381786" w:rsidRDefault="00C67BA4" w:rsidP="00086D35">
      <w:pPr>
        <w:pStyle w:val="NoSpacing"/>
        <w:spacing w:line="360" w:lineRule="auto"/>
        <w:jc w:val="both"/>
        <w:rPr>
          <w:rFonts w:ascii="Times New Roman" w:hAnsi="Times New Roman" w:cs="Times New Roman"/>
        </w:rPr>
      </w:pPr>
    </w:p>
    <w:p w14:paraId="14F21773" w14:textId="77777777" w:rsidR="00C67BA4" w:rsidRPr="00381786" w:rsidRDefault="00C67BA4" w:rsidP="00086D35">
      <w:pPr>
        <w:pStyle w:val="NoSpacing"/>
        <w:spacing w:line="360" w:lineRule="auto"/>
        <w:jc w:val="both"/>
        <w:rPr>
          <w:rFonts w:ascii="Times New Roman" w:hAnsi="Times New Roman" w:cs="Times New Roman"/>
        </w:rPr>
      </w:pPr>
    </w:p>
    <w:p w14:paraId="267A6035" w14:textId="7D63B3F2" w:rsidR="00C67BA4" w:rsidRPr="00381786" w:rsidRDefault="00C67BA4" w:rsidP="00086D35">
      <w:pPr>
        <w:pStyle w:val="NoSpacing"/>
        <w:spacing w:line="360" w:lineRule="auto"/>
        <w:jc w:val="both"/>
        <w:rPr>
          <w:rFonts w:ascii="Times New Roman" w:hAnsi="Times New Roman" w:cs="Times New Roman"/>
        </w:rPr>
      </w:pPr>
    </w:p>
    <w:p w14:paraId="3FC9AB65" w14:textId="77777777" w:rsidR="00C67BA4" w:rsidRPr="00381786" w:rsidRDefault="00C67BA4" w:rsidP="00086D35">
      <w:pPr>
        <w:pStyle w:val="NoSpacing"/>
        <w:spacing w:line="360" w:lineRule="auto"/>
        <w:jc w:val="both"/>
        <w:rPr>
          <w:rFonts w:ascii="Times New Roman" w:hAnsi="Times New Roman" w:cs="Times New Roman"/>
        </w:rPr>
      </w:pPr>
    </w:p>
    <w:p w14:paraId="36C108E0" w14:textId="77777777" w:rsidR="00C67BA4" w:rsidRPr="00381786" w:rsidRDefault="00C67BA4" w:rsidP="00086D35">
      <w:pPr>
        <w:pStyle w:val="NoSpacing"/>
        <w:spacing w:line="360" w:lineRule="auto"/>
        <w:jc w:val="both"/>
        <w:rPr>
          <w:rFonts w:ascii="Times New Roman" w:hAnsi="Times New Roman" w:cs="Times New Roman"/>
        </w:rPr>
      </w:pPr>
    </w:p>
    <w:p w14:paraId="267E4248" w14:textId="77777777" w:rsidR="00C67BA4" w:rsidRPr="00381786" w:rsidRDefault="00C67BA4" w:rsidP="00086D35">
      <w:pPr>
        <w:pStyle w:val="NoSpacing"/>
        <w:spacing w:line="360" w:lineRule="auto"/>
        <w:jc w:val="both"/>
        <w:rPr>
          <w:rFonts w:ascii="Times New Roman" w:hAnsi="Times New Roman" w:cs="Times New Roman"/>
        </w:rPr>
      </w:pPr>
    </w:p>
    <w:p w14:paraId="54C193E1" w14:textId="77777777" w:rsidR="00C67BA4" w:rsidRPr="00381786" w:rsidRDefault="00C67BA4" w:rsidP="00086D35">
      <w:pPr>
        <w:pStyle w:val="NoSpacing"/>
        <w:spacing w:line="360" w:lineRule="auto"/>
        <w:jc w:val="both"/>
        <w:rPr>
          <w:rFonts w:ascii="Times New Roman" w:hAnsi="Times New Roman" w:cs="Times New Roman"/>
        </w:rPr>
      </w:pPr>
    </w:p>
    <w:p w14:paraId="215302C5" w14:textId="77777777" w:rsidR="00C67BA4" w:rsidRPr="00381786" w:rsidRDefault="00C67BA4" w:rsidP="00086D35">
      <w:pPr>
        <w:pStyle w:val="NoSpacing"/>
        <w:spacing w:line="360" w:lineRule="auto"/>
        <w:jc w:val="both"/>
        <w:rPr>
          <w:rFonts w:ascii="Times New Roman" w:hAnsi="Times New Roman" w:cs="Times New Roman"/>
        </w:rPr>
      </w:pPr>
    </w:p>
    <w:p w14:paraId="089E05DA" w14:textId="77777777" w:rsidR="00C67BA4" w:rsidRPr="00381786" w:rsidRDefault="00C67BA4" w:rsidP="00086D35">
      <w:pPr>
        <w:pStyle w:val="NoSpacing"/>
        <w:spacing w:line="360" w:lineRule="auto"/>
        <w:jc w:val="both"/>
        <w:rPr>
          <w:rFonts w:ascii="Times New Roman" w:hAnsi="Times New Roman" w:cs="Times New Roman"/>
        </w:rPr>
      </w:pPr>
    </w:p>
    <w:p w14:paraId="7730AA55" w14:textId="46388769" w:rsidR="0027591E" w:rsidRPr="00381786" w:rsidRDefault="00C67BA4" w:rsidP="0027591E">
      <w:pPr>
        <w:pStyle w:val="NoSpacing"/>
        <w:spacing w:line="360" w:lineRule="auto"/>
        <w:jc w:val="both"/>
        <w:rPr>
          <w:rFonts w:ascii="Times New Roman" w:eastAsia="Times New Roman" w:hAnsi="Times New Roman" w:cs="Times New Roman"/>
          <w:color w:val="000000"/>
          <w:lang w:bidi="hi-IN"/>
        </w:rPr>
      </w:pPr>
      <w:r w:rsidRPr="00381786">
        <w:rPr>
          <w:rFonts w:ascii="Times New Roman" w:hAnsi="Times New Roman" w:cs="Times New Roman"/>
          <w:b/>
          <w:bCs/>
        </w:rPr>
        <w:t xml:space="preserve">                           </w:t>
      </w:r>
      <w:r w:rsidR="00F35F4A">
        <w:rPr>
          <w:rFonts w:ascii="Times New Roman" w:hAnsi="Times New Roman" w:cs="Times New Roman"/>
          <w:b/>
          <w:bCs/>
        </w:rPr>
        <w:t>Fig.</w:t>
      </w:r>
      <w:r w:rsidRPr="00381786">
        <w:rPr>
          <w:rFonts w:ascii="Times New Roman" w:hAnsi="Times New Roman" w:cs="Times New Roman"/>
          <w:b/>
          <w:bCs/>
        </w:rPr>
        <w:t>1a</w:t>
      </w:r>
      <w:r w:rsidRPr="00381786">
        <w:rPr>
          <w:rFonts w:ascii="Times New Roman" w:hAnsi="Times New Roman" w:cs="Times New Roman"/>
          <w:bCs/>
        </w:rPr>
        <w:t xml:space="preserve"> </w:t>
      </w:r>
      <w:r w:rsidRPr="00381786">
        <w:rPr>
          <w:rFonts w:ascii="Times New Roman" w:eastAsia="Times New Roman" w:hAnsi="Times New Roman" w:cs="Times New Roman"/>
          <w:color w:val="000000"/>
          <w:lang w:bidi="hi-IN"/>
        </w:rPr>
        <w:t>Prevalence</w:t>
      </w:r>
      <w:r w:rsidR="0027591E" w:rsidRPr="00381786">
        <w:rPr>
          <w:rFonts w:ascii="Times New Roman" w:eastAsia="Times New Roman" w:hAnsi="Times New Roman" w:cs="Times New Roman"/>
          <w:color w:val="000000"/>
          <w:lang w:bidi="hi-IN"/>
        </w:rPr>
        <w:t xml:space="preserve"> of OCD&amp;ONCD, ONCD, OCD in Indi</w:t>
      </w:r>
    </w:p>
    <w:p w14:paraId="4E8B76AA" w14:textId="30D020C9" w:rsidR="00C67BA4" w:rsidRPr="00381786" w:rsidRDefault="0027591E" w:rsidP="0027591E">
      <w:pPr>
        <w:pStyle w:val="NoSpacing"/>
        <w:spacing w:line="360" w:lineRule="auto"/>
        <w:jc w:val="both"/>
        <w:rPr>
          <w:rFonts w:ascii="Times New Roman" w:eastAsia="Times New Roman" w:hAnsi="Times New Roman" w:cs="Times New Roman"/>
          <w:color w:val="000000"/>
          <w:lang w:bidi="hi-IN"/>
        </w:rPr>
      </w:pPr>
      <w:r w:rsidRPr="00381786">
        <w:rPr>
          <w:rFonts w:ascii="Times New Roman" w:hAnsi="Times New Roman" w:cs="Times New Roman"/>
          <w:b/>
          <w:noProof/>
        </w:rPr>
        <w:drawing>
          <wp:anchor distT="0" distB="0" distL="114300" distR="114300" simplePos="0" relativeHeight="251666432" behindDoc="1" locked="0" layoutInCell="1" allowOverlap="1" wp14:anchorId="123ACC5C" wp14:editId="3CC1BEE3">
            <wp:simplePos x="0" y="0"/>
            <wp:positionH relativeFrom="column">
              <wp:posOffset>322580</wp:posOffset>
            </wp:positionH>
            <wp:positionV relativeFrom="page">
              <wp:posOffset>3700145</wp:posOffset>
            </wp:positionV>
            <wp:extent cx="5631180" cy="2270760"/>
            <wp:effectExtent l="0" t="0" r="0" b="0"/>
            <wp:wrapSquare wrapText="bothSides"/>
            <wp:docPr id="4"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2334F8-0B20-FB4A-52A9-B6A0C6819F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381786">
        <w:rPr>
          <w:rFonts w:ascii="Times New Roman" w:eastAsia="Times New Roman" w:hAnsi="Times New Roman" w:cs="Times New Roman"/>
          <w:color w:val="000000"/>
          <w:lang w:bidi="hi-IN"/>
        </w:rPr>
        <w:t xml:space="preserve">              </w:t>
      </w:r>
      <w:r w:rsidR="00C67BA4" w:rsidRPr="00381786">
        <w:rPr>
          <w:rFonts w:ascii="Times New Roman" w:hAnsi="Times New Roman" w:cs="Times New Roman"/>
          <w:b/>
          <w:bCs/>
        </w:rPr>
        <w:t xml:space="preserve">    Fig.1b</w:t>
      </w:r>
      <w:r w:rsidR="00C67BA4" w:rsidRPr="00381786">
        <w:rPr>
          <w:rFonts w:ascii="Times New Roman" w:hAnsi="Times New Roman" w:cs="Times New Roman"/>
          <w:bCs/>
        </w:rPr>
        <w:t xml:space="preserve"> Conditional prevalence of specific NCD in ONCD and ONCD &amp; OCD groups</w:t>
      </w:r>
      <w:r w:rsidR="00C67BA4" w:rsidRPr="00381786">
        <w:rPr>
          <w:rFonts w:ascii="Times New Roman" w:hAnsi="Times New Roman" w:cs="Times New Roman"/>
          <w:noProof/>
        </w:rPr>
        <w:t xml:space="preserve"> </w:t>
      </w:r>
    </w:p>
    <w:p w14:paraId="2EF150B8" w14:textId="6B383AFB" w:rsidR="00C67BA4" w:rsidRPr="00381786" w:rsidRDefault="0027591E" w:rsidP="00C67BA4">
      <w:pPr>
        <w:pStyle w:val="NoSpacing"/>
        <w:spacing w:line="360" w:lineRule="auto"/>
        <w:jc w:val="center"/>
        <w:rPr>
          <w:rFonts w:ascii="Times New Roman" w:hAnsi="Times New Roman" w:cs="Times New Roman"/>
          <w:bCs/>
        </w:rPr>
      </w:pPr>
      <w:r w:rsidRPr="00381786">
        <w:rPr>
          <w:rFonts w:ascii="Times New Roman" w:hAnsi="Times New Roman" w:cs="Times New Roman"/>
          <w:noProof/>
        </w:rPr>
        <w:drawing>
          <wp:anchor distT="0" distB="0" distL="114300" distR="114300" simplePos="0" relativeHeight="251668480" behindDoc="0" locked="0" layoutInCell="1" allowOverlap="1" wp14:anchorId="36095087" wp14:editId="673B92D6">
            <wp:simplePos x="0" y="0"/>
            <wp:positionH relativeFrom="column">
              <wp:posOffset>410210</wp:posOffset>
            </wp:positionH>
            <wp:positionV relativeFrom="paragraph">
              <wp:posOffset>163195</wp:posOffset>
            </wp:positionV>
            <wp:extent cx="5716905" cy="2671445"/>
            <wp:effectExtent l="0" t="0" r="0" b="0"/>
            <wp:wrapSquare wrapText="bothSides"/>
            <wp:docPr id="6"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F5515E-8178-E890-3208-3A0CC26787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5BB0BDE" w14:textId="3055EB7F"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23C32BBA" w14:textId="15F21A24"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11713D97" w14:textId="77777777"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4054741E" w14:textId="77777777"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02F76776" w14:textId="77777777"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6848D50F" w14:textId="77777777"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4D228D52" w14:textId="77777777"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419470B6" w14:textId="77777777"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76B4BB7F" w14:textId="77777777"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0E89FEFC" w14:textId="77777777" w:rsidR="00C67BA4" w:rsidRPr="00381786" w:rsidRDefault="00C67BA4" w:rsidP="00086D35">
      <w:pPr>
        <w:pStyle w:val="NoSpacing"/>
        <w:spacing w:line="360" w:lineRule="auto"/>
        <w:jc w:val="both"/>
        <w:rPr>
          <w:rFonts w:ascii="Times New Roman" w:eastAsia="Times New Roman" w:hAnsi="Times New Roman" w:cs="Times New Roman"/>
          <w:color w:val="000000"/>
          <w:lang w:bidi="hi-IN"/>
        </w:rPr>
      </w:pPr>
    </w:p>
    <w:p w14:paraId="0DF38ABA" w14:textId="4A43EF45" w:rsidR="00CC508D" w:rsidRPr="00381786" w:rsidRDefault="0027591E" w:rsidP="00CC508D">
      <w:pPr>
        <w:pStyle w:val="NoSpacing"/>
        <w:spacing w:line="360" w:lineRule="auto"/>
        <w:rPr>
          <w:rFonts w:ascii="Times New Roman" w:hAnsi="Times New Roman" w:cs="Times New Roman"/>
          <w:b/>
        </w:rPr>
      </w:pPr>
      <w:r w:rsidRPr="00381786">
        <w:rPr>
          <w:rFonts w:ascii="Times New Roman" w:hAnsi="Times New Roman" w:cs="Times New Roman"/>
          <w:b/>
        </w:rPr>
        <w:t xml:space="preserve"> </w:t>
      </w:r>
      <w:r w:rsidR="00CC508D" w:rsidRPr="00381786">
        <w:rPr>
          <w:rFonts w:ascii="Times New Roman" w:hAnsi="Times New Roman" w:cs="Times New Roman"/>
          <w:b/>
        </w:rPr>
        <w:t xml:space="preserve">  Fig.1c </w:t>
      </w:r>
      <w:r w:rsidR="00CC508D" w:rsidRPr="00381786">
        <w:rPr>
          <w:rFonts w:ascii="Times New Roman" w:hAnsi="Times New Roman" w:cs="Times New Roman"/>
        </w:rPr>
        <w:t>Conditional prevalence of specific communicable diseases in ONCD and ONCD&amp;OCD</w:t>
      </w:r>
    </w:p>
    <w:p w14:paraId="34C30A06" w14:textId="77777777" w:rsidR="00CC508D" w:rsidRPr="00381786" w:rsidRDefault="00CC508D" w:rsidP="00CC508D">
      <w:pPr>
        <w:pStyle w:val="NoSpacing"/>
        <w:spacing w:line="360" w:lineRule="auto"/>
        <w:rPr>
          <w:rFonts w:ascii="Times New Roman" w:hAnsi="Times New Roman" w:cs="Times New Roman"/>
          <w:b/>
        </w:rPr>
      </w:pPr>
    </w:p>
    <w:p w14:paraId="130B3937" w14:textId="46F9D265" w:rsidR="00C67BA4" w:rsidRPr="00381786" w:rsidRDefault="00101744" w:rsidP="00086D35">
      <w:pPr>
        <w:pStyle w:val="NoSpacing"/>
        <w:spacing w:line="360" w:lineRule="auto"/>
        <w:jc w:val="both"/>
        <w:rPr>
          <w:rFonts w:ascii="Times New Roman" w:hAnsi="Times New Roman" w:cs="Times New Roman"/>
        </w:rPr>
      </w:pPr>
      <w:r w:rsidRPr="00381786">
        <w:rPr>
          <w:rFonts w:ascii="Times New Roman" w:hAnsi="Times New Roman" w:cs="Times New Roman"/>
        </w:rPr>
        <w:lastRenderedPageBreak/>
        <w:t>Further,</w:t>
      </w:r>
      <w:r w:rsidR="00C67BA4" w:rsidRPr="00381786">
        <w:rPr>
          <w:rFonts w:ascii="Times New Roman" w:hAnsi="Times New Roman" w:cs="Times New Roman"/>
        </w:rPr>
        <w:t xml:space="preserve"> Figure 1(a)</w:t>
      </w:r>
      <w:r w:rsidRPr="00381786">
        <w:rPr>
          <w:rFonts w:ascii="Times New Roman" w:hAnsi="Times New Roman" w:cs="Times New Roman"/>
        </w:rPr>
        <w:t xml:space="preserve"> Fig</w:t>
      </w:r>
      <w:r w:rsidR="00C67BA4" w:rsidRPr="00381786">
        <w:rPr>
          <w:rFonts w:ascii="Times New Roman" w:hAnsi="Times New Roman" w:cs="Times New Roman"/>
        </w:rPr>
        <w:t xml:space="preserve">ure </w:t>
      </w:r>
      <w:r w:rsidR="006544FD" w:rsidRPr="00381786">
        <w:rPr>
          <w:rFonts w:ascii="Times New Roman" w:hAnsi="Times New Roman" w:cs="Times New Roman"/>
        </w:rPr>
        <w:t>1(b) and Figure</w:t>
      </w:r>
      <w:r w:rsidRPr="00381786">
        <w:rPr>
          <w:rFonts w:ascii="Times New Roman" w:hAnsi="Times New Roman" w:cs="Times New Roman"/>
        </w:rPr>
        <w:t xml:space="preserve"> </w:t>
      </w:r>
      <w:r w:rsidR="006544FD" w:rsidRPr="00381786">
        <w:rPr>
          <w:rFonts w:ascii="Times New Roman" w:hAnsi="Times New Roman" w:cs="Times New Roman"/>
        </w:rPr>
        <w:t>1(</w:t>
      </w:r>
      <w:r w:rsidR="00223002" w:rsidRPr="00381786">
        <w:rPr>
          <w:rFonts w:ascii="Times New Roman" w:hAnsi="Times New Roman" w:cs="Times New Roman"/>
        </w:rPr>
        <w:t>c</w:t>
      </w:r>
      <w:r w:rsidR="006544FD" w:rsidRPr="00381786">
        <w:rPr>
          <w:rFonts w:ascii="Times New Roman" w:hAnsi="Times New Roman" w:cs="Times New Roman"/>
        </w:rPr>
        <w:t>)</w:t>
      </w:r>
      <w:r w:rsidR="00223002" w:rsidRPr="00381786">
        <w:rPr>
          <w:rFonts w:ascii="Times New Roman" w:hAnsi="Times New Roman" w:cs="Times New Roman"/>
        </w:rPr>
        <w:t xml:space="preserve"> display the conditional prevalence of diseases. The number of individuals in each group was 12,307 (ONCD), 4,719 (ONCD&amp;OCD), and 3,705 (OCD).</w:t>
      </w:r>
      <w:r w:rsidR="00F00D6F" w:rsidRPr="00381786">
        <w:rPr>
          <w:rFonts w:ascii="Times New Roman" w:hAnsi="Times New Roman" w:cs="Times New Roman"/>
        </w:rPr>
        <w:t xml:space="preserve"> </w:t>
      </w:r>
    </w:p>
    <w:p w14:paraId="33E74C51" w14:textId="17263B62" w:rsidR="00C67BA4" w:rsidRPr="00381786" w:rsidRDefault="00223002" w:rsidP="00086D35">
      <w:pPr>
        <w:pStyle w:val="NoSpacing"/>
        <w:spacing w:line="360" w:lineRule="auto"/>
        <w:jc w:val="both"/>
        <w:rPr>
          <w:rFonts w:ascii="Times New Roman" w:hAnsi="Times New Roman" w:cs="Times New Roman"/>
        </w:rPr>
      </w:pPr>
      <w:r w:rsidRPr="00381786">
        <w:rPr>
          <w:rFonts w:ascii="Times New Roman" w:hAnsi="Times New Roman" w:cs="Times New Roman"/>
          <w:bCs/>
        </w:rPr>
        <w:t xml:space="preserve">Table </w:t>
      </w:r>
      <w:r w:rsidR="00F35F4A">
        <w:rPr>
          <w:rFonts w:ascii="Times New Roman" w:hAnsi="Times New Roman" w:cs="Times New Roman"/>
          <w:bCs/>
        </w:rPr>
        <w:t>1</w:t>
      </w:r>
      <w:r w:rsidR="00337ED4" w:rsidRPr="00381786">
        <w:rPr>
          <w:rFonts w:ascii="Times New Roman" w:hAnsi="Times New Roman" w:cs="Times New Roman"/>
        </w:rPr>
        <w:t xml:space="preserve"> shows the prevalence of specific non-communicable and communicable diseases. Hypertension emerged as the most prevalent NCD among the elderly, particularly within the ONCD group, followed by the ONCD&amp;OCD group. Chronic bone/joint disease (17.8%) was the second most prevalent, followed by diabetes (15.48%). For each NCD, prevalence was generally more than twice as high in the ONCD group compared to ONCD&amp;OCD, except for chronic lung disease.</w:t>
      </w:r>
    </w:p>
    <w:p w14:paraId="3DA396E0" w14:textId="0DF13636" w:rsidR="00CC508D" w:rsidRPr="00381786" w:rsidRDefault="00F35F4A" w:rsidP="00CC508D">
      <w:pPr>
        <w:pStyle w:val="NoSpacing"/>
        <w:spacing w:line="360" w:lineRule="auto"/>
        <w:jc w:val="both"/>
        <w:rPr>
          <w:rFonts w:ascii="Times New Roman" w:hAnsi="Times New Roman" w:cs="Times New Roman"/>
        </w:rPr>
      </w:pPr>
      <w:r>
        <w:rPr>
          <w:rFonts w:ascii="Times New Roman" w:eastAsia="Calibri" w:hAnsi="Times New Roman" w:cs="Times New Roman"/>
          <w:b/>
          <w:bCs/>
        </w:rPr>
        <w:t>Table1</w:t>
      </w:r>
      <w:r w:rsidR="00CC508D" w:rsidRPr="00381786">
        <w:rPr>
          <w:rFonts w:ascii="Times New Roman" w:eastAsia="Calibri" w:hAnsi="Times New Roman" w:cs="Times New Roman"/>
          <w:b/>
          <w:bCs/>
        </w:rPr>
        <w:t xml:space="preserve">. </w:t>
      </w:r>
      <w:r w:rsidR="00CC508D" w:rsidRPr="00381786">
        <w:rPr>
          <w:rFonts w:ascii="Times New Roman" w:eastAsia="Calibri" w:hAnsi="Times New Roman" w:cs="Times New Roman"/>
          <w:bCs/>
        </w:rPr>
        <w:t>Prevalence of non-communicable and communicable diseases among elderly.</w:t>
      </w:r>
    </w:p>
    <w:tbl>
      <w:tblPr>
        <w:tblStyle w:val="TableGrid1"/>
        <w:tblW w:w="9540" w:type="dxa"/>
        <w:tblInd w:w="108" w:type="dxa"/>
        <w:tblLook w:val="04A0" w:firstRow="1" w:lastRow="0" w:firstColumn="1" w:lastColumn="0" w:noHBand="0" w:noVBand="1"/>
      </w:tblPr>
      <w:tblGrid>
        <w:gridCol w:w="1510"/>
        <w:gridCol w:w="1083"/>
        <w:gridCol w:w="956"/>
        <w:gridCol w:w="998"/>
        <w:gridCol w:w="2482"/>
        <w:gridCol w:w="1083"/>
        <w:gridCol w:w="861"/>
        <w:gridCol w:w="874"/>
      </w:tblGrid>
      <w:tr w:rsidR="002F10B3" w:rsidRPr="00381786" w14:paraId="3EF830D8" w14:textId="77777777" w:rsidTr="002F10B3">
        <w:trPr>
          <w:trHeight w:val="322"/>
        </w:trPr>
        <w:tc>
          <w:tcPr>
            <w:tcW w:w="1440" w:type="dxa"/>
            <w:noWrap/>
            <w:vAlign w:val="center"/>
            <w:hideMark/>
          </w:tcPr>
          <w:p w14:paraId="47DFDA27"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Ever diagnosed with NCDs</w:t>
            </w:r>
          </w:p>
        </w:tc>
        <w:tc>
          <w:tcPr>
            <w:tcW w:w="1035" w:type="dxa"/>
            <w:noWrap/>
            <w:vAlign w:val="center"/>
            <w:hideMark/>
          </w:tcPr>
          <w:p w14:paraId="71C0EEA5"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ONCD&amp; OCD</w:t>
            </w:r>
          </w:p>
        </w:tc>
        <w:tc>
          <w:tcPr>
            <w:tcW w:w="940" w:type="dxa"/>
            <w:noWrap/>
            <w:vAlign w:val="center"/>
            <w:hideMark/>
          </w:tcPr>
          <w:p w14:paraId="1190200A"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ONCD</w:t>
            </w:r>
          </w:p>
        </w:tc>
        <w:tc>
          <w:tcPr>
            <w:tcW w:w="998" w:type="dxa"/>
            <w:noWrap/>
            <w:vAlign w:val="center"/>
            <w:hideMark/>
          </w:tcPr>
          <w:p w14:paraId="6129C8EB"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Total</w:t>
            </w:r>
          </w:p>
        </w:tc>
        <w:tc>
          <w:tcPr>
            <w:tcW w:w="2357" w:type="dxa"/>
            <w:noWrap/>
            <w:vAlign w:val="center"/>
            <w:hideMark/>
          </w:tcPr>
          <w:p w14:paraId="1B0DBC6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Had acute CDs in past two years</w:t>
            </w:r>
          </w:p>
        </w:tc>
        <w:tc>
          <w:tcPr>
            <w:tcW w:w="1035" w:type="dxa"/>
            <w:noWrap/>
            <w:vAlign w:val="center"/>
            <w:hideMark/>
          </w:tcPr>
          <w:p w14:paraId="7902B8BA"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ONCD&amp;</w:t>
            </w:r>
          </w:p>
          <w:p w14:paraId="78759F91"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OCD</w:t>
            </w:r>
          </w:p>
        </w:tc>
        <w:tc>
          <w:tcPr>
            <w:tcW w:w="861" w:type="dxa"/>
            <w:noWrap/>
            <w:vAlign w:val="center"/>
            <w:hideMark/>
          </w:tcPr>
          <w:p w14:paraId="5377825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OCD</w:t>
            </w:r>
          </w:p>
        </w:tc>
        <w:tc>
          <w:tcPr>
            <w:tcW w:w="874" w:type="dxa"/>
            <w:noWrap/>
            <w:vAlign w:val="center"/>
            <w:hideMark/>
          </w:tcPr>
          <w:p w14:paraId="2AD16ABA"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Total</w:t>
            </w:r>
          </w:p>
        </w:tc>
      </w:tr>
      <w:tr w:rsidR="002F10B3" w:rsidRPr="00381786" w14:paraId="0DCD0FEA" w14:textId="77777777" w:rsidTr="002F10B3">
        <w:trPr>
          <w:trHeight w:val="336"/>
        </w:trPr>
        <w:tc>
          <w:tcPr>
            <w:tcW w:w="1440" w:type="dxa"/>
            <w:noWrap/>
            <w:vAlign w:val="center"/>
            <w:hideMark/>
          </w:tcPr>
          <w:p w14:paraId="5276AF0D"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Hypertension</w:t>
            </w:r>
          </w:p>
        </w:tc>
        <w:tc>
          <w:tcPr>
            <w:tcW w:w="1035" w:type="dxa"/>
            <w:noWrap/>
            <w:vAlign w:val="center"/>
            <w:hideMark/>
          </w:tcPr>
          <w:p w14:paraId="2E2664BC"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9.52%</w:t>
            </w:r>
          </w:p>
        </w:tc>
        <w:tc>
          <w:tcPr>
            <w:tcW w:w="940" w:type="dxa"/>
            <w:noWrap/>
            <w:vAlign w:val="center"/>
            <w:hideMark/>
          </w:tcPr>
          <w:p w14:paraId="11F34010"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25.52%</w:t>
            </w:r>
          </w:p>
        </w:tc>
        <w:tc>
          <w:tcPr>
            <w:tcW w:w="998" w:type="dxa"/>
            <w:noWrap/>
            <w:vAlign w:val="center"/>
            <w:hideMark/>
          </w:tcPr>
          <w:p w14:paraId="3BED6F65"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35.03%</w:t>
            </w:r>
          </w:p>
        </w:tc>
        <w:tc>
          <w:tcPr>
            <w:tcW w:w="2357" w:type="dxa"/>
            <w:noWrap/>
            <w:vAlign w:val="center"/>
            <w:hideMark/>
          </w:tcPr>
          <w:p w14:paraId="1ED73768"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Diarrhea/gastroenteritis</w:t>
            </w:r>
          </w:p>
        </w:tc>
        <w:tc>
          <w:tcPr>
            <w:tcW w:w="1035" w:type="dxa"/>
            <w:noWrap/>
            <w:vAlign w:val="center"/>
            <w:hideMark/>
          </w:tcPr>
          <w:p w14:paraId="41754FB9"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7.14%</w:t>
            </w:r>
          </w:p>
        </w:tc>
        <w:tc>
          <w:tcPr>
            <w:tcW w:w="861" w:type="dxa"/>
            <w:noWrap/>
            <w:vAlign w:val="center"/>
            <w:hideMark/>
          </w:tcPr>
          <w:p w14:paraId="4C8035DC"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6.26%</w:t>
            </w:r>
          </w:p>
        </w:tc>
        <w:tc>
          <w:tcPr>
            <w:tcW w:w="874" w:type="dxa"/>
            <w:noWrap/>
            <w:vAlign w:val="center"/>
            <w:hideMark/>
          </w:tcPr>
          <w:p w14:paraId="6D9F27F7"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13.4%</w:t>
            </w:r>
          </w:p>
        </w:tc>
      </w:tr>
      <w:tr w:rsidR="002F10B3" w:rsidRPr="00381786" w14:paraId="3EBA17CF" w14:textId="77777777" w:rsidTr="002F10B3">
        <w:trPr>
          <w:trHeight w:val="336"/>
        </w:trPr>
        <w:tc>
          <w:tcPr>
            <w:tcW w:w="1440" w:type="dxa"/>
            <w:noWrap/>
            <w:vAlign w:val="center"/>
            <w:hideMark/>
          </w:tcPr>
          <w:p w14:paraId="0EE84E1D"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Cancer</w:t>
            </w:r>
          </w:p>
        </w:tc>
        <w:tc>
          <w:tcPr>
            <w:tcW w:w="1035" w:type="dxa"/>
            <w:noWrap/>
            <w:vAlign w:val="center"/>
            <w:hideMark/>
          </w:tcPr>
          <w:p w14:paraId="01097AAB"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0.21%</w:t>
            </w:r>
          </w:p>
        </w:tc>
        <w:tc>
          <w:tcPr>
            <w:tcW w:w="940" w:type="dxa"/>
            <w:noWrap/>
            <w:vAlign w:val="center"/>
            <w:hideMark/>
          </w:tcPr>
          <w:p w14:paraId="63B39436"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0.55%</w:t>
            </w:r>
          </w:p>
        </w:tc>
        <w:tc>
          <w:tcPr>
            <w:tcW w:w="998" w:type="dxa"/>
            <w:noWrap/>
            <w:vAlign w:val="center"/>
            <w:hideMark/>
          </w:tcPr>
          <w:p w14:paraId="7B49CE41"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0.76%</w:t>
            </w:r>
          </w:p>
        </w:tc>
        <w:tc>
          <w:tcPr>
            <w:tcW w:w="2357" w:type="dxa"/>
            <w:noWrap/>
            <w:vAlign w:val="center"/>
            <w:hideMark/>
          </w:tcPr>
          <w:p w14:paraId="597A9BD5"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Malaria</w:t>
            </w:r>
          </w:p>
        </w:tc>
        <w:tc>
          <w:tcPr>
            <w:tcW w:w="1035" w:type="dxa"/>
            <w:noWrap/>
            <w:vAlign w:val="center"/>
            <w:hideMark/>
          </w:tcPr>
          <w:p w14:paraId="4FB91CC2"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3.86%</w:t>
            </w:r>
          </w:p>
        </w:tc>
        <w:tc>
          <w:tcPr>
            <w:tcW w:w="861" w:type="dxa"/>
            <w:noWrap/>
            <w:vAlign w:val="center"/>
            <w:hideMark/>
          </w:tcPr>
          <w:p w14:paraId="0B912B47"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3.75%</w:t>
            </w:r>
          </w:p>
        </w:tc>
        <w:tc>
          <w:tcPr>
            <w:tcW w:w="874" w:type="dxa"/>
            <w:noWrap/>
            <w:vAlign w:val="center"/>
            <w:hideMark/>
          </w:tcPr>
          <w:p w14:paraId="5B35EC60"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7.61%</w:t>
            </w:r>
          </w:p>
        </w:tc>
      </w:tr>
      <w:tr w:rsidR="002F10B3" w:rsidRPr="00381786" w14:paraId="1277E3C3" w14:textId="77777777" w:rsidTr="002F10B3">
        <w:trPr>
          <w:trHeight w:val="336"/>
        </w:trPr>
        <w:tc>
          <w:tcPr>
            <w:tcW w:w="1440" w:type="dxa"/>
            <w:noWrap/>
            <w:vAlign w:val="center"/>
            <w:hideMark/>
          </w:tcPr>
          <w:p w14:paraId="0430407C"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Chronic lung disease</w:t>
            </w:r>
          </w:p>
        </w:tc>
        <w:tc>
          <w:tcPr>
            <w:tcW w:w="1035" w:type="dxa"/>
            <w:noWrap/>
            <w:vAlign w:val="center"/>
            <w:hideMark/>
          </w:tcPr>
          <w:p w14:paraId="4A26982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2.81%</w:t>
            </w:r>
          </w:p>
        </w:tc>
        <w:tc>
          <w:tcPr>
            <w:tcW w:w="940" w:type="dxa"/>
            <w:noWrap/>
            <w:vAlign w:val="center"/>
            <w:hideMark/>
          </w:tcPr>
          <w:p w14:paraId="45A91353"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4.75%</w:t>
            </w:r>
          </w:p>
        </w:tc>
        <w:tc>
          <w:tcPr>
            <w:tcW w:w="998" w:type="dxa"/>
            <w:noWrap/>
            <w:vAlign w:val="center"/>
            <w:hideMark/>
          </w:tcPr>
          <w:p w14:paraId="02571F3D"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7.55%</w:t>
            </w:r>
          </w:p>
        </w:tc>
        <w:tc>
          <w:tcPr>
            <w:tcW w:w="2357" w:type="dxa"/>
            <w:noWrap/>
            <w:vAlign w:val="center"/>
            <w:hideMark/>
          </w:tcPr>
          <w:p w14:paraId="63561098"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Typhoid</w:t>
            </w:r>
          </w:p>
        </w:tc>
        <w:tc>
          <w:tcPr>
            <w:tcW w:w="1035" w:type="dxa"/>
            <w:noWrap/>
            <w:vAlign w:val="center"/>
            <w:hideMark/>
          </w:tcPr>
          <w:p w14:paraId="77C78237"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2.87%</w:t>
            </w:r>
          </w:p>
        </w:tc>
        <w:tc>
          <w:tcPr>
            <w:tcW w:w="861" w:type="dxa"/>
            <w:noWrap/>
            <w:vAlign w:val="center"/>
            <w:hideMark/>
          </w:tcPr>
          <w:p w14:paraId="3BDB7782"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2.02%</w:t>
            </w:r>
          </w:p>
        </w:tc>
        <w:tc>
          <w:tcPr>
            <w:tcW w:w="874" w:type="dxa"/>
            <w:noWrap/>
            <w:vAlign w:val="center"/>
            <w:hideMark/>
          </w:tcPr>
          <w:p w14:paraId="6D8495E8"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4.89%</w:t>
            </w:r>
          </w:p>
        </w:tc>
      </w:tr>
      <w:tr w:rsidR="002F10B3" w:rsidRPr="00381786" w14:paraId="3F7FA34A" w14:textId="77777777" w:rsidTr="002F10B3">
        <w:trPr>
          <w:trHeight w:val="336"/>
        </w:trPr>
        <w:tc>
          <w:tcPr>
            <w:tcW w:w="1440" w:type="dxa"/>
            <w:noWrap/>
            <w:vAlign w:val="center"/>
            <w:hideMark/>
          </w:tcPr>
          <w:p w14:paraId="1C697AB2"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Chronic heart diseases</w:t>
            </w:r>
          </w:p>
        </w:tc>
        <w:tc>
          <w:tcPr>
            <w:tcW w:w="1035" w:type="dxa"/>
            <w:noWrap/>
            <w:vAlign w:val="center"/>
            <w:hideMark/>
          </w:tcPr>
          <w:p w14:paraId="1594C3C0"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1.37%</w:t>
            </w:r>
          </w:p>
        </w:tc>
        <w:tc>
          <w:tcPr>
            <w:tcW w:w="940" w:type="dxa"/>
            <w:noWrap/>
            <w:vAlign w:val="center"/>
            <w:hideMark/>
          </w:tcPr>
          <w:p w14:paraId="0726625D"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3.64%</w:t>
            </w:r>
          </w:p>
        </w:tc>
        <w:tc>
          <w:tcPr>
            <w:tcW w:w="998" w:type="dxa"/>
            <w:noWrap/>
            <w:vAlign w:val="center"/>
            <w:hideMark/>
          </w:tcPr>
          <w:p w14:paraId="66983371"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5.01%</w:t>
            </w:r>
          </w:p>
        </w:tc>
        <w:tc>
          <w:tcPr>
            <w:tcW w:w="2357" w:type="dxa"/>
            <w:noWrap/>
            <w:vAlign w:val="center"/>
            <w:hideMark/>
          </w:tcPr>
          <w:p w14:paraId="77FA75F3"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Anemia</w:t>
            </w:r>
          </w:p>
        </w:tc>
        <w:tc>
          <w:tcPr>
            <w:tcW w:w="1035" w:type="dxa"/>
            <w:noWrap/>
            <w:vAlign w:val="center"/>
            <w:hideMark/>
          </w:tcPr>
          <w:p w14:paraId="5E8BEDCD"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2.59%</w:t>
            </w:r>
          </w:p>
        </w:tc>
        <w:tc>
          <w:tcPr>
            <w:tcW w:w="861" w:type="dxa"/>
            <w:noWrap/>
            <w:vAlign w:val="center"/>
            <w:hideMark/>
          </w:tcPr>
          <w:p w14:paraId="392EBB59"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1.39%</w:t>
            </w:r>
          </w:p>
        </w:tc>
        <w:tc>
          <w:tcPr>
            <w:tcW w:w="874" w:type="dxa"/>
            <w:noWrap/>
            <w:vAlign w:val="center"/>
            <w:hideMark/>
          </w:tcPr>
          <w:p w14:paraId="50D6120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3.98%</w:t>
            </w:r>
          </w:p>
        </w:tc>
      </w:tr>
      <w:tr w:rsidR="002F10B3" w:rsidRPr="00381786" w14:paraId="6E12FFE2" w14:textId="77777777" w:rsidTr="002F10B3">
        <w:trPr>
          <w:trHeight w:val="336"/>
        </w:trPr>
        <w:tc>
          <w:tcPr>
            <w:tcW w:w="1440" w:type="dxa"/>
            <w:noWrap/>
            <w:vAlign w:val="center"/>
            <w:hideMark/>
          </w:tcPr>
          <w:p w14:paraId="1EA81F8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Stroke</w:t>
            </w:r>
          </w:p>
        </w:tc>
        <w:tc>
          <w:tcPr>
            <w:tcW w:w="1035" w:type="dxa"/>
            <w:noWrap/>
            <w:vAlign w:val="center"/>
            <w:hideMark/>
          </w:tcPr>
          <w:p w14:paraId="32CF63FA"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0.66%</w:t>
            </w:r>
          </w:p>
        </w:tc>
        <w:tc>
          <w:tcPr>
            <w:tcW w:w="940" w:type="dxa"/>
            <w:noWrap/>
            <w:vAlign w:val="center"/>
            <w:hideMark/>
          </w:tcPr>
          <w:p w14:paraId="593B3C0B"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2.02%</w:t>
            </w:r>
          </w:p>
        </w:tc>
        <w:tc>
          <w:tcPr>
            <w:tcW w:w="998" w:type="dxa"/>
            <w:noWrap/>
            <w:vAlign w:val="center"/>
            <w:hideMark/>
          </w:tcPr>
          <w:p w14:paraId="507B641C"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2.68%</w:t>
            </w:r>
          </w:p>
        </w:tc>
        <w:tc>
          <w:tcPr>
            <w:tcW w:w="2357" w:type="dxa"/>
            <w:noWrap/>
            <w:vAlign w:val="center"/>
            <w:hideMark/>
          </w:tcPr>
          <w:p w14:paraId="28BC7884"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Jaundice/hepatitis</w:t>
            </w:r>
          </w:p>
        </w:tc>
        <w:tc>
          <w:tcPr>
            <w:tcW w:w="1035" w:type="dxa"/>
            <w:noWrap/>
            <w:vAlign w:val="center"/>
            <w:hideMark/>
          </w:tcPr>
          <w:p w14:paraId="61681A78"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1.5%</w:t>
            </w:r>
          </w:p>
        </w:tc>
        <w:tc>
          <w:tcPr>
            <w:tcW w:w="861" w:type="dxa"/>
            <w:noWrap/>
            <w:vAlign w:val="center"/>
            <w:hideMark/>
          </w:tcPr>
          <w:p w14:paraId="71CC6879"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1.18%</w:t>
            </w:r>
          </w:p>
        </w:tc>
        <w:tc>
          <w:tcPr>
            <w:tcW w:w="874" w:type="dxa"/>
            <w:noWrap/>
            <w:vAlign w:val="center"/>
            <w:hideMark/>
          </w:tcPr>
          <w:p w14:paraId="49D0E5F7"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2.68%</w:t>
            </w:r>
          </w:p>
        </w:tc>
      </w:tr>
      <w:tr w:rsidR="002F10B3" w:rsidRPr="00381786" w14:paraId="599094DC" w14:textId="77777777" w:rsidTr="002F10B3">
        <w:trPr>
          <w:trHeight w:val="336"/>
        </w:trPr>
        <w:tc>
          <w:tcPr>
            <w:tcW w:w="1440" w:type="dxa"/>
            <w:noWrap/>
            <w:vAlign w:val="center"/>
            <w:hideMark/>
          </w:tcPr>
          <w:p w14:paraId="69EF620E"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Chronic bone/joint diseases</w:t>
            </w:r>
          </w:p>
        </w:tc>
        <w:tc>
          <w:tcPr>
            <w:tcW w:w="1035" w:type="dxa"/>
            <w:noWrap/>
            <w:vAlign w:val="center"/>
            <w:hideMark/>
          </w:tcPr>
          <w:p w14:paraId="1F91B4F0"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5.68%</w:t>
            </w:r>
          </w:p>
        </w:tc>
        <w:tc>
          <w:tcPr>
            <w:tcW w:w="940" w:type="dxa"/>
            <w:noWrap/>
            <w:vAlign w:val="center"/>
            <w:hideMark/>
          </w:tcPr>
          <w:p w14:paraId="33D72CB6"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12.13%</w:t>
            </w:r>
          </w:p>
        </w:tc>
        <w:tc>
          <w:tcPr>
            <w:tcW w:w="998" w:type="dxa"/>
            <w:noWrap/>
            <w:vAlign w:val="center"/>
            <w:hideMark/>
          </w:tcPr>
          <w:p w14:paraId="60DB0D91"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17.8%</w:t>
            </w:r>
          </w:p>
        </w:tc>
        <w:tc>
          <w:tcPr>
            <w:tcW w:w="2357" w:type="dxa"/>
            <w:noWrap/>
            <w:vAlign w:val="center"/>
            <w:hideMark/>
          </w:tcPr>
          <w:p w14:paraId="4EA47081"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Urinary tract infection</w:t>
            </w:r>
          </w:p>
        </w:tc>
        <w:tc>
          <w:tcPr>
            <w:tcW w:w="1035" w:type="dxa"/>
            <w:noWrap/>
            <w:vAlign w:val="center"/>
            <w:hideMark/>
          </w:tcPr>
          <w:p w14:paraId="157CF63C"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1.78%</w:t>
            </w:r>
          </w:p>
        </w:tc>
        <w:tc>
          <w:tcPr>
            <w:tcW w:w="861" w:type="dxa"/>
            <w:noWrap/>
            <w:vAlign w:val="center"/>
            <w:hideMark/>
          </w:tcPr>
          <w:p w14:paraId="75FF0874"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0.74%</w:t>
            </w:r>
          </w:p>
        </w:tc>
        <w:tc>
          <w:tcPr>
            <w:tcW w:w="874" w:type="dxa"/>
            <w:noWrap/>
            <w:vAlign w:val="center"/>
            <w:hideMark/>
          </w:tcPr>
          <w:p w14:paraId="53F42DD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2.52%</w:t>
            </w:r>
          </w:p>
        </w:tc>
      </w:tr>
      <w:tr w:rsidR="002F10B3" w:rsidRPr="00381786" w14:paraId="2E4AFF26" w14:textId="77777777" w:rsidTr="002F10B3">
        <w:trPr>
          <w:trHeight w:val="336"/>
        </w:trPr>
        <w:tc>
          <w:tcPr>
            <w:tcW w:w="1440" w:type="dxa"/>
            <w:noWrap/>
            <w:vAlign w:val="center"/>
            <w:hideMark/>
          </w:tcPr>
          <w:p w14:paraId="1AAB9564"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high cholesterol</w:t>
            </w:r>
          </w:p>
        </w:tc>
        <w:tc>
          <w:tcPr>
            <w:tcW w:w="1035" w:type="dxa"/>
            <w:noWrap/>
            <w:vAlign w:val="center"/>
            <w:hideMark/>
          </w:tcPr>
          <w:p w14:paraId="438ECC29"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0.87%</w:t>
            </w:r>
          </w:p>
        </w:tc>
        <w:tc>
          <w:tcPr>
            <w:tcW w:w="940" w:type="dxa"/>
            <w:noWrap/>
            <w:vAlign w:val="center"/>
            <w:hideMark/>
          </w:tcPr>
          <w:p w14:paraId="583B0886"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2.89%</w:t>
            </w:r>
          </w:p>
        </w:tc>
        <w:tc>
          <w:tcPr>
            <w:tcW w:w="998" w:type="dxa"/>
            <w:noWrap/>
            <w:vAlign w:val="center"/>
            <w:hideMark/>
          </w:tcPr>
          <w:p w14:paraId="6BC2EF64"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3.76%</w:t>
            </w:r>
          </w:p>
        </w:tc>
        <w:tc>
          <w:tcPr>
            <w:tcW w:w="2357" w:type="dxa"/>
            <w:noWrap/>
            <w:vAlign w:val="center"/>
            <w:hideMark/>
          </w:tcPr>
          <w:p w14:paraId="3066D30E"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Chikungunya</w:t>
            </w:r>
          </w:p>
        </w:tc>
        <w:tc>
          <w:tcPr>
            <w:tcW w:w="1035" w:type="dxa"/>
            <w:noWrap/>
            <w:vAlign w:val="center"/>
            <w:hideMark/>
          </w:tcPr>
          <w:p w14:paraId="73BB7FF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1.1%</w:t>
            </w:r>
          </w:p>
        </w:tc>
        <w:tc>
          <w:tcPr>
            <w:tcW w:w="861" w:type="dxa"/>
            <w:noWrap/>
            <w:vAlign w:val="center"/>
            <w:hideMark/>
          </w:tcPr>
          <w:p w14:paraId="7B2A5783"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0.69%</w:t>
            </w:r>
          </w:p>
        </w:tc>
        <w:tc>
          <w:tcPr>
            <w:tcW w:w="874" w:type="dxa"/>
            <w:noWrap/>
            <w:vAlign w:val="center"/>
            <w:hideMark/>
          </w:tcPr>
          <w:p w14:paraId="226C42CA"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1.79%</w:t>
            </w:r>
          </w:p>
        </w:tc>
      </w:tr>
      <w:tr w:rsidR="002F10B3" w:rsidRPr="00381786" w14:paraId="522C8810" w14:textId="77777777" w:rsidTr="002F10B3">
        <w:trPr>
          <w:trHeight w:val="336"/>
        </w:trPr>
        <w:tc>
          <w:tcPr>
            <w:tcW w:w="1440" w:type="dxa"/>
            <w:noWrap/>
            <w:vAlign w:val="center"/>
            <w:hideMark/>
          </w:tcPr>
          <w:p w14:paraId="0E2B1E63"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Neurological or psychiatric problems</w:t>
            </w:r>
          </w:p>
        </w:tc>
        <w:tc>
          <w:tcPr>
            <w:tcW w:w="1035" w:type="dxa"/>
            <w:noWrap/>
            <w:vAlign w:val="center"/>
            <w:hideMark/>
          </w:tcPr>
          <w:p w14:paraId="27397DAE"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0.88%</w:t>
            </w:r>
          </w:p>
        </w:tc>
        <w:tc>
          <w:tcPr>
            <w:tcW w:w="940" w:type="dxa"/>
            <w:noWrap/>
            <w:vAlign w:val="center"/>
            <w:hideMark/>
          </w:tcPr>
          <w:p w14:paraId="63973B26"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1.81%</w:t>
            </w:r>
          </w:p>
        </w:tc>
        <w:tc>
          <w:tcPr>
            <w:tcW w:w="998" w:type="dxa"/>
            <w:noWrap/>
            <w:vAlign w:val="center"/>
            <w:hideMark/>
          </w:tcPr>
          <w:p w14:paraId="3BC510D3"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2.69%</w:t>
            </w:r>
          </w:p>
        </w:tc>
        <w:tc>
          <w:tcPr>
            <w:tcW w:w="2357" w:type="dxa"/>
            <w:noWrap/>
            <w:vAlign w:val="center"/>
            <w:hideMark/>
          </w:tcPr>
          <w:p w14:paraId="12233756"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Tuberculosis (TB)</w:t>
            </w:r>
          </w:p>
        </w:tc>
        <w:tc>
          <w:tcPr>
            <w:tcW w:w="1035" w:type="dxa"/>
            <w:noWrap/>
            <w:vAlign w:val="center"/>
            <w:hideMark/>
          </w:tcPr>
          <w:p w14:paraId="6C0E990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0.64%</w:t>
            </w:r>
          </w:p>
        </w:tc>
        <w:tc>
          <w:tcPr>
            <w:tcW w:w="861" w:type="dxa"/>
            <w:noWrap/>
            <w:vAlign w:val="center"/>
            <w:hideMark/>
          </w:tcPr>
          <w:p w14:paraId="0712C4D8"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0.37%</w:t>
            </w:r>
          </w:p>
        </w:tc>
        <w:tc>
          <w:tcPr>
            <w:tcW w:w="874" w:type="dxa"/>
            <w:noWrap/>
            <w:vAlign w:val="center"/>
            <w:hideMark/>
          </w:tcPr>
          <w:p w14:paraId="761657A0"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w:t>
            </w:r>
          </w:p>
        </w:tc>
      </w:tr>
      <w:tr w:rsidR="002F10B3" w:rsidRPr="00381786" w14:paraId="7BFB56AE" w14:textId="77777777" w:rsidTr="002F10B3">
        <w:trPr>
          <w:trHeight w:val="336"/>
        </w:trPr>
        <w:tc>
          <w:tcPr>
            <w:tcW w:w="1440" w:type="dxa"/>
            <w:noWrap/>
            <w:vAlign w:val="center"/>
            <w:hideMark/>
          </w:tcPr>
          <w:p w14:paraId="116CC015"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Diabetes</w:t>
            </w:r>
          </w:p>
        </w:tc>
        <w:tc>
          <w:tcPr>
            <w:tcW w:w="1035" w:type="dxa"/>
            <w:noWrap/>
            <w:vAlign w:val="center"/>
            <w:hideMark/>
          </w:tcPr>
          <w:p w14:paraId="1411992F"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3.53%</w:t>
            </w:r>
          </w:p>
        </w:tc>
        <w:tc>
          <w:tcPr>
            <w:tcW w:w="940" w:type="dxa"/>
            <w:noWrap/>
            <w:vAlign w:val="center"/>
            <w:hideMark/>
          </w:tcPr>
          <w:p w14:paraId="022E525B"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11.96%</w:t>
            </w:r>
          </w:p>
        </w:tc>
        <w:tc>
          <w:tcPr>
            <w:tcW w:w="998" w:type="dxa"/>
            <w:noWrap/>
            <w:vAlign w:val="center"/>
            <w:hideMark/>
          </w:tcPr>
          <w:p w14:paraId="461A1BF7"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15.48%</w:t>
            </w:r>
          </w:p>
        </w:tc>
        <w:tc>
          <w:tcPr>
            <w:tcW w:w="2357" w:type="dxa"/>
            <w:noWrap/>
            <w:vAlign w:val="center"/>
            <w:hideMark/>
          </w:tcPr>
          <w:p w14:paraId="72AFA154"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Dengue</w:t>
            </w:r>
          </w:p>
        </w:tc>
        <w:tc>
          <w:tcPr>
            <w:tcW w:w="1035" w:type="dxa"/>
            <w:noWrap/>
            <w:vAlign w:val="center"/>
            <w:hideMark/>
          </w:tcPr>
          <w:p w14:paraId="56CD191D"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0.59%</w:t>
            </w:r>
          </w:p>
        </w:tc>
        <w:tc>
          <w:tcPr>
            <w:tcW w:w="861" w:type="dxa"/>
            <w:noWrap/>
            <w:vAlign w:val="center"/>
            <w:hideMark/>
          </w:tcPr>
          <w:p w14:paraId="15494248"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0.25%</w:t>
            </w:r>
          </w:p>
        </w:tc>
        <w:tc>
          <w:tcPr>
            <w:tcW w:w="874" w:type="dxa"/>
            <w:noWrap/>
            <w:vAlign w:val="center"/>
            <w:hideMark/>
          </w:tcPr>
          <w:p w14:paraId="36808858" w14:textId="77777777" w:rsidR="00CC508D" w:rsidRPr="00381786" w:rsidRDefault="00CC508D" w:rsidP="00BD2233">
            <w:pPr>
              <w:spacing w:line="360" w:lineRule="auto"/>
              <w:jc w:val="center"/>
              <w:rPr>
                <w:rFonts w:ascii="Times New Roman" w:eastAsia="Calibri" w:hAnsi="Times New Roman" w:cs="Times New Roman"/>
              </w:rPr>
            </w:pPr>
            <w:r w:rsidRPr="00381786">
              <w:rPr>
                <w:rFonts w:ascii="Times New Roman" w:eastAsia="Calibri" w:hAnsi="Times New Roman" w:cs="Times New Roman"/>
              </w:rPr>
              <w:t>0.84%</w:t>
            </w:r>
          </w:p>
        </w:tc>
      </w:tr>
    </w:tbl>
    <w:p w14:paraId="5625FEFB" w14:textId="77777777" w:rsidR="00CC508D" w:rsidRPr="00381786" w:rsidRDefault="00CC508D" w:rsidP="00086D35">
      <w:pPr>
        <w:pStyle w:val="NoSpacing"/>
        <w:spacing w:line="360" w:lineRule="auto"/>
        <w:jc w:val="both"/>
        <w:rPr>
          <w:rFonts w:ascii="Times New Roman" w:hAnsi="Times New Roman" w:cs="Times New Roman"/>
        </w:rPr>
      </w:pPr>
    </w:p>
    <w:p w14:paraId="0AB3C352" w14:textId="2058EDC1" w:rsidR="00CC508D" w:rsidRPr="00381786" w:rsidRDefault="00337ED4" w:rsidP="00086D35">
      <w:pPr>
        <w:pStyle w:val="NoSpacing"/>
        <w:spacing w:line="360" w:lineRule="auto"/>
        <w:jc w:val="both"/>
        <w:rPr>
          <w:rFonts w:ascii="Times New Roman" w:hAnsi="Times New Roman" w:cs="Times New Roman"/>
        </w:rPr>
      </w:pPr>
      <w:r w:rsidRPr="00381786">
        <w:rPr>
          <w:rFonts w:ascii="Times New Roman" w:hAnsi="Times New Roman" w:cs="Times New Roman"/>
        </w:rPr>
        <w:t xml:space="preserve">Among CDs, diarrhea/gastroenteritis had the highest prevalence (13.4%), followed by malaria (7.61%), typhoid (4.89%), and anemia (3.98%). Interestingly, diarrhea/gastroenteritis was more </w:t>
      </w:r>
      <w:r w:rsidRPr="00381786">
        <w:rPr>
          <w:rFonts w:ascii="Times New Roman" w:hAnsi="Times New Roman" w:cs="Times New Roman"/>
        </w:rPr>
        <w:lastRenderedPageBreak/>
        <w:t>common in the ONCD&amp;OCD group (7.14%) compared to the OCD group (6.26%), indicating that individuals with both NCDs and CDs might be at higher risk for some infections.</w:t>
      </w:r>
      <w:r w:rsidR="00F00D6F" w:rsidRPr="00381786">
        <w:rPr>
          <w:rFonts w:ascii="Times New Roman" w:hAnsi="Times New Roman" w:cs="Times New Roman"/>
        </w:rPr>
        <w:t xml:space="preserve"> </w:t>
      </w:r>
      <w:r w:rsidRPr="00381786">
        <w:rPr>
          <w:rFonts w:ascii="Times New Roman" w:hAnsi="Times New Roman" w:cs="Times New Roman"/>
        </w:rPr>
        <w:t xml:space="preserve">To better understand disease burden, conditional </w:t>
      </w:r>
      <w:r w:rsidR="00CC508D" w:rsidRPr="00381786">
        <w:rPr>
          <w:rFonts w:ascii="Times New Roman" w:hAnsi="Times New Roman" w:cs="Times New Roman"/>
        </w:rPr>
        <w:t>prevalence was also calculated.</w:t>
      </w:r>
    </w:p>
    <w:p w14:paraId="1650973E" w14:textId="77777777" w:rsidR="00C67BA4" w:rsidRPr="00381786" w:rsidRDefault="00166083" w:rsidP="00086D35">
      <w:pPr>
        <w:pStyle w:val="NoSpacing"/>
        <w:spacing w:line="360" w:lineRule="auto"/>
        <w:jc w:val="both"/>
        <w:rPr>
          <w:rFonts w:ascii="Times New Roman" w:hAnsi="Times New Roman" w:cs="Times New Roman"/>
        </w:rPr>
      </w:pPr>
      <w:r w:rsidRPr="00381786">
        <w:rPr>
          <w:rFonts w:ascii="Times New Roman" w:hAnsi="Times New Roman" w:cs="Times New Roman"/>
          <w:bCs/>
        </w:rPr>
        <w:t>Fig</w:t>
      </w:r>
      <w:r w:rsidR="006544FD" w:rsidRPr="00381786">
        <w:rPr>
          <w:rFonts w:ascii="Times New Roman" w:hAnsi="Times New Roman" w:cs="Times New Roman"/>
          <w:bCs/>
        </w:rPr>
        <w:t>ure</w:t>
      </w:r>
      <w:r w:rsidR="00D169D9" w:rsidRPr="00381786">
        <w:rPr>
          <w:rFonts w:ascii="Times New Roman" w:hAnsi="Times New Roman" w:cs="Times New Roman"/>
          <w:bCs/>
        </w:rPr>
        <w:t xml:space="preserve"> 2</w:t>
      </w:r>
      <w:r w:rsidR="006544FD" w:rsidRPr="00381786">
        <w:rPr>
          <w:rFonts w:ascii="Times New Roman" w:hAnsi="Times New Roman" w:cs="Times New Roman"/>
          <w:bCs/>
        </w:rPr>
        <w:t>(</w:t>
      </w:r>
      <w:r w:rsidR="00610458" w:rsidRPr="00381786">
        <w:rPr>
          <w:rFonts w:ascii="Times New Roman" w:hAnsi="Times New Roman" w:cs="Times New Roman"/>
          <w:bCs/>
        </w:rPr>
        <w:t>a</w:t>
      </w:r>
      <w:r w:rsidR="006544FD" w:rsidRPr="00381786">
        <w:rPr>
          <w:rFonts w:ascii="Times New Roman" w:hAnsi="Times New Roman" w:cs="Times New Roman"/>
          <w:bCs/>
        </w:rPr>
        <w:t>)</w:t>
      </w:r>
      <w:r w:rsidR="00610458" w:rsidRPr="00381786">
        <w:rPr>
          <w:rFonts w:ascii="Times New Roman" w:hAnsi="Times New Roman" w:cs="Times New Roman"/>
        </w:rPr>
        <w:t xml:space="preserve"> displays the increase in diseases specific conditional prevalence of NCDs among ONCD&amp;OCD compared to ONCD. A positive increase indicates a higher burden in ONCD&amp;OCD (co-morbid group). </w:t>
      </w:r>
    </w:p>
    <w:p w14:paraId="30FC793F" w14:textId="77777777" w:rsidR="008C07B5" w:rsidRPr="00381786" w:rsidRDefault="008C07B5" w:rsidP="00086D35">
      <w:pPr>
        <w:pStyle w:val="NoSpacing"/>
        <w:spacing w:line="360" w:lineRule="auto"/>
        <w:jc w:val="both"/>
        <w:rPr>
          <w:rFonts w:ascii="Times New Roman" w:hAnsi="Times New Roman" w:cs="Times New Roman"/>
        </w:rPr>
      </w:pPr>
    </w:p>
    <w:tbl>
      <w:tblPr>
        <w:tblStyle w:val="TableGrid"/>
        <w:tblW w:w="9180" w:type="dxa"/>
        <w:tblInd w:w="378" w:type="dxa"/>
        <w:tblLayout w:type="fixed"/>
        <w:tblLook w:val="04A0" w:firstRow="1" w:lastRow="0" w:firstColumn="1" w:lastColumn="0" w:noHBand="0" w:noVBand="1"/>
      </w:tblPr>
      <w:tblGrid>
        <w:gridCol w:w="4680"/>
        <w:gridCol w:w="4500"/>
      </w:tblGrid>
      <w:tr w:rsidR="00F35F4A" w:rsidRPr="00381786" w14:paraId="598EA760" w14:textId="77777777" w:rsidTr="008C07B5">
        <w:tc>
          <w:tcPr>
            <w:tcW w:w="4680" w:type="dxa"/>
          </w:tcPr>
          <w:tbl>
            <w:tblPr>
              <w:tblW w:w="4830" w:type="dxa"/>
              <w:tblLayout w:type="fixed"/>
              <w:tblLook w:val="04A0" w:firstRow="1" w:lastRow="0" w:firstColumn="1" w:lastColumn="0" w:noHBand="0" w:noVBand="1"/>
            </w:tblPr>
            <w:tblGrid>
              <w:gridCol w:w="4830"/>
            </w:tblGrid>
            <w:tr w:rsidR="00F35F4A" w:rsidRPr="00610458" w14:paraId="6AD4E103" w14:textId="77777777" w:rsidTr="00BD2233">
              <w:trPr>
                <w:trHeight w:val="300"/>
              </w:trPr>
              <w:tc>
                <w:tcPr>
                  <w:tcW w:w="4830" w:type="dxa"/>
                  <w:tcBorders>
                    <w:top w:val="single" w:sz="4" w:space="0" w:color="993366"/>
                    <w:left w:val="nil"/>
                    <w:bottom w:val="nil"/>
                    <w:right w:val="nil"/>
                  </w:tcBorders>
                  <w:noWrap/>
                </w:tcPr>
                <w:p w14:paraId="3087F529" w14:textId="77777777" w:rsidR="00F35F4A" w:rsidRPr="00610458" w:rsidRDefault="00F35F4A" w:rsidP="00BD2233">
                  <w:pPr>
                    <w:spacing w:after="0" w:line="240" w:lineRule="auto"/>
                    <w:rPr>
                      <w:rFonts w:ascii="Times New Roman" w:eastAsia="Times New Roman" w:hAnsi="Times New Roman" w:cs="Times New Roman"/>
                      <w:b/>
                      <w:bCs/>
                      <w:sz w:val="24"/>
                      <w:szCs w:val="24"/>
                      <w:lang w:bidi="hi-IN"/>
                    </w:rPr>
                  </w:pPr>
                  <w:r w:rsidRPr="00610458">
                    <w:rPr>
                      <w:rFonts w:ascii="Times New Roman" w:eastAsia="Times New Roman" w:hAnsi="Times New Roman" w:cs="Times New Roman"/>
                      <w:b/>
                      <w:bCs/>
                      <w:sz w:val="24"/>
                      <w:szCs w:val="24"/>
                      <w:lang w:bidi="hi-IN"/>
                    </w:rPr>
                    <w:t>Non-communicable diseases</w:t>
                  </w:r>
                </w:p>
              </w:tc>
            </w:tr>
            <w:tr w:rsidR="00F35F4A" w:rsidRPr="00610458" w14:paraId="545D8C4F" w14:textId="77777777" w:rsidTr="00BD2233">
              <w:trPr>
                <w:trHeight w:val="300"/>
              </w:trPr>
              <w:tc>
                <w:tcPr>
                  <w:tcW w:w="4830" w:type="dxa"/>
                  <w:tcBorders>
                    <w:top w:val="single" w:sz="4" w:space="0" w:color="993366"/>
                    <w:left w:val="nil"/>
                    <w:bottom w:val="nil"/>
                    <w:right w:val="nil"/>
                  </w:tcBorders>
                  <w:noWrap/>
                  <w:hideMark/>
                </w:tcPr>
                <w:p w14:paraId="03C915FF"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Chronic lung disease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35.17%</w:t>
                  </w:r>
                </w:p>
              </w:tc>
            </w:tr>
            <w:tr w:rsidR="00F35F4A" w:rsidRPr="00610458" w14:paraId="6304CDE4" w14:textId="77777777" w:rsidTr="00BD2233">
              <w:trPr>
                <w:trHeight w:val="300"/>
              </w:trPr>
              <w:tc>
                <w:tcPr>
                  <w:tcW w:w="4830" w:type="dxa"/>
                  <w:tcBorders>
                    <w:top w:val="single" w:sz="4" w:space="0" w:color="993366"/>
                    <w:left w:val="nil"/>
                    <w:bottom w:val="nil"/>
                    <w:right w:val="nil"/>
                  </w:tcBorders>
                  <w:noWrap/>
                  <w:hideMark/>
                </w:tcPr>
                <w:p w14:paraId="23DCA724"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Neurological or psychiatric problems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20.93%</w:t>
                  </w:r>
                </w:p>
              </w:tc>
            </w:tr>
            <w:tr w:rsidR="00F35F4A" w:rsidRPr="00610458" w14:paraId="37D90247" w14:textId="77777777" w:rsidTr="00BD2233">
              <w:trPr>
                <w:trHeight w:val="300"/>
              </w:trPr>
              <w:tc>
                <w:tcPr>
                  <w:tcW w:w="4830" w:type="dxa"/>
                  <w:tcBorders>
                    <w:top w:val="single" w:sz="4" w:space="0" w:color="993366"/>
                    <w:left w:val="nil"/>
                    <w:bottom w:val="nil"/>
                    <w:right w:val="nil"/>
                  </w:tcBorders>
                  <w:noWrap/>
                  <w:hideMark/>
                </w:tcPr>
                <w:p w14:paraId="4A5B9E69"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Chronic bone/joint diseases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18.06%</w:t>
                  </w:r>
                </w:p>
              </w:tc>
            </w:tr>
            <w:tr w:rsidR="00F35F4A" w:rsidRPr="00610458" w14:paraId="7D5A308C" w14:textId="77777777" w:rsidTr="00BD2233">
              <w:trPr>
                <w:trHeight w:val="300"/>
              </w:trPr>
              <w:tc>
                <w:tcPr>
                  <w:tcW w:w="4830" w:type="dxa"/>
                  <w:tcBorders>
                    <w:top w:val="single" w:sz="4" w:space="0" w:color="993366"/>
                    <w:left w:val="nil"/>
                    <w:bottom w:val="nil"/>
                    <w:right w:val="nil"/>
                  </w:tcBorders>
                  <w:noWrap/>
                  <w:hideMark/>
                </w:tcPr>
                <w:p w14:paraId="1B39395C"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 xml:space="preserve">Cancer </w:t>
                  </w:r>
                  <w:r w:rsidRPr="00610458">
                    <w:rPr>
                      <w:rFonts w:ascii="Stencil" w:eastAsia="Times New Roman" w:hAnsi="Stencil" w:cs="Calibri"/>
                      <w:color w:val="70AD47"/>
                      <w:sz w:val="24"/>
                      <w:szCs w:val="24"/>
                      <w:lang w:bidi="hi-IN"/>
                    </w:rPr>
                    <w:t xml:space="preserve">| </w:t>
                  </w:r>
                  <w:r w:rsidRPr="00610458">
                    <w:rPr>
                      <w:rFonts w:ascii="Times New Roman" w:eastAsia="Times New Roman" w:hAnsi="Times New Roman" w:cs="Times New Roman"/>
                      <w:sz w:val="24"/>
                      <w:szCs w:val="24"/>
                      <w:lang w:bidi="hi-IN"/>
                    </w:rPr>
                    <w:t>-1.45%</w:t>
                  </w:r>
                </w:p>
              </w:tc>
            </w:tr>
            <w:tr w:rsidR="00F35F4A" w:rsidRPr="00610458" w14:paraId="5023166D" w14:textId="77777777" w:rsidTr="00BD2233">
              <w:trPr>
                <w:trHeight w:val="300"/>
              </w:trPr>
              <w:tc>
                <w:tcPr>
                  <w:tcW w:w="4830" w:type="dxa"/>
                  <w:tcBorders>
                    <w:top w:val="single" w:sz="4" w:space="0" w:color="993366"/>
                    <w:left w:val="nil"/>
                    <w:bottom w:val="nil"/>
                    <w:right w:val="nil"/>
                  </w:tcBorders>
                  <w:noWrap/>
                  <w:hideMark/>
                </w:tcPr>
                <w:p w14:paraId="0805588F"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 xml:space="preserve">Chronic heart diseases </w:t>
                  </w:r>
                  <w:r w:rsidRPr="00610458">
                    <w:rPr>
                      <w:rFonts w:ascii="Stencil" w:eastAsia="Times New Roman" w:hAnsi="Stencil" w:cs="Times New Roman"/>
                      <w:sz w:val="24"/>
                      <w:szCs w:val="24"/>
                      <w:lang w:bidi="hi-IN"/>
                    </w:rPr>
                    <w:t>||</w:t>
                  </w:r>
                  <w:r w:rsidRPr="00610458">
                    <w:rPr>
                      <w:rFonts w:ascii="Times New Roman" w:eastAsia="Times New Roman" w:hAnsi="Times New Roman" w:cs="Times New Roman"/>
                      <w:sz w:val="24"/>
                      <w:szCs w:val="24"/>
                      <w:lang w:bidi="hi-IN"/>
                    </w:rPr>
                    <w:t xml:space="preserve"> -2.21%</w:t>
                  </w:r>
                </w:p>
              </w:tc>
            </w:tr>
            <w:tr w:rsidR="00F35F4A" w:rsidRPr="00610458" w14:paraId="097B70D5" w14:textId="77777777" w:rsidTr="00BD2233">
              <w:trPr>
                <w:trHeight w:val="300"/>
              </w:trPr>
              <w:tc>
                <w:tcPr>
                  <w:tcW w:w="4830" w:type="dxa"/>
                  <w:tcBorders>
                    <w:top w:val="single" w:sz="4" w:space="0" w:color="993366"/>
                    <w:left w:val="nil"/>
                    <w:bottom w:val="nil"/>
                    <w:right w:val="nil"/>
                  </w:tcBorders>
                  <w:noWrap/>
                  <w:hideMark/>
                </w:tcPr>
                <w:p w14:paraId="6D204171"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 xml:space="preserve">Hypertension </w:t>
                  </w:r>
                  <w:r w:rsidRPr="00610458">
                    <w:rPr>
                      <w:rFonts w:ascii="Stencil" w:eastAsia="Times New Roman" w:hAnsi="Stencil" w:cs="Calibri"/>
                      <w:color w:val="70AD47"/>
                      <w:sz w:val="24"/>
                      <w:szCs w:val="24"/>
                      <w:lang w:bidi="hi-IN"/>
                    </w:rPr>
                    <w:t xml:space="preserve">|| </w:t>
                  </w:r>
                  <w:r w:rsidRPr="00610458">
                    <w:rPr>
                      <w:rFonts w:ascii="Times New Roman" w:eastAsia="Times New Roman" w:hAnsi="Times New Roman" w:cs="Times New Roman"/>
                      <w:sz w:val="24"/>
                      <w:szCs w:val="24"/>
                      <w:lang w:bidi="hi-IN"/>
                    </w:rPr>
                    <w:t>-2.83%</w:t>
                  </w:r>
                </w:p>
              </w:tc>
            </w:tr>
            <w:tr w:rsidR="00F35F4A" w:rsidRPr="00610458" w14:paraId="3F3824CC" w14:textId="77777777" w:rsidTr="00BD2233">
              <w:trPr>
                <w:trHeight w:val="300"/>
              </w:trPr>
              <w:tc>
                <w:tcPr>
                  <w:tcW w:w="4830" w:type="dxa"/>
                  <w:tcBorders>
                    <w:top w:val="single" w:sz="4" w:space="0" w:color="993366"/>
                    <w:left w:val="nil"/>
                    <w:bottom w:val="nil"/>
                    <w:right w:val="nil"/>
                  </w:tcBorders>
                  <w:noWrap/>
                  <w:hideMark/>
                </w:tcPr>
                <w:p w14:paraId="5FA45AB1"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 xml:space="preserve">Stroke </w:t>
                  </w:r>
                  <w:r w:rsidRPr="00610458">
                    <w:rPr>
                      <w:rFonts w:ascii="Stencil" w:eastAsia="Times New Roman" w:hAnsi="Stencil" w:cs="Calibri"/>
                      <w:color w:val="70AD47"/>
                      <w:sz w:val="24"/>
                      <w:szCs w:val="24"/>
                      <w:lang w:bidi="hi-IN"/>
                    </w:rPr>
                    <w:t xml:space="preserve">||||||||||||||||| </w:t>
                  </w:r>
                  <w:r w:rsidRPr="00610458">
                    <w:rPr>
                      <w:rFonts w:ascii="Times New Roman" w:eastAsia="Times New Roman" w:hAnsi="Times New Roman" w:cs="Times New Roman"/>
                      <w:sz w:val="24"/>
                      <w:szCs w:val="24"/>
                      <w:lang w:bidi="hi-IN"/>
                    </w:rPr>
                    <w:t>-17.31%</w:t>
                  </w:r>
                </w:p>
              </w:tc>
            </w:tr>
            <w:tr w:rsidR="00F35F4A" w:rsidRPr="00610458" w14:paraId="5D985DEA" w14:textId="77777777" w:rsidTr="00BD2233">
              <w:trPr>
                <w:trHeight w:val="300"/>
              </w:trPr>
              <w:tc>
                <w:tcPr>
                  <w:tcW w:w="4830" w:type="dxa"/>
                  <w:tcBorders>
                    <w:top w:val="single" w:sz="4" w:space="0" w:color="993366"/>
                    <w:left w:val="nil"/>
                    <w:bottom w:val="nil"/>
                    <w:right w:val="nil"/>
                  </w:tcBorders>
                  <w:noWrap/>
                  <w:hideMark/>
                </w:tcPr>
                <w:p w14:paraId="67E8808C"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 xml:space="preserve">High cholesterol </w:t>
                  </w:r>
                  <w:r w:rsidRPr="00610458">
                    <w:rPr>
                      <w:rFonts w:ascii="Stencil" w:eastAsia="Times New Roman" w:hAnsi="Stencil" w:cs="Calibri"/>
                      <w:color w:val="70AD47"/>
                      <w:sz w:val="24"/>
                      <w:szCs w:val="24"/>
                      <w:lang w:bidi="hi-IN"/>
                    </w:rPr>
                    <w:t xml:space="preserve">|||||||||||||||||||||||||| </w:t>
                  </w:r>
                  <w:r w:rsidRPr="00610458">
                    <w:rPr>
                      <w:rFonts w:ascii="Times New Roman" w:eastAsia="Times New Roman" w:hAnsi="Times New Roman" w:cs="Times New Roman"/>
                      <w:sz w:val="24"/>
                      <w:szCs w:val="24"/>
                      <w:lang w:bidi="hi-IN"/>
                    </w:rPr>
                    <w:t>-26.68%</w:t>
                  </w:r>
                </w:p>
              </w:tc>
            </w:tr>
            <w:tr w:rsidR="00F35F4A" w:rsidRPr="00610458" w14:paraId="755914F7" w14:textId="77777777" w:rsidTr="00BD2233">
              <w:trPr>
                <w:trHeight w:val="300"/>
              </w:trPr>
              <w:tc>
                <w:tcPr>
                  <w:tcW w:w="4830" w:type="dxa"/>
                  <w:tcBorders>
                    <w:top w:val="single" w:sz="4" w:space="0" w:color="993366"/>
                    <w:left w:val="nil"/>
                    <w:bottom w:val="nil"/>
                    <w:right w:val="nil"/>
                  </w:tcBorders>
                  <w:noWrap/>
                  <w:hideMark/>
                </w:tcPr>
                <w:p w14:paraId="3957B8CB"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 xml:space="preserve">Diabetes </w:t>
                  </w:r>
                  <w:r w:rsidRPr="00610458">
                    <w:rPr>
                      <w:rFonts w:ascii="Stencil" w:eastAsia="Times New Roman" w:hAnsi="Stencil" w:cs="Calibri"/>
                      <w:color w:val="70AD47"/>
                      <w:sz w:val="24"/>
                      <w:szCs w:val="24"/>
                      <w:lang w:bidi="hi-IN"/>
                    </w:rPr>
                    <w:t xml:space="preserve">||||||||||||||||||||||||||||| </w:t>
                  </w:r>
                  <w:r w:rsidRPr="00610458">
                    <w:rPr>
                      <w:rFonts w:ascii="Times New Roman" w:eastAsia="Times New Roman" w:hAnsi="Times New Roman" w:cs="Times New Roman"/>
                      <w:sz w:val="24"/>
                      <w:szCs w:val="24"/>
                      <w:lang w:bidi="hi-IN"/>
                    </w:rPr>
                    <w:t>-29.91%</w:t>
                  </w:r>
                </w:p>
              </w:tc>
            </w:tr>
          </w:tbl>
          <w:p w14:paraId="3813DD1D" w14:textId="77777777" w:rsidR="00F35F4A" w:rsidRPr="00381786" w:rsidRDefault="00F35F4A" w:rsidP="00BD2233">
            <w:pPr>
              <w:jc w:val="both"/>
              <w:rPr>
                <w:rFonts w:ascii="Times New Roman" w:eastAsia="Times New Roman" w:hAnsi="Times New Roman" w:cs="Times New Roman"/>
                <w:color w:val="000000"/>
                <w:sz w:val="24"/>
                <w:szCs w:val="24"/>
                <w:lang w:bidi="hi-IN"/>
              </w:rPr>
            </w:pPr>
          </w:p>
        </w:tc>
        <w:tc>
          <w:tcPr>
            <w:tcW w:w="4500" w:type="dxa"/>
          </w:tcPr>
          <w:tbl>
            <w:tblPr>
              <w:tblW w:w="4680" w:type="dxa"/>
              <w:tblLayout w:type="fixed"/>
              <w:tblLook w:val="04A0" w:firstRow="1" w:lastRow="0" w:firstColumn="1" w:lastColumn="0" w:noHBand="0" w:noVBand="1"/>
            </w:tblPr>
            <w:tblGrid>
              <w:gridCol w:w="4680"/>
            </w:tblGrid>
            <w:tr w:rsidR="00F35F4A" w:rsidRPr="00610458" w14:paraId="3AECF44C" w14:textId="77777777" w:rsidTr="00BD2233">
              <w:trPr>
                <w:trHeight w:val="300"/>
              </w:trPr>
              <w:tc>
                <w:tcPr>
                  <w:tcW w:w="4680" w:type="dxa"/>
                  <w:tcBorders>
                    <w:top w:val="single" w:sz="4" w:space="0" w:color="993300"/>
                    <w:left w:val="nil"/>
                    <w:bottom w:val="nil"/>
                    <w:right w:val="nil"/>
                  </w:tcBorders>
                  <w:noWrap/>
                </w:tcPr>
                <w:p w14:paraId="75864409" w14:textId="77777777" w:rsidR="00F35F4A" w:rsidRPr="00610458" w:rsidRDefault="00F35F4A" w:rsidP="00BD2233">
                  <w:pPr>
                    <w:spacing w:after="0" w:line="240" w:lineRule="auto"/>
                    <w:rPr>
                      <w:rFonts w:ascii="Times New Roman" w:eastAsia="Times New Roman" w:hAnsi="Times New Roman" w:cs="Times New Roman"/>
                      <w:b/>
                      <w:bCs/>
                      <w:sz w:val="24"/>
                      <w:szCs w:val="24"/>
                      <w:lang w:bidi="hi-IN"/>
                    </w:rPr>
                  </w:pPr>
                  <w:r w:rsidRPr="00610458">
                    <w:rPr>
                      <w:rFonts w:ascii="Times New Roman" w:eastAsia="Times New Roman" w:hAnsi="Times New Roman" w:cs="Times New Roman"/>
                      <w:b/>
                      <w:bCs/>
                      <w:sz w:val="24"/>
                      <w:szCs w:val="24"/>
                      <w:lang w:bidi="hi-IN"/>
                    </w:rPr>
                    <w:t>Communicable diseases</w:t>
                  </w:r>
                </w:p>
              </w:tc>
            </w:tr>
            <w:tr w:rsidR="00F35F4A" w:rsidRPr="00610458" w14:paraId="4AC55A7C" w14:textId="77777777" w:rsidTr="00BD2233">
              <w:trPr>
                <w:trHeight w:val="300"/>
              </w:trPr>
              <w:tc>
                <w:tcPr>
                  <w:tcW w:w="4680" w:type="dxa"/>
                  <w:tcBorders>
                    <w:top w:val="single" w:sz="4" w:space="0" w:color="993300"/>
                    <w:left w:val="nil"/>
                    <w:bottom w:val="nil"/>
                    <w:right w:val="nil"/>
                  </w:tcBorders>
                  <w:noWrap/>
                  <w:hideMark/>
                </w:tcPr>
                <w:p w14:paraId="2F64D829"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Urinary tract infection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47.29%</w:t>
                  </w:r>
                </w:p>
              </w:tc>
            </w:tr>
            <w:tr w:rsidR="00F35F4A" w:rsidRPr="00610458" w14:paraId="3019A1B4" w14:textId="77777777" w:rsidTr="00BD2233">
              <w:trPr>
                <w:trHeight w:val="300"/>
              </w:trPr>
              <w:tc>
                <w:tcPr>
                  <w:tcW w:w="4680" w:type="dxa"/>
                  <w:tcBorders>
                    <w:top w:val="single" w:sz="4" w:space="0" w:color="993300"/>
                    <w:left w:val="nil"/>
                    <w:bottom w:val="nil"/>
                    <w:right w:val="nil"/>
                  </w:tcBorders>
                  <w:noWrap/>
                  <w:hideMark/>
                </w:tcPr>
                <w:p w14:paraId="102D2CBA"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Dengue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45.38%</w:t>
                  </w:r>
                </w:p>
              </w:tc>
            </w:tr>
            <w:tr w:rsidR="00F35F4A" w:rsidRPr="00610458" w14:paraId="30F2B812" w14:textId="77777777" w:rsidTr="00BD2233">
              <w:trPr>
                <w:trHeight w:val="300"/>
              </w:trPr>
              <w:tc>
                <w:tcPr>
                  <w:tcW w:w="4680" w:type="dxa"/>
                  <w:tcBorders>
                    <w:top w:val="single" w:sz="4" w:space="0" w:color="993300"/>
                    <w:left w:val="nil"/>
                    <w:bottom w:val="nil"/>
                    <w:right w:val="nil"/>
                  </w:tcBorders>
                  <w:noWrap/>
                  <w:hideMark/>
                </w:tcPr>
                <w:p w14:paraId="625D50D4"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Anemia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31.41%</w:t>
                  </w:r>
                </w:p>
              </w:tc>
            </w:tr>
            <w:tr w:rsidR="00F35F4A" w:rsidRPr="00610458" w14:paraId="27B16660" w14:textId="77777777" w:rsidTr="00BD2233">
              <w:trPr>
                <w:trHeight w:val="300"/>
              </w:trPr>
              <w:tc>
                <w:tcPr>
                  <w:tcW w:w="4680" w:type="dxa"/>
                  <w:tcBorders>
                    <w:top w:val="single" w:sz="4" w:space="0" w:color="993300"/>
                    <w:left w:val="nil"/>
                    <w:bottom w:val="nil"/>
                    <w:right w:val="nil"/>
                  </w:tcBorders>
                  <w:noWrap/>
                  <w:hideMark/>
                </w:tcPr>
                <w:p w14:paraId="6A8C6952"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Tuberculosis (TB)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26.89%</w:t>
                  </w:r>
                </w:p>
              </w:tc>
            </w:tr>
            <w:tr w:rsidR="00F35F4A" w:rsidRPr="00610458" w14:paraId="3AF6A6E1" w14:textId="77777777" w:rsidTr="00BD2233">
              <w:trPr>
                <w:trHeight w:val="300"/>
              </w:trPr>
              <w:tc>
                <w:tcPr>
                  <w:tcW w:w="4680" w:type="dxa"/>
                  <w:tcBorders>
                    <w:top w:val="single" w:sz="4" w:space="0" w:color="993300"/>
                    <w:left w:val="nil"/>
                    <w:bottom w:val="nil"/>
                    <w:right w:val="nil"/>
                  </w:tcBorders>
                  <w:noWrap/>
                  <w:hideMark/>
                </w:tcPr>
                <w:p w14:paraId="5BB146D1"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Chikungunya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19.62%</w:t>
                  </w:r>
                </w:p>
              </w:tc>
            </w:tr>
            <w:tr w:rsidR="00F35F4A" w:rsidRPr="00610458" w14:paraId="20575EA2" w14:textId="77777777" w:rsidTr="00BD2233">
              <w:trPr>
                <w:trHeight w:val="300"/>
              </w:trPr>
              <w:tc>
                <w:tcPr>
                  <w:tcW w:w="4680" w:type="dxa"/>
                  <w:tcBorders>
                    <w:top w:val="single" w:sz="4" w:space="0" w:color="993300"/>
                    <w:left w:val="nil"/>
                    <w:bottom w:val="nil"/>
                    <w:right w:val="nil"/>
                  </w:tcBorders>
                  <w:noWrap/>
                  <w:hideMark/>
                </w:tcPr>
                <w:p w14:paraId="236CCF3F" w14:textId="77777777" w:rsidR="00F35F4A" w:rsidRPr="00610458" w:rsidRDefault="00F35F4A" w:rsidP="00BD2233">
                  <w:pPr>
                    <w:spacing w:after="0" w:line="240" w:lineRule="auto"/>
                    <w:rPr>
                      <w:rFonts w:ascii="Stencil" w:eastAsia="Times New Roman" w:hAnsi="Stencil" w:cs="Calibri"/>
                      <w:color w:val="ED7D31"/>
                      <w:sz w:val="24"/>
                      <w:szCs w:val="24"/>
                      <w:lang w:bidi="hi-IN"/>
                    </w:rPr>
                  </w:pPr>
                  <w:r w:rsidRPr="00610458">
                    <w:rPr>
                      <w:rFonts w:ascii="Times New Roman" w:eastAsia="Times New Roman" w:hAnsi="Times New Roman" w:cs="Times New Roman"/>
                      <w:sz w:val="24"/>
                      <w:szCs w:val="24"/>
                      <w:lang w:bidi="hi-IN"/>
                    </w:rPr>
                    <w:t xml:space="preserve">Typhoid </w:t>
                  </w:r>
                  <w:r w:rsidRPr="00610458">
                    <w:rPr>
                      <w:rFonts w:ascii="Stencil" w:eastAsia="Times New Roman" w:hAnsi="Stencil" w:cs="Calibri"/>
                      <w:color w:val="ED7D31"/>
                      <w:sz w:val="24"/>
                      <w:szCs w:val="24"/>
                      <w:lang w:bidi="hi-IN"/>
                    </w:rPr>
                    <w:t xml:space="preserve">|||||||||| </w:t>
                  </w:r>
                  <w:r w:rsidRPr="00610458">
                    <w:rPr>
                      <w:rFonts w:ascii="Times New Roman" w:eastAsia="Times New Roman" w:hAnsi="Times New Roman" w:cs="Times New Roman"/>
                      <w:sz w:val="24"/>
                      <w:szCs w:val="24"/>
                      <w:lang w:bidi="hi-IN"/>
                    </w:rPr>
                    <w:t>10.29%</w:t>
                  </w:r>
                </w:p>
              </w:tc>
            </w:tr>
            <w:tr w:rsidR="00F35F4A" w:rsidRPr="00610458" w14:paraId="7DF8ED49" w14:textId="77777777" w:rsidTr="00BD2233">
              <w:trPr>
                <w:trHeight w:val="300"/>
              </w:trPr>
              <w:tc>
                <w:tcPr>
                  <w:tcW w:w="4680" w:type="dxa"/>
                  <w:tcBorders>
                    <w:top w:val="single" w:sz="4" w:space="0" w:color="993300"/>
                    <w:left w:val="nil"/>
                    <w:bottom w:val="nil"/>
                    <w:right w:val="nil"/>
                  </w:tcBorders>
                  <w:noWrap/>
                  <w:hideMark/>
                </w:tcPr>
                <w:p w14:paraId="52D62FE9"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Jaundice/hepatitis -0.5%</w:t>
                  </w:r>
                </w:p>
              </w:tc>
            </w:tr>
            <w:tr w:rsidR="00F35F4A" w:rsidRPr="00610458" w14:paraId="00DAA77F" w14:textId="77777777" w:rsidTr="00BD2233">
              <w:trPr>
                <w:trHeight w:val="300"/>
              </w:trPr>
              <w:tc>
                <w:tcPr>
                  <w:tcW w:w="4680" w:type="dxa"/>
                  <w:tcBorders>
                    <w:top w:val="single" w:sz="4" w:space="0" w:color="993300"/>
                    <w:left w:val="nil"/>
                    <w:bottom w:val="nil"/>
                    <w:right w:val="nil"/>
                  </w:tcBorders>
                  <w:noWrap/>
                  <w:hideMark/>
                </w:tcPr>
                <w:p w14:paraId="51B3FC16"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 xml:space="preserve">Diarrhea/gastroenteritis </w:t>
                  </w:r>
                  <w:r w:rsidRPr="00610458">
                    <w:rPr>
                      <w:rFonts w:ascii="Stencil" w:eastAsia="Times New Roman" w:hAnsi="Stencil" w:cs="Calibri"/>
                      <w:color w:val="70AD47"/>
                      <w:sz w:val="24"/>
                      <w:szCs w:val="24"/>
                      <w:lang w:bidi="hi-IN"/>
                    </w:rPr>
                    <w:t xml:space="preserve">||||||||||| </w:t>
                  </w:r>
                  <w:r w:rsidRPr="00610458">
                    <w:rPr>
                      <w:rFonts w:ascii="Times New Roman" w:eastAsia="Times New Roman" w:hAnsi="Times New Roman" w:cs="Times New Roman"/>
                      <w:sz w:val="24"/>
                      <w:szCs w:val="24"/>
                      <w:lang w:bidi="hi-IN"/>
                    </w:rPr>
                    <w:t>-11.61%</w:t>
                  </w:r>
                </w:p>
              </w:tc>
            </w:tr>
            <w:tr w:rsidR="00F35F4A" w:rsidRPr="00610458" w14:paraId="5BCA5933" w14:textId="77777777" w:rsidTr="00BD2233">
              <w:trPr>
                <w:trHeight w:val="300"/>
              </w:trPr>
              <w:tc>
                <w:tcPr>
                  <w:tcW w:w="4680" w:type="dxa"/>
                  <w:tcBorders>
                    <w:top w:val="single" w:sz="4" w:space="0" w:color="993300"/>
                    <w:left w:val="nil"/>
                    <w:bottom w:val="single" w:sz="4" w:space="0" w:color="993300"/>
                    <w:right w:val="nil"/>
                  </w:tcBorders>
                  <w:noWrap/>
                  <w:hideMark/>
                </w:tcPr>
                <w:p w14:paraId="5F585BE5" w14:textId="77777777" w:rsidR="00F35F4A" w:rsidRPr="00610458" w:rsidRDefault="00F35F4A" w:rsidP="00BD2233">
                  <w:pPr>
                    <w:spacing w:after="0" w:line="240" w:lineRule="auto"/>
                    <w:rPr>
                      <w:rFonts w:ascii="Stencil" w:eastAsia="Times New Roman" w:hAnsi="Stencil" w:cs="Calibri"/>
                      <w:color w:val="70AD47"/>
                      <w:sz w:val="24"/>
                      <w:szCs w:val="24"/>
                      <w:lang w:bidi="hi-IN"/>
                    </w:rPr>
                  </w:pPr>
                  <w:r w:rsidRPr="00610458">
                    <w:rPr>
                      <w:rFonts w:ascii="Times New Roman" w:eastAsia="Times New Roman" w:hAnsi="Times New Roman" w:cs="Times New Roman"/>
                      <w:sz w:val="24"/>
                      <w:szCs w:val="24"/>
                      <w:lang w:bidi="hi-IN"/>
                    </w:rPr>
                    <w:t xml:space="preserve">Malaria </w:t>
                  </w:r>
                  <w:r w:rsidRPr="00610458">
                    <w:rPr>
                      <w:rFonts w:ascii="Stencil" w:eastAsia="Times New Roman" w:hAnsi="Stencil" w:cs="Calibri"/>
                      <w:color w:val="70AD47"/>
                      <w:sz w:val="24"/>
                      <w:szCs w:val="24"/>
                      <w:lang w:bidi="hi-IN"/>
                    </w:rPr>
                    <w:t xml:space="preserve">||||||||||||||||||||||| </w:t>
                  </w:r>
                  <w:r w:rsidRPr="00610458">
                    <w:rPr>
                      <w:rFonts w:ascii="Times New Roman" w:eastAsia="Times New Roman" w:hAnsi="Times New Roman" w:cs="Times New Roman"/>
                      <w:sz w:val="24"/>
                      <w:szCs w:val="24"/>
                      <w:lang w:bidi="hi-IN"/>
                    </w:rPr>
                    <w:t>-23.89%</w:t>
                  </w:r>
                </w:p>
              </w:tc>
            </w:tr>
          </w:tbl>
          <w:p w14:paraId="7C015108" w14:textId="77777777" w:rsidR="00F35F4A" w:rsidRPr="00381786" w:rsidRDefault="00F35F4A" w:rsidP="00BD2233">
            <w:pPr>
              <w:jc w:val="both"/>
              <w:rPr>
                <w:rFonts w:ascii="Times New Roman" w:eastAsia="Times New Roman" w:hAnsi="Times New Roman" w:cs="Times New Roman"/>
                <w:color w:val="000000"/>
                <w:sz w:val="24"/>
                <w:szCs w:val="24"/>
                <w:lang w:bidi="hi-IN"/>
              </w:rPr>
            </w:pPr>
          </w:p>
        </w:tc>
      </w:tr>
      <w:tr w:rsidR="008C07B5" w:rsidRPr="00381786" w14:paraId="6E4039F6" w14:textId="77777777" w:rsidTr="008C07B5">
        <w:tc>
          <w:tcPr>
            <w:tcW w:w="4680" w:type="dxa"/>
          </w:tcPr>
          <w:p w14:paraId="54A1E459" w14:textId="77777777" w:rsidR="008C07B5" w:rsidRPr="00381786" w:rsidRDefault="008C07B5" w:rsidP="00BD2233">
            <w:pPr>
              <w:jc w:val="both"/>
              <w:rPr>
                <w:rFonts w:ascii="Times New Roman" w:eastAsia="Times New Roman" w:hAnsi="Times New Roman" w:cs="Times New Roman"/>
                <w:sz w:val="24"/>
                <w:szCs w:val="24"/>
                <w:lang w:bidi="hi-IN"/>
              </w:rPr>
            </w:pPr>
            <w:r w:rsidRPr="00381786">
              <w:rPr>
                <w:rFonts w:ascii="Times New Roman" w:eastAsia="Times New Roman" w:hAnsi="Times New Roman" w:cs="Times New Roman"/>
                <w:b/>
                <w:sz w:val="24"/>
                <w:szCs w:val="24"/>
                <w:lang w:bidi="hi-IN"/>
              </w:rPr>
              <w:t>Fig.2a</w:t>
            </w:r>
            <w:r w:rsidRPr="00381786">
              <w:rPr>
                <w:rFonts w:ascii="Times New Roman" w:eastAsia="Times New Roman" w:hAnsi="Times New Roman" w:cs="Times New Roman"/>
                <w:sz w:val="24"/>
                <w:szCs w:val="24"/>
                <w:lang w:bidi="hi-IN"/>
              </w:rPr>
              <w:t xml:space="preserve"> Increase percent of disease specific prevalence among co-morbid (ONCD&amp;OCD) than ONCD elderly.</w:t>
            </w:r>
          </w:p>
        </w:tc>
        <w:tc>
          <w:tcPr>
            <w:tcW w:w="4500" w:type="dxa"/>
          </w:tcPr>
          <w:p w14:paraId="61C218D9" w14:textId="77777777" w:rsidR="008C07B5" w:rsidRPr="00381786" w:rsidRDefault="008C07B5" w:rsidP="00BD2233">
            <w:pPr>
              <w:jc w:val="both"/>
              <w:rPr>
                <w:rFonts w:ascii="Times New Roman" w:eastAsia="Times New Roman" w:hAnsi="Times New Roman" w:cs="Times New Roman"/>
                <w:sz w:val="24"/>
                <w:szCs w:val="24"/>
                <w:lang w:bidi="hi-IN"/>
              </w:rPr>
            </w:pPr>
            <w:r w:rsidRPr="00381786">
              <w:rPr>
                <w:rFonts w:ascii="Times New Roman" w:eastAsia="Times New Roman" w:hAnsi="Times New Roman" w:cs="Times New Roman"/>
                <w:b/>
                <w:sz w:val="24"/>
                <w:szCs w:val="24"/>
                <w:lang w:bidi="hi-IN"/>
              </w:rPr>
              <w:t>Fig.2b</w:t>
            </w:r>
            <w:r w:rsidRPr="00381786">
              <w:rPr>
                <w:rFonts w:ascii="Times New Roman" w:eastAsia="Times New Roman" w:hAnsi="Times New Roman" w:cs="Times New Roman"/>
                <w:sz w:val="24"/>
                <w:szCs w:val="24"/>
                <w:lang w:bidi="hi-IN"/>
              </w:rPr>
              <w:t xml:space="preserve"> Increase percent of disease specific prevalence among co-morbid (ONCD&amp;OCD) than OCD elderly.</w:t>
            </w:r>
          </w:p>
        </w:tc>
      </w:tr>
    </w:tbl>
    <w:p w14:paraId="0EA5B598" w14:textId="77777777" w:rsidR="00CC508D" w:rsidRPr="00381786" w:rsidRDefault="00CC508D" w:rsidP="00086D35">
      <w:pPr>
        <w:pStyle w:val="NoSpacing"/>
        <w:spacing w:line="360" w:lineRule="auto"/>
        <w:jc w:val="both"/>
        <w:rPr>
          <w:rFonts w:ascii="Times New Roman" w:hAnsi="Times New Roman" w:cs="Times New Roman"/>
        </w:rPr>
      </w:pPr>
    </w:p>
    <w:p w14:paraId="76A2423E" w14:textId="2CC6D03C" w:rsidR="00610458" w:rsidRPr="00381786" w:rsidRDefault="00610458" w:rsidP="00086D35">
      <w:pPr>
        <w:pStyle w:val="NoSpacing"/>
        <w:spacing w:line="360" w:lineRule="auto"/>
        <w:jc w:val="both"/>
        <w:rPr>
          <w:rFonts w:ascii="Times New Roman" w:hAnsi="Times New Roman" w:cs="Times New Roman"/>
        </w:rPr>
      </w:pPr>
      <w:r w:rsidRPr="00381786">
        <w:rPr>
          <w:rFonts w:ascii="Times New Roman" w:hAnsi="Times New Roman" w:cs="Times New Roman"/>
        </w:rPr>
        <w:t>Chronic lung disease (35.17%), neurological/psychiatric problems (20.93%), and chronic bone/joint disease (18.06%) were more prevalent in the ONCD&amp;OCD group, suggesting that these age-related NCDs are more common among those also suffering from CDs. In contrast, lifestyle-related NCDs such as diabetes, high cholesterol, stroke, hypertension, heart disease, and cancer were more prevalent in the ONCD group, generating a hypothesis that age-related NCDs may co-occur with CDs, whereas lifestyle-related NCDs may occur independently.</w:t>
      </w:r>
      <w:r w:rsidR="00166083" w:rsidRPr="00381786">
        <w:rPr>
          <w:rFonts w:ascii="Times New Roman" w:hAnsi="Times New Roman" w:cs="Times New Roman"/>
        </w:rPr>
        <w:t xml:space="preserve"> </w:t>
      </w:r>
      <w:r w:rsidR="00166083" w:rsidRPr="00381786">
        <w:rPr>
          <w:rFonts w:ascii="Times New Roman" w:hAnsi="Times New Roman" w:cs="Times New Roman"/>
          <w:bCs/>
        </w:rPr>
        <w:t>Fig</w:t>
      </w:r>
      <w:r w:rsidR="006544FD" w:rsidRPr="00381786">
        <w:rPr>
          <w:rFonts w:ascii="Times New Roman" w:hAnsi="Times New Roman" w:cs="Times New Roman"/>
          <w:bCs/>
        </w:rPr>
        <w:t xml:space="preserve">ure </w:t>
      </w:r>
      <w:r w:rsidR="00D169D9" w:rsidRPr="00381786">
        <w:rPr>
          <w:rFonts w:ascii="Times New Roman" w:hAnsi="Times New Roman" w:cs="Times New Roman"/>
          <w:bCs/>
        </w:rPr>
        <w:t>2</w:t>
      </w:r>
      <w:r w:rsidR="006544FD" w:rsidRPr="00381786">
        <w:rPr>
          <w:rFonts w:ascii="Times New Roman" w:hAnsi="Times New Roman" w:cs="Times New Roman"/>
          <w:bCs/>
        </w:rPr>
        <w:t>(</w:t>
      </w:r>
      <w:r w:rsidRPr="00381786">
        <w:rPr>
          <w:rFonts w:ascii="Times New Roman" w:hAnsi="Times New Roman" w:cs="Times New Roman"/>
          <w:bCs/>
        </w:rPr>
        <w:t>b</w:t>
      </w:r>
      <w:r w:rsidR="006544FD" w:rsidRPr="00381786">
        <w:rPr>
          <w:rFonts w:ascii="Times New Roman" w:hAnsi="Times New Roman" w:cs="Times New Roman"/>
          <w:bCs/>
        </w:rPr>
        <w:t>)</w:t>
      </w:r>
      <w:r w:rsidRPr="00381786">
        <w:rPr>
          <w:rFonts w:ascii="Times New Roman" w:hAnsi="Times New Roman" w:cs="Times New Roman"/>
        </w:rPr>
        <w:t xml:space="preserve"> examines a similar comparison for CDs between ONCD&amp;OCD and OCD groups. Higher prevalence of urinary tract infections (47.29%), dengue (45.38%), anemia (31.41%), tuberculosis (26.89%), </w:t>
      </w:r>
      <w:r w:rsidR="00166083" w:rsidRPr="00381786">
        <w:rPr>
          <w:rFonts w:ascii="Times New Roman" w:hAnsi="Times New Roman" w:cs="Times New Roman"/>
        </w:rPr>
        <w:t>Chikungunya</w:t>
      </w:r>
      <w:r w:rsidRPr="00381786">
        <w:rPr>
          <w:rFonts w:ascii="Times New Roman" w:hAnsi="Times New Roman" w:cs="Times New Roman"/>
        </w:rPr>
        <w:t xml:space="preserve"> (19.62%), and typhoid (10.29%) was observed in the ONCD&amp;OCD group. Conversely, malaria, diarrhea/gastroenteritis, and jaundice/hepatitis had higher prevalence among the OCD group, as indicated by negative increase rates.</w:t>
      </w:r>
    </w:p>
    <w:p w14:paraId="4CFB88AA" w14:textId="77777777" w:rsidR="00C67BA4" w:rsidRPr="00381786" w:rsidRDefault="006544FD" w:rsidP="00086D35">
      <w:pPr>
        <w:pStyle w:val="NoSpacing"/>
        <w:tabs>
          <w:tab w:val="left" w:pos="9270"/>
        </w:tabs>
        <w:spacing w:line="360" w:lineRule="auto"/>
        <w:jc w:val="both"/>
        <w:rPr>
          <w:rFonts w:ascii="Times New Roman" w:hAnsi="Times New Roman" w:cs="Times New Roman"/>
          <w:bCs/>
        </w:rPr>
      </w:pPr>
      <w:r w:rsidRPr="00381786">
        <w:rPr>
          <w:rFonts w:ascii="Times New Roman" w:hAnsi="Times New Roman" w:cs="Times New Roman"/>
          <w:bCs/>
        </w:rPr>
        <w:t>Table 2</w:t>
      </w:r>
      <w:r w:rsidR="00C829A9" w:rsidRPr="00381786">
        <w:rPr>
          <w:rFonts w:ascii="Times New Roman" w:hAnsi="Times New Roman" w:cs="Times New Roman"/>
        </w:rPr>
        <w:t xml:space="preserve"> shows the prevalence of ONCD, OCD, and ONCD&amp;OCD by Indian states and union territories, stratified by rural and urban residence.</w:t>
      </w:r>
      <w:r w:rsidRPr="00381786">
        <w:rPr>
          <w:rFonts w:ascii="Times New Roman" w:hAnsi="Times New Roman" w:cs="Times New Roman"/>
          <w:bCs/>
        </w:rPr>
        <w:t xml:space="preserve"> </w:t>
      </w:r>
    </w:p>
    <w:p w14:paraId="74D58E1A" w14:textId="77777777" w:rsidR="002A7960" w:rsidRPr="00381786" w:rsidRDefault="002A7960" w:rsidP="00086D35">
      <w:pPr>
        <w:pStyle w:val="NoSpacing"/>
        <w:tabs>
          <w:tab w:val="left" w:pos="9270"/>
        </w:tabs>
        <w:spacing w:line="360" w:lineRule="auto"/>
        <w:jc w:val="both"/>
        <w:rPr>
          <w:rFonts w:ascii="Times New Roman" w:hAnsi="Times New Roman" w:cs="Times New Roman"/>
          <w:bCs/>
        </w:rPr>
      </w:pPr>
    </w:p>
    <w:p w14:paraId="25284973" w14:textId="77777777" w:rsidR="002F10B3" w:rsidRDefault="002F10B3" w:rsidP="002A7960">
      <w:pPr>
        <w:spacing w:after="0" w:line="360" w:lineRule="auto"/>
        <w:jc w:val="both"/>
        <w:rPr>
          <w:rFonts w:ascii="Times New Roman" w:eastAsia="Times New Roman" w:hAnsi="Times New Roman" w:cs="Times New Roman"/>
          <w:b/>
          <w:bCs/>
          <w:color w:val="000000"/>
          <w:sz w:val="24"/>
          <w:szCs w:val="24"/>
          <w:lang w:bidi="hi-IN"/>
        </w:rPr>
      </w:pPr>
    </w:p>
    <w:p w14:paraId="159697C6" w14:textId="77777777" w:rsidR="002F10B3" w:rsidRDefault="002F10B3" w:rsidP="002A7960">
      <w:pPr>
        <w:spacing w:after="0" w:line="360" w:lineRule="auto"/>
        <w:jc w:val="both"/>
        <w:rPr>
          <w:rFonts w:ascii="Times New Roman" w:eastAsia="Times New Roman" w:hAnsi="Times New Roman" w:cs="Times New Roman"/>
          <w:b/>
          <w:bCs/>
          <w:color w:val="000000"/>
          <w:sz w:val="24"/>
          <w:szCs w:val="24"/>
          <w:lang w:bidi="hi-IN"/>
        </w:rPr>
      </w:pPr>
    </w:p>
    <w:p w14:paraId="4A421B9F" w14:textId="77777777" w:rsidR="002A7960" w:rsidRPr="00381786" w:rsidRDefault="002A7960" w:rsidP="002A7960">
      <w:pPr>
        <w:spacing w:after="0" w:line="360" w:lineRule="auto"/>
        <w:jc w:val="both"/>
        <w:rPr>
          <w:rFonts w:ascii="Times New Roman" w:eastAsia="Times New Roman" w:hAnsi="Times New Roman" w:cs="Times New Roman"/>
          <w:bCs/>
          <w:color w:val="000000"/>
          <w:sz w:val="24"/>
          <w:szCs w:val="24"/>
          <w:lang w:bidi="hi-IN"/>
        </w:rPr>
      </w:pPr>
      <w:proofErr w:type="gramStart"/>
      <w:r w:rsidRPr="00381786">
        <w:rPr>
          <w:rFonts w:ascii="Times New Roman" w:eastAsia="Times New Roman" w:hAnsi="Times New Roman" w:cs="Times New Roman"/>
          <w:b/>
          <w:bCs/>
          <w:color w:val="000000"/>
          <w:sz w:val="24"/>
          <w:szCs w:val="24"/>
          <w:lang w:bidi="hi-IN"/>
        </w:rPr>
        <w:lastRenderedPageBreak/>
        <w:t>Table 2.</w:t>
      </w:r>
      <w:proofErr w:type="gramEnd"/>
      <w:r w:rsidRPr="00381786">
        <w:rPr>
          <w:rFonts w:ascii="Times New Roman" w:eastAsia="Times New Roman" w:hAnsi="Times New Roman" w:cs="Times New Roman"/>
          <w:bCs/>
          <w:color w:val="000000"/>
          <w:sz w:val="24"/>
          <w:szCs w:val="24"/>
          <w:lang w:bidi="hi-IN"/>
        </w:rPr>
        <w:t xml:space="preserve"> State wise distribution of elderly with morbidity of ONCD&amp;OCD, ONCD and OCD</w:t>
      </w:r>
    </w:p>
    <w:tbl>
      <w:tblPr>
        <w:tblW w:w="9328" w:type="dxa"/>
        <w:jc w:val="center"/>
        <w:tblLook w:val="04A0" w:firstRow="1" w:lastRow="0" w:firstColumn="1" w:lastColumn="0" w:noHBand="0" w:noVBand="1"/>
      </w:tblPr>
      <w:tblGrid>
        <w:gridCol w:w="1578"/>
        <w:gridCol w:w="883"/>
        <w:gridCol w:w="750"/>
        <w:gridCol w:w="816"/>
        <w:gridCol w:w="723"/>
        <w:gridCol w:w="750"/>
        <w:gridCol w:w="816"/>
        <w:gridCol w:w="723"/>
        <w:gridCol w:w="750"/>
        <w:gridCol w:w="816"/>
        <w:gridCol w:w="723"/>
      </w:tblGrid>
      <w:tr w:rsidR="002A7960" w:rsidRPr="00381786" w14:paraId="05F6AAF4" w14:textId="77777777" w:rsidTr="00BD2233">
        <w:trPr>
          <w:trHeight w:val="288"/>
          <w:jc w:val="center"/>
        </w:trPr>
        <w:tc>
          <w:tcPr>
            <w:tcW w:w="1578" w:type="dxa"/>
            <w:vMerge w:val="restart"/>
            <w:tcBorders>
              <w:top w:val="single" w:sz="4" w:space="0" w:color="auto"/>
              <w:left w:val="single" w:sz="4" w:space="0" w:color="auto"/>
              <w:bottom w:val="single" w:sz="4" w:space="0" w:color="auto"/>
              <w:right w:val="single" w:sz="4" w:space="0" w:color="auto"/>
            </w:tcBorders>
            <w:noWrap/>
            <w:vAlign w:val="bottom"/>
            <w:hideMark/>
          </w:tcPr>
          <w:p w14:paraId="652A6F7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 xml:space="preserve">State </w:t>
            </w:r>
          </w:p>
        </w:tc>
        <w:tc>
          <w:tcPr>
            <w:tcW w:w="883" w:type="dxa"/>
            <w:vMerge w:val="restart"/>
            <w:tcBorders>
              <w:top w:val="single" w:sz="4" w:space="0" w:color="auto"/>
              <w:left w:val="single" w:sz="4" w:space="0" w:color="auto"/>
              <w:bottom w:val="single" w:sz="4" w:space="0" w:color="auto"/>
              <w:right w:val="single" w:sz="4" w:space="0" w:color="auto"/>
            </w:tcBorders>
            <w:vAlign w:val="bottom"/>
            <w:hideMark/>
          </w:tcPr>
          <w:p w14:paraId="2803E84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Total elderly</w:t>
            </w:r>
          </w:p>
        </w:tc>
        <w:tc>
          <w:tcPr>
            <w:tcW w:w="2289" w:type="dxa"/>
            <w:gridSpan w:val="3"/>
            <w:tcBorders>
              <w:top w:val="single" w:sz="4" w:space="0" w:color="auto"/>
              <w:left w:val="nil"/>
              <w:bottom w:val="single" w:sz="4" w:space="0" w:color="auto"/>
              <w:right w:val="single" w:sz="4" w:space="0" w:color="auto"/>
            </w:tcBorders>
            <w:noWrap/>
            <w:vAlign w:val="bottom"/>
            <w:hideMark/>
          </w:tcPr>
          <w:p w14:paraId="38F1B0E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ONCD&amp;OCD (%)</w:t>
            </w:r>
          </w:p>
        </w:tc>
        <w:tc>
          <w:tcPr>
            <w:tcW w:w="2289" w:type="dxa"/>
            <w:gridSpan w:val="3"/>
            <w:tcBorders>
              <w:top w:val="single" w:sz="4" w:space="0" w:color="auto"/>
              <w:left w:val="nil"/>
              <w:bottom w:val="single" w:sz="4" w:space="0" w:color="auto"/>
              <w:right w:val="single" w:sz="4" w:space="0" w:color="auto"/>
            </w:tcBorders>
            <w:noWrap/>
            <w:vAlign w:val="bottom"/>
            <w:hideMark/>
          </w:tcPr>
          <w:p w14:paraId="2B1D272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ONCD (%)</w:t>
            </w:r>
          </w:p>
        </w:tc>
        <w:tc>
          <w:tcPr>
            <w:tcW w:w="2289" w:type="dxa"/>
            <w:gridSpan w:val="3"/>
            <w:tcBorders>
              <w:top w:val="single" w:sz="4" w:space="0" w:color="auto"/>
              <w:left w:val="nil"/>
              <w:bottom w:val="single" w:sz="4" w:space="0" w:color="auto"/>
              <w:right w:val="single" w:sz="4" w:space="0" w:color="auto"/>
            </w:tcBorders>
            <w:noWrap/>
            <w:vAlign w:val="bottom"/>
            <w:hideMark/>
          </w:tcPr>
          <w:p w14:paraId="1872C4D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OCD (%)</w:t>
            </w:r>
          </w:p>
        </w:tc>
      </w:tr>
      <w:tr w:rsidR="002A7960" w:rsidRPr="00381786" w14:paraId="4BFF4EE6" w14:textId="77777777" w:rsidTr="00BD2233">
        <w:trPr>
          <w:trHeight w:val="288"/>
          <w:jc w:val="center"/>
        </w:trPr>
        <w:tc>
          <w:tcPr>
            <w:tcW w:w="1578" w:type="dxa"/>
            <w:vMerge/>
            <w:tcBorders>
              <w:top w:val="single" w:sz="4" w:space="0" w:color="auto"/>
              <w:left w:val="single" w:sz="4" w:space="0" w:color="auto"/>
              <w:bottom w:val="single" w:sz="4" w:space="0" w:color="auto"/>
              <w:right w:val="single" w:sz="4" w:space="0" w:color="auto"/>
            </w:tcBorders>
            <w:vAlign w:val="center"/>
            <w:hideMark/>
          </w:tcPr>
          <w:p w14:paraId="6308F84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14:paraId="6A28B67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p>
        </w:tc>
        <w:tc>
          <w:tcPr>
            <w:tcW w:w="750" w:type="dxa"/>
            <w:tcBorders>
              <w:top w:val="nil"/>
              <w:left w:val="nil"/>
              <w:bottom w:val="single" w:sz="4" w:space="0" w:color="auto"/>
              <w:right w:val="single" w:sz="4" w:space="0" w:color="auto"/>
            </w:tcBorders>
            <w:noWrap/>
            <w:vAlign w:val="bottom"/>
            <w:hideMark/>
          </w:tcPr>
          <w:p w14:paraId="36EDFAA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Rural</w:t>
            </w:r>
          </w:p>
        </w:tc>
        <w:tc>
          <w:tcPr>
            <w:tcW w:w="816" w:type="dxa"/>
            <w:tcBorders>
              <w:top w:val="nil"/>
              <w:left w:val="nil"/>
              <w:bottom w:val="single" w:sz="4" w:space="0" w:color="auto"/>
              <w:right w:val="single" w:sz="4" w:space="0" w:color="auto"/>
            </w:tcBorders>
            <w:noWrap/>
            <w:vAlign w:val="bottom"/>
            <w:hideMark/>
          </w:tcPr>
          <w:p w14:paraId="62B5D4A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Urban</w:t>
            </w:r>
          </w:p>
        </w:tc>
        <w:tc>
          <w:tcPr>
            <w:tcW w:w="723" w:type="dxa"/>
            <w:tcBorders>
              <w:top w:val="nil"/>
              <w:left w:val="nil"/>
              <w:bottom w:val="single" w:sz="4" w:space="0" w:color="auto"/>
              <w:right w:val="single" w:sz="4" w:space="0" w:color="auto"/>
            </w:tcBorders>
            <w:noWrap/>
            <w:vAlign w:val="bottom"/>
            <w:hideMark/>
          </w:tcPr>
          <w:p w14:paraId="74ACBBE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Total</w:t>
            </w:r>
          </w:p>
        </w:tc>
        <w:tc>
          <w:tcPr>
            <w:tcW w:w="750" w:type="dxa"/>
            <w:tcBorders>
              <w:top w:val="nil"/>
              <w:left w:val="nil"/>
              <w:bottom w:val="single" w:sz="4" w:space="0" w:color="auto"/>
              <w:right w:val="single" w:sz="4" w:space="0" w:color="auto"/>
            </w:tcBorders>
            <w:noWrap/>
            <w:vAlign w:val="bottom"/>
            <w:hideMark/>
          </w:tcPr>
          <w:p w14:paraId="21B24D1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Rural</w:t>
            </w:r>
          </w:p>
        </w:tc>
        <w:tc>
          <w:tcPr>
            <w:tcW w:w="816" w:type="dxa"/>
            <w:tcBorders>
              <w:top w:val="nil"/>
              <w:left w:val="nil"/>
              <w:bottom w:val="single" w:sz="4" w:space="0" w:color="auto"/>
              <w:right w:val="single" w:sz="4" w:space="0" w:color="auto"/>
            </w:tcBorders>
            <w:noWrap/>
            <w:vAlign w:val="bottom"/>
            <w:hideMark/>
          </w:tcPr>
          <w:p w14:paraId="504424A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Urban</w:t>
            </w:r>
          </w:p>
        </w:tc>
        <w:tc>
          <w:tcPr>
            <w:tcW w:w="723" w:type="dxa"/>
            <w:tcBorders>
              <w:top w:val="nil"/>
              <w:left w:val="nil"/>
              <w:bottom w:val="single" w:sz="4" w:space="0" w:color="auto"/>
              <w:right w:val="single" w:sz="4" w:space="0" w:color="auto"/>
            </w:tcBorders>
            <w:noWrap/>
            <w:vAlign w:val="bottom"/>
            <w:hideMark/>
          </w:tcPr>
          <w:p w14:paraId="613FD8F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Total</w:t>
            </w:r>
          </w:p>
        </w:tc>
        <w:tc>
          <w:tcPr>
            <w:tcW w:w="750" w:type="dxa"/>
            <w:tcBorders>
              <w:top w:val="nil"/>
              <w:left w:val="nil"/>
              <w:bottom w:val="single" w:sz="4" w:space="0" w:color="auto"/>
              <w:right w:val="single" w:sz="4" w:space="0" w:color="auto"/>
            </w:tcBorders>
            <w:noWrap/>
            <w:vAlign w:val="bottom"/>
            <w:hideMark/>
          </w:tcPr>
          <w:p w14:paraId="6973469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Rural</w:t>
            </w:r>
          </w:p>
        </w:tc>
        <w:tc>
          <w:tcPr>
            <w:tcW w:w="816" w:type="dxa"/>
            <w:tcBorders>
              <w:top w:val="nil"/>
              <w:left w:val="nil"/>
              <w:bottom w:val="single" w:sz="4" w:space="0" w:color="auto"/>
              <w:right w:val="single" w:sz="4" w:space="0" w:color="auto"/>
            </w:tcBorders>
            <w:noWrap/>
            <w:vAlign w:val="bottom"/>
            <w:hideMark/>
          </w:tcPr>
          <w:p w14:paraId="0667AD9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Urban</w:t>
            </w:r>
          </w:p>
        </w:tc>
        <w:tc>
          <w:tcPr>
            <w:tcW w:w="723" w:type="dxa"/>
            <w:tcBorders>
              <w:top w:val="nil"/>
              <w:left w:val="nil"/>
              <w:bottom w:val="single" w:sz="4" w:space="0" w:color="auto"/>
              <w:right w:val="single" w:sz="4" w:space="0" w:color="auto"/>
            </w:tcBorders>
            <w:noWrap/>
            <w:vAlign w:val="bottom"/>
            <w:hideMark/>
          </w:tcPr>
          <w:p w14:paraId="527ACC6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Total</w:t>
            </w:r>
          </w:p>
        </w:tc>
      </w:tr>
      <w:tr w:rsidR="002A7960" w:rsidRPr="00381786" w14:paraId="5BB7C60C"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1C82A71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J&amp; K</w:t>
            </w:r>
            <w:r w:rsidRPr="00381786">
              <w:rPr>
                <w:rFonts w:ascii="Times New Roman" w:eastAsia="Times New Roman" w:hAnsi="Times New Roman" w:cs="Times New Roman"/>
                <w:color w:val="000000"/>
                <w:sz w:val="24"/>
                <w:szCs w:val="24"/>
                <w:vertAlign w:val="superscript"/>
                <w:lang w:bidi="hi-IN"/>
              </w:rPr>
              <w:t>1</w:t>
            </w:r>
          </w:p>
        </w:tc>
        <w:tc>
          <w:tcPr>
            <w:tcW w:w="883" w:type="dxa"/>
            <w:tcBorders>
              <w:top w:val="nil"/>
              <w:left w:val="nil"/>
              <w:bottom w:val="single" w:sz="4" w:space="0" w:color="auto"/>
              <w:right w:val="single" w:sz="4" w:space="0" w:color="auto"/>
            </w:tcBorders>
            <w:noWrap/>
            <w:vAlign w:val="bottom"/>
            <w:hideMark/>
          </w:tcPr>
          <w:p w14:paraId="5B511FE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730</w:t>
            </w:r>
          </w:p>
        </w:tc>
        <w:tc>
          <w:tcPr>
            <w:tcW w:w="750" w:type="dxa"/>
            <w:tcBorders>
              <w:top w:val="nil"/>
              <w:left w:val="nil"/>
              <w:bottom w:val="single" w:sz="4" w:space="0" w:color="auto"/>
              <w:right w:val="single" w:sz="4" w:space="0" w:color="auto"/>
            </w:tcBorders>
            <w:noWrap/>
            <w:vAlign w:val="bottom"/>
            <w:hideMark/>
          </w:tcPr>
          <w:p w14:paraId="5240E49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11.9</w:t>
            </w:r>
          </w:p>
        </w:tc>
        <w:tc>
          <w:tcPr>
            <w:tcW w:w="816" w:type="dxa"/>
            <w:tcBorders>
              <w:top w:val="nil"/>
              <w:left w:val="nil"/>
              <w:bottom w:val="single" w:sz="4" w:space="0" w:color="auto"/>
              <w:right w:val="single" w:sz="4" w:space="0" w:color="auto"/>
            </w:tcBorders>
            <w:noWrap/>
            <w:vAlign w:val="bottom"/>
            <w:hideMark/>
          </w:tcPr>
          <w:p w14:paraId="1E8F27C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11.9</w:t>
            </w:r>
          </w:p>
        </w:tc>
        <w:tc>
          <w:tcPr>
            <w:tcW w:w="723" w:type="dxa"/>
            <w:tcBorders>
              <w:top w:val="nil"/>
              <w:left w:val="nil"/>
              <w:bottom w:val="single" w:sz="4" w:space="0" w:color="auto"/>
              <w:right w:val="single" w:sz="4" w:space="0" w:color="auto"/>
            </w:tcBorders>
            <w:noWrap/>
            <w:vAlign w:val="bottom"/>
            <w:hideMark/>
          </w:tcPr>
          <w:p w14:paraId="74F53DA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11.9</w:t>
            </w:r>
          </w:p>
        </w:tc>
        <w:tc>
          <w:tcPr>
            <w:tcW w:w="750" w:type="dxa"/>
            <w:tcBorders>
              <w:top w:val="nil"/>
              <w:left w:val="nil"/>
              <w:bottom w:val="single" w:sz="4" w:space="0" w:color="auto"/>
              <w:right w:val="single" w:sz="4" w:space="0" w:color="auto"/>
            </w:tcBorders>
            <w:noWrap/>
            <w:vAlign w:val="bottom"/>
            <w:hideMark/>
          </w:tcPr>
          <w:p w14:paraId="7F4C0DE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49.7</w:t>
            </w:r>
          </w:p>
        </w:tc>
        <w:tc>
          <w:tcPr>
            <w:tcW w:w="816" w:type="dxa"/>
            <w:tcBorders>
              <w:top w:val="nil"/>
              <w:left w:val="nil"/>
              <w:bottom w:val="single" w:sz="4" w:space="0" w:color="auto"/>
              <w:right w:val="single" w:sz="4" w:space="0" w:color="auto"/>
            </w:tcBorders>
            <w:noWrap/>
            <w:vAlign w:val="bottom"/>
            <w:hideMark/>
          </w:tcPr>
          <w:p w14:paraId="23BD707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61.1</w:t>
            </w:r>
          </w:p>
        </w:tc>
        <w:tc>
          <w:tcPr>
            <w:tcW w:w="723" w:type="dxa"/>
            <w:tcBorders>
              <w:top w:val="nil"/>
              <w:left w:val="nil"/>
              <w:bottom w:val="single" w:sz="4" w:space="0" w:color="auto"/>
              <w:right w:val="single" w:sz="4" w:space="0" w:color="auto"/>
            </w:tcBorders>
            <w:noWrap/>
            <w:vAlign w:val="bottom"/>
            <w:hideMark/>
          </w:tcPr>
          <w:p w14:paraId="3591601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52.7</w:t>
            </w:r>
          </w:p>
        </w:tc>
        <w:tc>
          <w:tcPr>
            <w:tcW w:w="750" w:type="dxa"/>
            <w:tcBorders>
              <w:top w:val="nil"/>
              <w:left w:val="nil"/>
              <w:bottom w:val="single" w:sz="4" w:space="0" w:color="auto"/>
              <w:right w:val="single" w:sz="4" w:space="0" w:color="auto"/>
            </w:tcBorders>
            <w:noWrap/>
            <w:vAlign w:val="bottom"/>
            <w:hideMark/>
          </w:tcPr>
          <w:p w14:paraId="251F8BA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w:t>
            </w:r>
          </w:p>
        </w:tc>
        <w:tc>
          <w:tcPr>
            <w:tcW w:w="816" w:type="dxa"/>
            <w:tcBorders>
              <w:top w:val="nil"/>
              <w:left w:val="nil"/>
              <w:bottom w:val="single" w:sz="4" w:space="0" w:color="auto"/>
              <w:right w:val="single" w:sz="4" w:space="0" w:color="auto"/>
            </w:tcBorders>
            <w:noWrap/>
            <w:vAlign w:val="bottom"/>
            <w:hideMark/>
          </w:tcPr>
          <w:p w14:paraId="463C40F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w:t>
            </w:r>
          </w:p>
        </w:tc>
        <w:tc>
          <w:tcPr>
            <w:tcW w:w="723" w:type="dxa"/>
            <w:tcBorders>
              <w:top w:val="nil"/>
              <w:left w:val="nil"/>
              <w:bottom w:val="single" w:sz="4" w:space="0" w:color="auto"/>
              <w:right w:val="single" w:sz="4" w:space="0" w:color="auto"/>
            </w:tcBorders>
            <w:noWrap/>
            <w:vAlign w:val="bottom"/>
            <w:hideMark/>
          </w:tcPr>
          <w:p w14:paraId="1095BE7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4.9</w:t>
            </w:r>
          </w:p>
        </w:tc>
      </w:tr>
      <w:tr w:rsidR="002A7960" w:rsidRPr="00381786" w14:paraId="7D234324"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3435A1C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Himachal Pradesh</w:t>
            </w:r>
          </w:p>
        </w:tc>
        <w:tc>
          <w:tcPr>
            <w:tcW w:w="883" w:type="dxa"/>
            <w:tcBorders>
              <w:top w:val="nil"/>
              <w:left w:val="nil"/>
              <w:bottom w:val="single" w:sz="4" w:space="0" w:color="auto"/>
              <w:right w:val="single" w:sz="4" w:space="0" w:color="auto"/>
            </w:tcBorders>
            <w:noWrap/>
            <w:vAlign w:val="bottom"/>
            <w:hideMark/>
          </w:tcPr>
          <w:p w14:paraId="088B82C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617</w:t>
            </w:r>
          </w:p>
        </w:tc>
        <w:tc>
          <w:tcPr>
            <w:tcW w:w="750" w:type="dxa"/>
            <w:tcBorders>
              <w:top w:val="nil"/>
              <w:left w:val="nil"/>
              <w:bottom w:val="single" w:sz="4" w:space="0" w:color="auto"/>
              <w:right w:val="single" w:sz="4" w:space="0" w:color="auto"/>
            </w:tcBorders>
            <w:noWrap/>
            <w:vAlign w:val="bottom"/>
            <w:hideMark/>
          </w:tcPr>
          <w:p w14:paraId="6B256E2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23.3</w:t>
            </w:r>
          </w:p>
        </w:tc>
        <w:tc>
          <w:tcPr>
            <w:tcW w:w="816" w:type="dxa"/>
            <w:tcBorders>
              <w:top w:val="nil"/>
              <w:left w:val="nil"/>
              <w:bottom w:val="single" w:sz="4" w:space="0" w:color="auto"/>
              <w:right w:val="single" w:sz="4" w:space="0" w:color="auto"/>
            </w:tcBorders>
            <w:noWrap/>
            <w:vAlign w:val="bottom"/>
            <w:hideMark/>
          </w:tcPr>
          <w:p w14:paraId="15FEAD4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20.3</w:t>
            </w:r>
          </w:p>
        </w:tc>
        <w:tc>
          <w:tcPr>
            <w:tcW w:w="723" w:type="dxa"/>
            <w:tcBorders>
              <w:top w:val="nil"/>
              <w:left w:val="nil"/>
              <w:bottom w:val="single" w:sz="4" w:space="0" w:color="auto"/>
              <w:right w:val="single" w:sz="4" w:space="0" w:color="auto"/>
            </w:tcBorders>
            <w:noWrap/>
            <w:vAlign w:val="bottom"/>
            <w:hideMark/>
          </w:tcPr>
          <w:p w14:paraId="664B173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23</w:t>
            </w:r>
          </w:p>
        </w:tc>
        <w:tc>
          <w:tcPr>
            <w:tcW w:w="750" w:type="dxa"/>
            <w:tcBorders>
              <w:top w:val="nil"/>
              <w:left w:val="nil"/>
              <w:bottom w:val="single" w:sz="4" w:space="0" w:color="auto"/>
              <w:right w:val="single" w:sz="4" w:space="0" w:color="auto"/>
            </w:tcBorders>
            <w:noWrap/>
            <w:vAlign w:val="bottom"/>
            <w:hideMark/>
          </w:tcPr>
          <w:p w14:paraId="69C5CA2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31.4</w:t>
            </w:r>
          </w:p>
        </w:tc>
        <w:tc>
          <w:tcPr>
            <w:tcW w:w="816" w:type="dxa"/>
            <w:tcBorders>
              <w:top w:val="nil"/>
              <w:left w:val="nil"/>
              <w:bottom w:val="single" w:sz="4" w:space="0" w:color="auto"/>
              <w:right w:val="single" w:sz="4" w:space="0" w:color="auto"/>
            </w:tcBorders>
            <w:noWrap/>
            <w:vAlign w:val="bottom"/>
            <w:hideMark/>
          </w:tcPr>
          <w:p w14:paraId="63E9371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37.3</w:t>
            </w:r>
          </w:p>
        </w:tc>
        <w:tc>
          <w:tcPr>
            <w:tcW w:w="723" w:type="dxa"/>
            <w:tcBorders>
              <w:top w:val="nil"/>
              <w:left w:val="nil"/>
              <w:bottom w:val="single" w:sz="4" w:space="0" w:color="auto"/>
              <w:right w:val="single" w:sz="4" w:space="0" w:color="auto"/>
            </w:tcBorders>
            <w:noWrap/>
            <w:vAlign w:val="bottom"/>
            <w:hideMark/>
          </w:tcPr>
          <w:p w14:paraId="04F2A5E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31.9</w:t>
            </w:r>
          </w:p>
        </w:tc>
        <w:tc>
          <w:tcPr>
            <w:tcW w:w="750" w:type="dxa"/>
            <w:tcBorders>
              <w:top w:val="nil"/>
              <w:left w:val="nil"/>
              <w:bottom w:val="single" w:sz="4" w:space="0" w:color="auto"/>
              <w:right w:val="single" w:sz="4" w:space="0" w:color="auto"/>
            </w:tcBorders>
            <w:noWrap/>
            <w:vAlign w:val="bottom"/>
            <w:hideMark/>
          </w:tcPr>
          <w:p w14:paraId="6BD2514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12.7</w:t>
            </w:r>
          </w:p>
        </w:tc>
        <w:tc>
          <w:tcPr>
            <w:tcW w:w="816" w:type="dxa"/>
            <w:tcBorders>
              <w:top w:val="nil"/>
              <w:left w:val="nil"/>
              <w:bottom w:val="single" w:sz="4" w:space="0" w:color="auto"/>
              <w:right w:val="single" w:sz="4" w:space="0" w:color="auto"/>
            </w:tcBorders>
            <w:noWrap/>
            <w:vAlign w:val="bottom"/>
            <w:hideMark/>
          </w:tcPr>
          <w:p w14:paraId="7E84CE8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6.8</w:t>
            </w:r>
          </w:p>
        </w:tc>
        <w:tc>
          <w:tcPr>
            <w:tcW w:w="723" w:type="dxa"/>
            <w:tcBorders>
              <w:top w:val="nil"/>
              <w:left w:val="nil"/>
              <w:bottom w:val="single" w:sz="4" w:space="0" w:color="auto"/>
              <w:right w:val="single" w:sz="4" w:space="0" w:color="auto"/>
            </w:tcBorders>
            <w:noWrap/>
            <w:vAlign w:val="bottom"/>
            <w:hideMark/>
          </w:tcPr>
          <w:p w14:paraId="47F42B0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12.2</w:t>
            </w:r>
          </w:p>
        </w:tc>
      </w:tr>
      <w:tr w:rsidR="002A7960" w:rsidRPr="00381786" w14:paraId="736BE3F9"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4CD3C49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Punjab</w:t>
            </w:r>
          </w:p>
        </w:tc>
        <w:tc>
          <w:tcPr>
            <w:tcW w:w="883" w:type="dxa"/>
            <w:tcBorders>
              <w:top w:val="nil"/>
              <w:left w:val="nil"/>
              <w:bottom w:val="single" w:sz="4" w:space="0" w:color="auto"/>
              <w:right w:val="single" w:sz="4" w:space="0" w:color="auto"/>
            </w:tcBorders>
            <w:noWrap/>
            <w:vAlign w:val="bottom"/>
            <w:hideMark/>
          </w:tcPr>
          <w:p w14:paraId="7329F97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1002</w:t>
            </w:r>
          </w:p>
        </w:tc>
        <w:tc>
          <w:tcPr>
            <w:tcW w:w="750" w:type="dxa"/>
            <w:tcBorders>
              <w:top w:val="nil"/>
              <w:left w:val="nil"/>
              <w:bottom w:val="single" w:sz="4" w:space="0" w:color="auto"/>
              <w:right w:val="single" w:sz="4" w:space="0" w:color="auto"/>
            </w:tcBorders>
            <w:noWrap/>
            <w:vAlign w:val="bottom"/>
            <w:hideMark/>
          </w:tcPr>
          <w:p w14:paraId="2C54734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22.1</w:t>
            </w:r>
          </w:p>
        </w:tc>
        <w:tc>
          <w:tcPr>
            <w:tcW w:w="816" w:type="dxa"/>
            <w:tcBorders>
              <w:top w:val="nil"/>
              <w:left w:val="nil"/>
              <w:bottom w:val="single" w:sz="4" w:space="0" w:color="auto"/>
              <w:right w:val="single" w:sz="4" w:space="0" w:color="auto"/>
            </w:tcBorders>
            <w:noWrap/>
            <w:vAlign w:val="bottom"/>
            <w:hideMark/>
          </w:tcPr>
          <w:p w14:paraId="3ED6EF8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21.8</w:t>
            </w:r>
          </w:p>
        </w:tc>
        <w:tc>
          <w:tcPr>
            <w:tcW w:w="723" w:type="dxa"/>
            <w:tcBorders>
              <w:top w:val="nil"/>
              <w:left w:val="nil"/>
              <w:bottom w:val="single" w:sz="4" w:space="0" w:color="auto"/>
              <w:right w:val="single" w:sz="4" w:space="0" w:color="auto"/>
            </w:tcBorders>
            <w:noWrap/>
            <w:vAlign w:val="bottom"/>
            <w:hideMark/>
          </w:tcPr>
          <w:p w14:paraId="56AF5F7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22.1</w:t>
            </w:r>
          </w:p>
        </w:tc>
        <w:tc>
          <w:tcPr>
            <w:tcW w:w="750" w:type="dxa"/>
            <w:tcBorders>
              <w:top w:val="nil"/>
              <w:left w:val="nil"/>
              <w:bottom w:val="single" w:sz="4" w:space="0" w:color="auto"/>
              <w:right w:val="single" w:sz="4" w:space="0" w:color="auto"/>
            </w:tcBorders>
            <w:noWrap/>
            <w:vAlign w:val="bottom"/>
            <w:hideMark/>
          </w:tcPr>
          <w:p w14:paraId="20ED264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42.2</w:t>
            </w:r>
          </w:p>
        </w:tc>
        <w:tc>
          <w:tcPr>
            <w:tcW w:w="816" w:type="dxa"/>
            <w:tcBorders>
              <w:top w:val="nil"/>
              <w:left w:val="nil"/>
              <w:bottom w:val="single" w:sz="4" w:space="0" w:color="auto"/>
              <w:right w:val="single" w:sz="4" w:space="0" w:color="auto"/>
            </w:tcBorders>
            <w:noWrap/>
            <w:vAlign w:val="bottom"/>
            <w:hideMark/>
          </w:tcPr>
          <w:p w14:paraId="44E23C6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47.3</w:t>
            </w:r>
          </w:p>
        </w:tc>
        <w:tc>
          <w:tcPr>
            <w:tcW w:w="723" w:type="dxa"/>
            <w:tcBorders>
              <w:top w:val="nil"/>
              <w:left w:val="nil"/>
              <w:bottom w:val="single" w:sz="4" w:space="0" w:color="auto"/>
              <w:right w:val="single" w:sz="4" w:space="0" w:color="auto"/>
            </w:tcBorders>
            <w:noWrap/>
            <w:vAlign w:val="bottom"/>
            <w:hideMark/>
          </w:tcPr>
          <w:p w14:paraId="3634D1C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43.6</w:t>
            </w:r>
          </w:p>
        </w:tc>
        <w:tc>
          <w:tcPr>
            <w:tcW w:w="750" w:type="dxa"/>
            <w:tcBorders>
              <w:top w:val="nil"/>
              <w:left w:val="nil"/>
              <w:bottom w:val="single" w:sz="4" w:space="0" w:color="auto"/>
              <w:right w:val="single" w:sz="4" w:space="0" w:color="auto"/>
            </w:tcBorders>
            <w:noWrap/>
            <w:vAlign w:val="bottom"/>
            <w:hideMark/>
          </w:tcPr>
          <w:p w14:paraId="2360914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10.2</w:t>
            </w:r>
          </w:p>
        </w:tc>
        <w:tc>
          <w:tcPr>
            <w:tcW w:w="816" w:type="dxa"/>
            <w:tcBorders>
              <w:top w:val="nil"/>
              <w:left w:val="nil"/>
              <w:bottom w:val="single" w:sz="4" w:space="0" w:color="auto"/>
              <w:right w:val="single" w:sz="4" w:space="0" w:color="auto"/>
            </w:tcBorders>
            <w:noWrap/>
            <w:vAlign w:val="bottom"/>
            <w:hideMark/>
          </w:tcPr>
          <w:p w14:paraId="4AB1AC9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10.9</w:t>
            </w:r>
          </w:p>
        </w:tc>
        <w:tc>
          <w:tcPr>
            <w:tcW w:w="723" w:type="dxa"/>
            <w:tcBorders>
              <w:top w:val="nil"/>
              <w:left w:val="nil"/>
              <w:bottom w:val="single" w:sz="4" w:space="0" w:color="auto"/>
              <w:right w:val="single" w:sz="4" w:space="0" w:color="auto"/>
            </w:tcBorders>
            <w:noWrap/>
            <w:vAlign w:val="bottom"/>
            <w:hideMark/>
          </w:tcPr>
          <w:p w14:paraId="1D37740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10.4</w:t>
            </w:r>
          </w:p>
        </w:tc>
      </w:tr>
      <w:tr w:rsidR="002A7960" w:rsidRPr="00381786" w14:paraId="7FA4EE6F"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0D15ABB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Chandigarh</w:t>
            </w:r>
          </w:p>
        </w:tc>
        <w:tc>
          <w:tcPr>
            <w:tcW w:w="883" w:type="dxa"/>
            <w:tcBorders>
              <w:top w:val="nil"/>
              <w:left w:val="nil"/>
              <w:bottom w:val="single" w:sz="4" w:space="0" w:color="auto"/>
              <w:right w:val="single" w:sz="4" w:space="0" w:color="auto"/>
            </w:tcBorders>
            <w:noWrap/>
            <w:vAlign w:val="bottom"/>
            <w:hideMark/>
          </w:tcPr>
          <w:p w14:paraId="1369404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387</w:t>
            </w:r>
          </w:p>
        </w:tc>
        <w:tc>
          <w:tcPr>
            <w:tcW w:w="750" w:type="dxa"/>
            <w:tcBorders>
              <w:top w:val="nil"/>
              <w:left w:val="nil"/>
              <w:bottom w:val="single" w:sz="4" w:space="0" w:color="auto"/>
              <w:right w:val="single" w:sz="4" w:space="0" w:color="auto"/>
            </w:tcBorders>
            <w:noWrap/>
            <w:vAlign w:val="bottom"/>
            <w:hideMark/>
          </w:tcPr>
          <w:p w14:paraId="47D4CC5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0</w:t>
            </w:r>
          </w:p>
        </w:tc>
        <w:tc>
          <w:tcPr>
            <w:tcW w:w="816" w:type="dxa"/>
            <w:tcBorders>
              <w:top w:val="nil"/>
              <w:left w:val="nil"/>
              <w:bottom w:val="single" w:sz="4" w:space="0" w:color="auto"/>
              <w:right w:val="single" w:sz="4" w:space="0" w:color="auto"/>
            </w:tcBorders>
            <w:noWrap/>
            <w:vAlign w:val="bottom"/>
            <w:hideMark/>
          </w:tcPr>
          <w:p w14:paraId="49B04E4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17.8</w:t>
            </w:r>
          </w:p>
        </w:tc>
        <w:tc>
          <w:tcPr>
            <w:tcW w:w="723" w:type="dxa"/>
            <w:tcBorders>
              <w:top w:val="nil"/>
              <w:left w:val="nil"/>
              <w:bottom w:val="single" w:sz="4" w:space="0" w:color="auto"/>
              <w:right w:val="single" w:sz="4" w:space="0" w:color="auto"/>
            </w:tcBorders>
            <w:noWrap/>
            <w:vAlign w:val="bottom"/>
            <w:hideMark/>
          </w:tcPr>
          <w:p w14:paraId="0BB7820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17.6</w:t>
            </w:r>
          </w:p>
        </w:tc>
        <w:tc>
          <w:tcPr>
            <w:tcW w:w="750" w:type="dxa"/>
            <w:tcBorders>
              <w:top w:val="nil"/>
              <w:left w:val="nil"/>
              <w:bottom w:val="single" w:sz="4" w:space="0" w:color="auto"/>
              <w:right w:val="single" w:sz="4" w:space="0" w:color="auto"/>
            </w:tcBorders>
            <w:noWrap/>
            <w:vAlign w:val="bottom"/>
            <w:hideMark/>
          </w:tcPr>
          <w:p w14:paraId="1A046C5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75</w:t>
            </w:r>
          </w:p>
        </w:tc>
        <w:tc>
          <w:tcPr>
            <w:tcW w:w="816" w:type="dxa"/>
            <w:tcBorders>
              <w:top w:val="nil"/>
              <w:left w:val="nil"/>
              <w:bottom w:val="single" w:sz="4" w:space="0" w:color="auto"/>
              <w:right w:val="single" w:sz="4" w:space="0" w:color="auto"/>
            </w:tcBorders>
            <w:noWrap/>
            <w:vAlign w:val="bottom"/>
            <w:hideMark/>
          </w:tcPr>
          <w:p w14:paraId="36BDDE2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49.6</w:t>
            </w:r>
          </w:p>
        </w:tc>
        <w:tc>
          <w:tcPr>
            <w:tcW w:w="723" w:type="dxa"/>
            <w:tcBorders>
              <w:top w:val="nil"/>
              <w:left w:val="nil"/>
              <w:bottom w:val="single" w:sz="4" w:space="0" w:color="auto"/>
              <w:right w:val="single" w:sz="4" w:space="0" w:color="auto"/>
            </w:tcBorders>
            <w:noWrap/>
            <w:vAlign w:val="bottom"/>
            <w:hideMark/>
          </w:tcPr>
          <w:p w14:paraId="2CFFC0F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49.9</w:t>
            </w:r>
          </w:p>
        </w:tc>
        <w:tc>
          <w:tcPr>
            <w:tcW w:w="750" w:type="dxa"/>
            <w:tcBorders>
              <w:top w:val="nil"/>
              <w:left w:val="nil"/>
              <w:bottom w:val="single" w:sz="4" w:space="0" w:color="auto"/>
              <w:right w:val="single" w:sz="4" w:space="0" w:color="auto"/>
            </w:tcBorders>
            <w:noWrap/>
            <w:vAlign w:val="bottom"/>
            <w:hideMark/>
          </w:tcPr>
          <w:p w14:paraId="6A9A1B1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0</w:t>
            </w:r>
          </w:p>
        </w:tc>
        <w:tc>
          <w:tcPr>
            <w:tcW w:w="816" w:type="dxa"/>
            <w:tcBorders>
              <w:top w:val="nil"/>
              <w:left w:val="nil"/>
              <w:bottom w:val="single" w:sz="4" w:space="0" w:color="auto"/>
              <w:right w:val="single" w:sz="4" w:space="0" w:color="auto"/>
            </w:tcBorders>
            <w:noWrap/>
            <w:vAlign w:val="bottom"/>
            <w:hideMark/>
          </w:tcPr>
          <w:p w14:paraId="350F3CD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4.4</w:t>
            </w:r>
          </w:p>
        </w:tc>
        <w:tc>
          <w:tcPr>
            <w:tcW w:w="723" w:type="dxa"/>
            <w:tcBorders>
              <w:top w:val="nil"/>
              <w:left w:val="nil"/>
              <w:bottom w:val="single" w:sz="4" w:space="0" w:color="auto"/>
              <w:right w:val="single" w:sz="4" w:space="0" w:color="auto"/>
            </w:tcBorders>
            <w:noWrap/>
            <w:vAlign w:val="bottom"/>
            <w:hideMark/>
          </w:tcPr>
          <w:p w14:paraId="249EEAD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4.4</w:t>
            </w:r>
          </w:p>
        </w:tc>
      </w:tr>
      <w:tr w:rsidR="002A7960" w:rsidRPr="00381786" w14:paraId="7FEA5C5C"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755C037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proofErr w:type="spellStart"/>
            <w:r w:rsidRPr="00381786">
              <w:rPr>
                <w:rFonts w:ascii="Times New Roman" w:eastAsia="Times New Roman" w:hAnsi="Times New Roman" w:cs="Times New Roman"/>
                <w:color w:val="000000"/>
                <w:sz w:val="24"/>
                <w:szCs w:val="24"/>
                <w:lang w:bidi="hi-IN"/>
              </w:rPr>
              <w:t>Uttarakhand</w:t>
            </w:r>
            <w:proofErr w:type="spellEnd"/>
          </w:p>
        </w:tc>
        <w:tc>
          <w:tcPr>
            <w:tcW w:w="883" w:type="dxa"/>
            <w:tcBorders>
              <w:top w:val="nil"/>
              <w:left w:val="nil"/>
              <w:bottom w:val="single" w:sz="4" w:space="0" w:color="auto"/>
              <w:right w:val="single" w:sz="4" w:space="0" w:color="auto"/>
            </w:tcBorders>
            <w:noWrap/>
            <w:vAlign w:val="bottom"/>
            <w:hideMark/>
          </w:tcPr>
          <w:p w14:paraId="65FE090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641</w:t>
            </w:r>
          </w:p>
        </w:tc>
        <w:tc>
          <w:tcPr>
            <w:tcW w:w="750" w:type="dxa"/>
            <w:tcBorders>
              <w:top w:val="nil"/>
              <w:left w:val="nil"/>
              <w:bottom w:val="single" w:sz="4" w:space="0" w:color="auto"/>
              <w:right w:val="single" w:sz="4" w:space="0" w:color="auto"/>
            </w:tcBorders>
            <w:noWrap/>
            <w:vAlign w:val="bottom"/>
            <w:hideMark/>
          </w:tcPr>
          <w:p w14:paraId="5DAE3EA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12.6</w:t>
            </w:r>
          </w:p>
        </w:tc>
        <w:tc>
          <w:tcPr>
            <w:tcW w:w="816" w:type="dxa"/>
            <w:tcBorders>
              <w:top w:val="nil"/>
              <w:left w:val="nil"/>
              <w:bottom w:val="single" w:sz="4" w:space="0" w:color="auto"/>
              <w:right w:val="single" w:sz="4" w:space="0" w:color="auto"/>
            </w:tcBorders>
            <w:noWrap/>
            <w:vAlign w:val="bottom"/>
            <w:hideMark/>
          </w:tcPr>
          <w:p w14:paraId="00A7052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15.4</w:t>
            </w:r>
          </w:p>
        </w:tc>
        <w:tc>
          <w:tcPr>
            <w:tcW w:w="723" w:type="dxa"/>
            <w:tcBorders>
              <w:top w:val="nil"/>
              <w:left w:val="nil"/>
              <w:bottom w:val="single" w:sz="4" w:space="0" w:color="auto"/>
              <w:right w:val="single" w:sz="4" w:space="0" w:color="auto"/>
            </w:tcBorders>
            <w:noWrap/>
            <w:vAlign w:val="bottom"/>
            <w:hideMark/>
          </w:tcPr>
          <w:p w14:paraId="227CA91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13.3</w:t>
            </w:r>
          </w:p>
        </w:tc>
        <w:tc>
          <w:tcPr>
            <w:tcW w:w="750" w:type="dxa"/>
            <w:tcBorders>
              <w:top w:val="nil"/>
              <w:left w:val="nil"/>
              <w:bottom w:val="single" w:sz="4" w:space="0" w:color="auto"/>
              <w:right w:val="single" w:sz="4" w:space="0" w:color="auto"/>
            </w:tcBorders>
            <w:noWrap/>
            <w:vAlign w:val="bottom"/>
            <w:hideMark/>
          </w:tcPr>
          <w:p w14:paraId="2370AD7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35.6</w:t>
            </w:r>
          </w:p>
        </w:tc>
        <w:tc>
          <w:tcPr>
            <w:tcW w:w="816" w:type="dxa"/>
            <w:tcBorders>
              <w:top w:val="nil"/>
              <w:left w:val="nil"/>
              <w:bottom w:val="single" w:sz="4" w:space="0" w:color="auto"/>
              <w:right w:val="single" w:sz="4" w:space="0" w:color="auto"/>
            </w:tcBorders>
            <w:noWrap/>
            <w:vAlign w:val="bottom"/>
            <w:hideMark/>
          </w:tcPr>
          <w:p w14:paraId="34BC14E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49</w:t>
            </w:r>
          </w:p>
        </w:tc>
        <w:tc>
          <w:tcPr>
            <w:tcW w:w="723" w:type="dxa"/>
            <w:tcBorders>
              <w:top w:val="nil"/>
              <w:left w:val="nil"/>
              <w:bottom w:val="single" w:sz="4" w:space="0" w:color="auto"/>
              <w:right w:val="single" w:sz="4" w:space="0" w:color="auto"/>
            </w:tcBorders>
            <w:noWrap/>
            <w:vAlign w:val="bottom"/>
            <w:hideMark/>
          </w:tcPr>
          <w:p w14:paraId="2E7A892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38.7</w:t>
            </w:r>
          </w:p>
        </w:tc>
        <w:tc>
          <w:tcPr>
            <w:tcW w:w="750" w:type="dxa"/>
            <w:tcBorders>
              <w:top w:val="nil"/>
              <w:left w:val="nil"/>
              <w:bottom w:val="single" w:sz="4" w:space="0" w:color="auto"/>
              <w:right w:val="single" w:sz="4" w:space="0" w:color="auto"/>
            </w:tcBorders>
            <w:noWrap/>
            <w:vAlign w:val="bottom"/>
            <w:hideMark/>
          </w:tcPr>
          <w:p w14:paraId="2DEC1A8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8.5</w:t>
            </w:r>
          </w:p>
        </w:tc>
        <w:tc>
          <w:tcPr>
            <w:tcW w:w="816" w:type="dxa"/>
            <w:tcBorders>
              <w:top w:val="nil"/>
              <w:left w:val="nil"/>
              <w:bottom w:val="single" w:sz="4" w:space="0" w:color="auto"/>
              <w:right w:val="single" w:sz="4" w:space="0" w:color="auto"/>
            </w:tcBorders>
            <w:noWrap/>
            <w:vAlign w:val="bottom"/>
            <w:hideMark/>
          </w:tcPr>
          <w:p w14:paraId="55C1C90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w:t>
            </w:r>
          </w:p>
        </w:tc>
        <w:tc>
          <w:tcPr>
            <w:tcW w:w="723" w:type="dxa"/>
            <w:tcBorders>
              <w:top w:val="nil"/>
              <w:left w:val="nil"/>
              <w:bottom w:val="single" w:sz="4" w:space="0" w:color="auto"/>
              <w:right w:val="single" w:sz="4" w:space="0" w:color="auto"/>
            </w:tcBorders>
            <w:noWrap/>
            <w:vAlign w:val="bottom"/>
            <w:hideMark/>
          </w:tcPr>
          <w:p w14:paraId="064AD56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w:t>
            </w:r>
          </w:p>
        </w:tc>
      </w:tr>
      <w:tr w:rsidR="002A7960" w:rsidRPr="00381786" w14:paraId="605F31B0"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CE6243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Haryana</w:t>
            </w:r>
          </w:p>
        </w:tc>
        <w:tc>
          <w:tcPr>
            <w:tcW w:w="883" w:type="dxa"/>
            <w:tcBorders>
              <w:top w:val="nil"/>
              <w:left w:val="nil"/>
              <w:bottom w:val="single" w:sz="4" w:space="0" w:color="auto"/>
              <w:right w:val="single" w:sz="4" w:space="0" w:color="auto"/>
            </w:tcBorders>
            <w:noWrap/>
            <w:vAlign w:val="bottom"/>
            <w:hideMark/>
          </w:tcPr>
          <w:p w14:paraId="04092AE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847</w:t>
            </w:r>
          </w:p>
        </w:tc>
        <w:tc>
          <w:tcPr>
            <w:tcW w:w="750" w:type="dxa"/>
            <w:tcBorders>
              <w:top w:val="nil"/>
              <w:left w:val="nil"/>
              <w:bottom w:val="single" w:sz="4" w:space="0" w:color="auto"/>
              <w:right w:val="single" w:sz="4" w:space="0" w:color="auto"/>
            </w:tcBorders>
            <w:noWrap/>
            <w:vAlign w:val="bottom"/>
            <w:hideMark/>
          </w:tcPr>
          <w:p w14:paraId="6EBEB0B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26</w:t>
            </w:r>
          </w:p>
        </w:tc>
        <w:tc>
          <w:tcPr>
            <w:tcW w:w="816" w:type="dxa"/>
            <w:tcBorders>
              <w:top w:val="nil"/>
              <w:left w:val="nil"/>
              <w:bottom w:val="single" w:sz="4" w:space="0" w:color="auto"/>
              <w:right w:val="single" w:sz="4" w:space="0" w:color="auto"/>
            </w:tcBorders>
            <w:noWrap/>
            <w:vAlign w:val="bottom"/>
            <w:hideMark/>
          </w:tcPr>
          <w:p w14:paraId="248F029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36.4</w:t>
            </w:r>
          </w:p>
        </w:tc>
        <w:tc>
          <w:tcPr>
            <w:tcW w:w="723" w:type="dxa"/>
            <w:tcBorders>
              <w:top w:val="nil"/>
              <w:left w:val="nil"/>
              <w:bottom w:val="single" w:sz="4" w:space="0" w:color="auto"/>
              <w:right w:val="single" w:sz="4" w:space="0" w:color="auto"/>
            </w:tcBorders>
            <w:noWrap/>
            <w:vAlign w:val="bottom"/>
            <w:hideMark/>
          </w:tcPr>
          <w:p w14:paraId="1D6298F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29</w:t>
            </w:r>
          </w:p>
        </w:tc>
        <w:tc>
          <w:tcPr>
            <w:tcW w:w="750" w:type="dxa"/>
            <w:tcBorders>
              <w:top w:val="nil"/>
              <w:left w:val="nil"/>
              <w:bottom w:val="single" w:sz="4" w:space="0" w:color="auto"/>
              <w:right w:val="single" w:sz="4" w:space="0" w:color="auto"/>
            </w:tcBorders>
            <w:noWrap/>
            <w:vAlign w:val="bottom"/>
            <w:hideMark/>
          </w:tcPr>
          <w:p w14:paraId="6A942F1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27.8</w:t>
            </w:r>
          </w:p>
        </w:tc>
        <w:tc>
          <w:tcPr>
            <w:tcW w:w="816" w:type="dxa"/>
            <w:tcBorders>
              <w:top w:val="nil"/>
              <w:left w:val="nil"/>
              <w:bottom w:val="single" w:sz="4" w:space="0" w:color="auto"/>
              <w:right w:val="single" w:sz="4" w:space="0" w:color="auto"/>
            </w:tcBorders>
            <w:noWrap/>
            <w:vAlign w:val="bottom"/>
            <w:hideMark/>
          </w:tcPr>
          <w:p w14:paraId="51DECDD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33.2</w:t>
            </w:r>
          </w:p>
        </w:tc>
        <w:tc>
          <w:tcPr>
            <w:tcW w:w="723" w:type="dxa"/>
            <w:tcBorders>
              <w:top w:val="nil"/>
              <w:left w:val="nil"/>
              <w:bottom w:val="single" w:sz="4" w:space="0" w:color="auto"/>
              <w:right w:val="single" w:sz="4" w:space="0" w:color="auto"/>
            </w:tcBorders>
            <w:noWrap/>
            <w:vAlign w:val="bottom"/>
            <w:hideMark/>
          </w:tcPr>
          <w:p w14:paraId="6B8B4DB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29.4</w:t>
            </w:r>
          </w:p>
        </w:tc>
        <w:tc>
          <w:tcPr>
            <w:tcW w:w="750" w:type="dxa"/>
            <w:tcBorders>
              <w:top w:val="nil"/>
              <w:left w:val="nil"/>
              <w:bottom w:val="single" w:sz="4" w:space="0" w:color="auto"/>
              <w:right w:val="single" w:sz="4" w:space="0" w:color="auto"/>
            </w:tcBorders>
            <w:noWrap/>
            <w:vAlign w:val="bottom"/>
            <w:hideMark/>
          </w:tcPr>
          <w:p w14:paraId="5A31C13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16.7</w:t>
            </w:r>
          </w:p>
        </w:tc>
        <w:tc>
          <w:tcPr>
            <w:tcW w:w="816" w:type="dxa"/>
            <w:tcBorders>
              <w:top w:val="nil"/>
              <w:left w:val="nil"/>
              <w:bottom w:val="single" w:sz="4" w:space="0" w:color="auto"/>
              <w:right w:val="single" w:sz="4" w:space="0" w:color="auto"/>
            </w:tcBorders>
            <w:noWrap/>
            <w:vAlign w:val="bottom"/>
            <w:hideMark/>
          </w:tcPr>
          <w:p w14:paraId="41CF5E4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15.8</w:t>
            </w:r>
          </w:p>
        </w:tc>
        <w:tc>
          <w:tcPr>
            <w:tcW w:w="723" w:type="dxa"/>
            <w:tcBorders>
              <w:top w:val="nil"/>
              <w:left w:val="nil"/>
              <w:bottom w:val="single" w:sz="4" w:space="0" w:color="auto"/>
              <w:right w:val="single" w:sz="4" w:space="0" w:color="auto"/>
            </w:tcBorders>
            <w:noWrap/>
            <w:vAlign w:val="bottom"/>
            <w:hideMark/>
          </w:tcPr>
          <w:p w14:paraId="4B60EC8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16.4</w:t>
            </w:r>
          </w:p>
        </w:tc>
      </w:tr>
      <w:tr w:rsidR="002A7960" w:rsidRPr="00381786" w14:paraId="0ABF7ABD"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3F0218A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Delhi</w:t>
            </w:r>
          </w:p>
        </w:tc>
        <w:tc>
          <w:tcPr>
            <w:tcW w:w="883" w:type="dxa"/>
            <w:tcBorders>
              <w:top w:val="nil"/>
              <w:left w:val="nil"/>
              <w:bottom w:val="single" w:sz="4" w:space="0" w:color="auto"/>
              <w:right w:val="single" w:sz="4" w:space="0" w:color="auto"/>
            </w:tcBorders>
            <w:noWrap/>
            <w:vAlign w:val="bottom"/>
            <w:hideMark/>
          </w:tcPr>
          <w:p w14:paraId="4E79D30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495</w:t>
            </w:r>
          </w:p>
        </w:tc>
        <w:tc>
          <w:tcPr>
            <w:tcW w:w="750" w:type="dxa"/>
            <w:tcBorders>
              <w:top w:val="nil"/>
              <w:left w:val="nil"/>
              <w:bottom w:val="single" w:sz="4" w:space="0" w:color="auto"/>
              <w:right w:val="single" w:sz="4" w:space="0" w:color="auto"/>
            </w:tcBorders>
            <w:noWrap/>
            <w:vAlign w:val="bottom"/>
            <w:hideMark/>
          </w:tcPr>
          <w:p w14:paraId="32A2A5F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37.5</w:t>
            </w:r>
          </w:p>
        </w:tc>
        <w:tc>
          <w:tcPr>
            <w:tcW w:w="816" w:type="dxa"/>
            <w:tcBorders>
              <w:top w:val="nil"/>
              <w:left w:val="nil"/>
              <w:bottom w:val="single" w:sz="4" w:space="0" w:color="auto"/>
              <w:right w:val="single" w:sz="4" w:space="0" w:color="auto"/>
            </w:tcBorders>
            <w:noWrap/>
            <w:vAlign w:val="bottom"/>
            <w:hideMark/>
          </w:tcPr>
          <w:p w14:paraId="24C6B5F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23.4</w:t>
            </w:r>
          </w:p>
        </w:tc>
        <w:tc>
          <w:tcPr>
            <w:tcW w:w="723" w:type="dxa"/>
            <w:tcBorders>
              <w:top w:val="nil"/>
              <w:left w:val="nil"/>
              <w:bottom w:val="single" w:sz="4" w:space="0" w:color="auto"/>
              <w:right w:val="single" w:sz="4" w:space="0" w:color="auto"/>
            </w:tcBorders>
            <w:noWrap/>
            <w:vAlign w:val="bottom"/>
            <w:hideMark/>
          </w:tcPr>
          <w:p w14:paraId="763EF95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23.6</w:t>
            </w:r>
          </w:p>
        </w:tc>
        <w:tc>
          <w:tcPr>
            <w:tcW w:w="750" w:type="dxa"/>
            <w:tcBorders>
              <w:top w:val="nil"/>
              <w:left w:val="nil"/>
              <w:bottom w:val="single" w:sz="4" w:space="0" w:color="auto"/>
              <w:right w:val="single" w:sz="4" w:space="0" w:color="auto"/>
            </w:tcBorders>
            <w:noWrap/>
            <w:vAlign w:val="bottom"/>
            <w:hideMark/>
          </w:tcPr>
          <w:p w14:paraId="68F0D5D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25</w:t>
            </w:r>
          </w:p>
        </w:tc>
        <w:tc>
          <w:tcPr>
            <w:tcW w:w="816" w:type="dxa"/>
            <w:tcBorders>
              <w:top w:val="nil"/>
              <w:left w:val="nil"/>
              <w:bottom w:val="single" w:sz="4" w:space="0" w:color="auto"/>
              <w:right w:val="single" w:sz="4" w:space="0" w:color="auto"/>
            </w:tcBorders>
            <w:noWrap/>
            <w:vAlign w:val="bottom"/>
            <w:hideMark/>
          </w:tcPr>
          <w:p w14:paraId="7A49C6A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37.8</w:t>
            </w:r>
          </w:p>
        </w:tc>
        <w:tc>
          <w:tcPr>
            <w:tcW w:w="723" w:type="dxa"/>
            <w:tcBorders>
              <w:top w:val="nil"/>
              <w:left w:val="nil"/>
              <w:bottom w:val="single" w:sz="4" w:space="0" w:color="auto"/>
              <w:right w:val="single" w:sz="4" w:space="0" w:color="auto"/>
            </w:tcBorders>
            <w:noWrap/>
            <w:vAlign w:val="bottom"/>
            <w:hideMark/>
          </w:tcPr>
          <w:p w14:paraId="7B57753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37.6</w:t>
            </w:r>
          </w:p>
        </w:tc>
        <w:tc>
          <w:tcPr>
            <w:tcW w:w="750" w:type="dxa"/>
            <w:tcBorders>
              <w:top w:val="nil"/>
              <w:left w:val="nil"/>
              <w:bottom w:val="single" w:sz="4" w:space="0" w:color="auto"/>
              <w:right w:val="single" w:sz="4" w:space="0" w:color="auto"/>
            </w:tcBorders>
            <w:noWrap/>
            <w:vAlign w:val="bottom"/>
            <w:hideMark/>
          </w:tcPr>
          <w:p w14:paraId="6538E32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0</w:t>
            </w:r>
          </w:p>
        </w:tc>
        <w:tc>
          <w:tcPr>
            <w:tcW w:w="816" w:type="dxa"/>
            <w:tcBorders>
              <w:top w:val="nil"/>
              <w:left w:val="nil"/>
              <w:bottom w:val="single" w:sz="4" w:space="0" w:color="auto"/>
              <w:right w:val="single" w:sz="4" w:space="0" w:color="auto"/>
            </w:tcBorders>
            <w:noWrap/>
            <w:vAlign w:val="bottom"/>
            <w:hideMark/>
          </w:tcPr>
          <w:p w14:paraId="526F01B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12.3</w:t>
            </w:r>
          </w:p>
        </w:tc>
        <w:tc>
          <w:tcPr>
            <w:tcW w:w="723" w:type="dxa"/>
            <w:tcBorders>
              <w:top w:val="nil"/>
              <w:left w:val="nil"/>
              <w:bottom w:val="single" w:sz="4" w:space="0" w:color="auto"/>
              <w:right w:val="single" w:sz="4" w:space="0" w:color="auto"/>
            </w:tcBorders>
            <w:noWrap/>
            <w:vAlign w:val="bottom"/>
            <w:hideMark/>
          </w:tcPr>
          <w:p w14:paraId="07A2C72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12.1</w:t>
            </w:r>
          </w:p>
        </w:tc>
      </w:tr>
      <w:tr w:rsidR="002A7960" w:rsidRPr="00381786" w14:paraId="5EFB05FC"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6ED46E6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Rajasthan</w:t>
            </w:r>
          </w:p>
        </w:tc>
        <w:tc>
          <w:tcPr>
            <w:tcW w:w="883" w:type="dxa"/>
            <w:tcBorders>
              <w:top w:val="nil"/>
              <w:left w:val="nil"/>
              <w:bottom w:val="single" w:sz="4" w:space="0" w:color="auto"/>
              <w:right w:val="single" w:sz="4" w:space="0" w:color="auto"/>
            </w:tcBorders>
            <w:noWrap/>
            <w:vAlign w:val="bottom"/>
            <w:hideMark/>
          </w:tcPr>
          <w:p w14:paraId="669BC1F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1076</w:t>
            </w:r>
          </w:p>
        </w:tc>
        <w:tc>
          <w:tcPr>
            <w:tcW w:w="750" w:type="dxa"/>
            <w:tcBorders>
              <w:top w:val="nil"/>
              <w:left w:val="nil"/>
              <w:bottom w:val="single" w:sz="4" w:space="0" w:color="auto"/>
              <w:right w:val="single" w:sz="4" w:space="0" w:color="auto"/>
            </w:tcBorders>
            <w:noWrap/>
            <w:vAlign w:val="bottom"/>
            <w:hideMark/>
          </w:tcPr>
          <w:p w14:paraId="006D70F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28.7</w:t>
            </w:r>
          </w:p>
        </w:tc>
        <w:tc>
          <w:tcPr>
            <w:tcW w:w="816" w:type="dxa"/>
            <w:tcBorders>
              <w:top w:val="nil"/>
              <w:left w:val="nil"/>
              <w:bottom w:val="single" w:sz="4" w:space="0" w:color="auto"/>
              <w:right w:val="single" w:sz="4" w:space="0" w:color="auto"/>
            </w:tcBorders>
            <w:noWrap/>
            <w:vAlign w:val="bottom"/>
            <w:hideMark/>
          </w:tcPr>
          <w:p w14:paraId="0193386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27.4</w:t>
            </w:r>
          </w:p>
        </w:tc>
        <w:tc>
          <w:tcPr>
            <w:tcW w:w="723" w:type="dxa"/>
            <w:tcBorders>
              <w:top w:val="nil"/>
              <w:left w:val="nil"/>
              <w:bottom w:val="single" w:sz="4" w:space="0" w:color="auto"/>
              <w:right w:val="single" w:sz="4" w:space="0" w:color="auto"/>
            </w:tcBorders>
            <w:noWrap/>
            <w:vAlign w:val="bottom"/>
            <w:hideMark/>
          </w:tcPr>
          <w:p w14:paraId="07E69EC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28.4</w:t>
            </w:r>
          </w:p>
        </w:tc>
        <w:tc>
          <w:tcPr>
            <w:tcW w:w="750" w:type="dxa"/>
            <w:tcBorders>
              <w:top w:val="nil"/>
              <w:left w:val="nil"/>
              <w:bottom w:val="single" w:sz="4" w:space="0" w:color="auto"/>
              <w:right w:val="single" w:sz="4" w:space="0" w:color="auto"/>
            </w:tcBorders>
            <w:noWrap/>
            <w:vAlign w:val="bottom"/>
            <w:hideMark/>
          </w:tcPr>
          <w:p w14:paraId="35653C5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21.3</w:t>
            </w:r>
          </w:p>
        </w:tc>
        <w:tc>
          <w:tcPr>
            <w:tcW w:w="816" w:type="dxa"/>
            <w:tcBorders>
              <w:top w:val="nil"/>
              <w:left w:val="nil"/>
              <w:bottom w:val="single" w:sz="4" w:space="0" w:color="auto"/>
              <w:right w:val="single" w:sz="4" w:space="0" w:color="auto"/>
            </w:tcBorders>
            <w:noWrap/>
            <w:vAlign w:val="bottom"/>
            <w:hideMark/>
          </w:tcPr>
          <w:p w14:paraId="07C7FE1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34.5</w:t>
            </w:r>
          </w:p>
        </w:tc>
        <w:tc>
          <w:tcPr>
            <w:tcW w:w="723" w:type="dxa"/>
            <w:tcBorders>
              <w:top w:val="nil"/>
              <w:left w:val="nil"/>
              <w:bottom w:val="single" w:sz="4" w:space="0" w:color="auto"/>
              <w:right w:val="single" w:sz="4" w:space="0" w:color="auto"/>
            </w:tcBorders>
            <w:noWrap/>
            <w:vAlign w:val="bottom"/>
            <w:hideMark/>
          </w:tcPr>
          <w:p w14:paraId="1E6A783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24.1</w:t>
            </w:r>
          </w:p>
        </w:tc>
        <w:tc>
          <w:tcPr>
            <w:tcW w:w="750" w:type="dxa"/>
            <w:tcBorders>
              <w:top w:val="nil"/>
              <w:left w:val="nil"/>
              <w:bottom w:val="single" w:sz="4" w:space="0" w:color="auto"/>
              <w:right w:val="single" w:sz="4" w:space="0" w:color="auto"/>
            </w:tcBorders>
            <w:noWrap/>
            <w:vAlign w:val="bottom"/>
            <w:hideMark/>
          </w:tcPr>
          <w:p w14:paraId="7593A07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22.2</w:t>
            </w:r>
          </w:p>
        </w:tc>
        <w:tc>
          <w:tcPr>
            <w:tcW w:w="816" w:type="dxa"/>
            <w:tcBorders>
              <w:top w:val="nil"/>
              <w:left w:val="nil"/>
              <w:bottom w:val="single" w:sz="4" w:space="0" w:color="auto"/>
              <w:right w:val="single" w:sz="4" w:space="0" w:color="auto"/>
            </w:tcBorders>
            <w:noWrap/>
            <w:vAlign w:val="bottom"/>
            <w:hideMark/>
          </w:tcPr>
          <w:p w14:paraId="3B80BD9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11.7</w:t>
            </w:r>
          </w:p>
        </w:tc>
        <w:tc>
          <w:tcPr>
            <w:tcW w:w="723" w:type="dxa"/>
            <w:tcBorders>
              <w:top w:val="nil"/>
              <w:left w:val="nil"/>
              <w:bottom w:val="single" w:sz="4" w:space="0" w:color="auto"/>
              <w:right w:val="single" w:sz="4" w:space="0" w:color="auto"/>
            </w:tcBorders>
            <w:noWrap/>
            <w:vAlign w:val="bottom"/>
            <w:hideMark/>
          </w:tcPr>
          <w:p w14:paraId="54F53B9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20</w:t>
            </w:r>
          </w:p>
        </w:tc>
      </w:tr>
      <w:tr w:rsidR="002A7960" w:rsidRPr="00381786" w14:paraId="70A3FF90"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F218C5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Uttar Pradesh</w:t>
            </w:r>
          </w:p>
        </w:tc>
        <w:tc>
          <w:tcPr>
            <w:tcW w:w="883" w:type="dxa"/>
            <w:tcBorders>
              <w:top w:val="nil"/>
              <w:left w:val="nil"/>
              <w:bottom w:val="single" w:sz="4" w:space="0" w:color="auto"/>
              <w:right w:val="single" w:sz="4" w:space="0" w:color="auto"/>
            </w:tcBorders>
            <w:noWrap/>
            <w:vAlign w:val="bottom"/>
            <w:hideMark/>
          </w:tcPr>
          <w:p w14:paraId="251269E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2166</w:t>
            </w:r>
          </w:p>
        </w:tc>
        <w:tc>
          <w:tcPr>
            <w:tcW w:w="750" w:type="dxa"/>
            <w:tcBorders>
              <w:top w:val="nil"/>
              <w:left w:val="nil"/>
              <w:bottom w:val="single" w:sz="4" w:space="0" w:color="auto"/>
              <w:right w:val="single" w:sz="4" w:space="0" w:color="auto"/>
            </w:tcBorders>
            <w:noWrap/>
            <w:vAlign w:val="bottom"/>
            <w:hideMark/>
          </w:tcPr>
          <w:p w14:paraId="4E75C3D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18.8</w:t>
            </w:r>
          </w:p>
        </w:tc>
        <w:tc>
          <w:tcPr>
            <w:tcW w:w="816" w:type="dxa"/>
            <w:tcBorders>
              <w:top w:val="nil"/>
              <w:left w:val="nil"/>
              <w:bottom w:val="single" w:sz="4" w:space="0" w:color="auto"/>
              <w:right w:val="single" w:sz="4" w:space="0" w:color="auto"/>
            </w:tcBorders>
            <w:noWrap/>
            <w:vAlign w:val="bottom"/>
            <w:hideMark/>
          </w:tcPr>
          <w:p w14:paraId="16E80CA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24.5</w:t>
            </w:r>
          </w:p>
        </w:tc>
        <w:tc>
          <w:tcPr>
            <w:tcW w:w="723" w:type="dxa"/>
            <w:tcBorders>
              <w:top w:val="nil"/>
              <w:left w:val="nil"/>
              <w:bottom w:val="single" w:sz="4" w:space="0" w:color="auto"/>
              <w:right w:val="single" w:sz="4" w:space="0" w:color="auto"/>
            </w:tcBorders>
            <w:noWrap/>
            <w:vAlign w:val="bottom"/>
            <w:hideMark/>
          </w:tcPr>
          <w:p w14:paraId="5F39C61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19.9</w:t>
            </w:r>
          </w:p>
        </w:tc>
        <w:tc>
          <w:tcPr>
            <w:tcW w:w="750" w:type="dxa"/>
            <w:tcBorders>
              <w:top w:val="nil"/>
              <w:left w:val="nil"/>
              <w:bottom w:val="single" w:sz="4" w:space="0" w:color="auto"/>
              <w:right w:val="single" w:sz="4" w:space="0" w:color="auto"/>
            </w:tcBorders>
            <w:noWrap/>
            <w:vAlign w:val="bottom"/>
            <w:hideMark/>
          </w:tcPr>
          <w:p w14:paraId="4672653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17.7</w:t>
            </w:r>
          </w:p>
        </w:tc>
        <w:tc>
          <w:tcPr>
            <w:tcW w:w="816" w:type="dxa"/>
            <w:tcBorders>
              <w:top w:val="nil"/>
              <w:left w:val="nil"/>
              <w:bottom w:val="single" w:sz="4" w:space="0" w:color="auto"/>
              <w:right w:val="single" w:sz="4" w:space="0" w:color="auto"/>
            </w:tcBorders>
            <w:noWrap/>
            <w:vAlign w:val="bottom"/>
            <w:hideMark/>
          </w:tcPr>
          <w:p w14:paraId="2DA27DB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27.3</w:t>
            </w:r>
          </w:p>
        </w:tc>
        <w:tc>
          <w:tcPr>
            <w:tcW w:w="723" w:type="dxa"/>
            <w:tcBorders>
              <w:top w:val="nil"/>
              <w:left w:val="nil"/>
              <w:bottom w:val="single" w:sz="4" w:space="0" w:color="auto"/>
              <w:right w:val="single" w:sz="4" w:space="0" w:color="auto"/>
            </w:tcBorders>
            <w:noWrap/>
            <w:vAlign w:val="bottom"/>
            <w:hideMark/>
          </w:tcPr>
          <w:p w14:paraId="4DBCF9C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19.6</w:t>
            </w:r>
          </w:p>
        </w:tc>
        <w:tc>
          <w:tcPr>
            <w:tcW w:w="750" w:type="dxa"/>
            <w:tcBorders>
              <w:top w:val="nil"/>
              <w:left w:val="nil"/>
              <w:bottom w:val="single" w:sz="4" w:space="0" w:color="auto"/>
              <w:right w:val="single" w:sz="4" w:space="0" w:color="auto"/>
            </w:tcBorders>
            <w:noWrap/>
            <w:vAlign w:val="bottom"/>
            <w:hideMark/>
          </w:tcPr>
          <w:p w14:paraId="65C6C7D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25</w:t>
            </w:r>
          </w:p>
        </w:tc>
        <w:tc>
          <w:tcPr>
            <w:tcW w:w="816" w:type="dxa"/>
            <w:tcBorders>
              <w:top w:val="nil"/>
              <w:left w:val="nil"/>
              <w:bottom w:val="single" w:sz="4" w:space="0" w:color="auto"/>
              <w:right w:val="single" w:sz="4" w:space="0" w:color="auto"/>
            </w:tcBorders>
            <w:noWrap/>
            <w:vAlign w:val="bottom"/>
            <w:hideMark/>
          </w:tcPr>
          <w:p w14:paraId="15EC812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14.5</w:t>
            </w:r>
          </w:p>
        </w:tc>
        <w:tc>
          <w:tcPr>
            <w:tcW w:w="723" w:type="dxa"/>
            <w:tcBorders>
              <w:top w:val="nil"/>
              <w:left w:val="nil"/>
              <w:bottom w:val="single" w:sz="4" w:space="0" w:color="auto"/>
              <w:right w:val="single" w:sz="4" w:space="0" w:color="auto"/>
            </w:tcBorders>
            <w:noWrap/>
            <w:vAlign w:val="bottom"/>
            <w:hideMark/>
          </w:tcPr>
          <w:p w14:paraId="2D249CE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22.9</w:t>
            </w:r>
          </w:p>
        </w:tc>
      </w:tr>
      <w:tr w:rsidR="002A7960" w:rsidRPr="00381786" w14:paraId="50B4D1A4"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E90399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Bihar</w:t>
            </w:r>
          </w:p>
        </w:tc>
        <w:tc>
          <w:tcPr>
            <w:tcW w:w="883" w:type="dxa"/>
            <w:tcBorders>
              <w:top w:val="nil"/>
              <w:left w:val="nil"/>
              <w:bottom w:val="single" w:sz="4" w:space="0" w:color="auto"/>
              <w:right w:val="single" w:sz="4" w:space="0" w:color="auto"/>
            </w:tcBorders>
            <w:noWrap/>
            <w:vAlign w:val="bottom"/>
            <w:hideMark/>
          </w:tcPr>
          <w:p w14:paraId="5DFF111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1805</w:t>
            </w:r>
          </w:p>
        </w:tc>
        <w:tc>
          <w:tcPr>
            <w:tcW w:w="750" w:type="dxa"/>
            <w:tcBorders>
              <w:top w:val="nil"/>
              <w:left w:val="nil"/>
              <w:bottom w:val="single" w:sz="4" w:space="0" w:color="auto"/>
              <w:right w:val="single" w:sz="4" w:space="0" w:color="auto"/>
            </w:tcBorders>
            <w:noWrap/>
            <w:vAlign w:val="bottom"/>
            <w:hideMark/>
          </w:tcPr>
          <w:p w14:paraId="1D3F0C5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21.7</w:t>
            </w:r>
          </w:p>
        </w:tc>
        <w:tc>
          <w:tcPr>
            <w:tcW w:w="816" w:type="dxa"/>
            <w:tcBorders>
              <w:top w:val="nil"/>
              <w:left w:val="nil"/>
              <w:bottom w:val="single" w:sz="4" w:space="0" w:color="auto"/>
              <w:right w:val="single" w:sz="4" w:space="0" w:color="auto"/>
            </w:tcBorders>
            <w:noWrap/>
            <w:vAlign w:val="bottom"/>
            <w:hideMark/>
          </w:tcPr>
          <w:p w14:paraId="16C8A0C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20.4</w:t>
            </w:r>
          </w:p>
        </w:tc>
        <w:tc>
          <w:tcPr>
            <w:tcW w:w="723" w:type="dxa"/>
            <w:tcBorders>
              <w:top w:val="nil"/>
              <w:left w:val="nil"/>
              <w:bottom w:val="single" w:sz="4" w:space="0" w:color="auto"/>
              <w:right w:val="single" w:sz="4" w:space="0" w:color="auto"/>
            </w:tcBorders>
            <w:noWrap/>
            <w:vAlign w:val="bottom"/>
            <w:hideMark/>
          </w:tcPr>
          <w:p w14:paraId="29CB9C0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21.6</w:t>
            </w:r>
          </w:p>
        </w:tc>
        <w:tc>
          <w:tcPr>
            <w:tcW w:w="750" w:type="dxa"/>
            <w:tcBorders>
              <w:top w:val="nil"/>
              <w:left w:val="nil"/>
              <w:bottom w:val="single" w:sz="4" w:space="0" w:color="auto"/>
              <w:right w:val="single" w:sz="4" w:space="0" w:color="auto"/>
            </w:tcBorders>
            <w:noWrap/>
            <w:vAlign w:val="bottom"/>
            <w:hideMark/>
          </w:tcPr>
          <w:p w14:paraId="032C72F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21.2</w:t>
            </w:r>
          </w:p>
        </w:tc>
        <w:tc>
          <w:tcPr>
            <w:tcW w:w="816" w:type="dxa"/>
            <w:tcBorders>
              <w:top w:val="nil"/>
              <w:left w:val="nil"/>
              <w:bottom w:val="single" w:sz="4" w:space="0" w:color="auto"/>
              <w:right w:val="single" w:sz="4" w:space="0" w:color="auto"/>
            </w:tcBorders>
            <w:noWrap/>
            <w:vAlign w:val="bottom"/>
            <w:hideMark/>
          </w:tcPr>
          <w:p w14:paraId="5B42FB5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35.9</w:t>
            </w:r>
          </w:p>
        </w:tc>
        <w:tc>
          <w:tcPr>
            <w:tcW w:w="723" w:type="dxa"/>
            <w:tcBorders>
              <w:top w:val="nil"/>
              <w:left w:val="nil"/>
              <w:bottom w:val="single" w:sz="4" w:space="0" w:color="auto"/>
              <w:right w:val="single" w:sz="4" w:space="0" w:color="auto"/>
            </w:tcBorders>
            <w:noWrap/>
            <w:vAlign w:val="bottom"/>
            <w:hideMark/>
          </w:tcPr>
          <w:p w14:paraId="33B2213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22.7</w:t>
            </w:r>
          </w:p>
        </w:tc>
        <w:tc>
          <w:tcPr>
            <w:tcW w:w="750" w:type="dxa"/>
            <w:tcBorders>
              <w:top w:val="nil"/>
              <w:left w:val="nil"/>
              <w:bottom w:val="single" w:sz="4" w:space="0" w:color="auto"/>
              <w:right w:val="single" w:sz="4" w:space="0" w:color="auto"/>
            </w:tcBorders>
            <w:noWrap/>
            <w:vAlign w:val="bottom"/>
            <w:hideMark/>
          </w:tcPr>
          <w:p w14:paraId="53B1F4B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22.5</w:t>
            </w:r>
          </w:p>
        </w:tc>
        <w:tc>
          <w:tcPr>
            <w:tcW w:w="816" w:type="dxa"/>
            <w:tcBorders>
              <w:top w:val="nil"/>
              <w:left w:val="nil"/>
              <w:bottom w:val="single" w:sz="4" w:space="0" w:color="auto"/>
              <w:right w:val="single" w:sz="4" w:space="0" w:color="auto"/>
            </w:tcBorders>
            <w:noWrap/>
            <w:vAlign w:val="bottom"/>
            <w:hideMark/>
          </w:tcPr>
          <w:p w14:paraId="6D058B8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19.9</w:t>
            </w:r>
          </w:p>
        </w:tc>
        <w:tc>
          <w:tcPr>
            <w:tcW w:w="723" w:type="dxa"/>
            <w:tcBorders>
              <w:top w:val="nil"/>
              <w:left w:val="nil"/>
              <w:bottom w:val="single" w:sz="4" w:space="0" w:color="auto"/>
              <w:right w:val="single" w:sz="4" w:space="0" w:color="auto"/>
            </w:tcBorders>
            <w:noWrap/>
            <w:vAlign w:val="bottom"/>
            <w:hideMark/>
          </w:tcPr>
          <w:p w14:paraId="08C6E11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22.3</w:t>
            </w:r>
          </w:p>
        </w:tc>
      </w:tr>
      <w:tr w:rsidR="002A7960" w:rsidRPr="00381786" w14:paraId="47265C74"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43DB6E9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Arunachal Pradesh</w:t>
            </w:r>
          </w:p>
        </w:tc>
        <w:tc>
          <w:tcPr>
            <w:tcW w:w="883" w:type="dxa"/>
            <w:tcBorders>
              <w:top w:val="nil"/>
              <w:left w:val="nil"/>
              <w:bottom w:val="single" w:sz="4" w:space="0" w:color="auto"/>
              <w:right w:val="single" w:sz="4" w:space="0" w:color="auto"/>
            </w:tcBorders>
            <w:noWrap/>
            <w:vAlign w:val="bottom"/>
            <w:hideMark/>
          </w:tcPr>
          <w:p w14:paraId="542DC9C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318</w:t>
            </w:r>
          </w:p>
        </w:tc>
        <w:tc>
          <w:tcPr>
            <w:tcW w:w="750" w:type="dxa"/>
            <w:tcBorders>
              <w:top w:val="nil"/>
              <w:left w:val="nil"/>
              <w:bottom w:val="single" w:sz="4" w:space="0" w:color="auto"/>
              <w:right w:val="single" w:sz="4" w:space="0" w:color="auto"/>
            </w:tcBorders>
            <w:noWrap/>
            <w:vAlign w:val="bottom"/>
            <w:hideMark/>
          </w:tcPr>
          <w:p w14:paraId="7BA1CE7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11.3</w:t>
            </w:r>
          </w:p>
        </w:tc>
        <w:tc>
          <w:tcPr>
            <w:tcW w:w="816" w:type="dxa"/>
            <w:tcBorders>
              <w:top w:val="nil"/>
              <w:left w:val="nil"/>
              <w:bottom w:val="single" w:sz="4" w:space="0" w:color="auto"/>
              <w:right w:val="single" w:sz="4" w:space="0" w:color="auto"/>
            </w:tcBorders>
            <w:noWrap/>
            <w:vAlign w:val="bottom"/>
            <w:hideMark/>
          </w:tcPr>
          <w:p w14:paraId="097ADE3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9.1</w:t>
            </w:r>
          </w:p>
        </w:tc>
        <w:tc>
          <w:tcPr>
            <w:tcW w:w="723" w:type="dxa"/>
            <w:tcBorders>
              <w:top w:val="nil"/>
              <w:left w:val="nil"/>
              <w:bottom w:val="single" w:sz="4" w:space="0" w:color="auto"/>
              <w:right w:val="single" w:sz="4" w:space="0" w:color="auto"/>
            </w:tcBorders>
            <w:noWrap/>
            <w:vAlign w:val="bottom"/>
            <w:hideMark/>
          </w:tcPr>
          <w:p w14:paraId="49AC7B6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w:t>
            </w:r>
          </w:p>
        </w:tc>
        <w:tc>
          <w:tcPr>
            <w:tcW w:w="750" w:type="dxa"/>
            <w:tcBorders>
              <w:top w:val="nil"/>
              <w:left w:val="nil"/>
              <w:bottom w:val="single" w:sz="4" w:space="0" w:color="auto"/>
              <w:right w:val="single" w:sz="4" w:space="0" w:color="auto"/>
            </w:tcBorders>
            <w:noWrap/>
            <w:vAlign w:val="bottom"/>
            <w:hideMark/>
          </w:tcPr>
          <w:p w14:paraId="79066BC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21.5</w:t>
            </w:r>
          </w:p>
        </w:tc>
        <w:tc>
          <w:tcPr>
            <w:tcW w:w="816" w:type="dxa"/>
            <w:tcBorders>
              <w:top w:val="nil"/>
              <w:left w:val="nil"/>
              <w:bottom w:val="single" w:sz="4" w:space="0" w:color="auto"/>
              <w:right w:val="single" w:sz="4" w:space="0" w:color="auto"/>
            </w:tcBorders>
            <w:noWrap/>
            <w:vAlign w:val="bottom"/>
            <w:hideMark/>
          </w:tcPr>
          <w:p w14:paraId="0661202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31.8</w:t>
            </w:r>
          </w:p>
        </w:tc>
        <w:tc>
          <w:tcPr>
            <w:tcW w:w="723" w:type="dxa"/>
            <w:tcBorders>
              <w:top w:val="nil"/>
              <w:left w:val="nil"/>
              <w:bottom w:val="single" w:sz="4" w:space="0" w:color="auto"/>
              <w:right w:val="single" w:sz="4" w:space="0" w:color="auto"/>
            </w:tcBorders>
            <w:noWrap/>
            <w:vAlign w:val="bottom"/>
            <w:hideMark/>
          </w:tcPr>
          <w:p w14:paraId="571AA1C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23</w:t>
            </w:r>
          </w:p>
        </w:tc>
        <w:tc>
          <w:tcPr>
            <w:tcW w:w="750" w:type="dxa"/>
            <w:tcBorders>
              <w:top w:val="nil"/>
              <w:left w:val="nil"/>
              <w:bottom w:val="single" w:sz="4" w:space="0" w:color="auto"/>
              <w:right w:val="single" w:sz="4" w:space="0" w:color="auto"/>
            </w:tcBorders>
            <w:noWrap/>
            <w:vAlign w:val="bottom"/>
            <w:hideMark/>
          </w:tcPr>
          <w:p w14:paraId="33BD189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18.6</w:t>
            </w:r>
          </w:p>
        </w:tc>
        <w:tc>
          <w:tcPr>
            <w:tcW w:w="816" w:type="dxa"/>
            <w:tcBorders>
              <w:top w:val="nil"/>
              <w:left w:val="nil"/>
              <w:bottom w:val="single" w:sz="4" w:space="0" w:color="auto"/>
              <w:right w:val="single" w:sz="4" w:space="0" w:color="auto"/>
            </w:tcBorders>
            <w:noWrap/>
            <w:vAlign w:val="bottom"/>
            <w:hideMark/>
          </w:tcPr>
          <w:p w14:paraId="78648B9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15.9</w:t>
            </w:r>
          </w:p>
        </w:tc>
        <w:tc>
          <w:tcPr>
            <w:tcW w:w="723" w:type="dxa"/>
            <w:tcBorders>
              <w:top w:val="nil"/>
              <w:left w:val="nil"/>
              <w:bottom w:val="single" w:sz="4" w:space="0" w:color="auto"/>
              <w:right w:val="single" w:sz="4" w:space="0" w:color="auto"/>
            </w:tcBorders>
            <w:noWrap/>
            <w:vAlign w:val="bottom"/>
            <w:hideMark/>
          </w:tcPr>
          <w:p w14:paraId="444C88B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18.2</w:t>
            </w:r>
          </w:p>
        </w:tc>
      </w:tr>
      <w:tr w:rsidR="002A7960" w:rsidRPr="00381786" w14:paraId="51C4DFE5"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25B5A4E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Nagaland</w:t>
            </w:r>
          </w:p>
        </w:tc>
        <w:tc>
          <w:tcPr>
            <w:tcW w:w="883" w:type="dxa"/>
            <w:tcBorders>
              <w:top w:val="nil"/>
              <w:left w:val="nil"/>
              <w:bottom w:val="single" w:sz="4" w:space="0" w:color="auto"/>
              <w:right w:val="single" w:sz="4" w:space="0" w:color="auto"/>
            </w:tcBorders>
            <w:noWrap/>
            <w:vAlign w:val="bottom"/>
            <w:hideMark/>
          </w:tcPr>
          <w:p w14:paraId="44843F2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603</w:t>
            </w:r>
          </w:p>
        </w:tc>
        <w:tc>
          <w:tcPr>
            <w:tcW w:w="750" w:type="dxa"/>
            <w:tcBorders>
              <w:top w:val="nil"/>
              <w:left w:val="nil"/>
              <w:bottom w:val="single" w:sz="4" w:space="0" w:color="auto"/>
              <w:right w:val="single" w:sz="4" w:space="0" w:color="auto"/>
            </w:tcBorders>
            <w:noWrap/>
            <w:vAlign w:val="bottom"/>
            <w:hideMark/>
          </w:tcPr>
          <w:p w14:paraId="2077CA6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w:t>
            </w:r>
          </w:p>
        </w:tc>
        <w:tc>
          <w:tcPr>
            <w:tcW w:w="816" w:type="dxa"/>
            <w:tcBorders>
              <w:top w:val="nil"/>
              <w:left w:val="nil"/>
              <w:bottom w:val="single" w:sz="4" w:space="0" w:color="auto"/>
              <w:right w:val="single" w:sz="4" w:space="0" w:color="auto"/>
            </w:tcBorders>
            <w:noWrap/>
            <w:vAlign w:val="bottom"/>
            <w:hideMark/>
          </w:tcPr>
          <w:p w14:paraId="2E9DC33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3.2</w:t>
            </w:r>
          </w:p>
        </w:tc>
        <w:tc>
          <w:tcPr>
            <w:tcW w:w="723" w:type="dxa"/>
            <w:tcBorders>
              <w:top w:val="nil"/>
              <w:left w:val="nil"/>
              <w:bottom w:val="single" w:sz="4" w:space="0" w:color="auto"/>
              <w:right w:val="single" w:sz="4" w:space="0" w:color="auto"/>
            </w:tcBorders>
            <w:noWrap/>
            <w:vAlign w:val="bottom"/>
            <w:hideMark/>
          </w:tcPr>
          <w:p w14:paraId="7555F17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w:t>
            </w:r>
          </w:p>
        </w:tc>
        <w:tc>
          <w:tcPr>
            <w:tcW w:w="750" w:type="dxa"/>
            <w:tcBorders>
              <w:top w:val="nil"/>
              <w:left w:val="nil"/>
              <w:bottom w:val="single" w:sz="4" w:space="0" w:color="auto"/>
              <w:right w:val="single" w:sz="4" w:space="0" w:color="auto"/>
            </w:tcBorders>
            <w:noWrap/>
            <w:vAlign w:val="bottom"/>
            <w:hideMark/>
          </w:tcPr>
          <w:p w14:paraId="7D1E153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15.4</w:t>
            </w:r>
          </w:p>
        </w:tc>
        <w:tc>
          <w:tcPr>
            <w:tcW w:w="816" w:type="dxa"/>
            <w:tcBorders>
              <w:top w:val="nil"/>
              <w:left w:val="nil"/>
              <w:bottom w:val="single" w:sz="4" w:space="0" w:color="auto"/>
              <w:right w:val="single" w:sz="4" w:space="0" w:color="auto"/>
            </w:tcBorders>
            <w:noWrap/>
            <w:vAlign w:val="bottom"/>
            <w:hideMark/>
          </w:tcPr>
          <w:p w14:paraId="0620998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24.4</w:t>
            </w:r>
          </w:p>
        </w:tc>
        <w:tc>
          <w:tcPr>
            <w:tcW w:w="723" w:type="dxa"/>
            <w:tcBorders>
              <w:top w:val="nil"/>
              <w:left w:val="nil"/>
              <w:bottom w:val="single" w:sz="4" w:space="0" w:color="auto"/>
              <w:right w:val="single" w:sz="4" w:space="0" w:color="auto"/>
            </w:tcBorders>
            <w:noWrap/>
            <w:vAlign w:val="bottom"/>
            <w:hideMark/>
          </w:tcPr>
          <w:p w14:paraId="2BAD981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17.7</w:t>
            </w:r>
          </w:p>
        </w:tc>
        <w:tc>
          <w:tcPr>
            <w:tcW w:w="750" w:type="dxa"/>
            <w:tcBorders>
              <w:top w:val="nil"/>
              <w:left w:val="nil"/>
              <w:bottom w:val="single" w:sz="4" w:space="0" w:color="auto"/>
              <w:right w:val="single" w:sz="4" w:space="0" w:color="auto"/>
            </w:tcBorders>
            <w:noWrap/>
            <w:vAlign w:val="bottom"/>
            <w:hideMark/>
          </w:tcPr>
          <w:p w14:paraId="3DB0AD5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3.6</w:t>
            </w:r>
          </w:p>
        </w:tc>
        <w:tc>
          <w:tcPr>
            <w:tcW w:w="816" w:type="dxa"/>
            <w:tcBorders>
              <w:top w:val="nil"/>
              <w:left w:val="nil"/>
              <w:bottom w:val="single" w:sz="4" w:space="0" w:color="auto"/>
              <w:right w:val="single" w:sz="4" w:space="0" w:color="auto"/>
            </w:tcBorders>
            <w:noWrap/>
            <w:vAlign w:val="bottom"/>
            <w:hideMark/>
          </w:tcPr>
          <w:p w14:paraId="3DF65CD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3.2</w:t>
            </w:r>
          </w:p>
        </w:tc>
        <w:tc>
          <w:tcPr>
            <w:tcW w:w="723" w:type="dxa"/>
            <w:tcBorders>
              <w:top w:val="nil"/>
              <w:left w:val="nil"/>
              <w:bottom w:val="single" w:sz="4" w:space="0" w:color="auto"/>
              <w:right w:val="single" w:sz="4" w:space="0" w:color="auto"/>
            </w:tcBorders>
            <w:noWrap/>
            <w:vAlign w:val="bottom"/>
            <w:hideMark/>
          </w:tcPr>
          <w:p w14:paraId="2F54581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3.5</w:t>
            </w:r>
          </w:p>
        </w:tc>
      </w:tr>
      <w:tr w:rsidR="002A7960" w:rsidRPr="00381786" w14:paraId="15225C2D"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08CE371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Manipur</w:t>
            </w:r>
          </w:p>
        </w:tc>
        <w:tc>
          <w:tcPr>
            <w:tcW w:w="883" w:type="dxa"/>
            <w:tcBorders>
              <w:top w:val="nil"/>
              <w:left w:val="nil"/>
              <w:bottom w:val="single" w:sz="4" w:space="0" w:color="auto"/>
              <w:right w:val="single" w:sz="4" w:space="0" w:color="auto"/>
            </w:tcBorders>
            <w:noWrap/>
            <w:vAlign w:val="bottom"/>
            <w:hideMark/>
          </w:tcPr>
          <w:p w14:paraId="6A248AE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605</w:t>
            </w:r>
          </w:p>
        </w:tc>
        <w:tc>
          <w:tcPr>
            <w:tcW w:w="750" w:type="dxa"/>
            <w:tcBorders>
              <w:top w:val="nil"/>
              <w:left w:val="nil"/>
              <w:bottom w:val="single" w:sz="4" w:space="0" w:color="auto"/>
              <w:right w:val="single" w:sz="4" w:space="0" w:color="auto"/>
            </w:tcBorders>
            <w:noWrap/>
            <w:vAlign w:val="bottom"/>
            <w:hideMark/>
          </w:tcPr>
          <w:p w14:paraId="16F2A5E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9.7</w:t>
            </w:r>
          </w:p>
        </w:tc>
        <w:tc>
          <w:tcPr>
            <w:tcW w:w="816" w:type="dxa"/>
            <w:tcBorders>
              <w:top w:val="nil"/>
              <w:left w:val="nil"/>
              <w:bottom w:val="single" w:sz="4" w:space="0" w:color="auto"/>
              <w:right w:val="single" w:sz="4" w:space="0" w:color="auto"/>
            </w:tcBorders>
            <w:noWrap/>
            <w:vAlign w:val="bottom"/>
            <w:hideMark/>
          </w:tcPr>
          <w:p w14:paraId="75D44A4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13.8</w:t>
            </w:r>
          </w:p>
        </w:tc>
        <w:tc>
          <w:tcPr>
            <w:tcW w:w="723" w:type="dxa"/>
            <w:tcBorders>
              <w:top w:val="nil"/>
              <w:left w:val="nil"/>
              <w:bottom w:val="single" w:sz="4" w:space="0" w:color="auto"/>
              <w:right w:val="single" w:sz="4" w:space="0" w:color="auto"/>
            </w:tcBorders>
            <w:noWrap/>
            <w:vAlign w:val="bottom"/>
            <w:hideMark/>
          </w:tcPr>
          <w:p w14:paraId="6C32E6E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11.1</w:t>
            </w:r>
          </w:p>
        </w:tc>
        <w:tc>
          <w:tcPr>
            <w:tcW w:w="750" w:type="dxa"/>
            <w:tcBorders>
              <w:top w:val="nil"/>
              <w:left w:val="nil"/>
              <w:bottom w:val="single" w:sz="4" w:space="0" w:color="auto"/>
              <w:right w:val="single" w:sz="4" w:space="0" w:color="auto"/>
            </w:tcBorders>
            <w:noWrap/>
            <w:vAlign w:val="bottom"/>
            <w:hideMark/>
          </w:tcPr>
          <w:p w14:paraId="77D0121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27.6</w:t>
            </w:r>
          </w:p>
        </w:tc>
        <w:tc>
          <w:tcPr>
            <w:tcW w:w="816" w:type="dxa"/>
            <w:tcBorders>
              <w:top w:val="nil"/>
              <w:left w:val="nil"/>
              <w:bottom w:val="single" w:sz="4" w:space="0" w:color="auto"/>
              <w:right w:val="single" w:sz="4" w:space="0" w:color="auto"/>
            </w:tcBorders>
            <w:noWrap/>
            <w:vAlign w:val="bottom"/>
            <w:hideMark/>
          </w:tcPr>
          <w:p w14:paraId="0452D9C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39.9</w:t>
            </w:r>
          </w:p>
        </w:tc>
        <w:tc>
          <w:tcPr>
            <w:tcW w:w="723" w:type="dxa"/>
            <w:tcBorders>
              <w:top w:val="nil"/>
              <w:left w:val="nil"/>
              <w:bottom w:val="single" w:sz="4" w:space="0" w:color="auto"/>
              <w:right w:val="single" w:sz="4" w:space="0" w:color="auto"/>
            </w:tcBorders>
            <w:noWrap/>
            <w:vAlign w:val="bottom"/>
            <w:hideMark/>
          </w:tcPr>
          <w:p w14:paraId="797A07B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31.7</w:t>
            </w:r>
          </w:p>
        </w:tc>
        <w:tc>
          <w:tcPr>
            <w:tcW w:w="750" w:type="dxa"/>
            <w:tcBorders>
              <w:top w:val="nil"/>
              <w:left w:val="nil"/>
              <w:bottom w:val="single" w:sz="4" w:space="0" w:color="auto"/>
              <w:right w:val="single" w:sz="4" w:space="0" w:color="auto"/>
            </w:tcBorders>
            <w:noWrap/>
            <w:vAlign w:val="bottom"/>
            <w:hideMark/>
          </w:tcPr>
          <w:p w14:paraId="59865EC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14.4</w:t>
            </w:r>
          </w:p>
        </w:tc>
        <w:tc>
          <w:tcPr>
            <w:tcW w:w="816" w:type="dxa"/>
            <w:tcBorders>
              <w:top w:val="nil"/>
              <w:left w:val="nil"/>
              <w:bottom w:val="single" w:sz="4" w:space="0" w:color="auto"/>
              <w:right w:val="single" w:sz="4" w:space="0" w:color="auto"/>
            </w:tcBorders>
            <w:noWrap/>
            <w:vAlign w:val="bottom"/>
            <w:hideMark/>
          </w:tcPr>
          <w:p w14:paraId="12EDEE3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14.8</w:t>
            </w:r>
          </w:p>
        </w:tc>
        <w:tc>
          <w:tcPr>
            <w:tcW w:w="723" w:type="dxa"/>
            <w:tcBorders>
              <w:top w:val="nil"/>
              <w:left w:val="nil"/>
              <w:bottom w:val="single" w:sz="4" w:space="0" w:color="auto"/>
              <w:right w:val="single" w:sz="4" w:space="0" w:color="auto"/>
            </w:tcBorders>
            <w:noWrap/>
            <w:vAlign w:val="bottom"/>
            <w:hideMark/>
          </w:tcPr>
          <w:p w14:paraId="4CD7FD6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14.5</w:t>
            </w:r>
          </w:p>
        </w:tc>
      </w:tr>
      <w:tr w:rsidR="002A7960" w:rsidRPr="00381786" w14:paraId="1F743230"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6236DD7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Mizoram</w:t>
            </w:r>
          </w:p>
        </w:tc>
        <w:tc>
          <w:tcPr>
            <w:tcW w:w="883" w:type="dxa"/>
            <w:tcBorders>
              <w:top w:val="nil"/>
              <w:left w:val="nil"/>
              <w:bottom w:val="single" w:sz="4" w:space="0" w:color="auto"/>
              <w:right w:val="single" w:sz="4" w:space="0" w:color="auto"/>
            </w:tcBorders>
            <w:noWrap/>
            <w:vAlign w:val="bottom"/>
            <w:hideMark/>
          </w:tcPr>
          <w:p w14:paraId="6DDA59F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531</w:t>
            </w:r>
          </w:p>
        </w:tc>
        <w:tc>
          <w:tcPr>
            <w:tcW w:w="750" w:type="dxa"/>
            <w:tcBorders>
              <w:top w:val="nil"/>
              <w:left w:val="nil"/>
              <w:bottom w:val="single" w:sz="4" w:space="0" w:color="auto"/>
              <w:right w:val="single" w:sz="4" w:space="0" w:color="auto"/>
            </w:tcBorders>
            <w:noWrap/>
            <w:vAlign w:val="bottom"/>
            <w:hideMark/>
          </w:tcPr>
          <w:p w14:paraId="6CBA6D1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19.9</w:t>
            </w:r>
          </w:p>
        </w:tc>
        <w:tc>
          <w:tcPr>
            <w:tcW w:w="816" w:type="dxa"/>
            <w:tcBorders>
              <w:top w:val="nil"/>
              <w:left w:val="nil"/>
              <w:bottom w:val="single" w:sz="4" w:space="0" w:color="auto"/>
              <w:right w:val="single" w:sz="4" w:space="0" w:color="auto"/>
            </w:tcBorders>
            <w:noWrap/>
            <w:vAlign w:val="bottom"/>
            <w:hideMark/>
          </w:tcPr>
          <w:p w14:paraId="46F7D7B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23.1</w:t>
            </w:r>
          </w:p>
        </w:tc>
        <w:tc>
          <w:tcPr>
            <w:tcW w:w="723" w:type="dxa"/>
            <w:tcBorders>
              <w:top w:val="nil"/>
              <w:left w:val="nil"/>
              <w:bottom w:val="single" w:sz="4" w:space="0" w:color="auto"/>
              <w:right w:val="single" w:sz="4" w:space="0" w:color="auto"/>
            </w:tcBorders>
            <w:noWrap/>
            <w:vAlign w:val="bottom"/>
            <w:hideMark/>
          </w:tcPr>
          <w:p w14:paraId="2D1B183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21.5</w:t>
            </w:r>
          </w:p>
        </w:tc>
        <w:tc>
          <w:tcPr>
            <w:tcW w:w="750" w:type="dxa"/>
            <w:tcBorders>
              <w:top w:val="nil"/>
              <w:left w:val="nil"/>
              <w:bottom w:val="single" w:sz="4" w:space="0" w:color="auto"/>
              <w:right w:val="single" w:sz="4" w:space="0" w:color="auto"/>
            </w:tcBorders>
            <w:noWrap/>
            <w:vAlign w:val="bottom"/>
            <w:hideMark/>
          </w:tcPr>
          <w:p w14:paraId="037BD6B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24</w:t>
            </w:r>
          </w:p>
        </w:tc>
        <w:tc>
          <w:tcPr>
            <w:tcW w:w="816" w:type="dxa"/>
            <w:tcBorders>
              <w:top w:val="nil"/>
              <w:left w:val="nil"/>
              <w:bottom w:val="single" w:sz="4" w:space="0" w:color="auto"/>
              <w:right w:val="single" w:sz="4" w:space="0" w:color="auto"/>
            </w:tcBorders>
            <w:noWrap/>
            <w:vAlign w:val="bottom"/>
            <w:hideMark/>
          </w:tcPr>
          <w:p w14:paraId="40E7CAF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28.5</w:t>
            </w:r>
          </w:p>
        </w:tc>
        <w:tc>
          <w:tcPr>
            <w:tcW w:w="723" w:type="dxa"/>
            <w:tcBorders>
              <w:top w:val="nil"/>
              <w:left w:val="nil"/>
              <w:bottom w:val="single" w:sz="4" w:space="0" w:color="auto"/>
              <w:right w:val="single" w:sz="4" w:space="0" w:color="auto"/>
            </w:tcBorders>
            <w:noWrap/>
            <w:vAlign w:val="bottom"/>
            <w:hideMark/>
          </w:tcPr>
          <w:p w14:paraId="17626C4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26.2</w:t>
            </w:r>
          </w:p>
        </w:tc>
        <w:tc>
          <w:tcPr>
            <w:tcW w:w="750" w:type="dxa"/>
            <w:tcBorders>
              <w:top w:val="nil"/>
              <w:left w:val="nil"/>
              <w:bottom w:val="single" w:sz="4" w:space="0" w:color="auto"/>
              <w:right w:val="single" w:sz="4" w:space="0" w:color="auto"/>
            </w:tcBorders>
            <w:noWrap/>
            <w:vAlign w:val="bottom"/>
            <w:hideMark/>
          </w:tcPr>
          <w:p w14:paraId="35E1A88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24.7</w:t>
            </w:r>
          </w:p>
        </w:tc>
        <w:tc>
          <w:tcPr>
            <w:tcW w:w="816" w:type="dxa"/>
            <w:tcBorders>
              <w:top w:val="nil"/>
              <w:left w:val="nil"/>
              <w:bottom w:val="single" w:sz="4" w:space="0" w:color="auto"/>
              <w:right w:val="single" w:sz="4" w:space="0" w:color="auto"/>
            </w:tcBorders>
            <w:noWrap/>
            <w:vAlign w:val="bottom"/>
            <w:hideMark/>
          </w:tcPr>
          <w:p w14:paraId="2D0A313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19.6</w:t>
            </w:r>
          </w:p>
        </w:tc>
        <w:tc>
          <w:tcPr>
            <w:tcW w:w="723" w:type="dxa"/>
            <w:tcBorders>
              <w:top w:val="nil"/>
              <w:left w:val="nil"/>
              <w:bottom w:val="single" w:sz="4" w:space="0" w:color="auto"/>
              <w:right w:val="single" w:sz="4" w:space="0" w:color="auto"/>
            </w:tcBorders>
            <w:noWrap/>
            <w:vAlign w:val="bottom"/>
            <w:hideMark/>
          </w:tcPr>
          <w:p w14:paraId="7B0F928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22.2</w:t>
            </w:r>
          </w:p>
        </w:tc>
      </w:tr>
      <w:tr w:rsidR="002A7960" w:rsidRPr="00381786" w14:paraId="3476FAD9"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47B60E5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Tripura</w:t>
            </w:r>
          </w:p>
        </w:tc>
        <w:tc>
          <w:tcPr>
            <w:tcW w:w="883" w:type="dxa"/>
            <w:tcBorders>
              <w:top w:val="nil"/>
              <w:left w:val="nil"/>
              <w:bottom w:val="single" w:sz="4" w:space="0" w:color="auto"/>
              <w:right w:val="single" w:sz="4" w:space="0" w:color="auto"/>
            </w:tcBorders>
            <w:noWrap/>
            <w:vAlign w:val="bottom"/>
            <w:hideMark/>
          </w:tcPr>
          <w:p w14:paraId="2E4FF9B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459</w:t>
            </w:r>
          </w:p>
        </w:tc>
        <w:tc>
          <w:tcPr>
            <w:tcW w:w="750" w:type="dxa"/>
            <w:tcBorders>
              <w:top w:val="nil"/>
              <w:left w:val="nil"/>
              <w:bottom w:val="single" w:sz="4" w:space="0" w:color="auto"/>
              <w:right w:val="single" w:sz="4" w:space="0" w:color="auto"/>
            </w:tcBorders>
            <w:noWrap/>
            <w:vAlign w:val="bottom"/>
            <w:hideMark/>
          </w:tcPr>
          <w:p w14:paraId="4D2BB57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10.2</w:t>
            </w:r>
          </w:p>
        </w:tc>
        <w:tc>
          <w:tcPr>
            <w:tcW w:w="816" w:type="dxa"/>
            <w:tcBorders>
              <w:top w:val="nil"/>
              <w:left w:val="nil"/>
              <w:bottom w:val="single" w:sz="4" w:space="0" w:color="auto"/>
              <w:right w:val="single" w:sz="4" w:space="0" w:color="auto"/>
            </w:tcBorders>
            <w:noWrap/>
            <w:vAlign w:val="bottom"/>
            <w:hideMark/>
          </w:tcPr>
          <w:p w14:paraId="20DDD48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14.7</w:t>
            </w:r>
          </w:p>
        </w:tc>
        <w:tc>
          <w:tcPr>
            <w:tcW w:w="723" w:type="dxa"/>
            <w:tcBorders>
              <w:top w:val="nil"/>
              <w:left w:val="nil"/>
              <w:bottom w:val="single" w:sz="4" w:space="0" w:color="auto"/>
              <w:right w:val="single" w:sz="4" w:space="0" w:color="auto"/>
            </w:tcBorders>
            <w:noWrap/>
            <w:vAlign w:val="bottom"/>
            <w:hideMark/>
          </w:tcPr>
          <w:p w14:paraId="792FE6C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11.1</w:t>
            </w:r>
          </w:p>
        </w:tc>
        <w:tc>
          <w:tcPr>
            <w:tcW w:w="750" w:type="dxa"/>
            <w:tcBorders>
              <w:top w:val="nil"/>
              <w:left w:val="nil"/>
              <w:bottom w:val="single" w:sz="4" w:space="0" w:color="auto"/>
              <w:right w:val="single" w:sz="4" w:space="0" w:color="auto"/>
            </w:tcBorders>
            <w:noWrap/>
            <w:vAlign w:val="bottom"/>
            <w:hideMark/>
          </w:tcPr>
          <w:p w14:paraId="3DB5846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34.3</w:t>
            </w:r>
          </w:p>
        </w:tc>
        <w:tc>
          <w:tcPr>
            <w:tcW w:w="816" w:type="dxa"/>
            <w:tcBorders>
              <w:top w:val="nil"/>
              <w:left w:val="nil"/>
              <w:bottom w:val="single" w:sz="4" w:space="0" w:color="auto"/>
              <w:right w:val="single" w:sz="4" w:space="0" w:color="auto"/>
            </w:tcBorders>
            <w:noWrap/>
            <w:vAlign w:val="bottom"/>
            <w:hideMark/>
          </w:tcPr>
          <w:p w14:paraId="77A49BD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60</w:t>
            </w:r>
          </w:p>
        </w:tc>
        <w:tc>
          <w:tcPr>
            <w:tcW w:w="723" w:type="dxa"/>
            <w:tcBorders>
              <w:top w:val="nil"/>
              <w:left w:val="nil"/>
              <w:bottom w:val="single" w:sz="4" w:space="0" w:color="auto"/>
              <w:right w:val="single" w:sz="4" w:space="0" w:color="auto"/>
            </w:tcBorders>
            <w:noWrap/>
            <w:vAlign w:val="bottom"/>
            <w:hideMark/>
          </w:tcPr>
          <w:p w14:paraId="00FC353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39.7</w:t>
            </w:r>
          </w:p>
        </w:tc>
        <w:tc>
          <w:tcPr>
            <w:tcW w:w="750" w:type="dxa"/>
            <w:tcBorders>
              <w:top w:val="nil"/>
              <w:left w:val="nil"/>
              <w:bottom w:val="single" w:sz="4" w:space="0" w:color="auto"/>
              <w:right w:val="single" w:sz="4" w:space="0" w:color="auto"/>
            </w:tcBorders>
            <w:noWrap/>
            <w:vAlign w:val="bottom"/>
            <w:hideMark/>
          </w:tcPr>
          <w:p w14:paraId="6692673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7.1</w:t>
            </w:r>
          </w:p>
        </w:tc>
        <w:tc>
          <w:tcPr>
            <w:tcW w:w="816" w:type="dxa"/>
            <w:tcBorders>
              <w:top w:val="nil"/>
              <w:left w:val="nil"/>
              <w:bottom w:val="single" w:sz="4" w:space="0" w:color="auto"/>
              <w:right w:val="single" w:sz="4" w:space="0" w:color="auto"/>
            </w:tcBorders>
            <w:noWrap/>
            <w:vAlign w:val="bottom"/>
            <w:hideMark/>
          </w:tcPr>
          <w:p w14:paraId="198E292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4.2</w:t>
            </w:r>
          </w:p>
        </w:tc>
        <w:tc>
          <w:tcPr>
            <w:tcW w:w="723" w:type="dxa"/>
            <w:tcBorders>
              <w:top w:val="nil"/>
              <w:left w:val="nil"/>
              <w:bottom w:val="single" w:sz="4" w:space="0" w:color="auto"/>
              <w:right w:val="single" w:sz="4" w:space="0" w:color="auto"/>
            </w:tcBorders>
            <w:noWrap/>
            <w:vAlign w:val="bottom"/>
            <w:hideMark/>
          </w:tcPr>
          <w:p w14:paraId="7DCCCA3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6.5</w:t>
            </w:r>
          </w:p>
        </w:tc>
      </w:tr>
      <w:tr w:rsidR="002A7960" w:rsidRPr="00381786" w14:paraId="62C8210B"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382205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Meghalaya</w:t>
            </w:r>
          </w:p>
        </w:tc>
        <w:tc>
          <w:tcPr>
            <w:tcW w:w="883" w:type="dxa"/>
            <w:tcBorders>
              <w:top w:val="nil"/>
              <w:left w:val="nil"/>
              <w:bottom w:val="single" w:sz="4" w:space="0" w:color="auto"/>
              <w:right w:val="single" w:sz="4" w:space="0" w:color="auto"/>
            </w:tcBorders>
            <w:noWrap/>
            <w:vAlign w:val="bottom"/>
            <w:hideMark/>
          </w:tcPr>
          <w:p w14:paraId="421F645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411</w:t>
            </w:r>
          </w:p>
        </w:tc>
        <w:tc>
          <w:tcPr>
            <w:tcW w:w="750" w:type="dxa"/>
            <w:tcBorders>
              <w:top w:val="nil"/>
              <w:left w:val="nil"/>
              <w:bottom w:val="single" w:sz="4" w:space="0" w:color="auto"/>
              <w:right w:val="single" w:sz="4" w:space="0" w:color="auto"/>
            </w:tcBorders>
            <w:noWrap/>
            <w:vAlign w:val="bottom"/>
            <w:hideMark/>
          </w:tcPr>
          <w:p w14:paraId="495993C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6.9</w:t>
            </w:r>
          </w:p>
        </w:tc>
        <w:tc>
          <w:tcPr>
            <w:tcW w:w="816" w:type="dxa"/>
            <w:tcBorders>
              <w:top w:val="nil"/>
              <w:left w:val="nil"/>
              <w:bottom w:val="single" w:sz="4" w:space="0" w:color="auto"/>
              <w:right w:val="single" w:sz="4" w:space="0" w:color="auto"/>
            </w:tcBorders>
            <w:noWrap/>
            <w:vAlign w:val="bottom"/>
            <w:hideMark/>
          </w:tcPr>
          <w:p w14:paraId="0C8642C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4.8</w:t>
            </w:r>
          </w:p>
        </w:tc>
        <w:tc>
          <w:tcPr>
            <w:tcW w:w="723" w:type="dxa"/>
            <w:tcBorders>
              <w:top w:val="nil"/>
              <w:left w:val="nil"/>
              <w:bottom w:val="single" w:sz="4" w:space="0" w:color="auto"/>
              <w:right w:val="single" w:sz="4" w:space="0" w:color="auto"/>
            </w:tcBorders>
            <w:noWrap/>
            <w:vAlign w:val="bottom"/>
            <w:hideMark/>
          </w:tcPr>
          <w:p w14:paraId="15BBD8A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6.6</w:t>
            </w:r>
          </w:p>
        </w:tc>
        <w:tc>
          <w:tcPr>
            <w:tcW w:w="750" w:type="dxa"/>
            <w:tcBorders>
              <w:top w:val="nil"/>
              <w:left w:val="nil"/>
              <w:bottom w:val="single" w:sz="4" w:space="0" w:color="auto"/>
              <w:right w:val="single" w:sz="4" w:space="0" w:color="auto"/>
            </w:tcBorders>
            <w:noWrap/>
            <w:vAlign w:val="bottom"/>
            <w:hideMark/>
          </w:tcPr>
          <w:p w14:paraId="62745AA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27.2</w:t>
            </w:r>
          </w:p>
        </w:tc>
        <w:tc>
          <w:tcPr>
            <w:tcW w:w="816" w:type="dxa"/>
            <w:tcBorders>
              <w:top w:val="nil"/>
              <w:left w:val="nil"/>
              <w:bottom w:val="single" w:sz="4" w:space="0" w:color="auto"/>
              <w:right w:val="single" w:sz="4" w:space="0" w:color="auto"/>
            </w:tcBorders>
            <w:noWrap/>
            <w:vAlign w:val="bottom"/>
            <w:hideMark/>
          </w:tcPr>
          <w:p w14:paraId="24C5E75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50</w:t>
            </w:r>
          </w:p>
        </w:tc>
        <w:tc>
          <w:tcPr>
            <w:tcW w:w="723" w:type="dxa"/>
            <w:tcBorders>
              <w:top w:val="nil"/>
              <w:left w:val="nil"/>
              <w:bottom w:val="single" w:sz="4" w:space="0" w:color="auto"/>
              <w:right w:val="single" w:sz="4" w:space="0" w:color="auto"/>
            </w:tcBorders>
            <w:noWrap/>
            <w:vAlign w:val="bottom"/>
            <w:hideMark/>
          </w:tcPr>
          <w:p w14:paraId="5749FE4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30.7</w:t>
            </w:r>
          </w:p>
        </w:tc>
        <w:tc>
          <w:tcPr>
            <w:tcW w:w="750" w:type="dxa"/>
            <w:tcBorders>
              <w:top w:val="nil"/>
              <w:left w:val="nil"/>
              <w:bottom w:val="single" w:sz="4" w:space="0" w:color="auto"/>
              <w:right w:val="single" w:sz="4" w:space="0" w:color="auto"/>
            </w:tcBorders>
            <w:noWrap/>
            <w:vAlign w:val="bottom"/>
            <w:hideMark/>
          </w:tcPr>
          <w:p w14:paraId="4CACD0A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8.3</w:t>
            </w:r>
          </w:p>
        </w:tc>
        <w:tc>
          <w:tcPr>
            <w:tcW w:w="816" w:type="dxa"/>
            <w:tcBorders>
              <w:top w:val="nil"/>
              <w:left w:val="nil"/>
              <w:bottom w:val="single" w:sz="4" w:space="0" w:color="auto"/>
              <w:right w:val="single" w:sz="4" w:space="0" w:color="auto"/>
            </w:tcBorders>
            <w:noWrap/>
            <w:vAlign w:val="bottom"/>
            <w:hideMark/>
          </w:tcPr>
          <w:p w14:paraId="1CCE190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1.6</w:t>
            </w:r>
          </w:p>
        </w:tc>
        <w:tc>
          <w:tcPr>
            <w:tcW w:w="723" w:type="dxa"/>
            <w:tcBorders>
              <w:top w:val="nil"/>
              <w:left w:val="nil"/>
              <w:bottom w:val="single" w:sz="4" w:space="0" w:color="auto"/>
              <w:right w:val="single" w:sz="4" w:space="0" w:color="auto"/>
            </w:tcBorders>
            <w:noWrap/>
            <w:vAlign w:val="bottom"/>
            <w:hideMark/>
          </w:tcPr>
          <w:p w14:paraId="29A2BA0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7.3</w:t>
            </w:r>
          </w:p>
        </w:tc>
      </w:tr>
      <w:tr w:rsidR="002A7960" w:rsidRPr="00381786" w14:paraId="78A13D97"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32A8962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Assam</w:t>
            </w:r>
          </w:p>
        </w:tc>
        <w:tc>
          <w:tcPr>
            <w:tcW w:w="883" w:type="dxa"/>
            <w:tcBorders>
              <w:top w:val="nil"/>
              <w:left w:val="nil"/>
              <w:bottom w:val="single" w:sz="4" w:space="0" w:color="auto"/>
              <w:right w:val="single" w:sz="4" w:space="0" w:color="auto"/>
            </w:tcBorders>
            <w:noWrap/>
            <w:vAlign w:val="bottom"/>
            <w:hideMark/>
          </w:tcPr>
          <w:p w14:paraId="089583B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811</w:t>
            </w:r>
          </w:p>
        </w:tc>
        <w:tc>
          <w:tcPr>
            <w:tcW w:w="750" w:type="dxa"/>
            <w:tcBorders>
              <w:top w:val="nil"/>
              <w:left w:val="nil"/>
              <w:bottom w:val="single" w:sz="4" w:space="0" w:color="auto"/>
              <w:right w:val="single" w:sz="4" w:space="0" w:color="auto"/>
            </w:tcBorders>
            <w:noWrap/>
            <w:vAlign w:val="bottom"/>
            <w:hideMark/>
          </w:tcPr>
          <w:p w14:paraId="6AEA5DF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8.8</w:t>
            </w:r>
          </w:p>
        </w:tc>
        <w:tc>
          <w:tcPr>
            <w:tcW w:w="816" w:type="dxa"/>
            <w:tcBorders>
              <w:top w:val="nil"/>
              <w:left w:val="nil"/>
              <w:bottom w:val="single" w:sz="4" w:space="0" w:color="auto"/>
              <w:right w:val="single" w:sz="4" w:space="0" w:color="auto"/>
            </w:tcBorders>
            <w:noWrap/>
            <w:vAlign w:val="bottom"/>
            <w:hideMark/>
          </w:tcPr>
          <w:p w14:paraId="3C22C05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4.3</w:t>
            </w:r>
          </w:p>
        </w:tc>
        <w:tc>
          <w:tcPr>
            <w:tcW w:w="723" w:type="dxa"/>
            <w:tcBorders>
              <w:top w:val="nil"/>
              <w:left w:val="nil"/>
              <w:bottom w:val="single" w:sz="4" w:space="0" w:color="auto"/>
              <w:right w:val="single" w:sz="4" w:space="0" w:color="auto"/>
            </w:tcBorders>
            <w:noWrap/>
            <w:vAlign w:val="bottom"/>
            <w:hideMark/>
          </w:tcPr>
          <w:p w14:paraId="1C38AE2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8.1</w:t>
            </w:r>
          </w:p>
        </w:tc>
        <w:tc>
          <w:tcPr>
            <w:tcW w:w="750" w:type="dxa"/>
            <w:tcBorders>
              <w:top w:val="nil"/>
              <w:left w:val="nil"/>
              <w:bottom w:val="single" w:sz="4" w:space="0" w:color="auto"/>
              <w:right w:val="single" w:sz="4" w:space="0" w:color="auto"/>
            </w:tcBorders>
            <w:noWrap/>
            <w:vAlign w:val="bottom"/>
            <w:hideMark/>
          </w:tcPr>
          <w:p w14:paraId="457D058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36.3</w:t>
            </w:r>
          </w:p>
        </w:tc>
        <w:tc>
          <w:tcPr>
            <w:tcW w:w="816" w:type="dxa"/>
            <w:tcBorders>
              <w:top w:val="nil"/>
              <w:left w:val="nil"/>
              <w:bottom w:val="single" w:sz="4" w:space="0" w:color="auto"/>
              <w:right w:val="single" w:sz="4" w:space="0" w:color="auto"/>
            </w:tcBorders>
            <w:noWrap/>
            <w:vAlign w:val="bottom"/>
            <w:hideMark/>
          </w:tcPr>
          <w:p w14:paraId="6848CD5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58.6</w:t>
            </w:r>
          </w:p>
        </w:tc>
        <w:tc>
          <w:tcPr>
            <w:tcW w:w="723" w:type="dxa"/>
            <w:tcBorders>
              <w:top w:val="nil"/>
              <w:left w:val="nil"/>
              <w:bottom w:val="single" w:sz="4" w:space="0" w:color="auto"/>
              <w:right w:val="single" w:sz="4" w:space="0" w:color="auto"/>
            </w:tcBorders>
            <w:noWrap/>
            <w:vAlign w:val="bottom"/>
            <w:hideMark/>
          </w:tcPr>
          <w:p w14:paraId="4BFAC4F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39.5</w:t>
            </w:r>
          </w:p>
        </w:tc>
        <w:tc>
          <w:tcPr>
            <w:tcW w:w="750" w:type="dxa"/>
            <w:tcBorders>
              <w:top w:val="nil"/>
              <w:left w:val="nil"/>
              <w:bottom w:val="single" w:sz="4" w:space="0" w:color="auto"/>
              <w:right w:val="single" w:sz="4" w:space="0" w:color="auto"/>
            </w:tcBorders>
            <w:noWrap/>
            <w:vAlign w:val="bottom"/>
            <w:hideMark/>
          </w:tcPr>
          <w:p w14:paraId="6E633EA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7.9</w:t>
            </w:r>
          </w:p>
        </w:tc>
        <w:tc>
          <w:tcPr>
            <w:tcW w:w="816" w:type="dxa"/>
            <w:tcBorders>
              <w:top w:val="nil"/>
              <w:left w:val="nil"/>
              <w:bottom w:val="single" w:sz="4" w:space="0" w:color="auto"/>
              <w:right w:val="single" w:sz="4" w:space="0" w:color="auto"/>
            </w:tcBorders>
            <w:noWrap/>
            <w:vAlign w:val="bottom"/>
            <w:hideMark/>
          </w:tcPr>
          <w:p w14:paraId="706851D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7.8</w:t>
            </w:r>
          </w:p>
        </w:tc>
        <w:tc>
          <w:tcPr>
            <w:tcW w:w="723" w:type="dxa"/>
            <w:tcBorders>
              <w:top w:val="nil"/>
              <w:left w:val="nil"/>
              <w:bottom w:val="single" w:sz="4" w:space="0" w:color="auto"/>
              <w:right w:val="single" w:sz="4" w:space="0" w:color="auto"/>
            </w:tcBorders>
            <w:noWrap/>
            <w:vAlign w:val="bottom"/>
            <w:hideMark/>
          </w:tcPr>
          <w:p w14:paraId="6D1924A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7.9</w:t>
            </w:r>
          </w:p>
        </w:tc>
      </w:tr>
      <w:tr w:rsidR="002A7960" w:rsidRPr="00381786" w14:paraId="2E4FA827"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CC4B8F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West Bengal</w:t>
            </w:r>
          </w:p>
        </w:tc>
        <w:tc>
          <w:tcPr>
            <w:tcW w:w="883" w:type="dxa"/>
            <w:tcBorders>
              <w:top w:val="nil"/>
              <w:left w:val="nil"/>
              <w:bottom w:val="single" w:sz="4" w:space="0" w:color="auto"/>
              <w:right w:val="single" w:sz="4" w:space="0" w:color="auto"/>
            </w:tcBorders>
            <w:noWrap/>
            <w:vAlign w:val="bottom"/>
            <w:hideMark/>
          </w:tcPr>
          <w:p w14:paraId="01F910B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1540</w:t>
            </w:r>
          </w:p>
        </w:tc>
        <w:tc>
          <w:tcPr>
            <w:tcW w:w="750" w:type="dxa"/>
            <w:tcBorders>
              <w:top w:val="nil"/>
              <w:left w:val="nil"/>
              <w:bottom w:val="single" w:sz="4" w:space="0" w:color="auto"/>
              <w:right w:val="single" w:sz="4" w:space="0" w:color="auto"/>
            </w:tcBorders>
            <w:noWrap/>
            <w:vAlign w:val="bottom"/>
            <w:hideMark/>
          </w:tcPr>
          <w:p w14:paraId="4B01D67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15.1</w:t>
            </w:r>
          </w:p>
        </w:tc>
        <w:tc>
          <w:tcPr>
            <w:tcW w:w="816" w:type="dxa"/>
            <w:tcBorders>
              <w:top w:val="nil"/>
              <w:left w:val="nil"/>
              <w:bottom w:val="single" w:sz="4" w:space="0" w:color="auto"/>
              <w:right w:val="single" w:sz="4" w:space="0" w:color="auto"/>
            </w:tcBorders>
            <w:noWrap/>
            <w:vAlign w:val="bottom"/>
            <w:hideMark/>
          </w:tcPr>
          <w:p w14:paraId="208CE18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10.5</w:t>
            </w:r>
          </w:p>
        </w:tc>
        <w:tc>
          <w:tcPr>
            <w:tcW w:w="723" w:type="dxa"/>
            <w:tcBorders>
              <w:top w:val="nil"/>
              <w:left w:val="nil"/>
              <w:bottom w:val="single" w:sz="4" w:space="0" w:color="auto"/>
              <w:right w:val="single" w:sz="4" w:space="0" w:color="auto"/>
            </w:tcBorders>
            <w:noWrap/>
            <w:vAlign w:val="bottom"/>
            <w:hideMark/>
          </w:tcPr>
          <w:p w14:paraId="57B5E50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12.8</w:t>
            </w:r>
          </w:p>
        </w:tc>
        <w:tc>
          <w:tcPr>
            <w:tcW w:w="750" w:type="dxa"/>
            <w:tcBorders>
              <w:top w:val="nil"/>
              <w:left w:val="nil"/>
              <w:bottom w:val="single" w:sz="4" w:space="0" w:color="auto"/>
              <w:right w:val="single" w:sz="4" w:space="0" w:color="auto"/>
            </w:tcBorders>
            <w:noWrap/>
            <w:vAlign w:val="bottom"/>
            <w:hideMark/>
          </w:tcPr>
          <w:p w14:paraId="781FC1E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44.3</w:t>
            </w:r>
          </w:p>
        </w:tc>
        <w:tc>
          <w:tcPr>
            <w:tcW w:w="816" w:type="dxa"/>
            <w:tcBorders>
              <w:top w:val="nil"/>
              <w:left w:val="nil"/>
              <w:bottom w:val="single" w:sz="4" w:space="0" w:color="auto"/>
              <w:right w:val="single" w:sz="4" w:space="0" w:color="auto"/>
            </w:tcBorders>
            <w:noWrap/>
            <w:vAlign w:val="bottom"/>
            <w:hideMark/>
          </w:tcPr>
          <w:p w14:paraId="755E0FD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65</w:t>
            </w:r>
          </w:p>
        </w:tc>
        <w:tc>
          <w:tcPr>
            <w:tcW w:w="723" w:type="dxa"/>
            <w:tcBorders>
              <w:top w:val="nil"/>
              <w:left w:val="nil"/>
              <w:bottom w:val="single" w:sz="4" w:space="0" w:color="auto"/>
              <w:right w:val="single" w:sz="4" w:space="0" w:color="auto"/>
            </w:tcBorders>
            <w:noWrap/>
            <w:vAlign w:val="bottom"/>
            <w:hideMark/>
          </w:tcPr>
          <w:p w14:paraId="34924DA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54.7</w:t>
            </w:r>
          </w:p>
        </w:tc>
        <w:tc>
          <w:tcPr>
            <w:tcW w:w="750" w:type="dxa"/>
            <w:tcBorders>
              <w:top w:val="nil"/>
              <w:left w:val="nil"/>
              <w:bottom w:val="single" w:sz="4" w:space="0" w:color="auto"/>
              <w:right w:val="single" w:sz="4" w:space="0" w:color="auto"/>
            </w:tcBorders>
            <w:noWrap/>
            <w:vAlign w:val="bottom"/>
            <w:hideMark/>
          </w:tcPr>
          <w:p w14:paraId="6BB9A91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4.3</w:t>
            </w:r>
          </w:p>
        </w:tc>
        <w:tc>
          <w:tcPr>
            <w:tcW w:w="816" w:type="dxa"/>
            <w:tcBorders>
              <w:top w:val="nil"/>
              <w:left w:val="nil"/>
              <w:bottom w:val="single" w:sz="4" w:space="0" w:color="auto"/>
              <w:right w:val="single" w:sz="4" w:space="0" w:color="auto"/>
            </w:tcBorders>
            <w:noWrap/>
            <w:vAlign w:val="bottom"/>
            <w:hideMark/>
          </w:tcPr>
          <w:p w14:paraId="4C99357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1.4</w:t>
            </w:r>
          </w:p>
        </w:tc>
        <w:tc>
          <w:tcPr>
            <w:tcW w:w="723" w:type="dxa"/>
            <w:tcBorders>
              <w:top w:val="nil"/>
              <w:left w:val="nil"/>
              <w:bottom w:val="single" w:sz="4" w:space="0" w:color="auto"/>
              <w:right w:val="single" w:sz="4" w:space="0" w:color="auto"/>
            </w:tcBorders>
            <w:noWrap/>
            <w:vAlign w:val="bottom"/>
            <w:hideMark/>
          </w:tcPr>
          <w:p w14:paraId="2CA4189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2.9</w:t>
            </w:r>
          </w:p>
        </w:tc>
      </w:tr>
      <w:tr w:rsidR="002A7960" w:rsidRPr="00381786" w14:paraId="74FAD8BE"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40F2B77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Jharkhand</w:t>
            </w:r>
          </w:p>
        </w:tc>
        <w:tc>
          <w:tcPr>
            <w:tcW w:w="883" w:type="dxa"/>
            <w:tcBorders>
              <w:top w:val="nil"/>
              <w:left w:val="nil"/>
              <w:bottom w:val="single" w:sz="4" w:space="0" w:color="auto"/>
              <w:right w:val="single" w:sz="4" w:space="0" w:color="auto"/>
            </w:tcBorders>
            <w:noWrap/>
            <w:vAlign w:val="bottom"/>
            <w:hideMark/>
          </w:tcPr>
          <w:p w14:paraId="3A74F4C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1166</w:t>
            </w:r>
          </w:p>
        </w:tc>
        <w:tc>
          <w:tcPr>
            <w:tcW w:w="750" w:type="dxa"/>
            <w:tcBorders>
              <w:top w:val="nil"/>
              <w:left w:val="nil"/>
              <w:bottom w:val="single" w:sz="4" w:space="0" w:color="auto"/>
              <w:right w:val="single" w:sz="4" w:space="0" w:color="auto"/>
            </w:tcBorders>
            <w:noWrap/>
            <w:vAlign w:val="bottom"/>
            <w:hideMark/>
          </w:tcPr>
          <w:p w14:paraId="33E0022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11.2</w:t>
            </w:r>
          </w:p>
        </w:tc>
        <w:tc>
          <w:tcPr>
            <w:tcW w:w="816" w:type="dxa"/>
            <w:tcBorders>
              <w:top w:val="nil"/>
              <w:left w:val="nil"/>
              <w:bottom w:val="single" w:sz="4" w:space="0" w:color="auto"/>
              <w:right w:val="single" w:sz="4" w:space="0" w:color="auto"/>
            </w:tcBorders>
            <w:noWrap/>
            <w:vAlign w:val="bottom"/>
            <w:hideMark/>
          </w:tcPr>
          <w:p w14:paraId="33BFC6B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13.8</w:t>
            </w:r>
          </w:p>
        </w:tc>
        <w:tc>
          <w:tcPr>
            <w:tcW w:w="723" w:type="dxa"/>
            <w:tcBorders>
              <w:top w:val="nil"/>
              <w:left w:val="nil"/>
              <w:bottom w:val="single" w:sz="4" w:space="0" w:color="auto"/>
              <w:right w:val="single" w:sz="4" w:space="0" w:color="auto"/>
            </w:tcBorders>
            <w:noWrap/>
            <w:vAlign w:val="bottom"/>
            <w:hideMark/>
          </w:tcPr>
          <w:p w14:paraId="5F385DC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11.7</w:t>
            </w:r>
          </w:p>
        </w:tc>
        <w:tc>
          <w:tcPr>
            <w:tcW w:w="750" w:type="dxa"/>
            <w:tcBorders>
              <w:top w:val="nil"/>
              <w:left w:val="nil"/>
              <w:bottom w:val="single" w:sz="4" w:space="0" w:color="auto"/>
              <w:right w:val="single" w:sz="4" w:space="0" w:color="auto"/>
            </w:tcBorders>
            <w:noWrap/>
            <w:vAlign w:val="bottom"/>
            <w:hideMark/>
          </w:tcPr>
          <w:p w14:paraId="1072BE0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20.9</w:t>
            </w:r>
          </w:p>
        </w:tc>
        <w:tc>
          <w:tcPr>
            <w:tcW w:w="816" w:type="dxa"/>
            <w:tcBorders>
              <w:top w:val="nil"/>
              <w:left w:val="nil"/>
              <w:bottom w:val="single" w:sz="4" w:space="0" w:color="auto"/>
              <w:right w:val="single" w:sz="4" w:space="0" w:color="auto"/>
            </w:tcBorders>
            <w:noWrap/>
            <w:vAlign w:val="bottom"/>
            <w:hideMark/>
          </w:tcPr>
          <w:p w14:paraId="1CF14D3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49</w:t>
            </w:r>
          </w:p>
        </w:tc>
        <w:tc>
          <w:tcPr>
            <w:tcW w:w="723" w:type="dxa"/>
            <w:tcBorders>
              <w:top w:val="nil"/>
              <w:left w:val="nil"/>
              <w:bottom w:val="single" w:sz="4" w:space="0" w:color="auto"/>
              <w:right w:val="single" w:sz="4" w:space="0" w:color="auto"/>
            </w:tcBorders>
            <w:noWrap/>
            <w:vAlign w:val="bottom"/>
            <w:hideMark/>
          </w:tcPr>
          <w:p w14:paraId="702B162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26.7</w:t>
            </w:r>
          </w:p>
        </w:tc>
        <w:tc>
          <w:tcPr>
            <w:tcW w:w="750" w:type="dxa"/>
            <w:tcBorders>
              <w:top w:val="nil"/>
              <w:left w:val="nil"/>
              <w:bottom w:val="single" w:sz="4" w:space="0" w:color="auto"/>
              <w:right w:val="single" w:sz="4" w:space="0" w:color="auto"/>
            </w:tcBorders>
            <w:noWrap/>
            <w:vAlign w:val="bottom"/>
            <w:hideMark/>
          </w:tcPr>
          <w:p w14:paraId="3FFEEA8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21.5</w:t>
            </w:r>
          </w:p>
        </w:tc>
        <w:tc>
          <w:tcPr>
            <w:tcW w:w="816" w:type="dxa"/>
            <w:tcBorders>
              <w:top w:val="nil"/>
              <w:left w:val="nil"/>
              <w:bottom w:val="single" w:sz="4" w:space="0" w:color="auto"/>
              <w:right w:val="single" w:sz="4" w:space="0" w:color="auto"/>
            </w:tcBorders>
            <w:noWrap/>
            <w:vAlign w:val="bottom"/>
            <w:hideMark/>
          </w:tcPr>
          <w:p w14:paraId="31792F9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w:t>
            </w:r>
          </w:p>
        </w:tc>
        <w:tc>
          <w:tcPr>
            <w:tcW w:w="723" w:type="dxa"/>
            <w:tcBorders>
              <w:top w:val="nil"/>
              <w:left w:val="nil"/>
              <w:bottom w:val="single" w:sz="4" w:space="0" w:color="auto"/>
              <w:right w:val="single" w:sz="4" w:space="0" w:color="auto"/>
            </w:tcBorders>
            <w:noWrap/>
            <w:vAlign w:val="bottom"/>
            <w:hideMark/>
          </w:tcPr>
          <w:p w14:paraId="1122895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18.1</w:t>
            </w:r>
          </w:p>
        </w:tc>
      </w:tr>
      <w:tr w:rsidR="002A7960" w:rsidRPr="00381786" w14:paraId="4BAA2B91"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659D59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proofErr w:type="spellStart"/>
            <w:r w:rsidRPr="00381786">
              <w:rPr>
                <w:rFonts w:ascii="Times New Roman" w:eastAsia="Times New Roman" w:hAnsi="Times New Roman" w:cs="Times New Roman"/>
                <w:color w:val="000000"/>
                <w:sz w:val="24"/>
                <w:szCs w:val="24"/>
                <w:lang w:bidi="hi-IN"/>
              </w:rPr>
              <w:t>Odisha</w:t>
            </w:r>
            <w:proofErr w:type="spellEnd"/>
          </w:p>
        </w:tc>
        <w:tc>
          <w:tcPr>
            <w:tcW w:w="883" w:type="dxa"/>
            <w:tcBorders>
              <w:top w:val="nil"/>
              <w:left w:val="nil"/>
              <w:bottom w:val="single" w:sz="4" w:space="0" w:color="auto"/>
              <w:right w:val="single" w:sz="4" w:space="0" w:color="auto"/>
            </w:tcBorders>
            <w:noWrap/>
            <w:vAlign w:val="bottom"/>
            <w:hideMark/>
          </w:tcPr>
          <w:p w14:paraId="4F635F7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1233</w:t>
            </w:r>
          </w:p>
        </w:tc>
        <w:tc>
          <w:tcPr>
            <w:tcW w:w="750" w:type="dxa"/>
            <w:tcBorders>
              <w:top w:val="nil"/>
              <w:left w:val="nil"/>
              <w:bottom w:val="single" w:sz="4" w:space="0" w:color="auto"/>
              <w:right w:val="single" w:sz="4" w:space="0" w:color="auto"/>
            </w:tcBorders>
            <w:noWrap/>
            <w:vAlign w:val="bottom"/>
            <w:hideMark/>
          </w:tcPr>
          <w:p w14:paraId="325223C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10.7</w:t>
            </w:r>
          </w:p>
        </w:tc>
        <w:tc>
          <w:tcPr>
            <w:tcW w:w="816" w:type="dxa"/>
            <w:tcBorders>
              <w:top w:val="nil"/>
              <w:left w:val="nil"/>
              <w:bottom w:val="single" w:sz="4" w:space="0" w:color="auto"/>
              <w:right w:val="single" w:sz="4" w:space="0" w:color="auto"/>
            </w:tcBorders>
            <w:noWrap/>
            <w:vAlign w:val="bottom"/>
            <w:hideMark/>
          </w:tcPr>
          <w:p w14:paraId="1432A6E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12.6</w:t>
            </w:r>
          </w:p>
        </w:tc>
        <w:tc>
          <w:tcPr>
            <w:tcW w:w="723" w:type="dxa"/>
            <w:tcBorders>
              <w:top w:val="nil"/>
              <w:left w:val="nil"/>
              <w:bottom w:val="single" w:sz="4" w:space="0" w:color="auto"/>
              <w:right w:val="single" w:sz="4" w:space="0" w:color="auto"/>
            </w:tcBorders>
            <w:noWrap/>
            <w:vAlign w:val="bottom"/>
            <w:hideMark/>
          </w:tcPr>
          <w:p w14:paraId="763A25E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10.9</w:t>
            </w:r>
          </w:p>
        </w:tc>
        <w:tc>
          <w:tcPr>
            <w:tcW w:w="750" w:type="dxa"/>
            <w:tcBorders>
              <w:top w:val="nil"/>
              <w:left w:val="nil"/>
              <w:bottom w:val="single" w:sz="4" w:space="0" w:color="auto"/>
              <w:right w:val="single" w:sz="4" w:space="0" w:color="auto"/>
            </w:tcBorders>
            <w:noWrap/>
            <w:vAlign w:val="bottom"/>
            <w:hideMark/>
          </w:tcPr>
          <w:p w14:paraId="2FCC6F3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31.7</w:t>
            </w:r>
          </w:p>
        </w:tc>
        <w:tc>
          <w:tcPr>
            <w:tcW w:w="816" w:type="dxa"/>
            <w:tcBorders>
              <w:top w:val="nil"/>
              <w:left w:val="nil"/>
              <w:bottom w:val="single" w:sz="4" w:space="0" w:color="auto"/>
              <w:right w:val="single" w:sz="4" w:space="0" w:color="auto"/>
            </w:tcBorders>
            <w:noWrap/>
            <w:vAlign w:val="bottom"/>
            <w:hideMark/>
          </w:tcPr>
          <w:p w14:paraId="50D3BDF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51.3</w:t>
            </w:r>
          </w:p>
        </w:tc>
        <w:tc>
          <w:tcPr>
            <w:tcW w:w="723" w:type="dxa"/>
            <w:tcBorders>
              <w:top w:val="nil"/>
              <w:left w:val="nil"/>
              <w:bottom w:val="single" w:sz="4" w:space="0" w:color="auto"/>
              <w:right w:val="single" w:sz="4" w:space="0" w:color="auto"/>
            </w:tcBorders>
            <w:noWrap/>
            <w:vAlign w:val="bottom"/>
            <w:hideMark/>
          </w:tcPr>
          <w:p w14:paraId="662C7C6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34.7</w:t>
            </w:r>
          </w:p>
        </w:tc>
        <w:tc>
          <w:tcPr>
            <w:tcW w:w="750" w:type="dxa"/>
            <w:tcBorders>
              <w:top w:val="nil"/>
              <w:left w:val="nil"/>
              <w:bottom w:val="single" w:sz="4" w:space="0" w:color="auto"/>
              <w:right w:val="single" w:sz="4" w:space="0" w:color="auto"/>
            </w:tcBorders>
            <w:noWrap/>
            <w:vAlign w:val="bottom"/>
            <w:hideMark/>
          </w:tcPr>
          <w:p w14:paraId="53AD986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11.3</w:t>
            </w:r>
          </w:p>
        </w:tc>
        <w:tc>
          <w:tcPr>
            <w:tcW w:w="816" w:type="dxa"/>
            <w:tcBorders>
              <w:top w:val="nil"/>
              <w:left w:val="nil"/>
              <w:bottom w:val="single" w:sz="4" w:space="0" w:color="auto"/>
              <w:right w:val="single" w:sz="4" w:space="0" w:color="auto"/>
            </w:tcBorders>
            <w:noWrap/>
            <w:vAlign w:val="bottom"/>
            <w:hideMark/>
          </w:tcPr>
          <w:p w14:paraId="45BC22C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4.7</w:t>
            </w:r>
          </w:p>
        </w:tc>
        <w:tc>
          <w:tcPr>
            <w:tcW w:w="723" w:type="dxa"/>
            <w:tcBorders>
              <w:top w:val="nil"/>
              <w:left w:val="nil"/>
              <w:bottom w:val="single" w:sz="4" w:space="0" w:color="auto"/>
              <w:right w:val="single" w:sz="4" w:space="0" w:color="auto"/>
            </w:tcBorders>
            <w:noWrap/>
            <w:vAlign w:val="bottom"/>
            <w:hideMark/>
          </w:tcPr>
          <w:p w14:paraId="5D8ED5B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10.3</w:t>
            </w:r>
          </w:p>
        </w:tc>
      </w:tr>
      <w:tr w:rsidR="002A7960" w:rsidRPr="00381786" w14:paraId="13F6139E"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A56423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Chhattisgarh</w:t>
            </w:r>
          </w:p>
        </w:tc>
        <w:tc>
          <w:tcPr>
            <w:tcW w:w="883" w:type="dxa"/>
            <w:tcBorders>
              <w:top w:val="nil"/>
              <w:left w:val="nil"/>
              <w:bottom w:val="single" w:sz="4" w:space="0" w:color="auto"/>
              <w:right w:val="single" w:sz="4" w:space="0" w:color="auto"/>
            </w:tcBorders>
            <w:noWrap/>
            <w:vAlign w:val="bottom"/>
            <w:hideMark/>
          </w:tcPr>
          <w:p w14:paraId="3A36874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779</w:t>
            </w:r>
          </w:p>
        </w:tc>
        <w:tc>
          <w:tcPr>
            <w:tcW w:w="750" w:type="dxa"/>
            <w:tcBorders>
              <w:top w:val="nil"/>
              <w:left w:val="nil"/>
              <w:bottom w:val="single" w:sz="4" w:space="0" w:color="auto"/>
              <w:right w:val="single" w:sz="4" w:space="0" w:color="auto"/>
            </w:tcBorders>
            <w:noWrap/>
            <w:vAlign w:val="bottom"/>
            <w:hideMark/>
          </w:tcPr>
          <w:p w14:paraId="58F0861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15.4</w:t>
            </w:r>
          </w:p>
        </w:tc>
        <w:tc>
          <w:tcPr>
            <w:tcW w:w="816" w:type="dxa"/>
            <w:tcBorders>
              <w:top w:val="nil"/>
              <w:left w:val="nil"/>
              <w:bottom w:val="single" w:sz="4" w:space="0" w:color="auto"/>
              <w:right w:val="single" w:sz="4" w:space="0" w:color="auto"/>
            </w:tcBorders>
            <w:noWrap/>
            <w:vAlign w:val="bottom"/>
            <w:hideMark/>
          </w:tcPr>
          <w:p w14:paraId="1E54C4E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23.8</w:t>
            </w:r>
          </w:p>
        </w:tc>
        <w:tc>
          <w:tcPr>
            <w:tcW w:w="723" w:type="dxa"/>
            <w:tcBorders>
              <w:top w:val="nil"/>
              <w:left w:val="nil"/>
              <w:bottom w:val="single" w:sz="4" w:space="0" w:color="auto"/>
              <w:right w:val="single" w:sz="4" w:space="0" w:color="auto"/>
            </w:tcBorders>
            <w:noWrap/>
            <w:vAlign w:val="bottom"/>
            <w:hideMark/>
          </w:tcPr>
          <w:p w14:paraId="35135DC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16.9</w:t>
            </w:r>
          </w:p>
        </w:tc>
        <w:tc>
          <w:tcPr>
            <w:tcW w:w="750" w:type="dxa"/>
            <w:tcBorders>
              <w:top w:val="nil"/>
              <w:left w:val="nil"/>
              <w:bottom w:val="single" w:sz="4" w:space="0" w:color="auto"/>
              <w:right w:val="single" w:sz="4" w:space="0" w:color="auto"/>
            </w:tcBorders>
            <w:noWrap/>
            <w:vAlign w:val="bottom"/>
            <w:hideMark/>
          </w:tcPr>
          <w:p w14:paraId="4301CFD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11.9</w:t>
            </w:r>
          </w:p>
        </w:tc>
        <w:tc>
          <w:tcPr>
            <w:tcW w:w="816" w:type="dxa"/>
            <w:tcBorders>
              <w:top w:val="nil"/>
              <w:left w:val="nil"/>
              <w:bottom w:val="single" w:sz="4" w:space="0" w:color="auto"/>
              <w:right w:val="single" w:sz="4" w:space="0" w:color="auto"/>
            </w:tcBorders>
            <w:noWrap/>
            <w:vAlign w:val="bottom"/>
            <w:hideMark/>
          </w:tcPr>
          <w:p w14:paraId="37906E6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34.3</w:t>
            </w:r>
          </w:p>
        </w:tc>
        <w:tc>
          <w:tcPr>
            <w:tcW w:w="723" w:type="dxa"/>
            <w:tcBorders>
              <w:top w:val="nil"/>
              <w:left w:val="nil"/>
              <w:bottom w:val="single" w:sz="4" w:space="0" w:color="auto"/>
              <w:right w:val="single" w:sz="4" w:space="0" w:color="auto"/>
            </w:tcBorders>
            <w:noWrap/>
            <w:vAlign w:val="bottom"/>
            <w:hideMark/>
          </w:tcPr>
          <w:p w14:paraId="3AE8882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16</w:t>
            </w:r>
          </w:p>
        </w:tc>
        <w:tc>
          <w:tcPr>
            <w:tcW w:w="750" w:type="dxa"/>
            <w:tcBorders>
              <w:top w:val="nil"/>
              <w:left w:val="nil"/>
              <w:bottom w:val="single" w:sz="4" w:space="0" w:color="auto"/>
              <w:right w:val="single" w:sz="4" w:space="0" w:color="auto"/>
            </w:tcBorders>
            <w:noWrap/>
            <w:vAlign w:val="bottom"/>
            <w:hideMark/>
          </w:tcPr>
          <w:p w14:paraId="05BC7AD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36.9</w:t>
            </w:r>
          </w:p>
        </w:tc>
        <w:tc>
          <w:tcPr>
            <w:tcW w:w="816" w:type="dxa"/>
            <w:tcBorders>
              <w:top w:val="nil"/>
              <w:left w:val="nil"/>
              <w:bottom w:val="single" w:sz="4" w:space="0" w:color="auto"/>
              <w:right w:val="single" w:sz="4" w:space="0" w:color="auto"/>
            </w:tcBorders>
            <w:noWrap/>
            <w:vAlign w:val="bottom"/>
            <w:hideMark/>
          </w:tcPr>
          <w:p w14:paraId="2AC0695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16.8</w:t>
            </w:r>
          </w:p>
        </w:tc>
        <w:tc>
          <w:tcPr>
            <w:tcW w:w="723" w:type="dxa"/>
            <w:tcBorders>
              <w:top w:val="nil"/>
              <w:left w:val="nil"/>
              <w:bottom w:val="single" w:sz="4" w:space="0" w:color="auto"/>
              <w:right w:val="single" w:sz="4" w:space="0" w:color="auto"/>
            </w:tcBorders>
            <w:noWrap/>
            <w:vAlign w:val="bottom"/>
            <w:hideMark/>
          </w:tcPr>
          <w:p w14:paraId="3294DD2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33.2</w:t>
            </w:r>
          </w:p>
        </w:tc>
      </w:tr>
      <w:tr w:rsidR="002A7960" w:rsidRPr="00381786" w14:paraId="501CEBCD"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625B491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Madhya Pradesh</w:t>
            </w:r>
          </w:p>
        </w:tc>
        <w:tc>
          <w:tcPr>
            <w:tcW w:w="883" w:type="dxa"/>
            <w:tcBorders>
              <w:top w:val="nil"/>
              <w:left w:val="nil"/>
              <w:bottom w:val="single" w:sz="4" w:space="0" w:color="auto"/>
              <w:right w:val="single" w:sz="4" w:space="0" w:color="auto"/>
            </w:tcBorders>
            <w:noWrap/>
            <w:vAlign w:val="bottom"/>
            <w:hideMark/>
          </w:tcPr>
          <w:p w14:paraId="630F2BF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1312</w:t>
            </w:r>
          </w:p>
        </w:tc>
        <w:tc>
          <w:tcPr>
            <w:tcW w:w="750" w:type="dxa"/>
            <w:tcBorders>
              <w:top w:val="nil"/>
              <w:left w:val="nil"/>
              <w:bottom w:val="single" w:sz="4" w:space="0" w:color="auto"/>
              <w:right w:val="single" w:sz="4" w:space="0" w:color="auto"/>
            </w:tcBorders>
            <w:noWrap/>
            <w:vAlign w:val="bottom"/>
            <w:hideMark/>
          </w:tcPr>
          <w:p w14:paraId="5816FA0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w:t>
            </w:r>
          </w:p>
        </w:tc>
        <w:tc>
          <w:tcPr>
            <w:tcW w:w="816" w:type="dxa"/>
            <w:tcBorders>
              <w:top w:val="nil"/>
              <w:left w:val="nil"/>
              <w:bottom w:val="single" w:sz="4" w:space="0" w:color="auto"/>
              <w:right w:val="single" w:sz="4" w:space="0" w:color="auto"/>
            </w:tcBorders>
            <w:noWrap/>
            <w:vAlign w:val="bottom"/>
            <w:hideMark/>
          </w:tcPr>
          <w:p w14:paraId="0481A63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23.4</w:t>
            </w:r>
          </w:p>
        </w:tc>
        <w:tc>
          <w:tcPr>
            <w:tcW w:w="723" w:type="dxa"/>
            <w:tcBorders>
              <w:top w:val="nil"/>
              <w:left w:val="nil"/>
              <w:bottom w:val="single" w:sz="4" w:space="0" w:color="auto"/>
              <w:right w:val="single" w:sz="4" w:space="0" w:color="auto"/>
            </w:tcBorders>
            <w:noWrap/>
            <w:vAlign w:val="bottom"/>
            <w:hideMark/>
          </w:tcPr>
          <w:p w14:paraId="7CD2927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20.1</w:t>
            </w:r>
          </w:p>
        </w:tc>
        <w:tc>
          <w:tcPr>
            <w:tcW w:w="750" w:type="dxa"/>
            <w:tcBorders>
              <w:top w:val="nil"/>
              <w:left w:val="nil"/>
              <w:bottom w:val="single" w:sz="4" w:space="0" w:color="auto"/>
              <w:right w:val="single" w:sz="4" w:space="0" w:color="auto"/>
            </w:tcBorders>
            <w:noWrap/>
            <w:vAlign w:val="bottom"/>
            <w:hideMark/>
          </w:tcPr>
          <w:p w14:paraId="354A2DE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13.8</w:t>
            </w:r>
          </w:p>
        </w:tc>
        <w:tc>
          <w:tcPr>
            <w:tcW w:w="816" w:type="dxa"/>
            <w:tcBorders>
              <w:top w:val="nil"/>
              <w:left w:val="nil"/>
              <w:bottom w:val="single" w:sz="4" w:space="0" w:color="auto"/>
              <w:right w:val="single" w:sz="4" w:space="0" w:color="auto"/>
            </w:tcBorders>
            <w:noWrap/>
            <w:vAlign w:val="bottom"/>
            <w:hideMark/>
          </w:tcPr>
          <w:p w14:paraId="79CF0F9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31.6</w:t>
            </w:r>
          </w:p>
        </w:tc>
        <w:tc>
          <w:tcPr>
            <w:tcW w:w="723" w:type="dxa"/>
            <w:tcBorders>
              <w:top w:val="nil"/>
              <w:left w:val="nil"/>
              <w:bottom w:val="single" w:sz="4" w:space="0" w:color="auto"/>
              <w:right w:val="single" w:sz="4" w:space="0" w:color="auto"/>
            </w:tcBorders>
            <w:noWrap/>
            <w:vAlign w:val="bottom"/>
            <w:hideMark/>
          </w:tcPr>
          <w:p w14:paraId="1796018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18.3</w:t>
            </w:r>
          </w:p>
        </w:tc>
        <w:tc>
          <w:tcPr>
            <w:tcW w:w="750" w:type="dxa"/>
            <w:tcBorders>
              <w:top w:val="nil"/>
              <w:left w:val="nil"/>
              <w:bottom w:val="single" w:sz="4" w:space="0" w:color="auto"/>
              <w:right w:val="single" w:sz="4" w:space="0" w:color="auto"/>
            </w:tcBorders>
            <w:noWrap/>
            <w:vAlign w:val="bottom"/>
            <w:hideMark/>
          </w:tcPr>
          <w:p w14:paraId="70C6551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31.7</w:t>
            </w:r>
          </w:p>
        </w:tc>
        <w:tc>
          <w:tcPr>
            <w:tcW w:w="816" w:type="dxa"/>
            <w:tcBorders>
              <w:top w:val="nil"/>
              <w:left w:val="nil"/>
              <w:bottom w:val="single" w:sz="4" w:space="0" w:color="auto"/>
              <w:right w:val="single" w:sz="4" w:space="0" w:color="auto"/>
            </w:tcBorders>
            <w:noWrap/>
            <w:vAlign w:val="bottom"/>
            <w:hideMark/>
          </w:tcPr>
          <w:p w14:paraId="03BA34A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12.2</w:t>
            </w:r>
          </w:p>
        </w:tc>
        <w:tc>
          <w:tcPr>
            <w:tcW w:w="723" w:type="dxa"/>
            <w:tcBorders>
              <w:top w:val="nil"/>
              <w:left w:val="nil"/>
              <w:bottom w:val="single" w:sz="4" w:space="0" w:color="auto"/>
              <w:right w:val="single" w:sz="4" w:space="0" w:color="auto"/>
            </w:tcBorders>
            <w:noWrap/>
            <w:vAlign w:val="bottom"/>
            <w:hideMark/>
          </w:tcPr>
          <w:p w14:paraId="1982F5D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26.8</w:t>
            </w:r>
          </w:p>
        </w:tc>
      </w:tr>
      <w:tr w:rsidR="002A7960" w:rsidRPr="00381786" w14:paraId="4826D411"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008EFD0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Gujarat</w:t>
            </w:r>
          </w:p>
        </w:tc>
        <w:tc>
          <w:tcPr>
            <w:tcW w:w="883" w:type="dxa"/>
            <w:tcBorders>
              <w:top w:val="nil"/>
              <w:left w:val="nil"/>
              <w:bottom w:val="single" w:sz="4" w:space="0" w:color="auto"/>
              <w:right w:val="single" w:sz="4" w:space="0" w:color="auto"/>
            </w:tcBorders>
            <w:noWrap/>
            <w:vAlign w:val="bottom"/>
            <w:hideMark/>
          </w:tcPr>
          <w:p w14:paraId="088CC79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980</w:t>
            </w:r>
          </w:p>
        </w:tc>
        <w:tc>
          <w:tcPr>
            <w:tcW w:w="750" w:type="dxa"/>
            <w:tcBorders>
              <w:top w:val="nil"/>
              <w:left w:val="nil"/>
              <w:bottom w:val="single" w:sz="4" w:space="0" w:color="auto"/>
              <w:right w:val="single" w:sz="4" w:space="0" w:color="auto"/>
            </w:tcBorders>
            <w:noWrap/>
            <w:vAlign w:val="bottom"/>
            <w:hideMark/>
          </w:tcPr>
          <w:p w14:paraId="1BD09BA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19.6</w:t>
            </w:r>
          </w:p>
        </w:tc>
        <w:tc>
          <w:tcPr>
            <w:tcW w:w="816" w:type="dxa"/>
            <w:tcBorders>
              <w:top w:val="nil"/>
              <w:left w:val="nil"/>
              <w:bottom w:val="single" w:sz="4" w:space="0" w:color="auto"/>
              <w:right w:val="single" w:sz="4" w:space="0" w:color="auto"/>
            </w:tcBorders>
            <w:noWrap/>
            <w:vAlign w:val="bottom"/>
            <w:hideMark/>
          </w:tcPr>
          <w:p w14:paraId="2CEF5D4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17.9</w:t>
            </w:r>
          </w:p>
        </w:tc>
        <w:tc>
          <w:tcPr>
            <w:tcW w:w="723" w:type="dxa"/>
            <w:tcBorders>
              <w:top w:val="nil"/>
              <w:left w:val="nil"/>
              <w:bottom w:val="single" w:sz="4" w:space="0" w:color="auto"/>
              <w:right w:val="single" w:sz="4" w:space="0" w:color="auto"/>
            </w:tcBorders>
            <w:noWrap/>
            <w:vAlign w:val="bottom"/>
            <w:hideMark/>
          </w:tcPr>
          <w:p w14:paraId="75DAFAB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18.9</w:t>
            </w:r>
          </w:p>
        </w:tc>
        <w:tc>
          <w:tcPr>
            <w:tcW w:w="750" w:type="dxa"/>
            <w:tcBorders>
              <w:top w:val="nil"/>
              <w:left w:val="nil"/>
              <w:bottom w:val="single" w:sz="4" w:space="0" w:color="auto"/>
              <w:right w:val="single" w:sz="4" w:space="0" w:color="auto"/>
            </w:tcBorders>
            <w:noWrap/>
            <w:vAlign w:val="bottom"/>
            <w:hideMark/>
          </w:tcPr>
          <w:p w14:paraId="6CD15FB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29.2</w:t>
            </w:r>
          </w:p>
        </w:tc>
        <w:tc>
          <w:tcPr>
            <w:tcW w:w="816" w:type="dxa"/>
            <w:tcBorders>
              <w:top w:val="nil"/>
              <w:left w:val="nil"/>
              <w:bottom w:val="single" w:sz="4" w:space="0" w:color="auto"/>
              <w:right w:val="single" w:sz="4" w:space="0" w:color="auto"/>
            </w:tcBorders>
            <w:noWrap/>
            <w:vAlign w:val="bottom"/>
            <w:hideMark/>
          </w:tcPr>
          <w:p w14:paraId="3750C85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43.5</w:t>
            </w:r>
          </w:p>
        </w:tc>
        <w:tc>
          <w:tcPr>
            <w:tcW w:w="723" w:type="dxa"/>
            <w:tcBorders>
              <w:top w:val="nil"/>
              <w:left w:val="nil"/>
              <w:bottom w:val="single" w:sz="4" w:space="0" w:color="auto"/>
              <w:right w:val="single" w:sz="4" w:space="0" w:color="auto"/>
            </w:tcBorders>
            <w:noWrap/>
            <w:vAlign w:val="bottom"/>
            <w:hideMark/>
          </w:tcPr>
          <w:p w14:paraId="31219C2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35.1</w:t>
            </w:r>
          </w:p>
        </w:tc>
        <w:tc>
          <w:tcPr>
            <w:tcW w:w="750" w:type="dxa"/>
            <w:tcBorders>
              <w:top w:val="nil"/>
              <w:left w:val="nil"/>
              <w:bottom w:val="single" w:sz="4" w:space="0" w:color="auto"/>
              <w:right w:val="single" w:sz="4" w:space="0" w:color="auto"/>
            </w:tcBorders>
            <w:noWrap/>
            <w:vAlign w:val="bottom"/>
            <w:hideMark/>
          </w:tcPr>
          <w:p w14:paraId="716F432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19.6</w:t>
            </w:r>
          </w:p>
        </w:tc>
        <w:tc>
          <w:tcPr>
            <w:tcW w:w="816" w:type="dxa"/>
            <w:tcBorders>
              <w:top w:val="nil"/>
              <w:left w:val="nil"/>
              <w:bottom w:val="single" w:sz="4" w:space="0" w:color="auto"/>
              <w:right w:val="single" w:sz="4" w:space="0" w:color="auto"/>
            </w:tcBorders>
            <w:noWrap/>
            <w:vAlign w:val="bottom"/>
            <w:hideMark/>
          </w:tcPr>
          <w:p w14:paraId="54700C9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w:t>
            </w:r>
          </w:p>
        </w:tc>
        <w:tc>
          <w:tcPr>
            <w:tcW w:w="723" w:type="dxa"/>
            <w:tcBorders>
              <w:top w:val="nil"/>
              <w:left w:val="nil"/>
              <w:bottom w:val="single" w:sz="4" w:space="0" w:color="auto"/>
              <w:right w:val="single" w:sz="4" w:space="0" w:color="auto"/>
            </w:tcBorders>
            <w:noWrap/>
            <w:vAlign w:val="bottom"/>
            <w:hideMark/>
          </w:tcPr>
          <w:p w14:paraId="69A05D4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15.2</w:t>
            </w:r>
          </w:p>
        </w:tc>
      </w:tr>
      <w:tr w:rsidR="002A7960" w:rsidRPr="00381786" w14:paraId="12F13973"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14A26C4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Daman &amp; Diu</w:t>
            </w:r>
          </w:p>
        </w:tc>
        <w:tc>
          <w:tcPr>
            <w:tcW w:w="883" w:type="dxa"/>
            <w:tcBorders>
              <w:top w:val="nil"/>
              <w:left w:val="nil"/>
              <w:bottom w:val="single" w:sz="4" w:space="0" w:color="auto"/>
              <w:right w:val="single" w:sz="4" w:space="0" w:color="auto"/>
            </w:tcBorders>
            <w:noWrap/>
            <w:vAlign w:val="bottom"/>
            <w:hideMark/>
          </w:tcPr>
          <w:p w14:paraId="3620293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428</w:t>
            </w:r>
          </w:p>
        </w:tc>
        <w:tc>
          <w:tcPr>
            <w:tcW w:w="750" w:type="dxa"/>
            <w:tcBorders>
              <w:top w:val="nil"/>
              <w:left w:val="nil"/>
              <w:bottom w:val="single" w:sz="4" w:space="0" w:color="auto"/>
              <w:right w:val="single" w:sz="4" w:space="0" w:color="auto"/>
            </w:tcBorders>
            <w:noWrap/>
            <w:vAlign w:val="bottom"/>
            <w:hideMark/>
          </w:tcPr>
          <w:p w14:paraId="0ADB26B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17.2</w:t>
            </w:r>
          </w:p>
        </w:tc>
        <w:tc>
          <w:tcPr>
            <w:tcW w:w="816" w:type="dxa"/>
            <w:tcBorders>
              <w:top w:val="nil"/>
              <w:left w:val="nil"/>
              <w:bottom w:val="single" w:sz="4" w:space="0" w:color="auto"/>
              <w:right w:val="single" w:sz="4" w:space="0" w:color="auto"/>
            </w:tcBorders>
            <w:noWrap/>
            <w:vAlign w:val="bottom"/>
            <w:hideMark/>
          </w:tcPr>
          <w:p w14:paraId="1469D3C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15.5</w:t>
            </w:r>
          </w:p>
        </w:tc>
        <w:tc>
          <w:tcPr>
            <w:tcW w:w="723" w:type="dxa"/>
            <w:tcBorders>
              <w:top w:val="nil"/>
              <w:left w:val="nil"/>
              <w:bottom w:val="single" w:sz="4" w:space="0" w:color="auto"/>
              <w:right w:val="single" w:sz="4" w:space="0" w:color="auto"/>
            </w:tcBorders>
            <w:noWrap/>
            <w:vAlign w:val="bottom"/>
            <w:hideMark/>
          </w:tcPr>
          <w:p w14:paraId="3AEDB50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16.1</w:t>
            </w:r>
          </w:p>
        </w:tc>
        <w:tc>
          <w:tcPr>
            <w:tcW w:w="750" w:type="dxa"/>
            <w:tcBorders>
              <w:top w:val="nil"/>
              <w:left w:val="nil"/>
              <w:bottom w:val="single" w:sz="4" w:space="0" w:color="auto"/>
              <w:right w:val="single" w:sz="4" w:space="0" w:color="auto"/>
            </w:tcBorders>
            <w:noWrap/>
            <w:vAlign w:val="bottom"/>
            <w:hideMark/>
          </w:tcPr>
          <w:p w14:paraId="4C46E1E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44.4</w:t>
            </w:r>
          </w:p>
        </w:tc>
        <w:tc>
          <w:tcPr>
            <w:tcW w:w="816" w:type="dxa"/>
            <w:tcBorders>
              <w:top w:val="nil"/>
              <w:left w:val="nil"/>
              <w:bottom w:val="single" w:sz="4" w:space="0" w:color="auto"/>
              <w:right w:val="single" w:sz="4" w:space="0" w:color="auto"/>
            </w:tcBorders>
            <w:noWrap/>
            <w:vAlign w:val="bottom"/>
            <w:hideMark/>
          </w:tcPr>
          <w:p w14:paraId="5655274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52</w:t>
            </w:r>
          </w:p>
        </w:tc>
        <w:tc>
          <w:tcPr>
            <w:tcW w:w="723" w:type="dxa"/>
            <w:tcBorders>
              <w:top w:val="nil"/>
              <w:left w:val="nil"/>
              <w:bottom w:val="single" w:sz="4" w:space="0" w:color="auto"/>
              <w:right w:val="single" w:sz="4" w:space="0" w:color="auto"/>
            </w:tcBorders>
            <w:noWrap/>
            <w:vAlign w:val="bottom"/>
            <w:hideMark/>
          </w:tcPr>
          <w:p w14:paraId="1BD05F6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49.3</w:t>
            </w:r>
          </w:p>
        </w:tc>
        <w:tc>
          <w:tcPr>
            <w:tcW w:w="750" w:type="dxa"/>
            <w:tcBorders>
              <w:top w:val="nil"/>
              <w:left w:val="nil"/>
              <w:bottom w:val="single" w:sz="4" w:space="0" w:color="auto"/>
              <w:right w:val="single" w:sz="4" w:space="0" w:color="auto"/>
            </w:tcBorders>
            <w:noWrap/>
            <w:vAlign w:val="bottom"/>
            <w:hideMark/>
          </w:tcPr>
          <w:p w14:paraId="23E9BEE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13.9</w:t>
            </w:r>
          </w:p>
        </w:tc>
        <w:tc>
          <w:tcPr>
            <w:tcW w:w="816" w:type="dxa"/>
            <w:tcBorders>
              <w:top w:val="nil"/>
              <w:left w:val="nil"/>
              <w:bottom w:val="single" w:sz="4" w:space="0" w:color="auto"/>
              <w:right w:val="single" w:sz="4" w:space="0" w:color="auto"/>
            </w:tcBorders>
            <w:noWrap/>
            <w:vAlign w:val="bottom"/>
            <w:hideMark/>
          </w:tcPr>
          <w:p w14:paraId="594C6EE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6.9</w:t>
            </w:r>
          </w:p>
        </w:tc>
        <w:tc>
          <w:tcPr>
            <w:tcW w:w="723" w:type="dxa"/>
            <w:tcBorders>
              <w:top w:val="nil"/>
              <w:left w:val="nil"/>
              <w:bottom w:val="single" w:sz="4" w:space="0" w:color="auto"/>
              <w:right w:val="single" w:sz="4" w:space="0" w:color="auto"/>
            </w:tcBorders>
            <w:noWrap/>
            <w:vAlign w:val="bottom"/>
            <w:hideMark/>
          </w:tcPr>
          <w:p w14:paraId="644700A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9.3</w:t>
            </w:r>
          </w:p>
        </w:tc>
      </w:tr>
      <w:tr w:rsidR="002A7960" w:rsidRPr="00381786" w14:paraId="612EFDD5"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4B35B36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Dadra &amp; Nagar Haveli</w:t>
            </w:r>
          </w:p>
        </w:tc>
        <w:tc>
          <w:tcPr>
            <w:tcW w:w="883" w:type="dxa"/>
            <w:tcBorders>
              <w:top w:val="nil"/>
              <w:left w:val="nil"/>
              <w:bottom w:val="single" w:sz="4" w:space="0" w:color="auto"/>
              <w:right w:val="single" w:sz="4" w:space="0" w:color="auto"/>
            </w:tcBorders>
            <w:noWrap/>
            <w:vAlign w:val="bottom"/>
            <w:hideMark/>
          </w:tcPr>
          <w:p w14:paraId="662FC92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448</w:t>
            </w:r>
          </w:p>
        </w:tc>
        <w:tc>
          <w:tcPr>
            <w:tcW w:w="750" w:type="dxa"/>
            <w:tcBorders>
              <w:top w:val="nil"/>
              <w:left w:val="nil"/>
              <w:bottom w:val="single" w:sz="4" w:space="0" w:color="auto"/>
              <w:right w:val="single" w:sz="4" w:space="0" w:color="auto"/>
            </w:tcBorders>
            <w:noWrap/>
            <w:vAlign w:val="bottom"/>
            <w:hideMark/>
          </w:tcPr>
          <w:p w14:paraId="52450ED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19.5</w:t>
            </w:r>
          </w:p>
        </w:tc>
        <w:tc>
          <w:tcPr>
            <w:tcW w:w="816" w:type="dxa"/>
            <w:tcBorders>
              <w:top w:val="nil"/>
              <w:left w:val="nil"/>
              <w:bottom w:val="single" w:sz="4" w:space="0" w:color="auto"/>
              <w:right w:val="single" w:sz="4" w:space="0" w:color="auto"/>
            </w:tcBorders>
            <w:noWrap/>
            <w:vAlign w:val="bottom"/>
            <w:hideMark/>
          </w:tcPr>
          <w:p w14:paraId="3E5681D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27.3</w:t>
            </w:r>
          </w:p>
        </w:tc>
        <w:tc>
          <w:tcPr>
            <w:tcW w:w="723" w:type="dxa"/>
            <w:tcBorders>
              <w:top w:val="nil"/>
              <w:left w:val="nil"/>
              <w:bottom w:val="single" w:sz="4" w:space="0" w:color="auto"/>
              <w:right w:val="single" w:sz="4" w:space="0" w:color="auto"/>
            </w:tcBorders>
            <w:noWrap/>
            <w:vAlign w:val="bottom"/>
            <w:hideMark/>
          </w:tcPr>
          <w:p w14:paraId="17BF7F4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22.1</w:t>
            </w:r>
          </w:p>
        </w:tc>
        <w:tc>
          <w:tcPr>
            <w:tcW w:w="750" w:type="dxa"/>
            <w:tcBorders>
              <w:top w:val="nil"/>
              <w:left w:val="nil"/>
              <w:bottom w:val="single" w:sz="4" w:space="0" w:color="auto"/>
              <w:right w:val="single" w:sz="4" w:space="0" w:color="auto"/>
            </w:tcBorders>
            <w:noWrap/>
            <w:vAlign w:val="bottom"/>
            <w:hideMark/>
          </w:tcPr>
          <w:p w14:paraId="28838C4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12.1</w:t>
            </w:r>
          </w:p>
        </w:tc>
        <w:tc>
          <w:tcPr>
            <w:tcW w:w="816" w:type="dxa"/>
            <w:tcBorders>
              <w:top w:val="nil"/>
              <w:left w:val="nil"/>
              <w:bottom w:val="single" w:sz="4" w:space="0" w:color="auto"/>
              <w:right w:val="single" w:sz="4" w:space="0" w:color="auto"/>
            </w:tcBorders>
            <w:noWrap/>
            <w:vAlign w:val="bottom"/>
            <w:hideMark/>
          </w:tcPr>
          <w:p w14:paraId="59A981C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30</w:t>
            </w:r>
          </w:p>
        </w:tc>
        <w:tc>
          <w:tcPr>
            <w:tcW w:w="723" w:type="dxa"/>
            <w:tcBorders>
              <w:top w:val="nil"/>
              <w:left w:val="nil"/>
              <w:bottom w:val="single" w:sz="4" w:space="0" w:color="auto"/>
              <w:right w:val="single" w:sz="4" w:space="0" w:color="auto"/>
            </w:tcBorders>
            <w:noWrap/>
            <w:vAlign w:val="bottom"/>
            <w:hideMark/>
          </w:tcPr>
          <w:p w14:paraId="56E5283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18.1</w:t>
            </w:r>
          </w:p>
        </w:tc>
        <w:tc>
          <w:tcPr>
            <w:tcW w:w="750" w:type="dxa"/>
            <w:tcBorders>
              <w:top w:val="nil"/>
              <w:left w:val="nil"/>
              <w:bottom w:val="single" w:sz="4" w:space="0" w:color="auto"/>
              <w:right w:val="single" w:sz="4" w:space="0" w:color="auto"/>
            </w:tcBorders>
            <w:noWrap/>
            <w:vAlign w:val="bottom"/>
            <w:hideMark/>
          </w:tcPr>
          <w:p w14:paraId="30443C7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35.6</w:t>
            </w:r>
          </w:p>
        </w:tc>
        <w:tc>
          <w:tcPr>
            <w:tcW w:w="816" w:type="dxa"/>
            <w:tcBorders>
              <w:top w:val="nil"/>
              <w:left w:val="nil"/>
              <w:bottom w:val="single" w:sz="4" w:space="0" w:color="auto"/>
              <w:right w:val="single" w:sz="4" w:space="0" w:color="auto"/>
            </w:tcBorders>
            <w:noWrap/>
            <w:vAlign w:val="bottom"/>
            <w:hideMark/>
          </w:tcPr>
          <w:p w14:paraId="44D0787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19.3</w:t>
            </w:r>
          </w:p>
        </w:tc>
        <w:tc>
          <w:tcPr>
            <w:tcW w:w="723" w:type="dxa"/>
            <w:tcBorders>
              <w:top w:val="nil"/>
              <w:left w:val="nil"/>
              <w:bottom w:val="single" w:sz="4" w:space="0" w:color="auto"/>
              <w:right w:val="single" w:sz="4" w:space="0" w:color="auto"/>
            </w:tcBorders>
            <w:noWrap/>
            <w:vAlign w:val="bottom"/>
            <w:hideMark/>
          </w:tcPr>
          <w:p w14:paraId="0CA997B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30.1</w:t>
            </w:r>
          </w:p>
        </w:tc>
      </w:tr>
      <w:tr w:rsidR="002A7960" w:rsidRPr="00381786" w14:paraId="258FF930"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62CCBBD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Maharashtra</w:t>
            </w:r>
          </w:p>
        </w:tc>
        <w:tc>
          <w:tcPr>
            <w:tcW w:w="883" w:type="dxa"/>
            <w:tcBorders>
              <w:top w:val="nil"/>
              <w:left w:val="nil"/>
              <w:bottom w:val="single" w:sz="4" w:space="0" w:color="auto"/>
              <w:right w:val="single" w:sz="4" w:space="0" w:color="auto"/>
            </w:tcBorders>
            <w:noWrap/>
            <w:vAlign w:val="bottom"/>
            <w:hideMark/>
          </w:tcPr>
          <w:p w14:paraId="634F947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1782</w:t>
            </w:r>
          </w:p>
        </w:tc>
        <w:tc>
          <w:tcPr>
            <w:tcW w:w="750" w:type="dxa"/>
            <w:tcBorders>
              <w:top w:val="nil"/>
              <w:left w:val="nil"/>
              <w:bottom w:val="single" w:sz="4" w:space="0" w:color="auto"/>
              <w:right w:val="single" w:sz="4" w:space="0" w:color="auto"/>
            </w:tcBorders>
            <w:noWrap/>
            <w:vAlign w:val="bottom"/>
            <w:hideMark/>
          </w:tcPr>
          <w:p w14:paraId="7EFFF6F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13.8</w:t>
            </w:r>
          </w:p>
        </w:tc>
        <w:tc>
          <w:tcPr>
            <w:tcW w:w="816" w:type="dxa"/>
            <w:tcBorders>
              <w:top w:val="nil"/>
              <w:left w:val="nil"/>
              <w:bottom w:val="single" w:sz="4" w:space="0" w:color="auto"/>
              <w:right w:val="single" w:sz="4" w:space="0" w:color="auto"/>
            </w:tcBorders>
            <w:noWrap/>
            <w:vAlign w:val="bottom"/>
            <w:hideMark/>
          </w:tcPr>
          <w:p w14:paraId="3CB1679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9.4</w:t>
            </w:r>
          </w:p>
        </w:tc>
        <w:tc>
          <w:tcPr>
            <w:tcW w:w="723" w:type="dxa"/>
            <w:tcBorders>
              <w:top w:val="nil"/>
              <w:left w:val="nil"/>
              <w:bottom w:val="single" w:sz="4" w:space="0" w:color="auto"/>
              <w:right w:val="single" w:sz="4" w:space="0" w:color="auto"/>
            </w:tcBorders>
            <w:noWrap/>
            <w:vAlign w:val="bottom"/>
            <w:hideMark/>
          </w:tcPr>
          <w:p w14:paraId="7CE02F9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11.7</w:t>
            </w:r>
          </w:p>
        </w:tc>
        <w:tc>
          <w:tcPr>
            <w:tcW w:w="750" w:type="dxa"/>
            <w:tcBorders>
              <w:top w:val="nil"/>
              <w:left w:val="nil"/>
              <w:bottom w:val="single" w:sz="4" w:space="0" w:color="auto"/>
              <w:right w:val="single" w:sz="4" w:space="0" w:color="auto"/>
            </w:tcBorders>
            <w:noWrap/>
            <w:vAlign w:val="bottom"/>
            <w:hideMark/>
          </w:tcPr>
          <w:p w14:paraId="3F8DEFD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42.4</w:t>
            </w:r>
          </w:p>
        </w:tc>
        <w:tc>
          <w:tcPr>
            <w:tcW w:w="816" w:type="dxa"/>
            <w:tcBorders>
              <w:top w:val="nil"/>
              <w:left w:val="nil"/>
              <w:bottom w:val="single" w:sz="4" w:space="0" w:color="auto"/>
              <w:right w:val="single" w:sz="4" w:space="0" w:color="auto"/>
            </w:tcBorders>
            <w:noWrap/>
            <w:vAlign w:val="bottom"/>
            <w:hideMark/>
          </w:tcPr>
          <w:p w14:paraId="433627D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62.9</w:t>
            </w:r>
          </w:p>
        </w:tc>
        <w:tc>
          <w:tcPr>
            <w:tcW w:w="723" w:type="dxa"/>
            <w:tcBorders>
              <w:top w:val="nil"/>
              <w:left w:val="nil"/>
              <w:bottom w:val="single" w:sz="4" w:space="0" w:color="auto"/>
              <w:right w:val="single" w:sz="4" w:space="0" w:color="auto"/>
            </w:tcBorders>
            <w:noWrap/>
            <w:vAlign w:val="bottom"/>
            <w:hideMark/>
          </w:tcPr>
          <w:p w14:paraId="0FA2B00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52</w:t>
            </w:r>
          </w:p>
        </w:tc>
        <w:tc>
          <w:tcPr>
            <w:tcW w:w="750" w:type="dxa"/>
            <w:tcBorders>
              <w:top w:val="nil"/>
              <w:left w:val="nil"/>
              <w:bottom w:val="single" w:sz="4" w:space="0" w:color="auto"/>
              <w:right w:val="single" w:sz="4" w:space="0" w:color="auto"/>
            </w:tcBorders>
            <w:noWrap/>
            <w:vAlign w:val="bottom"/>
            <w:hideMark/>
          </w:tcPr>
          <w:p w14:paraId="6F46F4D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7.7</w:t>
            </w:r>
          </w:p>
        </w:tc>
        <w:tc>
          <w:tcPr>
            <w:tcW w:w="816" w:type="dxa"/>
            <w:tcBorders>
              <w:top w:val="nil"/>
              <w:left w:val="nil"/>
              <w:bottom w:val="single" w:sz="4" w:space="0" w:color="auto"/>
              <w:right w:val="single" w:sz="4" w:space="0" w:color="auto"/>
            </w:tcBorders>
            <w:noWrap/>
            <w:vAlign w:val="bottom"/>
            <w:hideMark/>
          </w:tcPr>
          <w:p w14:paraId="102C048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w:t>
            </w:r>
          </w:p>
        </w:tc>
        <w:tc>
          <w:tcPr>
            <w:tcW w:w="723" w:type="dxa"/>
            <w:tcBorders>
              <w:top w:val="nil"/>
              <w:left w:val="nil"/>
              <w:bottom w:val="single" w:sz="4" w:space="0" w:color="auto"/>
              <w:right w:val="single" w:sz="4" w:space="0" w:color="auto"/>
            </w:tcBorders>
            <w:noWrap/>
            <w:vAlign w:val="bottom"/>
            <w:hideMark/>
          </w:tcPr>
          <w:p w14:paraId="03B72EE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5.5</w:t>
            </w:r>
          </w:p>
        </w:tc>
      </w:tr>
      <w:tr w:rsidR="002A7960" w:rsidRPr="00381786" w14:paraId="07CB53CD"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1F577E0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 xml:space="preserve">Andhra </w:t>
            </w:r>
            <w:r w:rsidRPr="00381786">
              <w:rPr>
                <w:rFonts w:ascii="Times New Roman" w:eastAsia="Times New Roman" w:hAnsi="Times New Roman" w:cs="Times New Roman"/>
                <w:color w:val="000000"/>
                <w:sz w:val="24"/>
                <w:szCs w:val="24"/>
                <w:lang w:bidi="hi-IN"/>
              </w:rPr>
              <w:lastRenderedPageBreak/>
              <w:t>Pradesh</w:t>
            </w:r>
          </w:p>
        </w:tc>
        <w:tc>
          <w:tcPr>
            <w:tcW w:w="883" w:type="dxa"/>
            <w:tcBorders>
              <w:top w:val="nil"/>
              <w:left w:val="nil"/>
              <w:bottom w:val="single" w:sz="4" w:space="0" w:color="auto"/>
              <w:right w:val="single" w:sz="4" w:space="0" w:color="auto"/>
            </w:tcBorders>
            <w:noWrap/>
            <w:vAlign w:val="bottom"/>
            <w:hideMark/>
          </w:tcPr>
          <w:p w14:paraId="7A8AB95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lastRenderedPageBreak/>
              <w:t>1097</w:t>
            </w:r>
          </w:p>
        </w:tc>
        <w:tc>
          <w:tcPr>
            <w:tcW w:w="750" w:type="dxa"/>
            <w:tcBorders>
              <w:top w:val="nil"/>
              <w:left w:val="nil"/>
              <w:bottom w:val="single" w:sz="4" w:space="0" w:color="auto"/>
              <w:right w:val="single" w:sz="4" w:space="0" w:color="auto"/>
            </w:tcBorders>
            <w:noWrap/>
            <w:vAlign w:val="bottom"/>
            <w:hideMark/>
          </w:tcPr>
          <w:p w14:paraId="36F546E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9.8</w:t>
            </w:r>
          </w:p>
        </w:tc>
        <w:tc>
          <w:tcPr>
            <w:tcW w:w="816" w:type="dxa"/>
            <w:tcBorders>
              <w:top w:val="nil"/>
              <w:left w:val="nil"/>
              <w:bottom w:val="single" w:sz="4" w:space="0" w:color="auto"/>
              <w:right w:val="single" w:sz="4" w:space="0" w:color="auto"/>
            </w:tcBorders>
            <w:noWrap/>
            <w:vAlign w:val="bottom"/>
            <w:hideMark/>
          </w:tcPr>
          <w:p w14:paraId="7AADCEF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7.3</w:t>
            </w:r>
          </w:p>
        </w:tc>
        <w:tc>
          <w:tcPr>
            <w:tcW w:w="723" w:type="dxa"/>
            <w:tcBorders>
              <w:top w:val="nil"/>
              <w:left w:val="nil"/>
              <w:bottom w:val="single" w:sz="4" w:space="0" w:color="auto"/>
              <w:right w:val="single" w:sz="4" w:space="0" w:color="auto"/>
            </w:tcBorders>
            <w:noWrap/>
            <w:vAlign w:val="bottom"/>
            <w:hideMark/>
          </w:tcPr>
          <w:p w14:paraId="78EA3C7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9.2</w:t>
            </w:r>
          </w:p>
        </w:tc>
        <w:tc>
          <w:tcPr>
            <w:tcW w:w="750" w:type="dxa"/>
            <w:tcBorders>
              <w:top w:val="nil"/>
              <w:left w:val="nil"/>
              <w:bottom w:val="single" w:sz="4" w:space="0" w:color="auto"/>
              <w:right w:val="single" w:sz="4" w:space="0" w:color="auto"/>
            </w:tcBorders>
            <w:noWrap/>
            <w:vAlign w:val="bottom"/>
            <w:hideMark/>
          </w:tcPr>
          <w:p w14:paraId="4D1E6D6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52.5</w:t>
            </w:r>
          </w:p>
        </w:tc>
        <w:tc>
          <w:tcPr>
            <w:tcW w:w="816" w:type="dxa"/>
            <w:tcBorders>
              <w:top w:val="nil"/>
              <w:left w:val="nil"/>
              <w:bottom w:val="single" w:sz="4" w:space="0" w:color="auto"/>
              <w:right w:val="single" w:sz="4" w:space="0" w:color="auto"/>
            </w:tcBorders>
            <w:noWrap/>
            <w:vAlign w:val="bottom"/>
            <w:hideMark/>
          </w:tcPr>
          <w:p w14:paraId="23590AD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65</w:t>
            </w:r>
          </w:p>
        </w:tc>
        <w:tc>
          <w:tcPr>
            <w:tcW w:w="723" w:type="dxa"/>
            <w:tcBorders>
              <w:top w:val="nil"/>
              <w:left w:val="nil"/>
              <w:bottom w:val="single" w:sz="4" w:space="0" w:color="auto"/>
              <w:right w:val="single" w:sz="4" w:space="0" w:color="auto"/>
            </w:tcBorders>
            <w:noWrap/>
            <w:vAlign w:val="bottom"/>
            <w:hideMark/>
          </w:tcPr>
          <w:p w14:paraId="2A010FC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55.6</w:t>
            </w:r>
          </w:p>
        </w:tc>
        <w:tc>
          <w:tcPr>
            <w:tcW w:w="750" w:type="dxa"/>
            <w:tcBorders>
              <w:top w:val="nil"/>
              <w:left w:val="nil"/>
              <w:bottom w:val="single" w:sz="4" w:space="0" w:color="auto"/>
              <w:right w:val="single" w:sz="4" w:space="0" w:color="auto"/>
            </w:tcBorders>
            <w:noWrap/>
            <w:vAlign w:val="bottom"/>
            <w:hideMark/>
          </w:tcPr>
          <w:p w14:paraId="05C717F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3.9</w:t>
            </w:r>
          </w:p>
        </w:tc>
        <w:tc>
          <w:tcPr>
            <w:tcW w:w="816" w:type="dxa"/>
            <w:tcBorders>
              <w:top w:val="nil"/>
              <w:left w:val="nil"/>
              <w:bottom w:val="single" w:sz="4" w:space="0" w:color="auto"/>
              <w:right w:val="single" w:sz="4" w:space="0" w:color="auto"/>
            </w:tcBorders>
            <w:noWrap/>
            <w:vAlign w:val="bottom"/>
            <w:hideMark/>
          </w:tcPr>
          <w:p w14:paraId="41EE397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w:t>
            </w:r>
          </w:p>
        </w:tc>
        <w:tc>
          <w:tcPr>
            <w:tcW w:w="723" w:type="dxa"/>
            <w:tcBorders>
              <w:top w:val="nil"/>
              <w:left w:val="nil"/>
              <w:bottom w:val="single" w:sz="4" w:space="0" w:color="auto"/>
              <w:right w:val="single" w:sz="4" w:space="0" w:color="auto"/>
            </w:tcBorders>
            <w:noWrap/>
            <w:vAlign w:val="bottom"/>
            <w:hideMark/>
          </w:tcPr>
          <w:p w14:paraId="6B1E631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3.3</w:t>
            </w:r>
          </w:p>
        </w:tc>
      </w:tr>
      <w:tr w:rsidR="002A7960" w:rsidRPr="00381786" w14:paraId="269655D0"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1E5AA40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lastRenderedPageBreak/>
              <w:t>Karnataka</w:t>
            </w:r>
          </w:p>
        </w:tc>
        <w:tc>
          <w:tcPr>
            <w:tcW w:w="883" w:type="dxa"/>
            <w:tcBorders>
              <w:top w:val="nil"/>
              <w:left w:val="nil"/>
              <w:bottom w:val="single" w:sz="4" w:space="0" w:color="auto"/>
              <w:right w:val="single" w:sz="4" w:space="0" w:color="auto"/>
            </w:tcBorders>
            <w:noWrap/>
            <w:vAlign w:val="bottom"/>
            <w:hideMark/>
          </w:tcPr>
          <w:p w14:paraId="1653A87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1000</w:t>
            </w:r>
          </w:p>
        </w:tc>
        <w:tc>
          <w:tcPr>
            <w:tcW w:w="750" w:type="dxa"/>
            <w:tcBorders>
              <w:top w:val="nil"/>
              <w:left w:val="nil"/>
              <w:bottom w:val="single" w:sz="4" w:space="0" w:color="auto"/>
              <w:right w:val="single" w:sz="4" w:space="0" w:color="auto"/>
            </w:tcBorders>
            <w:noWrap/>
            <w:vAlign w:val="bottom"/>
            <w:hideMark/>
          </w:tcPr>
          <w:p w14:paraId="2272A3B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13.1</w:t>
            </w:r>
          </w:p>
        </w:tc>
        <w:tc>
          <w:tcPr>
            <w:tcW w:w="816" w:type="dxa"/>
            <w:tcBorders>
              <w:top w:val="nil"/>
              <w:left w:val="nil"/>
              <w:bottom w:val="single" w:sz="4" w:space="0" w:color="auto"/>
              <w:right w:val="single" w:sz="4" w:space="0" w:color="auto"/>
            </w:tcBorders>
            <w:noWrap/>
            <w:vAlign w:val="bottom"/>
            <w:hideMark/>
          </w:tcPr>
          <w:p w14:paraId="2300609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14.1</w:t>
            </w:r>
          </w:p>
        </w:tc>
        <w:tc>
          <w:tcPr>
            <w:tcW w:w="723" w:type="dxa"/>
            <w:tcBorders>
              <w:top w:val="nil"/>
              <w:left w:val="nil"/>
              <w:bottom w:val="single" w:sz="4" w:space="0" w:color="auto"/>
              <w:right w:val="single" w:sz="4" w:space="0" w:color="auto"/>
            </w:tcBorders>
            <w:noWrap/>
            <w:vAlign w:val="bottom"/>
            <w:hideMark/>
          </w:tcPr>
          <w:p w14:paraId="6085DC3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13.4</w:t>
            </w:r>
          </w:p>
        </w:tc>
        <w:tc>
          <w:tcPr>
            <w:tcW w:w="750" w:type="dxa"/>
            <w:tcBorders>
              <w:top w:val="nil"/>
              <w:left w:val="nil"/>
              <w:bottom w:val="single" w:sz="4" w:space="0" w:color="auto"/>
              <w:right w:val="single" w:sz="4" w:space="0" w:color="auto"/>
            </w:tcBorders>
            <w:noWrap/>
            <w:vAlign w:val="bottom"/>
            <w:hideMark/>
          </w:tcPr>
          <w:p w14:paraId="0A5E0AA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35</w:t>
            </w:r>
          </w:p>
        </w:tc>
        <w:tc>
          <w:tcPr>
            <w:tcW w:w="816" w:type="dxa"/>
            <w:tcBorders>
              <w:top w:val="nil"/>
              <w:left w:val="nil"/>
              <w:bottom w:val="single" w:sz="4" w:space="0" w:color="auto"/>
              <w:right w:val="single" w:sz="4" w:space="0" w:color="auto"/>
            </w:tcBorders>
            <w:noWrap/>
            <w:vAlign w:val="bottom"/>
            <w:hideMark/>
          </w:tcPr>
          <w:p w14:paraId="54CAF53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55.6</w:t>
            </w:r>
          </w:p>
        </w:tc>
        <w:tc>
          <w:tcPr>
            <w:tcW w:w="723" w:type="dxa"/>
            <w:tcBorders>
              <w:top w:val="nil"/>
              <w:left w:val="nil"/>
              <w:bottom w:val="single" w:sz="4" w:space="0" w:color="auto"/>
              <w:right w:val="single" w:sz="4" w:space="0" w:color="auto"/>
            </w:tcBorders>
            <w:noWrap/>
            <w:vAlign w:val="bottom"/>
            <w:hideMark/>
          </w:tcPr>
          <w:p w14:paraId="092D3AD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41.1</w:t>
            </w:r>
          </w:p>
        </w:tc>
        <w:tc>
          <w:tcPr>
            <w:tcW w:w="750" w:type="dxa"/>
            <w:tcBorders>
              <w:top w:val="nil"/>
              <w:left w:val="nil"/>
              <w:bottom w:val="single" w:sz="4" w:space="0" w:color="auto"/>
              <w:right w:val="single" w:sz="4" w:space="0" w:color="auto"/>
            </w:tcBorders>
            <w:noWrap/>
            <w:vAlign w:val="bottom"/>
            <w:hideMark/>
          </w:tcPr>
          <w:p w14:paraId="2735E12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10.8</w:t>
            </w:r>
          </w:p>
        </w:tc>
        <w:tc>
          <w:tcPr>
            <w:tcW w:w="816" w:type="dxa"/>
            <w:tcBorders>
              <w:top w:val="nil"/>
              <w:left w:val="nil"/>
              <w:bottom w:val="single" w:sz="4" w:space="0" w:color="auto"/>
              <w:right w:val="single" w:sz="4" w:space="0" w:color="auto"/>
            </w:tcBorders>
            <w:noWrap/>
            <w:vAlign w:val="bottom"/>
            <w:hideMark/>
          </w:tcPr>
          <w:p w14:paraId="590B79B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w:t>
            </w:r>
          </w:p>
        </w:tc>
        <w:tc>
          <w:tcPr>
            <w:tcW w:w="723" w:type="dxa"/>
            <w:tcBorders>
              <w:top w:val="nil"/>
              <w:left w:val="nil"/>
              <w:bottom w:val="single" w:sz="4" w:space="0" w:color="auto"/>
              <w:right w:val="single" w:sz="4" w:space="0" w:color="auto"/>
            </w:tcBorders>
            <w:noWrap/>
            <w:vAlign w:val="bottom"/>
            <w:hideMark/>
          </w:tcPr>
          <w:p w14:paraId="28497EE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8.5</w:t>
            </w:r>
          </w:p>
        </w:tc>
      </w:tr>
      <w:tr w:rsidR="002A7960" w:rsidRPr="00381786" w14:paraId="4D5A5BEA"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7066C3A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Goa</w:t>
            </w:r>
          </w:p>
        </w:tc>
        <w:tc>
          <w:tcPr>
            <w:tcW w:w="883" w:type="dxa"/>
            <w:tcBorders>
              <w:top w:val="nil"/>
              <w:left w:val="nil"/>
              <w:bottom w:val="single" w:sz="4" w:space="0" w:color="auto"/>
              <w:right w:val="single" w:sz="4" w:space="0" w:color="auto"/>
            </w:tcBorders>
            <w:noWrap/>
            <w:vAlign w:val="bottom"/>
            <w:hideMark/>
          </w:tcPr>
          <w:p w14:paraId="316C0B1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633</w:t>
            </w:r>
          </w:p>
        </w:tc>
        <w:tc>
          <w:tcPr>
            <w:tcW w:w="750" w:type="dxa"/>
            <w:tcBorders>
              <w:top w:val="nil"/>
              <w:left w:val="nil"/>
              <w:bottom w:val="single" w:sz="4" w:space="0" w:color="auto"/>
              <w:right w:val="single" w:sz="4" w:space="0" w:color="auto"/>
            </w:tcBorders>
            <w:noWrap/>
            <w:vAlign w:val="bottom"/>
            <w:hideMark/>
          </w:tcPr>
          <w:p w14:paraId="18F2917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12.2</w:t>
            </w:r>
          </w:p>
        </w:tc>
        <w:tc>
          <w:tcPr>
            <w:tcW w:w="816" w:type="dxa"/>
            <w:tcBorders>
              <w:top w:val="nil"/>
              <w:left w:val="nil"/>
              <w:bottom w:val="single" w:sz="4" w:space="0" w:color="auto"/>
              <w:right w:val="single" w:sz="4" w:space="0" w:color="auto"/>
            </w:tcBorders>
            <w:noWrap/>
            <w:vAlign w:val="bottom"/>
            <w:hideMark/>
          </w:tcPr>
          <w:p w14:paraId="2CC3D58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5.4</w:t>
            </w:r>
          </w:p>
        </w:tc>
        <w:tc>
          <w:tcPr>
            <w:tcW w:w="723" w:type="dxa"/>
            <w:tcBorders>
              <w:top w:val="nil"/>
              <w:left w:val="nil"/>
              <w:bottom w:val="single" w:sz="4" w:space="0" w:color="auto"/>
              <w:right w:val="single" w:sz="4" w:space="0" w:color="auto"/>
            </w:tcBorders>
            <w:noWrap/>
            <w:vAlign w:val="bottom"/>
            <w:hideMark/>
          </w:tcPr>
          <w:p w14:paraId="6FE37E9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8.1</w:t>
            </w:r>
          </w:p>
        </w:tc>
        <w:tc>
          <w:tcPr>
            <w:tcW w:w="750" w:type="dxa"/>
            <w:tcBorders>
              <w:top w:val="nil"/>
              <w:left w:val="nil"/>
              <w:bottom w:val="single" w:sz="4" w:space="0" w:color="auto"/>
              <w:right w:val="single" w:sz="4" w:space="0" w:color="auto"/>
            </w:tcBorders>
            <w:noWrap/>
            <w:vAlign w:val="bottom"/>
            <w:hideMark/>
          </w:tcPr>
          <w:p w14:paraId="057BA1C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56.9</w:t>
            </w:r>
          </w:p>
        </w:tc>
        <w:tc>
          <w:tcPr>
            <w:tcW w:w="816" w:type="dxa"/>
            <w:tcBorders>
              <w:top w:val="nil"/>
              <w:left w:val="nil"/>
              <w:bottom w:val="single" w:sz="4" w:space="0" w:color="auto"/>
              <w:right w:val="single" w:sz="4" w:space="0" w:color="auto"/>
            </w:tcBorders>
            <w:noWrap/>
            <w:vAlign w:val="bottom"/>
            <w:hideMark/>
          </w:tcPr>
          <w:p w14:paraId="72F9F0A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70.3</w:t>
            </w:r>
          </w:p>
        </w:tc>
        <w:tc>
          <w:tcPr>
            <w:tcW w:w="723" w:type="dxa"/>
            <w:tcBorders>
              <w:top w:val="nil"/>
              <w:left w:val="nil"/>
              <w:bottom w:val="single" w:sz="4" w:space="0" w:color="auto"/>
              <w:right w:val="single" w:sz="4" w:space="0" w:color="auto"/>
            </w:tcBorders>
            <w:noWrap/>
            <w:vAlign w:val="bottom"/>
            <w:hideMark/>
          </w:tcPr>
          <w:p w14:paraId="7991708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65.1</w:t>
            </w:r>
          </w:p>
        </w:tc>
        <w:tc>
          <w:tcPr>
            <w:tcW w:w="750" w:type="dxa"/>
            <w:tcBorders>
              <w:top w:val="nil"/>
              <w:left w:val="nil"/>
              <w:bottom w:val="single" w:sz="4" w:space="0" w:color="auto"/>
              <w:right w:val="single" w:sz="4" w:space="0" w:color="auto"/>
            </w:tcBorders>
            <w:noWrap/>
            <w:vAlign w:val="bottom"/>
            <w:hideMark/>
          </w:tcPr>
          <w:p w14:paraId="5B97110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3.7</w:t>
            </w:r>
          </w:p>
        </w:tc>
        <w:tc>
          <w:tcPr>
            <w:tcW w:w="816" w:type="dxa"/>
            <w:tcBorders>
              <w:top w:val="nil"/>
              <w:left w:val="nil"/>
              <w:bottom w:val="single" w:sz="4" w:space="0" w:color="auto"/>
              <w:right w:val="single" w:sz="4" w:space="0" w:color="auto"/>
            </w:tcBorders>
            <w:noWrap/>
            <w:vAlign w:val="bottom"/>
            <w:hideMark/>
          </w:tcPr>
          <w:p w14:paraId="4D74607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0.5</w:t>
            </w:r>
          </w:p>
        </w:tc>
        <w:tc>
          <w:tcPr>
            <w:tcW w:w="723" w:type="dxa"/>
            <w:tcBorders>
              <w:top w:val="nil"/>
              <w:left w:val="nil"/>
              <w:bottom w:val="single" w:sz="4" w:space="0" w:color="auto"/>
              <w:right w:val="single" w:sz="4" w:space="0" w:color="auto"/>
            </w:tcBorders>
            <w:noWrap/>
            <w:vAlign w:val="bottom"/>
            <w:hideMark/>
          </w:tcPr>
          <w:p w14:paraId="04A51D1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1.7</w:t>
            </w:r>
          </w:p>
        </w:tc>
      </w:tr>
      <w:tr w:rsidR="002A7960" w:rsidRPr="00381786" w14:paraId="298D08F3"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1E85084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Lakshadweep</w:t>
            </w:r>
          </w:p>
        </w:tc>
        <w:tc>
          <w:tcPr>
            <w:tcW w:w="883" w:type="dxa"/>
            <w:tcBorders>
              <w:top w:val="nil"/>
              <w:left w:val="nil"/>
              <w:bottom w:val="single" w:sz="4" w:space="0" w:color="auto"/>
              <w:right w:val="single" w:sz="4" w:space="0" w:color="auto"/>
            </w:tcBorders>
            <w:noWrap/>
            <w:vAlign w:val="bottom"/>
            <w:hideMark/>
          </w:tcPr>
          <w:p w14:paraId="709C928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500</w:t>
            </w:r>
          </w:p>
        </w:tc>
        <w:tc>
          <w:tcPr>
            <w:tcW w:w="750" w:type="dxa"/>
            <w:tcBorders>
              <w:top w:val="nil"/>
              <w:left w:val="nil"/>
              <w:bottom w:val="single" w:sz="4" w:space="0" w:color="auto"/>
              <w:right w:val="single" w:sz="4" w:space="0" w:color="auto"/>
            </w:tcBorders>
            <w:noWrap/>
            <w:vAlign w:val="bottom"/>
            <w:hideMark/>
          </w:tcPr>
          <w:p w14:paraId="41AEC22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9.1</w:t>
            </w:r>
          </w:p>
        </w:tc>
        <w:tc>
          <w:tcPr>
            <w:tcW w:w="816" w:type="dxa"/>
            <w:tcBorders>
              <w:top w:val="nil"/>
              <w:left w:val="nil"/>
              <w:bottom w:val="single" w:sz="4" w:space="0" w:color="auto"/>
              <w:right w:val="single" w:sz="4" w:space="0" w:color="auto"/>
            </w:tcBorders>
            <w:noWrap/>
            <w:vAlign w:val="bottom"/>
            <w:hideMark/>
          </w:tcPr>
          <w:p w14:paraId="685B1BF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3.2</w:t>
            </w:r>
          </w:p>
        </w:tc>
        <w:tc>
          <w:tcPr>
            <w:tcW w:w="723" w:type="dxa"/>
            <w:tcBorders>
              <w:top w:val="nil"/>
              <w:left w:val="nil"/>
              <w:bottom w:val="single" w:sz="4" w:space="0" w:color="auto"/>
              <w:right w:val="single" w:sz="4" w:space="0" w:color="auto"/>
            </w:tcBorders>
            <w:noWrap/>
            <w:vAlign w:val="bottom"/>
            <w:hideMark/>
          </w:tcPr>
          <w:p w14:paraId="0A4CF61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4.4</w:t>
            </w:r>
          </w:p>
        </w:tc>
        <w:tc>
          <w:tcPr>
            <w:tcW w:w="750" w:type="dxa"/>
            <w:tcBorders>
              <w:top w:val="nil"/>
              <w:left w:val="nil"/>
              <w:bottom w:val="single" w:sz="4" w:space="0" w:color="auto"/>
              <w:right w:val="single" w:sz="4" w:space="0" w:color="auto"/>
            </w:tcBorders>
            <w:noWrap/>
            <w:vAlign w:val="bottom"/>
            <w:hideMark/>
          </w:tcPr>
          <w:p w14:paraId="45890FD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62.6</w:t>
            </w:r>
          </w:p>
        </w:tc>
        <w:tc>
          <w:tcPr>
            <w:tcW w:w="816" w:type="dxa"/>
            <w:tcBorders>
              <w:top w:val="nil"/>
              <w:left w:val="nil"/>
              <w:bottom w:val="single" w:sz="4" w:space="0" w:color="auto"/>
              <w:right w:val="single" w:sz="4" w:space="0" w:color="auto"/>
            </w:tcBorders>
            <w:noWrap/>
            <w:vAlign w:val="bottom"/>
            <w:hideMark/>
          </w:tcPr>
          <w:p w14:paraId="36319C4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66.1</w:t>
            </w:r>
          </w:p>
        </w:tc>
        <w:tc>
          <w:tcPr>
            <w:tcW w:w="723" w:type="dxa"/>
            <w:tcBorders>
              <w:top w:val="nil"/>
              <w:left w:val="nil"/>
              <w:bottom w:val="single" w:sz="4" w:space="0" w:color="auto"/>
              <w:right w:val="single" w:sz="4" w:space="0" w:color="auto"/>
            </w:tcBorders>
            <w:noWrap/>
            <w:vAlign w:val="bottom"/>
            <w:hideMark/>
          </w:tcPr>
          <w:p w14:paraId="2844015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65.4</w:t>
            </w:r>
          </w:p>
        </w:tc>
        <w:tc>
          <w:tcPr>
            <w:tcW w:w="750" w:type="dxa"/>
            <w:tcBorders>
              <w:top w:val="nil"/>
              <w:left w:val="nil"/>
              <w:bottom w:val="single" w:sz="4" w:space="0" w:color="auto"/>
              <w:right w:val="single" w:sz="4" w:space="0" w:color="auto"/>
            </w:tcBorders>
            <w:noWrap/>
            <w:vAlign w:val="bottom"/>
            <w:hideMark/>
          </w:tcPr>
          <w:p w14:paraId="53F53CE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w:t>
            </w:r>
          </w:p>
        </w:tc>
        <w:tc>
          <w:tcPr>
            <w:tcW w:w="816" w:type="dxa"/>
            <w:tcBorders>
              <w:top w:val="nil"/>
              <w:left w:val="nil"/>
              <w:bottom w:val="single" w:sz="4" w:space="0" w:color="auto"/>
              <w:right w:val="single" w:sz="4" w:space="0" w:color="auto"/>
            </w:tcBorders>
            <w:noWrap/>
            <w:vAlign w:val="bottom"/>
            <w:hideMark/>
          </w:tcPr>
          <w:p w14:paraId="022D536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0.7</w:t>
            </w:r>
          </w:p>
        </w:tc>
        <w:tc>
          <w:tcPr>
            <w:tcW w:w="723" w:type="dxa"/>
            <w:tcBorders>
              <w:top w:val="nil"/>
              <w:left w:val="nil"/>
              <w:bottom w:val="single" w:sz="4" w:space="0" w:color="auto"/>
              <w:right w:val="single" w:sz="4" w:space="0" w:color="auto"/>
            </w:tcBorders>
            <w:noWrap/>
            <w:vAlign w:val="bottom"/>
            <w:hideMark/>
          </w:tcPr>
          <w:p w14:paraId="1FE4DA0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w:t>
            </w:r>
          </w:p>
        </w:tc>
      </w:tr>
      <w:tr w:rsidR="002A7960" w:rsidRPr="00381786" w14:paraId="2E85D801"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229D2AE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Kerala</w:t>
            </w:r>
          </w:p>
        </w:tc>
        <w:tc>
          <w:tcPr>
            <w:tcW w:w="883" w:type="dxa"/>
            <w:tcBorders>
              <w:top w:val="nil"/>
              <w:left w:val="nil"/>
              <w:bottom w:val="single" w:sz="4" w:space="0" w:color="auto"/>
              <w:right w:val="single" w:sz="4" w:space="0" w:color="auto"/>
            </w:tcBorders>
            <w:noWrap/>
            <w:vAlign w:val="bottom"/>
            <w:hideMark/>
          </w:tcPr>
          <w:p w14:paraId="02844EA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1206</w:t>
            </w:r>
          </w:p>
        </w:tc>
        <w:tc>
          <w:tcPr>
            <w:tcW w:w="750" w:type="dxa"/>
            <w:tcBorders>
              <w:top w:val="nil"/>
              <w:left w:val="nil"/>
              <w:bottom w:val="single" w:sz="4" w:space="0" w:color="auto"/>
              <w:right w:val="single" w:sz="4" w:space="0" w:color="auto"/>
            </w:tcBorders>
            <w:noWrap/>
            <w:vAlign w:val="bottom"/>
            <w:hideMark/>
          </w:tcPr>
          <w:p w14:paraId="28C9B82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12.3</w:t>
            </w:r>
          </w:p>
        </w:tc>
        <w:tc>
          <w:tcPr>
            <w:tcW w:w="816" w:type="dxa"/>
            <w:tcBorders>
              <w:top w:val="nil"/>
              <w:left w:val="nil"/>
              <w:bottom w:val="single" w:sz="4" w:space="0" w:color="auto"/>
              <w:right w:val="single" w:sz="4" w:space="0" w:color="auto"/>
            </w:tcBorders>
            <w:noWrap/>
            <w:vAlign w:val="bottom"/>
            <w:hideMark/>
          </w:tcPr>
          <w:p w14:paraId="5DAB84F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8.3</w:t>
            </w:r>
          </w:p>
        </w:tc>
        <w:tc>
          <w:tcPr>
            <w:tcW w:w="723" w:type="dxa"/>
            <w:tcBorders>
              <w:top w:val="nil"/>
              <w:left w:val="nil"/>
              <w:bottom w:val="single" w:sz="4" w:space="0" w:color="auto"/>
              <w:right w:val="single" w:sz="4" w:space="0" w:color="auto"/>
            </w:tcBorders>
            <w:noWrap/>
            <w:vAlign w:val="bottom"/>
            <w:hideMark/>
          </w:tcPr>
          <w:p w14:paraId="1818064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10.4</w:t>
            </w:r>
          </w:p>
        </w:tc>
        <w:tc>
          <w:tcPr>
            <w:tcW w:w="750" w:type="dxa"/>
            <w:tcBorders>
              <w:top w:val="nil"/>
              <w:left w:val="nil"/>
              <w:bottom w:val="single" w:sz="4" w:space="0" w:color="auto"/>
              <w:right w:val="single" w:sz="4" w:space="0" w:color="auto"/>
            </w:tcBorders>
            <w:noWrap/>
            <w:vAlign w:val="bottom"/>
            <w:hideMark/>
          </w:tcPr>
          <w:p w14:paraId="6CB61E9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65.6</w:t>
            </w:r>
          </w:p>
        </w:tc>
        <w:tc>
          <w:tcPr>
            <w:tcW w:w="816" w:type="dxa"/>
            <w:tcBorders>
              <w:top w:val="nil"/>
              <w:left w:val="nil"/>
              <w:bottom w:val="single" w:sz="4" w:space="0" w:color="auto"/>
              <w:right w:val="single" w:sz="4" w:space="0" w:color="auto"/>
            </w:tcBorders>
            <w:noWrap/>
            <w:vAlign w:val="bottom"/>
            <w:hideMark/>
          </w:tcPr>
          <w:p w14:paraId="21BFB12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70.8</w:t>
            </w:r>
          </w:p>
        </w:tc>
        <w:tc>
          <w:tcPr>
            <w:tcW w:w="723" w:type="dxa"/>
            <w:tcBorders>
              <w:top w:val="nil"/>
              <w:left w:val="nil"/>
              <w:bottom w:val="single" w:sz="4" w:space="0" w:color="auto"/>
              <w:right w:val="single" w:sz="4" w:space="0" w:color="auto"/>
            </w:tcBorders>
            <w:noWrap/>
            <w:vAlign w:val="bottom"/>
            <w:hideMark/>
          </w:tcPr>
          <w:p w14:paraId="51FB6D5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68.1</w:t>
            </w:r>
          </w:p>
        </w:tc>
        <w:tc>
          <w:tcPr>
            <w:tcW w:w="750" w:type="dxa"/>
            <w:tcBorders>
              <w:top w:val="nil"/>
              <w:left w:val="nil"/>
              <w:bottom w:val="single" w:sz="4" w:space="0" w:color="auto"/>
              <w:right w:val="single" w:sz="4" w:space="0" w:color="auto"/>
            </w:tcBorders>
            <w:noWrap/>
            <w:vAlign w:val="bottom"/>
            <w:hideMark/>
          </w:tcPr>
          <w:p w14:paraId="359EBCC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0.8</w:t>
            </w:r>
          </w:p>
        </w:tc>
        <w:tc>
          <w:tcPr>
            <w:tcW w:w="816" w:type="dxa"/>
            <w:tcBorders>
              <w:top w:val="nil"/>
              <w:left w:val="nil"/>
              <w:bottom w:val="single" w:sz="4" w:space="0" w:color="auto"/>
              <w:right w:val="single" w:sz="4" w:space="0" w:color="auto"/>
            </w:tcBorders>
            <w:noWrap/>
            <w:vAlign w:val="bottom"/>
            <w:hideMark/>
          </w:tcPr>
          <w:p w14:paraId="25BE23F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w:t>
            </w:r>
          </w:p>
        </w:tc>
        <w:tc>
          <w:tcPr>
            <w:tcW w:w="723" w:type="dxa"/>
            <w:tcBorders>
              <w:top w:val="nil"/>
              <w:left w:val="nil"/>
              <w:bottom w:val="single" w:sz="4" w:space="0" w:color="auto"/>
              <w:right w:val="single" w:sz="4" w:space="0" w:color="auto"/>
            </w:tcBorders>
            <w:noWrap/>
            <w:vAlign w:val="bottom"/>
            <w:hideMark/>
          </w:tcPr>
          <w:p w14:paraId="0A77BC7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w:t>
            </w:r>
          </w:p>
        </w:tc>
      </w:tr>
      <w:tr w:rsidR="002A7960" w:rsidRPr="00381786" w14:paraId="461D33D7"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FBC6FB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Tamil Nadu</w:t>
            </w:r>
          </w:p>
        </w:tc>
        <w:tc>
          <w:tcPr>
            <w:tcW w:w="883" w:type="dxa"/>
            <w:tcBorders>
              <w:top w:val="nil"/>
              <w:left w:val="nil"/>
              <w:bottom w:val="single" w:sz="4" w:space="0" w:color="auto"/>
              <w:right w:val="single" w:sz="4" w:space="0" w:color="auto"/>
            </w:tcBorders>
            <w:noWrap/>
            <w:vAlign w:val="bottom"/>
            <w:hideMark/>
          </w:tcPr>
          <w:p w14:paraId="5B17632D"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1530</w:t>
            </w:r>
          </w:p>
        </w:tc>
        <w:tc>
          <w:tcPr>
            <w:tcW w:w="750" w:type="dxa"/>
            <w:tcBorders>
              <w:top w:val="nil"/>
              <w:left w:val="nil"/>
              <w:bottom w:val="single" w:sz="4" w:space="0" w:color="auto"/>
              <w:right w:val="single" w:sz="4" w:space="0" w:color="auto"/>
            </w:tcBorders>
            <w:noWrap/>
            <w:vAlign w:val="bottom"/>
            <w:hideMark/>
          </w:tcPr>
          <w:p w14:paraId="2B44940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9.5</w:t>
            </w:r>
          </w:p>
        </w:tc>
        <w:tc>
          <w:tcPr>
            <w:tcW w:w="816" w:type="dxa"/>
            <w:tcBorders>
              <w:top w:val="nil"/>
              <w:left w:val="nil"/>
              <w:bottom w:val="single" w:sz="4" w:space="0" w:color="auto"/>
              <w:right w:val="single" w:sz="4" w:space="0" w:color="auto"/>
            </w:tcBorders>
            <w:noWrap/>
            <w:vAlign w:val="bottom"/>
            <w:hideMark/>
          </w:tcPr>
          <w:p w14:paraId="00F0CDB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6.9</w:t>
            </w:r>
          </w:p>
        </w:tc>
        <w:tc>
          <w:tcPr>
            <w:tcW w:w="723" w:type="dxa"/>
            <w:tcBorders>
              <w:top w:val="nil"/>
              <w:left w:val="nil"/>
              <w:bottom w:val="single" w:sz="4" w:space="0" w:color="auto"/>
              <w:right w:val="single" w:sz="4" w:space="0" w:color="auto"/>
            </w:tcBorders>
            <w:noWrap/>
            <w:vAlign w:val="bottom"/>
            <w:hideMark/>
          </w:tcPr>
          <w:p w14:paraId="31104C75"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8</w:t>
            </w:r>
          </w:p>
        </w:tc>
        <w:tc>
          <w:tcPr>
            <w:tcW w:w="750" w:type="dxa"/>
            <w:tcBorders>
              <w:top w:val="nil"/>
              <w:left w:val="nil"/>
              <w:bottom w:val="single" w:sz="4" w:space="0" w:color="auto"/>
              <w:right w:val="single" w:sz="4" w:space="0" w:color="auto"/>
            </w:tcBorders>
            <w:noWrap/>
            <w:vAlign w:val="bottom"/>
            <w:hideMark/>
          </w:tcPr>
          <w:p w14:paraId="5951E4B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50.5</w:t>
            </w:r>
          </w:p>
        </w:tc>
        <w:tc>
          <w:tcPr>
            <w:tcW w:w="816" w:type="dxa"/>
            <w:tcBorders>
              <w:top w:val="nil"/>
              <w:left w:val="nil"/>
              <w:bottom w:val="single" w:sz="4" w:space="0" w:color="auto"/>
              <w:right w:val="single" w:sz="4" w:space="0" w:color="auto"/>
            </w:tcBorders>
            <w:noWrap/>
            <w:vAlign w:val="bottom"/>
            <w:hideMark/>
          </w:tcPr>
          <w:p w14:paraId="35C03F5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62.1</w:t>
            </w:r>
          </w:p>
        </w:tc>
        <w:tc>
          <w:tcPr>
            <w:tcW w:w="723" w:type="dxa"/>
            <w:tcBorders>
              <w:top w:val="nil"/>
              <w:left w:val="nil"/>
              <w:bottom w:val="single" w:sz="4" w:space="0" w:color="auto"/>
              <w:right w:val="single" w:sz="4" w:space="0" w:color="auto"/>
            </w:tcBorders>
            <w:noWrap/>
            <w:vAlign w:val="bottom"/>
            <w:hideMark/>
          </w:tcPr>
          <w:p w14:paraId="2B4BFD8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57.1</w:t>
            </w:r>
          </w:p>
        </w:tc>
        <w:tc>
          <w:tcPr>
            <w:tcW w:w="750" w:type="dxa"/>
            <w:tcBorders>
              <w:top w:val="nil"/>
              <w:left w:val="nil"/>
              <w:bottom w:val="single" w:sz="4" w:space="0" w:color="auto"/>
              <w:right w:val="single" w:sz="4" w:space="0" w:color="auto"/>
            </w:tcBorders>
            <w:noWrap/>
            <w:vAlign w:val="bottom"/>
            <w:hideMark/>
          </w:tcPr>
          <w:p w14:paraId="1D4ABC2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4.4</w:t>
            </w:r>
          </w:p>
        </w:tc>
        <w:tc>
          <w:tcPr>
            <w:tcW w:w="816" w:type="dxa"/>
            <w:tcBorders>
              <w:top w:val="nil"/>
              <w:left w:val="nil"/>
              <w:bottom w:val="single" w:sz="4" w:space="0" w:color="auto"/>
              <w:right w:val="single" w:sz="4" w:space="0" w:color="auto"/>
            </w:tcBorders>
            <w:noWrap/>
            <w:vAlign w:val="bottom"/>
            <w:hideMark/>
          </w:tcPr>
          <w:p w14:paraId="571FF06A"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2.9</w:t>
            </w:r>
          </w:p>
        </w:tc>
        <w:tc>
          <w:tcPr>
            <w:tcW w:w="723" w:type="dxa"/>
            <w:tcBorders>
              <w:top w:val="nil"/>
              <w:left w:val="nil"/>
              <w:bottom w:val="single" w:sz="4" w:space="0" w:color="auto"/>
              <w:right w:val="single" w:sz="4" w:space="0" w:color="auto"/>
            </w:tcBorders>
            <w:noWrap/>
            <w:vAlign w:val="bottom"/>
            <w:hideMark/>
          </w:tcPr>
          <w:p w14:paraId="7F56F5B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3.5</w:t>
            </w:r>
          </w:p>
        </w:tc>
      </w:tr>
      <w:tr w:rsidR="002A7960" w:rsidRPr="00381786" w14:paraId="541B40D7"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695A882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proofErr w:type="spellStart"/>
            <w:r w:rsidRPr="00381786">
              <w:rPr>
                <w:rFonts w:ascii="Times New Roman" w:eastAsia="Times New Roman" w:hAnsi="Times New Roman" w:cs="Times New Roman"/>
                <w:color w:val="000000"/>
                <w:sz w:val="24"/>
                <w:szCs w:val="24"/>
                <w:lang w:bidi="hi-IN"/>
              </w:rPr>
              <w:t>Puducherry</w:t>
            </w:r>
            <w:proofErr w:type="spellEnd"/>
          </w:p>
        </w:tc>
        <w:tc>
          <w:tcPr>
            <w:tcW w:w="883" w:type="dxa"/>
            <w:tcBorders>
              <w:top w:val="nil"/>
              <w:left w:val="nil"/>
              <w:bottom w:val="single" w:sz="4" w:space="0" w:color="auto"/>
              <w:right w:val="single" w:sz="4" w:space="0" w:color="auto"/>
            </w:tcBorders>
            <w:noWrap/>
            <w:vAlign w:val="bottom"/>
            <w:hideMark/>
          </w:tcPr>
          <w:p w14:paraId="51266A8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638</w:t>
            </w:r>
          </w:p>
        </w:tc>
        <w:tc>
          <w:tcPr>
            <w:tcW w:w="750" w:type="dxa"/>
            <w:tcBorders>
              <w:top w:val="nil"/>
              <w:left w:val="nil"/>
              <w:bottom w:val="single" w:sz="4" w:space="0" w:color="auto"/>
              <w:right w:val="single" w:sz="4" w:space="0" w:color="auto"/>
            </w:tcBorders>
            <w:noWrap/>
            <w:vAlign w:val="bottom"/>
            <w:hideMark/>
          </w:tcPr>
          <w:p w14:paraId="49D2A55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7.9</w:t>
            </w:r>
          </w:p>
        </w:tc>
        <w:tc>
          <w:tcPr>
            <w:tcW w:w="816" w:type="dxa"/>
            <w:tcBorders>
              <w:top w:val="nil"/>
              <w:left w:val="nil"/>
              <w:bottom w:val="single" w:sz="4" w:space="0" w:color="auto"/>
              <w:right w:val="single" w:sz="4" w:space="0" w:color="auto"/>
            </w:tcBorders>
            <w:noWrap/>
            <w:vAlign w:val="bottom"/>
            <w:hideMark/>
          </w:tcPr>
          <w:p w14:paraId="311F1AE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7.2</w:t>
            </w:r>
          </w:p>
        </w:tc>
        <w:tc>
          <w:tcPr>
            <w:tcW w:w="723" w:type="dxa"/>
            <w:tcBorders>
              <w:top w:val="nil"/>
              <w:left w:val="nil"/>
              <w:bottom w:val="single" w:sz="4" w:space="0" w:color="auto"/>
              <w:right w:val="single" w:sz="4" w:space="0" w:color="auto"/>
            </w:tcBorders>
            <w:noWrap/>
            <w:vAlign w:val="bottom"/>
            <w:hideMark/>
          </w:tcPr>
          <w:p w14:paraId="1158179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7.4</w:t>
            </w:r>
          </w:p>
        </w:tc>
        <w:tc>
          <w:tcPr>
            <w:tcW w:w="750" w:type="dxa"/>
            <w:tcBorders>
              <w:top w:val="nil"/>
              <w:left w:val="nil"/>
              <w:bottom w:val="single" w:sz="4" w:space="0" w:color="auto"/>
              <w:right w:val="single" w:sz="4" w:space="0" w:color="auto"/>
            </w:tcBorders>
            <w:noWrap/>
            <w:vAlign w:val="bottom"/>
            <w:hideMark/>
          </w:tcPr>
          <w:p w14:paraId="7B8EB9F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53.7</w:t>
            </w:r>
          </w:p>
        </w:tc>
        <w:tc>
          <w:tcPr>
            <w:tcW w:w="816" w:type="dxa"/>
            <w:tcBorders>
              <w:top w:val="nil"/>
              <w:left w:val="nil"/>
              <w:bottom w:val="single" w:sz="4" w:space="0" w:color="auto"/>
              <w:right w:val="single" w:sz="4" w:space="0" w:color="auto"/>
            </w:tcBorders>
            <w:noWrap/>
            <w:vAlign w:val="bottom"/>
            <w:hideMark/>
          </w:tcPr>
          <w:p w14:paraId="2D82754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68.1</w:t>
            </w:r>
          </w:p>
        </w:tc>
        <w:tc>
          <w:tcPr>
            <w:tcW w:w="723" w:type="dxa"/>
            <w:tcBorders>
              <w:top w:val="nil"/>
              <w:left w:val="nil"/>
              <w:bottom w:val="single" w:sz="4" w:space="0" w:color="auto"/>
              <w:right w:val="single" w:sz="4" w:space="0" w:color="auto"/>
            </w:tcBorders>
            <w:noWrap/>
            <w:vAlign w:val="bottom"/>
            <w:hideMark/>
          </w:tcPr>
          <w:p w14:paraId="00DA189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64.1</w:t>
            </w:r>
          </w:p>
        </w:tc>
        <w:tc>
          <w:tcPr>
            <w:tcW w:w="750" w:type="dxa"/>
            <w:tcBorders>
              <w:top w:val="nil"/>
              <w:left w:val="nil"/>
              <w:bottom w:val="single" w:sz="4" w:space="0" w:color="auto"/>
              <w:right w:val="single" w:sz="4" w:space="0" w:color="auto"/>
            </w:tcBorders>
            <w:noWrap/>
            <w:vAlign w:val="bottom"/>
            <w:hideMark/>
          </w:tcPr>
          <w:p w14:paraId="49ECF1C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w:t>
            </w:r>
          </w:p>
        </w:tc>
        <w:tc>
          <w:tcPr>
            <w:tcW w:w="816" w:type="dxa"/>
            <w:tcBorders>
              <w:top w:val="nil"/>
              <w:left w:val="nil"/>
              <w:bottom w:val="single" w:sz="4" w:space="0" w:color="auto"/>
              <w:right w:val="single" w:sz="4" w:space="0" w:color="auto"/>
            </w:tcBorders>
            <w:noWrap/>
            <w:vAlign w:val="bottom"/>
            <w:hideMark/>
          </w:tcPr>
          <w:p w14:paraId="2204323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0.4</w:t>
            </w:r>
          </w:p>
        </w:tc>
        <w:tc>
          <w:tcPr>
            <w:tcW w:w="723" w:type="dxa"/>
            <w:tcBorders>
              <w:top w:val="nil"/>
              <w:left w:val="nil"/>
              <w:bottom w:val="single" w:sz="4" w:space="0" w:color="auto"/>
              <w:right w:val="single" w:sz="4" w:space="0" w:color="auto"/>
            </w:tcBorders>
            <w:noWrap/>
            <w:vAlign w:val="bottom"/>
            <w:hideMark/>
          </w:tcPr>
          <w:p w14:paraId="1608366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1.4</w:t>
            </w:r>
          </w:p>
        </w:tc>
      </w:tr>
      <w:tr w:rsidR="002A7960" w:rsidRPr="00381786" w14:paraId="389BEDB5"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34935FE2"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Andaman &amp; Nicobar</w:t>
            </w:r>
          </w:p>
        </w:tc>
        <w:tc>
          <w:tcPr>
            <w:tcW w:w="883" w:type="dxa"/>
            <w:tcBorders>
              <w:top w:val="nil"/>
              <w:left w:val="nil"/>
              <w:bottom w:val="single" w:sz="4" w:space="0" w:color="auto"/>
              <w:right w:val="single" w:sz="4" w:space="0" w:color="auto"/>
            </w:tcBorders>
            <w:noWrap/>
            <w:vAlign w:val="bottom"/>
            <w:hideMark/>
          </w:tcPr>
          <w:p w14:paraId="14D22A8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521</w:t>
            </w:r>
          </w:p>
        </w:tc>
        <w:tc>
          <w:tcPr>
            <w:tcW w:w="750" w:type="dxa"/>
            <w:tcBorders>
              <w:top w:val="nil"/>
              <w:left w:val="nil"/>
              <w:bottom w:val="single" w:sz="4" w:space="0" w:color="auto"/>
              <w:right w:val="single" w:sz="4" w:space="0" w:color="auto"/>
            </w:tcBorders>
            <w:noWrap/>
            <w:vAlign w:val="bottom"/>
            <w:hideMark/>
          </w:tcPr>
          <w:p w14:paraId="5DB67D8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22</w:t>
            </w:r>
          </w:p>
        </w:tc>
        <w:tc>
          <w:tcPr>
            <w:tcW w:w="816" w:type="dxa"/>
            <w:tcBorders>
              <w:top w:val="nil"/>
              <w:left w:val="nil"/>
              <w:bottom w:val="single" w:sz="4" w:space="0" w:color="auto"/>
              <w:right w:val="single" w:sz="4" w:space="0" w:color="auto"/>
            </w:tcBorders>
            <w:noWrap/>
            <w:vAlign w:val="bottom"/>
            <w:hideMark/>
          </w:tcPr>
          <w:p w14:paraId="3CFB2B0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20.7</w:t>
            </w:r>
          </w:p>
        </w:tc>
        <w:tc>
          <w:tcPr>
            <w:tcW w:w="723" w:type="dxa"/>
            <w:tcBorders>
              <w:top w:val="nil"/>
              <w:left w:val="nil"/>
              <w:bottom w:val="single" w:sz="4" w:space="0" w:color="auto"/>
              <w:right w:val="single" w:sz="4" w:space="0" w:color="auto"/>
            </w:tcBorders>
            <w:noWrap/>
            <w:vAlign w:val="bottom"/>
            <w:hideMark/>
          </w:tcPr>
          <w:p w14:paraId="0AAF0DE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21.5</w:t>
            </w:r>
          </w:p>
        </w:tc>
        <w:tc>
          <w:tcPr>
            <w:tcW w:w="750" w:type="dxa"/>
            <w:tcBorders>
              <w:top w:val="nil"/>
              <w:left w:val="nil"/>
              <w:bottom w:val="single" w:sz="4" w:space="0" w:color="auto"/>
              <w:right w:val="single" w:sz="4" w:space="0" w:color="auto"/>
            </w:tcBorders>
            <w:noWrap/>
            <w:vAlign w:val="bottom"/>
            <w:hideMark/>
          </w:tcPr>
          <w:p w14:paraId="78B526A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38.7</w:t>
            </w:r>
          </w:p>
        </w:tc>
        <w:tc>
          <w:tcPr>
            <w:tcW w:w="816" w:type="dxa"/>
            <w:tcBorders>
              <w:top w:val="nil"/>
              <w:left w:val="nil"/>
              <w:bottom w:val="single" w:sz="4" w:space="0" w:color="auto"/>
              <w:right w:val="single" w:sz="4" w:space="0" w:color="auto"/>
            </w:tcBorders>
            <w:noWrap/>
            <w:vAlign w:val="bottom"/>
            <w:hideMark/>
          </w:tcPr>
          <w:p w14:paraId="5898459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50.8</w:t>
            </w:r>
          </w:p>
        </w:tc>
        <w:tc>
          <w:tcPr>
            <w:tcW w:w="723" w:type="dxa"/>
            <w:tcBorders>
              <w:top w:val="nil"/>
              <w:left w:val="nil"/>
              <w:bottom w:val="single" w:sz="4" w:space="0" w:color="auto"/>
              <w:right w:val="single" w:sz="4" w:space="0" w:color="auto"/>
            </w:tcBorders>
            <w:noWrap/>
            <w:vAlign w:val="bottom"/>
            <w:hideMark/>
          </w:tcPr>
          <w:p w14:paraId="64B33807"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43.2</w:t>
            </w:r>
          </w:p>
        </w:tc>
        <w:tc>
          <w:tcPr>
            <w:tcW w:w="750" w:type="dxa"/>
            <w:tcBorders>
              <w:top w:val="nil"/>
              <w:left w:val="nil"/>
              <w:bottom w:val="single" w:sz="4" w:space="0" w:color="auto"/>
              <w:right w:val="single" w:sz="4" w:space="0" w:color="auto"/>
            </w:tcBorders>
            <w:noWrap/>
            <w:vAlign w:val="bottom"/>
            <w:hideMark/>
          </w:tcPr>
          <w:p w14:paraId="4A7953E3"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6.4</w:t>
            </w:r>
          </w:p>
        </w:tc>
        <w:tc>
          <w:tcPr>
            <w:tcW w:w="816" w:type="dxa"/>
            <w:tcBorders>
              <w:top w:val="nil"/>
              <w:left w:val="nil"/>
              <w:bottom w:val="single" w:sz="4" w:space="0" w:color="auto"/>
              <w:right w:val="single" w:sz="4" w:space="0" w:color="auto"/>
            </w:tcBorders>
            <w:noWrap/>
            <w:vAlign w:val="bottom"/>
            <w:hideMark/>
          </w:tcPr>
          <w:p w14:paraId="2B940229"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6.2</w:t>
            </w:r>
          </w:p>
        </w:tc>
        <w:tc>
          <w:tcPr>
            <w:tcW w:w="723" w:type="dxa"/>
            <w:tcBorders>
              <w:top w:val="nil"/>
              <w:left w:val="nil"/>
              <w:bottom w:val="single" w:sz="4" w:space="0" w:color="auto"/>
              <w:right w:val="single" w:sz="4" w:space="0" w:color="auto"/>
            </w:tcBorders>
            <w:noWrap/>
            <w:vAlign w:val="bottom"/>
            <w:hideMark/>
          </w:tcPr>
          <w:p w14:paraId="6823987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6.3</w:t>
            </w:r>
          </w:p>
        </w:tc>
      </w:tr>
      <w:tr w:rsidR="002A7960" w:rsidRPr="00381786" w14:paraId="40F669E2"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50FB1D9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proofErr w:type="spellStart"/>
            <w:r w:rsidRPr="00381786">
              <w:rPr>
                <w:rFonts w:ascii="Times New Roman" w:eastAsia="Times New Roman" w:hAnsi="Times New Roman" w:cs="Times New Roman"/>
                <w:color w:val="000000"/>
                <w:sz w:val="24"/>
                <w:szCs w:val="24"/>
                <w:lang w:bidi="hi-IN"/>
              </w:rPr>
              <w:t>Telangana</w:t>
            </w:r>
            <w:proofErr w:type="spellEnd"/>
          </w:p>
        </w:tc>
        <w:tc>
          <w:tcPr>
            <w:tcW w:w="883" w:type="dxa"/>
            <w:tcBorders>
              <w:top w:val="nil"/>
              <w:left w:val="nil"/>
              <w:bottom w:val="single" w:sz="4" w:space="0" w:color="auto"/>
              <w:right w:val="single" w:sz="4" w:space="0" w:color="auto"/>
            </w:tcBorders>
            <w:noWrap/>
            <w:vAlign w:val="bottom"/>
            <w:hideMark/>
          </w:tcPr>
          <w:p w14:paraId="4CABAFE1"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1050</w:t>
            </w:r>
          </w:p>
        </w:tc>
        <w:tc>
          <w:tcPr>
            <w:tcW w:w="750" w:type="dxa"/>
            <w:tcBorders>
              <w:top w:val="nil"/>
              <w:left w:val="nil"/>
              <w:bottom w:val="single" w:sz="4" w:space="0" w:color="auto"/>
              <w:right w:val="single" w:sz="4" w:space="0" w:color="auto"/>
            </w:tcBorders>
            <w:noWrap/>
            <w:vAlign w:val="bottom"/>
            <w:hideMark/>
          </w:tcPr>
          <w:p w14:paraId="71872C24"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10.1</w:t>
            </w:r>
          </w:p>
        </w:tc>
        <w:tc>
          <w:tcPr>
            <w:tcW w:w="816" w:type="dxa"/>
            <w:tcBorders>
              <w:top w:val="nil"/>
              <w:left w:val="nil"/>
              <w:bottom w:val="single" w:sz="4" w:space="0" w:color="auto"/>
              <w:right w:val="single" w:sz="4" w:space="0" w:color="auto"/>
            </w:tcBorders>
            <w:noWrap/>
            <w:vAlign w:val="bottom"/>
            <w:hideMark/>
          </w:tcPr>
          <w:p w14:paraId="69B5666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12.2</w:t>
            </w:r>
          </w:p>
        </w:tc>
        <w:tc>
          <w:tcPr>
            <w:tcW w:w="723" w:type="dxa"/>
            <w:tcBorders>
              <w:top w:val="nil"/>
              <w:left w:val="nil"/>
              <w:bottom w:val="single" w:sz="4" w:space="0" w:color="auto"/>
              <w:right w:val="single" w:sz="4" w:space="0" w:color="auto"/>
            </w:tcBorders>
            <w:noWrap/>
            <w:vAlign w:val="bottom"/>
            <w:hideMark/>
          </w:tcPr>
          <w:p w14:paraId="6F25501B"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10.8</w:t>
            </w:r>
          </w:p>
        </w:tc>
        <w:tc>
          <w:tcPr>
            <w:tcW w:w="750" w:type="dxa"/>
            <w:tcBorders>
              <w:top w:val="nil"/>
              <w:left w:val="nil"/>
              <w:bottom w:val="single" w:sz="4" w:space="0" w:color="auto"/>
              <w:right w:val="single" w:sz="4" w:space="0" w:color="auto"/>
            </w:tcBorders>
            <w:noWrap/>
            <w:vAlign w:val="bottom"/>
            <w:hideMark/>
          </w:tcPr>
          <w:p w14:paraId="057F16D8"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50.7</w:t>
            </w:r>
          </w:p>
        </w:tc>
        <w:tc>
          <w:tcPr>
            <w:tcW w:w="816" w:type="dxa"/>
            <w:tcBorders>
              <w:top w:val="nil"/>
              <w:left w:val="nil"/>
              <w:bottom w:val="single" w:sz="4" w:space="0" w:color="auto"/>
              <w:right w:val="single" w:sz="4" w:space="0" w:color="auto"/>
            </w:tcBorders>
            <w:noWrap/>
            <w:vAlign w:val="bottom"/>
            <w:hideMark/>
          </w:tcPr>
          <w:p w14:paraId="779C19AF"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65.5</w:t>
            </w:r>
          </w:p>
        </w:tc>
        <w:tc>
          <w:tcPr>
            <w:tcW w:w="723" w:type="dxa"/>
            <w:tcBorders>
              <w:top w:val="nil"/>
              <w:left w:val="nil"/>
              <w:bottom w:val="single" w:sz="4" w:space="0" w:color="auto"/>
              <w:right w:val="single" w:sz="4" w:space="0" w:color="auto"/>
            </w:tcBorders>
            <w:noWrap/>
            <w:vAlign w:val="bottom"/>
            <w:hideMark/>
          </w:tcPr>
          <w:p w14:paraId="3A9237C6"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55.3</w:t>
            </w:r>
          </w:p>
        </w:tc>
        <w:tc>
          <w:tcPr>
            <w:tcW w:w="750" w:type="dxa"/>
            <w:tcBorders>
              <w:top w:val="nil"/>
              <w:left w:val="nil"/>
              <w:bottom w:val="single" w:sz="4" w:space="0" w:color="auto"/>
              <w:right w:val="single" w:sz="4" w:space="0" w:color="auto"/>
            </w:tcBorders>
            <w:noWrap/>
            <w:vAlign w:val="bottom"/>
            <w:hideMark/>
          </w:tcPr>
          <w:p w14:paraId="167281AC"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4.6</w:t>
            </w:r>
          </w:p>
        </w:tc>
        <w:tc>
          <w:tcPr>
            <w:tcW w:w="816" w:type="dxa"/>
            <w:tcBorders>
              <w:top w:val="nil"/>
              <w:left w:val="nil"/>
              <w:bottom w:val="single" w:sz="4" w:space="0" w:color="auto"/>
              <w:right w:val="single" w:sz="4" w:space="0" w:color="auto"/>
            </w:tcBorders>
            <w:noWrap/>
            <w:vAlign w:val="bottom"/>
            <w:hideMark/>
          </w:tcPr>
          <w:p w14:paraId="41E555B0"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2.1</w:t>
            </w:r>
          </w:p>
        </w:tc>
        <w:tc>
          <w:tcPr>
            <w:tcW w:w="723" w:type="dxa"/>
            <w:tcBorders>
              <w:top w:val="nil"/>
              <w:left w:val="nil"/>
              <w:bottom w:val="single" w:sz="4" w:space="0" w:color="auto"/>
              <w:right w:val="single" w:sz="4" w:space="0" w:color="auto"/>
            </w:tcBorders>
            <w:noWrap/>
            <w:vAlign w:val="bottom"/>
            <w:hideMark/>
          </w:tcPr>
          <w:p w14:paraId="16150F3E" w14:textId="77777777" w:rsidR="002A7960" w:rsidRPr="00381786" w:rsidRDefault="002A7960" w:rsidP="00BD2233">
            <w:pPr>
              <w:spacing w:after="0" w:line="360" w:lineRule="auto"/>
              <w:jc w:val="both"/>
              <w:rPr>
                <w:rFonts w:ascii="Times New Roman" w:eastAsia="Times New Roman" w:hAnsi="Times New Roman" w:cs="Times New Roman"/>
                <w:color w:val="000000"/>
                <w:sz w:val="24"/>
                <w:szCs w:val="24"/>
                <w:lang w:bidi="hi-IN"/>
              </w:rPr>
            </w:pPr>
            <w:r w:rsidRPr="00381786">
              <w:rPr>
                <w:rFonts w:ascii="Times New Roman" w:eastAsia="Times New Roman" w:hAnsi="Times New Roman" w:cs="Times New Roman"/>
                <w:color w:val="000000"/>
                <w:sz w:val="24"/>
                <w:szCs w:val="24"/>
                <w:lang w:bidi="hi-IN"/>
              </w:rPr>
              <w:t>3.8</w:t>
            </w:r>
          </w:p>
        </w:tc>
      </w:tr>
      <w:tr w:rsidR="002A7960" w:rsidRPr="00381786" w14:paraId="25EE5C1A" w14:textId="77777777" w:rsidTr="00BD2233">
        <w:trPr>
          <w:trHeight w:val="288"/>
          <w:jc w:val="center"/>
        </w:trPr>
        <w:tc>
          <w:tcPr>
            <w:tcW w:w="1578" w:type="dxa"/>
            <w:tcBorders>
              <w:top w:val="nil"/>
              <w:left w:val="single" w:sz="4" w:space="0" w:color="auto"/>
              <w:bottom w:val="single" w:sz="4" w:space="0" w:color="auto"/>
              <w:right w:val="single" w:sz="4" w:space="0" w:color="auto"/>
            </w:tcBorders>
            <w:noWrap/>
            <w:vAlign w:val="bottom"/>
            <w:hideMark/>
          </w:tcPr>
          <w:p w14:paraId="4848CAF5"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Total</w:t>
            </w:r>
          </w:p>
        </w:tc>
        <w:tc>
          <w:tcPr>
            <w:tcW w:w="883" w:type="dxa"/>
            <w:tcBorders>
              <w:top w:val="nil"/>
              <w:left w:val="nil"/>
              <w:bottom w:val="single" w:sz="4" w:space="0" w:color="auto"/>
              <w:right w:val="single" w:sz="4" w:space="0" w:color="auto"/>
            </w:tcBorders>
            <w:noWrap/>
            <w:vAlign w:val="bottom"/>
            <w:hideMark/>
          </w:tcPr>
          <w:p w14:paraId="2B9EFA43"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31347</w:t>
            </w:r>
          </w:p>
        </w:tc>
        <w:tc>
          <w:tcPr>
            <w:tcW w:w="750" w:type="dxa"/>
            <w:tcBorders>
              <w:top w:val="nil"/>
              <w:left w:val="nil"/>
              <w:bottom w:val="single" w:sz="4" w:space="0" w:color="auto"/>
              <w:right w:val="single" w:sz="4" w:space="0" w:color="auto"/>
            </w:tcBorders>
            <w:noWrap/>
            <w:vAlign w:val="bottom"/>
            <w:hideMark/>
          </w:tcPr>
          <w:p w14:paraId="0CF3AD57"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15.5</w:t>
            </w:r>
          </w:p>
        </w:tc>
        <w:tc>
          <w:tcPr>
            <w:tcW w:w="816" w:type="dxa"/>
            <w:tcBorders>
              <w:top w:val="nil"/>
              <w:left w:val="nil"/>
              <w:bottom w:val="single" w:sz="4" w:space="0" w:color="auto"/>
              <w:right w:val="single" w:sz="4" w:space="0" w:color="auto"/>
            </w:tcBorders>
            <w:noWrap/>
            <w:vAlign w:val="bottom"/>
            <w:hideMark/>
          </w:tcPr>
          <w:p w14:paraId="7B4DA3A4"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14.2</w:t>
            </w:r>
          </w:p>
        </w:tc>
        <w:tc>
          <w:tcPr>
            <w:tcW w:w="723" w:type="dxa"/>
            <w:tcBorders>
              <w:top w:val="nil"/>
              <w:left w:val="nil"/>
              <w:bottom w:val="single" w:sz="4" w:space="0" w:color="auto"/>
              <w:right w:val="single" w:sz="4" w:space="0" w:color="auto"/>
            </w:tcBorders>
            <w:noWrap/>
            <w:vAlign w:val="bottom"/>
            <w:hideMark/>
          </w:tcPr>
          <w:p w14:paraId="6C8BBDE4"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15.1</w:t>
            </w:r>
          </w:p>
        </w:tc>
        <w:tc>
          <w:tcPr>
            <w:tcW w:w="750" w:type="dxa"/>
            <w:tcBorders>
              <w:top w:val="nil"/>
              <w:left w:val="nil"/>
              <w:bottom w:val="single" w:sz="4" w:space="0" w:color="auto"/>
              <w:right w:val="single" w:sz="4" w:space="0" w:color="auto"/>
            </w:tcBorders>
            <w:noWrap/>
            <w:vAlign w:val="bottom"/>
            <w:hideMark/>
          </w:tcPr>
          <w:p w14:paraId="4800C2A6"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32.3</w:t>
            </w:r>
          </w:p>
        </w:tc>
        <w:tc>
          <w:tcPr>
            <w:tcW w:w="816" w:type="dxa"/>
            <w:tcBorders>
              <w:top w:val="nil"/>
              <w:left w:val="nil"/>
              <w:bottom w:val="single" w:sz="4" w:space="0" w:color="auto"/>
              <w:right w:val="single" w:sz="4" w:space="0" w:color="auto"/>
            </w:tcBorders>
            <w:noWrap/>
            <w:vAlign w:val="bottom"/>
            <w:hideMark/>
          </w:tcPr>
          <w:p w14:paraId="603826A8"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52.7</w:t>
            </w:r>
          </w:p>
        </w:tc>
        <w:tc>
          <w:tcPr>
            <w:tcW w:w="723" w:type="dxa"/>
            <w:tcBorders>
              <w:top w:val="nil"/>
              <w:left w:val="nil"/>
              <w:bottom w:val="single" w:sz="4" w:space="0" w:color="auto"/>
              <w:right w:val="single" w:sz="4" w:space="0" w:color="auto"/>
            </w:tcBorders>
            <w:noWrap/>
            <w:vAlign w:val="bottom"/>
            <w:hideMark/>
          </w:tcPr>
          <w:p w14:paraId="652FD864"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39.3</w:t>
            </w:r>
          </w:p>
        </w:tc>
        <w:tc>
          <w:tcPr>
            <w:tcW w:w="750" w:type="dxa"/>
            <w:tcBorders>
              <w:top w:val="nil"/>
              <w:left w:val="nil"/>
              <w:bottom w:val="single" w:sz="4" w:space="0" w:color="auto"/>
              <w:right w:val="single" w:sz="4" w:space="0" w:color="auto"/>
            </w:tcBorders>
            <w:noWrap/>
            <w:vAlign w:val="bottom"/>
            <w:hideMark/>
          </w:tcPr>
          <w:p w14:paraId="778D5A9A"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14.7</w:t>
            </w:r>
          </w:p>
        </w:tc>
        <w:tc>
          <w:tcPr>
            <w:tcW w:w="816" w:type="dxa"/>
            <w:tcBorders>
              <w:top w:val="nil"/>
              <w:left w:val="nil"/>
              <w:bottom w:val="single" w:sz="4" w:space="0" w:color="auto"/>
              <w:right w:val="single" w:sz="4" w:space="0" w:color="auto"/>
            </w:tcBorders>
            <w:noWrap/>
            <w:vAlign w:val="bottom"/>
            <w:hideMark/>
          </w:tcPr>
          <w:p w14:paraId="04D9C3D4"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6.3</w:t>
            </w:r>
          </w:p>
        </w:tc>
        <w:tc>
          <w:tcPr>
            <w:tcW w:w="723" w:type="dxa"/>
            <w:tcBorders>
              <w:top w:val="nil"/>
              <w:left w:val="nil"/>
              <w:bottom w:val="single" w:sz="4" w:space="0" w:color="auto"/>
              <w:right w:val="single" w:sz="4" w:space="0" w:color="auto"/>
            </w:tcBorders>
            <w:noWrap/>
            <w:vAlign w:val="bottom"/>
            <w:hideMark/>
          </w:tcPr>
          <w:p w14:paraId="313A557D" w14:textId="77777777" w:rsidR="002A7960" w:rsidRPr="00381786" w:rsidRDefault="002A7960" w:rsidP="00BD2233">
            <w:pPr>
              <w:spacing w:after="0" w:line="360" w:lineRule="auto"/>
              <w:jc w:val="both"/>
              <w:rPr>
                <w:rFonts w:ascii="Times New Roman" w:eastAsia="Times New Roman" w:hAnsi="Times New Roman" w:cs="Times New Roman"/>
                <w:b/>
                <w:bCs/>
                <w:color w:val="000000"/>
                <w:sz w:val="24"/>
                <w:szCs w:val="24"/>
                <w:lang w:bidi="hi-IN"/>
              </w:rPr>
            </w:pPr>
            <w:r w:rsidRPr="00381786">
              <w:rPr>
                <w:rFonts w:ascii="Times New Roman" w:eastAsia="Times New Roman" w:hAnsi="Times New Roman" w:cs="Times New Roman"/>
                <w:b/>
                <w:bCs/>
                <w:color w:val="000000"/>
                <w:sz w:val="24"/>
                <w:szCs w:val="24"/>
                <w:lang w:bidi="hi-IN"/>
              </w:rPr>
              <w:t>11.8</w:t>
            </w:r>
          </w:p>
        </w:tc>
      </w:tr>
    </w:tbl>
    <w:p w14:paraId="4450140E" w14:textId="77777777" w:rsidR="002A7960" w:rsidRPr="00381786" w:rsidRDefault="002A7960" w:rsidP="002A7960">
      <w:pPr>
        <w:pStyle w:val="NoSpacing"/>
        <w:spacing w:line="360" w:lineRule="auto"/>
        <w:jc w:val="both"/>
        <w:rPr>
          <w:rFonts w:ascii="Times New Roman" w:hAnsi="Times New Roman" w:cs="Times New Roman"/>
          <w:bCs/>
        </w:rPr>
      </w:pPr>
      <w:r w:rsidRPr="00381786">
        <w:rPr>
          <w:rFonts w:ascii="Times New Roman" w:hAnsi="Times New Roman" w:cs="Times New Roman"/>
          <w:bCs/>
          <w:vertAlign w:val="superscript"/>
        </w:rPr>
        <w:t xml:space="preserve">1 </w:t>
      </w:r>
      <w:r w:rsidRPr="00381786">
        <w:rPr>
          <w:rFonts w:ascii="Times New Roman" w:hAnsi="Times New Roman" w:cs="Times New Roman"/>
          <w:bCs/>
        </w:rPr>
        <w:t xml:space="preserve">Jammu and Kashmir </w:t>
      </w:r>
    </w:p>
    <w:p w14:paraId="6249FB2A" w14:textId="68B6D0E0" w:rsidR="00F00D6F" w:rsidRPr="00381786" w:rsidRDefault="006544FD" w:rsidP="00086D35">
      <w:pPr>
        <w:pStyle w:val="NoSpacing"/>
        <w:tabs>
          <w:tab w:val="left" w:pos="9270"/>
        </w:tabs>
        <w:spacing w:line="360" w:lineRule="auto"/>
        <w:jc w:val="both"/>
        <w:rPr>
          <w:rFonts w:ascii="Times New Roman" w:hAnsi="Times New Roman" w:cs="Times New Roman"/>
        </w:rPr>
      </w:pPr>
      <w:r w:rsidRPr="00381786">
        <w:rPr>
          <w:rFonts w:ascii="Times New Roman" w:hAnsi="Times New Roman" w:cs="Times New Roman"/>
          <w:bCs/>
        </w:rPr>
        <w:t xml:space="preserve">Figure </w:t>
      </w:r>
      <w:r w:rsidR="00D169D9" w:rsidRPr="00381786">
        <w:rPr>
          <w:rFonts w:ascii="Times New Roman" w:hAnsi="Times New Roman" w:cs="Times New Roman"/>
          <w:bCs/>
        </w:rPr>
        <w:t>3</w:t>
      </w:r>
      <w:r w:rsidRPr="00381786">
        <w:rPr>
          <w:rFonts w:ascii="Times New Roman" w:hAnsi="Times New Roman" w:cs="Times New Roman"/>
          <w:bCs/>
        </w:rPr>
        <w:t>(</w:t>
      </w:r>
      <w:r w:rsidR="00CB0DA2" w:rsidRPr="00381786">
        <w:rPr>
          <w:rFonts w:ascii="Times New Roman" w:hAnsi="Times New Roman" w:cs="Times New Roman"/>
          <w:bCs/>
        </w:rPr>
        <w:t>a</w:t>
      </w:r>
      <w:r w:rsidRPr="00381786">
        <w:rPr>
          <w:rFonts w:ascii="Times New Roman" w:hAnsi="Times New Roman" w:cs="Times New Roman"/>
          <w:bCs/>
        </w:rPr>
        <w:t>), Figure</w:t>
      </w:r>
      <w:r w:rsidR="00CB0DA2" w:rsidRPr="00381786">
        <w:rPr>
          <w:rFonts w:ascii="Times New Roman" w:hAnsi="Times New Roman" w:cs="Times New Roman"/>
          <w:bCs/>
        </w:rPr>
        <w:t xml:space="preserve"> </w:t>
      </w:r>
      <w:r w:rsidR="00D169D9" w:rsidRPr="00381786">
        <w:rPr>
          <w:rFonts w:ascii="Times New Roman" w:hAnsi="Times New Roman" w:cs="Times New Roman"/>
          <w:bCs/>
        </w:rPr>
        <w:t>3</w:t>
      </w:r>
      <w:r w:rsidRPr="00381786">
        <w:rPr>
          <w:rFonts w:ascii="Times New Roman" w:hAnsi="Times New Roman" w:cs="Times New Roman"/>
          <w:bCs/>
        </w:rPr>
        <w:t>(</w:t>
      </w:r>
      <w:r w:rsidR="00CB0DA2" w:rsidRPr="00381786">
        <w:rPr>
          <w:rFonts w:ascii="Times New Roman" w:hAnsi="Times New Roman" w:cs="Times New Roman"/>
          <w:bCs/>
        </w:rPr>
        <w:t>b</w:t>
      </w:r>
      <w:r w:rsidRPr="00381786">
        <w:rPr>
          <w:rFonts w:ascii="Times New Roman" w:hAnsi="Times New Roman" w:cs="Times New Roman"/>
          <w:bCs/>
        </w:rPr>
        <w:t>), and Figure</w:t>
      </w:r>
      <w:r w:rsidR="00CB0DA2" w:rsidRPr="00381786">
        <w:rPr>
          <w:rFonts w:ascii="Times New Roman" w:hAnsi="Times New Roman" w:cs="Times New Roman"/>
          <w:bCs/>
        </w:rPr>
        <w:t xml:space="preserve"> </w:t>
      </w:r>
      <w:r w:rsidR="00D169D9" w:rsidRPr="00381786">
        <w:rPr>
          <w:rFonts w:ascii="Times New Roman" w:hAnsi="Times New Roman" w:cs="Times New Roman"/>
          <w:bCs/>
        </w:rPr>
        <w:t>3</w:t>
      </w:r>
      <w:r w:rsidRPr="00381786">
        <w:rPr>
          <w:rFonts w:ascii="Times New Roman" w:hAnsi="Times New Roman" w:cs="Times New Roman"/>
          <w:bCs/>
        </w:rPr>
        <w:t>(</w:t>
      </w:r>
      <w:r w:rsidR="00C829A9" w:rsidRPr="00381786">
        <w:rPr>
          <w:rFonts w:ascii="Times New Roman" w:hAnsi="Times New Roman" w:cs="Times New Roman"/>
          <w:bCs/>
        </w:rPr>
        <w:t>c</w:t>
      </w:r>
      <w:r w:rsidRPr="00381786">
        <w:rPr>
          <w:rFonts w:ascii="Times New Roman" w:hAnsi="Times New Roman" w:cs="Times New Roman"/>
          <w:bCs/>
        </w:rPr>
        <w:t>)</w:t>
      </w:r>
      <w:r w:rsidR="00C829A9" w:rsidRPr="00381786">
        <w:rPr>
          <w:rFonts w:ascii="Times New Roman" w:hAnsi="Times New Roman" w:cs="Times New Roman"/>
        </w:rPr>
        <w:t xml:space="preserve"> illustrates the spatial distribution of disease prevalence.</w:t>
      </w:r>
    </w:p>
    <w:p w14:paraId="1812672D" w14:textId="77777777" w:rsidR="00C67BA4" w:rsidRPr="00381786" w:rsidRDefault="000B27A2" w:rsidP="00086D35">
      <w:pPr>
        <w:pStyle w:val="NoSpacing"/>
        <w:spacing w:line="360" w:lineRule="auto"/>
        <w:jc w:val="both"/>
        <w:rPr>
          <w:rFonts w:ascii="Times New Roman" w:hAnsi="Times New Roman" w:cs="Times New Roman"/>
        </w:rPr>
      </w:pPr>
      <w:r w:rsidRPr="00381786">
        <w:rPr>
          <w:rFonts w:ascii="Times New Roman" w:hAnsi="Times New Roman" w:cs="Times New Roman"/>
        </w:rPr>
        <w:t xml:space="preserve">For ONCD&amp;OCD (overall prevalence 15.1%), the rural prevalence was slightly higher (15.5%) than urban (14.2%). </w:t>
      </w:r>
    </w:p>
    <w:p w14:paraId="1996C1FF" w14:textId="78786386" w:rsidR="002234DC" w:rsidRPr="00381786" w:rsidRDefault="002234DC" w:rsidP="00086D35">
      <w:pPr>
        <w:pStyle w:val="NoSpacing"/>
        <w:spacing w:line="360" w:lineRule="auto"/>
        <w:jc w:val="both"/>
        <w:rPr>
          <w:rFonts w:ascii="Times New Roman" w:hAnsi="Times New Roman" w:cs="Times New Roman"/>
        </w:rPr>
      </w:pPr>
      <w:r w:rsidRPr="00381786">
        <w:rPr>
          <w:rFonts w:ascii="Times New Roman" w:hAnsi="Times New Roman" w:cs="Times New Roman"/>
          <w:noProof/>
        </w:rPr>
        <w:drawing>
          <wp:anchor distT="0" distB="0" distL="114300" distR="114300" simplePos="0" relativeHeight="251670528" behindDoc="0" locked="0" layoutInCell="1" allowOverlap="1" wp14:anchorId="3D8EF57B" wp14:editId="306C3571">
            <wp:simplePos x="0" y="0"/>
            <wp:positionH relativeFrom="column">
              <wp:posOffset>361950</wp:posOffset>
            </wp:positionH>
            <wp:positionV relativeFrom="paragraph">
              <wp:posOffset>158750</wp:posOffset>
            </wp:positionV>
            <wp:extent cx="5327015" cy="3235960"/>
            <wp:effectExtent l="0" t="0" r="6985"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8333" t="17978" r="2051" b="19744"/>
                    <a:stretch/>
                  </pic:blipFill>
                  <pic:spPr bwMode="auto">
                    <a:xfrm>
                      <a:off x="0" y="0"/>
                      <a:ext cx="5327015" cy="3235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9D02B1" w14:textId="77777777" w:rsidR="002234DC" w:rsidRPr="00381786" w:rsidRDefault="002234DC" w:rsidP="00086D35">
      <w:pPr>
        <w:pStyle w:val="NoSpacing"/>
        <w:spacing w:line="360" w:lineRule="auto"/>
        <w:jc w:val="both"/>
        <w:rPr>
          <w:rFonts w:ascii="Times New Roman" w:hAnsi="Times New Roman" w:cs="Times New Roman"/>
        </w:rPr>
      </w:pPr>
    </w:p>
    <w:p w14:paraId="6D7D1CD6" w14:textId="77777777" w:rsidR="002234DC" w:rsidRPr="00381786" w:rsidRDefault="002234DC" w:rsidP="00086D35">
      <w:pPr>
        <w:pStyle w:val="NoSpacing"/>
        <w:spacing w:line="360" w:lineRule="auto"/>
        <w:jc w:val="both"/>
        <w:rPr>
          <w:rFonts w:ascii="Times New Roman" w:hAnsi="Times New Roman" w:cs="Times New Roman"/>
        </w:rPr>
      </w:pPr>
    </w:p>
    <w:p w14:paraId="73C82417" w14:textId="77777777" w:rsidR="002234DC" w:rsidRPr="00381786" w:rsidRDefault="002234DC" w:rsidP="00086D35">
      <w:pPr>
        <w:pStyle w:val="NoSpacing"/>
        <w:spacing w:line="360" w:lineRule="auto"/>
        <w:jc w:val="both"/>
        <w:rPr>
          <w:rFonts w:ascii="Times New Roman" w:hAnsi="Times New Roman" w:cs="Times New Roman"/>
        </w:rPr>
      </w:pPr>
    </w:p>
    <w:p w14:paraId="601D8B34" w14:textId="77777777" w:rsidR="002234DC" w:rsidRPr="00381786" w:rsidRDefault="002234DC" w:rsidP="00086D35">
      <w:pPr>
        <w:pStyle w:val="NoSpacing"/>
        <w:spacing w:line="360" w:lineRule="auto"/>
        <w:jc w:val="both"/>
        <w:rPr>
          <w:rFonts w:ascii="Times New Roman" w:hAnsi="Times New Roman" w:cs="Times New Roman"/>
        </w:rPr>
      </w:pPr>
    </w:p>
    <w:p w14:paraId="687225AD" w14:textId="77777777" w:rsidR="002234DC" w:rsidRPr="00381786" w:rsidRDefault="002234DC" w:rsidP="00086D35">
      <w:pPr>
        <w:pStyle w:val="NoSpacing"/>
        <w:spacing w:line="360" w:lineRule="auto"/>
        <w:jc w:val="both"/>
        <w:rPr>
          <w:rFonts w:ascii="Times New Roman" w:hAnsi="Times New Roman" w:cs="Times New Roman"/>
        </w:rPr>
      </w:pPr>
    </w:p>
    <w:p w14:paraId="7E1C4B3D" w14:textId="77777777" w:rsidR="002234DC" w:rsidRPr="00381786" w:rsidRDefault="002234DC" w:rsidP="00086D35">
      <w:pPr>
        <w:pStyle w:val="NoSpacing"/>
        <w:spacing w:line="360" w:lineRule="auto"/>
        <w:jc w:val="both"/>
        <w:rPr>
          <w:rFonts w:ascii="Times New Roman" w:hAnsi="Times New Roman" w:cs="Times New Roman"/>
        </w:rPr>
      </w:pPr>
    </w:p>
    <w:p w14:paraId="1E7F6ADC" w14:textId="77777777" w:rsidR="002234DC" w:rsidRPr="00381786" w:rsidRDefault="002234DC" w:rsidP="00086D35">
      <w:pPr>
        <w:pStyle w:val="NoSpacing"/>
        <w:spacing w:line="360" w:lineRule="auto"/>
        <w:jc w:val="both"/>
        <w:rPr>
          <w:rFonts w:ascii="Times New Roman" w:hAnsi="Times New Roman" w:cs="Times New Roman"/>
        </w:rPr>
      </w:pPr>
    </w:p>
    <w:p w14:paraId="19332B9A" w14:textId="77777777" w:rsidR="002234DC" w:rsidRPr="00381786" w:rsidRDefault="002234DC" w:rsidP="00086D35">
      <w:pPr>
        <w:pStyle w:val="NoSpacing"/>
        <w:spacing w:line="360" w:lineRule="auto"/>
        <w:jc w:val="both"/>
        <w:rPr>
          <w:rFonts w:ascii="Times New Roman" w:hAnsi="Times New Roman" w:cs="Times New Roman"/>
        </w:rPr>
      </w:pPr>
    </w:p>
    <w:p w14:paraId="5B1C76D4" w14:textId="77777777" w:rsidR="002234DC" w:rsidRPr="00381786" w:rsidRDefault="002234DC" w:rsidP="00086D35">
      <w:pPr>
        <w:pStyle w:val="NoSpacing"/>
        <w:spacing w:line="360" w:lineRule="auto"/>
        <w:jc w:val="both"/>
        <w:rPr>
          <w:rFonts w:ascii="Times New Roman" w:hAnsi="Times New Roman" w:cs="Times New Roman"/>
        </w:rPr>
      </w:pPr>
    </w:p>
    <w:p w14:paraId="6E079295" w14:textId="77777777" w:rsidR="002234DC" w:rsidRPr="00381786" w:rsidRDefault="002234DC" w:rsidP="00086D35">
      <w:pPr>
        <w:pStyle w:val="NoSpacing"/>
        <w:spacing w:line="360" w:lineRule="auto"/>
        <w:jc w:val="both"/>
        <w:rPr>
          <w:rFonts w:ascii="Times New Roman" w:hAnsi="Times New Roman" w:cs="Times New Roman"/>
        </w:rPr>
      </w:pPr>
    </w:p>
    <w:p w14:paraId="338F49BA" w14:textId="77777777" w:rsidR="002234DC" w:rsidRPr="00381786" w:rsidRDefault="002234DC" w:rsidP="00086D35">
      <w:pPr>
        <w:pStyle w:val="NoSpacing"/>
        <w:spacing w:line="360" w:lineRule="auto"/>
        <w:jc w:val="both"/>
        <w:rPr>
          <w:rFonts w:ascii="Times New Roman" w:hAnsi="Times New Roman" w:cs="Times New Roman"/>
        </w:rPr>
      </w:pPr>
    </w:p>
    <w:p w14:paraId="1B0C381E" w14:textId="77777777" w:rsidR="002234DC" w:rsidRPr="00381786" w:rsidRDefault="002234DC" w:rsidP="00086D35">
      <w:pPr>
        <w:pStyle w:val="NoSpacing"/>
        <w:spacing w:line="360" w:lineRule="auto"/>
        <w:jc w:val="both"/>
        <w:rPr>
          <w:rFonts w:ascii="Times New Roman" w:hAnsi="Times New Roman" w:cs="Times New Roman"/>
        </w:rPr>
      </w:pPr>
    </w:p>
    <w:p w14:paraId="0C4AC64D" w14:textId="77777777" w:rsidR="002234DC" w:rsidRPr="00381786" w:rsidRDefault="002234DC" w:rsidP="00086D35">
      <w:pPr>
        <w:pStyle w:val="NoSpacing"/>
        <w:spacing w:line="360" w:lineRule="auto"/>
        <w:jc w:val="both"/>
        <w:rPr>
          <w:rFonts w:ascii="Times New Roman" w:eastAsiaTheme="majorEastAsia" w:hAnsi="Times New Roman" w:cs="Times New Roman"/>
          <w:b/>
          <w:bCs/>
        </w:rPr>
      </w:pPr>
      <w:r w:rsidRPr="00381786">
        <w:rPr>
          <w:rFonts w:ascii="Times New Roman" w:eastAsiaTheme="majorEastAsia" w:hAnsi="Times New Roman" w:cs="Times New Roman"/>
          <w:b/>
          <w:bCs/>
        </w:rPr>
        <w:t xml:space="preserve">               </w:t>
      </w:r>
    </w:p>
    <w:p w14:paraId="3ED19EAE" w14:textId="03A6AFE0" w:rsidR="002234DC" w:rsidRPr="00381786" w:rsidRDefault="002234DC" w:rsidP="00086D35">
      <w:pPr>
        <w:pStyle w:val="NoSpacing"/>
        <w:spacing w:line="360" w:lineRule="auto"/>
        <w:jc w:val="both"/>
        <w:rPr>
          <w:rFonts w:ascii="Times New Roman" w:eastAsiaTheme="majorEastAsia" w:hAnsi="Times New Roman" w:cs="Times New Roman"/>
          <w:bCs/>
        </w:rPr>
      </w:pPr>
      <w:r w:rsidRPr="00381786">
        <w:rPr>
          <w:rFonts w:ascii="Times New Roman" w:eastAsiaTheme="majorEastAsia" w:hAnsi="Times New Roman" w:cs="Times New Roman"/>
          <w:b/>
          <w:bCs/>
        </w:rPr>
        <w:t xml:space="preserve">                   Fig. 3a </w:t>
      </w:r>
      <w:r w:rsidRPr="00381786">
        <w:rPr>
          <w:rFonts w:ascii="Times New Roman" w:eastAsiaTheme="majorEastAsia" w:hAnsi="Times New Roman" w:cs="Times New Roman"/>
          <w:bCs/>
        </w:rPr>
        <w:t>State/ UTs wise prevalence of ONCD&amp;OCD in India</w:t>
      </w:r>
    </w:p>
    <w:p w14:paraId="031708B5" w14:textId="77777777" w:rsidR="002234DC" w:rsidRPr="00381786" w:rsidRDefault="002234DC" w:rsidP="00086D35">
      <w:pPr>
        <w:pStyle w:val="NoSpacing"/>
        <w:spacing w:line="360" w:lineRule="auto"/>
        <w:jc w:val="both"/>
        <w:rPr>
          <w:rFonts w:ascii="Times New Roman" w:eastAsiaTheme="majorEastAsia" w:hAnsi="Times New Roman" w:cs="Times New Roman"/>
          <w:bCs/>
        </w:rPr>
      </w:pPr>
    </w:p>
    <w:p w14:paraId="6903011B" w14:textId="77777777" w:rsidR="002234DC" w:rsidRPr="00381786" w:rsidRDefault="002234DC" w:rsidP="00086D35">
      <w:pPr>
        <w:pStyle w:val="NoSpacing"/>
        <w:spacing w:line="360" w:lineRule="auto"/>
        <w:jc w:val="both"/>
        <w:rPr>
          <w:rFonts w:ascii="Times New Roman" w:eastAsiaTheme="majorEastAsia" w:hAnsi="Times New Roman" w:cs="Times New Roman"/>
          <w:bCs/>
        </w:rPr>
      </w:pPr>
    </w:p>
    <w:p w14:paraId="334E693D" w14:textId="77777777" w:rsidR="002234DC" w:rsidRPr="00381786" w:rsidRDefault="002234DC" w:rsidP="00086D35">
      <w:pPr>
        <w:pStyle w:val="NoSpacing"/>
        <w:spacing w:line="360" w:lineRule="auto"/>
        <w:jc w:val="both"/>
        <w:rPr>
          <w:rFonts w:ascii="Times New Roman" w:eastAsiaTheme="majorEastAsia" w:hAnsi="Times New Roman" w:cs="Times New Roman"/>
          <w:bCs/>
        </w:rPr>
      </w:pPr>
    </w:p>
    <w:p w14:paraId="6228095F" w14:textId="1AAB16B5" w:rsidR="002234DC" w:rsidRPr="00381786" w:rsidRDefault="002234DC" w:rsidP="00086D35">
      <w:pPr>
        <w:pStyle w:val="NoSpacing"/>
        <w:spacing w:line="360" w:lineRule="auto"/>
        <w:jc w:val="both"/>
        <w:rPr>
          <w:rFonts w:ascii="Times New Roman" w:eastAsiaTheme="majorEastAsia" w:hAnsi="Times New Roman" w:cs="Times New Roman"/>
          <w:bCs/>
        </w:rPr>
      </w:pPr>
      <w:r w:rsidRPr="00381786">
        <w:rPr>
          <w:rFonts w:ascii="Times New Roman" w:hAnsi="Times New Roman" w:cs="Times New Roman"/>
          <w:noProof/>
        </w:rPr>
        <w:lastRenderedPageBreak/>
        <w:drawing>
          <wp:inline distT="0" distB="0" distL="0" distR="0" wp14:anchorId="3092EDDB" wp14:editId="0FBBA4B5">
            <wp:extent cx="4929505" cy="325755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9231" t="19775" r="1924" b="21413"/>
                    <a:stretch/>
                  </pic:blipFill>
                  <pic:spPr bwMode="auto">
                    <a:xfrm>
                      <a:off x="0" y="0"/>
                      <a:ext cx="4929505" cy="3257550"/>
                    </a:xfrm>
                    <a:prstGeom prst="rect">
                      <a:avLst/>
                    </a:prstGeom>
                    <a:ln>
                      <a:noFill/>
                    </a:ln>
                    <a:extLst>
                      <a:ext uri="{53640926-AAD7-44D8-BBD7-CCE9431645EC}">
                        <a14:shadowObscured xmlns:a14="http://schemas.microsoft.com/office/drawing/2010/main"/>
                      </a:ext>
                    </a:extLst>
                  </pic:spPr>
                </pic:pic>
              </a:graphicData>
            </a:graphic>
          </wp:inline>
        </w:drawing>
      </w:r>
    </w:p>
    <w:p w14:paraId="34FC74E7" w14:textId="39BC4AE4" w:rsidR="002234DC" w:rsidRPr="00381786" w:rsidRDefault="002234DC" w:rsidP="00086D35">
      <w:pPr>
        <w:pStyle w:val="NoSpacing"/>
        <w:spacing w:line="360" w:lineRule="auto"/>
        <w:jc w:val="both"/>
        <w:rPr>
          <w:rFonts w:ascii="Times New Roman" w:eastAsiaTheme="majorEastAsia" w:hAnsi="Times New Roman" w:cs="Times New Roman"/>
          <w:bCs/>
        </w:rPr>
      </w:pPr>
      <w:r w:rsidRPr="00381786">
        <w:rPr>
          <w:rStyle w:val="Strong"/>
          <w:rFonts w:ascii="Times New Roman" w:eastAsiaTheme="majorEastAsia" w:hAnsi="Times New Roman" w:cs="Times New Roman"/>
        </w:rPr>
        <w:t xml:space="preserve">        Fig. 3b </w:t>
      </w:r>
      <w:r w:rsidRPr="00381786">
        <w:rPr>
          <w:rFonts w:ascii="Times New Roman" w:eastAsiaTheme="majorEastAsia" w:hAnsi="Times New Roman" w:cs="Times New Roman"/>
          <w:bCs/>
        </w:rPr>
        <w:t>State/ UTs wise prevalence of ONCD in India</w:t>
      </w:r>
    </w:p>
    <w:p w14:paraId="541D9144" w14:textId="77777777" w:rsidR="002234DC" w:rsidRPr="00381786" w:rsidRDefault="002234DC" w:rsidP="00086D35">
      <w:pPr>
        <w:pStyle w:val="NoSpacing"/>
        <w:spacing w:line="360" w:lineRule="auto"/>
        <w:jc w:val="both"/>
        <w:rPr>
          <w:rFonts w:ascii="Times New Roman" w:eastAsiaTheme="majorEastAsia" w:hAnsi="Times New Roman" w:cs="Times New Roman"/>
          <w:bCs/>
        </w:rPr>
      </w:pPr>
    </w:p>
    <w:p w14:paraId="0D5AC542" w14:textId="15A3E2BA" w:rsidR="002234DC" w:rsidRPr="00381786" w:rsidRDefault="002234DC" w:rsidP="00086D35">
      <w:pPr>
        <w:pStyle w:val="NoSpacing"/>
        <w:spacing w:line="360" w:lineRule="auto"/>
        <w:jc w:val="both"/>
        <w:rPr>
          <w:rFonts w:ascii="Times New Roman" w:eastAsiaTheme="majorEastAsia" w:hAnsi="Times New Roman" w:cs="Times New Roman"/>
          <w:bCs/>
        </w:rPr>
      </w:pPr>
      <w:r w:rsidRPr="00381786">
        <w:rPr>
          <w:rFonts w:ascii="Times New Roman" w:hAnsi="Times New Roman" w:cs="Times New Roman"/>
          <w:noProof/>
        </w:rPr>
        <w:drawing>
          <wp:inline distT="0" distB="0" distL="0" distR="0" wp14:anchorId="4B3DC762" wp14:editId="1C16D993">
            <wp:extent cx="5048885" cy="34550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8589" t="18747" r="2051" b="19999"/>
                    <a:stretch/>
                  </pic:blipFill>
                  <pic:spPr bwMode="auto">
                    <a:xfrm>
                      <a:off x="0" y="0"/>
                      <a:ext cx="5048885" cy="3455035"/>
                    </a:xfrm>
                    <a:prstGeom prst="rect">
                      <a:avLst/>
                    </a:prstGeom>
                    <a:ln>
                      <a:noFill/>
                    </a:ln>
                    <a:extLst>
                      <a:ext uri="{53640926-AAD7-44D8-BBD7-CCE9431645EC}">
                        <a14:shadowObscured xmlns:a14="http://schemas.microsoft.com/office/drawing/2010/main"/>
                      </a:ext>
                    </a:extLst>
                  </pic:spPr>
                </pic:pic>
              </a:graphicData>
            </a:graphic>
          </wp:inline>
        </w:drawing>
      </w:r>
    </w:p>
    <w:p w14:paraId="25B5C892" w14:textId="0A65EA68" w:rsidR="002234DC" w:rsidRPr="00381786" w:rsidRDefault="002234DC" w:rsidP="00086D35">
      <w:pPr>
        <w:pStyle w:val="NoSpacing"/>
        <w:spacing w:line="360" w:lineRule="auto"/>
        <w:jc w:val="both"/>
        <w:rPr>
          <w:rFonts w:ascii="Times New Roman" w:eastAsiaTheme="majorEastAsia" w:hAnsi="Times New Roman" w:cs="Times New Roman"/>
          <w:bCs/>
        </w:rPr>
      </w:pPr>
      <w:r w:rsidRPr="00381786">
        <w:rPr>
          <w:rStyle w:val="Strong"/>
          <w:rFonts w:ascii="Times New Roman" w:eastAsiaTheme="majorEastAsia" w:hAnsi="Times New Roman" w:cs="Times New Roman"/>
        </w:rPr>
        <w:t xml:space="preserve">Fig. 3c </w:t>
      </w:r>
      <w:r w:rsidRPr="00381786">
        <w:rPr>
          <w:rFonts w:ascii="Times New Roman" w:eastAsiaTheme="majorEastAsia" w:hAnsi="Times New Roman" w:cs="Times New Roman"/>
          <w:bCs/>
        </w:rPr>
        <w:t>State/ UTs wise prevalence of OCD in India</w:t>
      </w:r>
    </w:p>
    <w:p w14:paraId="02DE5680" w14:textId="77777777" w:rsidR="002234DC" w:rsidRPr="00381786" w:rsidRDefault="002234DC" w:rsidP="00086D35">
      <w:pPr>
        <w:pStyle w:val="NoSpacing"/>
        <w:spacing w:line="360" w:lineRule="auto"/>
        <w:jc w:val="both"/>
        <w:rPr>
          <w:rFonts w:ascii="Times New Roman" w:hAnsi="Times New Roman" w:cs="Times New Roman"/>
        </w:rPr>
      </w:pPr>
    </w:p>
    <w:p w14:paraId="0C5AAAE3" w14:textId="0D5A82A3" w:rsidR="002234DC" w:rsidRPr="00381786" w:rsidRDefault="000B27A2" w:rsidP="00086D35">
      <w:pPr>
        <w:pStyle w:val="NoSpacing"/>
        <w:spacing w:line="360" w:lineRule="auto"/>
        <w:jc w:val="both"/>
        <w:rPr>
          <w:rFonts w:ascii="Times New Roman" w:hAnsi="Times New Roman" w:cs="Times New Roman"/>
        </w:rPr>
      </w:pPr>
      <w:r w:rsidRPr="00381786">
        <w:rPr>
          <w:rFonts w:ascii="Times New Roman" w:hAnsi="Times New Roman" w:cs="Times New Roman"/>
        </w:rPr>
        <w:t>The highest prevalence was reported in Haryana (29%), followed by Rajasthan (28%), Delhi (24%), and Himachal Pradesh (23%). Nagaland reported the lowest (2%). In 15 states/UTs, the prevalence of ONCD&amp;OCD exceeded the national average.</w:t>
      </w:r>
      <w:r w:rsidR="00CB71DA" w:rsidRPr="00381786">
        <w:rPr>
          <w:rFonts w:ascii="Times New Roman" w:hAnsi="Times New Roman" w:cs="Times New Roman"/>
        </w:rPr>
        <w:t xml:space="preserve"> </w:t>
      </w:r>
      <w:r w:rsidRPr="00381786">
        <w:rPr>
          <w:rFonts w:ascii="Times New Roman" w:hAnsi="Times New Roman" w:cs="Times New Roman"/>
        </w:rPr>
        <w:t xml:space="preserve">For ONCD (overall prevalence 39.3%), rural prevalence was 32.3%, while urban prevalence was substantially higher at 52.7%. </w:t>
      </w:r>
      <w:r w:rsidRPr="00381786">
        <w:rPr>
          <w:rFonts w:ascii="Times New Roman" w:hAnsi="Times New Roman" w:cs="Times New Roman"/>
        </w:rPr>
        <w:lastRenderedPageBreak/>
        <w:t xml:space="preserve">Kerala (68.1%), Lakshadweep (65.4%), Goa (65.1%), and </w:t>
      </w:r>
      <w:proofErr w:type="spellStart"/>
      <w:r w:rsidRPr="00381786">
        <w:rPr>
          <w:rFonts w:ascii="Times New Roman" w:hAnsi="Times New Roman" w:cs="Times New Roman"/>
        </w:rPr>
        <w:t>Puducherry</w:t>
      </w:r>
      <w:proofErr w:type="spellEnd"/>
      <w:r w:rsidRPr="00381786">
        <w:rPr>
          <w:rFonts w:ascii="Times New Roman" w:hAnsi="Times New Roman" w:cs="Times New Roman"/>
        </w:rPr>
        <w:t xml:space="preserve"> (64.1%) reported the highest ONCD rates. The lowest was in Chhattisgarh (16%). ONCD prevalence was higher than the nat</w:t>
      </w:r>
      <w:r w:rsidR="00CB71DA" w:rsidRPr="00381786">
        <w:rPr>
          <w:rFonts w:ascii="Times New Roman" w:hAnsi="Times New Roman" w:cs="Times New Roman"/>
        </w:rPr>
        <w:t xml:space="preserve">ional average in 17 states/UTs. </w:t>
      </w:r>
      <w:r w:rsidRPr="00381786">
        <w:rPr>
          <w:rFonts w:ascii="Times New Roman" w:hAnsi="Times New Roman" w:cs="Times New Roman"/>
        </w:rPr>
        <w:t>For OCD (overall prevalence 11.8%), rural prevalence (14.7%) was more than double the urban (6.3%). Chhattisgarh (33.2%), Dadra &amp; Nagar Haveli (30.1%), Madhya Pradesh (26.8%), and Uttar Pradesh (22.9%) reported the highest OCD rates, while L</w:t>
      </w:r>
      <w:r w:rsidR="002234DC" w:rsidRPr="00381786">
        <w:rPr>
          <w:rFonts w:ascii="Times New Roman" w:hAnsi="Times New Roman" w:cs="Times New Roman"/>
        </w:rPr>
        <w:t xml:space="preserve">akshadweep had the lowest (1%). </w:t>
      </w:r>
      <w:r w:rsidRPr="00381786">
        <w:rPr>
          <w:rFonts w:ascii="Times New Roman" w:hAnsi="Times New Roman" w:cs="Times New Roman"/>
        </w:rPr>
        <w:t>Spatial patterns reveal regional clustering. ONCD was most prevalent in coastal states, OCD in central Indian states with lower human development indices, and ONCD&amp;OCD in northwestern regions. These patterns underscore the influence of regional, socioeconomic, and environmental factors in disease burden.</w:t>
      </w:r>
    </w:p>
    <w:p w14:paraId="4B99D60D" w14:textId="77777777" w:rsidR="00C67BA4" w:rsidRPr="00381786" w:rsidRDefault="006544FD" w:rsidP="00086D35">
      <w:pPr>
        <w:pStyle w:val="NoSpacing"/>
        <w:spacing w:line="360" w:lineRule="auto"/>
        <w:jc w:val="both"/>
        <w:rPr>
          <w:rFonts w:ascii="Times New Roman" w:hAnsi="Times New Roman" w:cs="Times New Roman"/>
        </w:rPr>
      </w:pPr>
      <w:r w:rsidRPr="00381786">
        <w:rPr>
          <w:rStyle w:val="Strong"/>
          <w:rFonts w:ascii="Times New Roman" w:eastAsiaTheme="majorEastAsia" w:hAnsi="Times New Roman" w:cs="Times New Roman"/>
          <w:b w:val="0"/>
        </w:rPr>
        <w:t>Table 3</w:t>
      </w:r>
      <w:r w:rsidR="00606890" w:rsidRPr="00381786">
        <w:rPr>
          <w:rFonts w:ascii="Times New Roman" w:hAnsi="Times New Roman" w:cs="Times New Roman"/>
        </w:rPr>
        <w:t xml:space="preserve"> presents the distribution and association of disease burden by selected socio-demographic, anthropometric, and socio-economic variab</w:t>
      </w:r>
      <w:r w:rsidR="004608B0" w:rsidRPr="00381786">
        <w:rPr>
          <w:rFonts w:ascii="Times New Roman" w:hAnsi="Times New Roman" w:cs="Times New Roman"/>
        </w:rPr>
        <w:t xml:space="preserve">les for 31,347 eligible elderly </w:t>
      </w:r>
      <w:r w:rsidR="00606890" w:rsidRPr="00381786">
        <w:rPr>
          <w:rFonts w:ascii="Times New Roman" w:hAnsi="Times New Roman" w:cs="Times New Roman"/>
        </w:rPr>
        <w:t>participants. A significant association was observed by chi-square tests at the 5% level.</w:t>
      </w:r>
    </w:p>
    <w:p w14:paraId="1CD5AD9B" w14:textId="77777777" w:rsidR="002234DC" w:rsidRPr="00381786" w:rsidRDefault="002234DC" w:rsidP="002234DC">
      <w:pPr>
        <w:pStyle w:val="NoSpacing"/>
        <w:spacing w:line="360" w:lineRule="auto"/>
        <w:jc w:val="both"/>
        <w:rPr>
          <w:rFonts w:ascii="Times New Roman" w:hAnsi="Times New Roman" w:cs="Times New Roman"/>
          <w:bCs/>
        </w:rPr>
      </w:pPr>
      <w:proofErr w:type="gramStart"/>
      <w:r w:rsidRPr="00381786">
        <w:rPr>
          <w:rFonts w:ascii="Times New Roman" w:hAnsi="Times New Roman" w:cs="Times New Roman"/>
          <w:b/>
          <w:bCs/>
        </w:rPr>
        <w:t>Table 3.</w:t>
      </w:r>
      <w:proofErr w:type="gramEnd"/>
      <w:r w:rsidRPr="00381786">
        <w:rPr>
          <w:rFonts w:ascii="Times New Roman" w:hAnsi="Times New Roman" w:cs="Times New Roman"/>
          <w:b/>
          <w:bCs/>
        </w:rPr>
        <w:t xml:space="preserve">  </w:t>
      </w:r>
      <w:proofErr w:type="gramStart"/>
      <w:r w:rsidRPr="00381786">
        <w:rPr>
          <w:rFonts w:ascii="Times New Roman" w:hAnsi="Times New Roman" w:cs="Times New Roman"/>
          <w:bCs/>
        </w:rPr>
        <w:t>Prevalence of disease burden in various risk factors in India.</w:t>
      </w:r>
      <w:proofErr w:type="gramEnd"/>
    </w:p>
    <w:tbl>
      <w:tblPr>
        <w:tblStyle w:val="TableGrid"/>
        <w:tblW w:w="0" w:type="auto"/>
        <w:jc w:val="center"/>
        <w:tblLayout w:type="fixed"/>
        <w:tblLook w:val="04A0" w:firstRow="1" w:lastRow="0" w:firstColumn="1" w:lastColumn="0" w:noHBand="0" w:noVBand="1"/>
      </w:tblPr>
      <w:tblGrid>
        <w:gridCol w:w="1548"/>
        <w:gridCol w:w="1530"/>
        <w:gridCol w:w="1170"/>
        <w:gridCol w:w="1260"/>
        <w:gridCol w:w="1080"/>
        <w:gridCol w:w="1170"/>
        <w:gridCol w:w="900"/>
        <w:gridCol w:w="918"/>
      </w:tblGrid>
      <w:tr w:rsidR="002234DC" w:rsidRPr="00381786" w14:paraId="66CA97E5" w14:textId="77777777" w:rsidTr="00BD2233">
        <w:trPr>
          <w:jc w:val="center"/>
        </w:trPr>
        <w:tc>
          <w:tcPr>
            <w:tcW w:w="1548" w:type="dxa"/>
            <w:vAlign w:val="center"/>
          </w:tcPr>
          <w:p w14:paraId="4C71D1B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Characteristics</w:t>
            </w:r>
          </w:p>
        </w:tc>
        <w:tc>
          <w:tcPr>
            <w:tcW w:w="1530" w:type="dxa"/>
            <w:vAlign w:val="center"/>
          </w:tcPr>
          <w:p w14:paraId="45878BC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 (%)</w:t>
            </w:r>
          </w:p>
        </w:tc>
        <w:tc>
          <w:tcPr>
            <w:tcW w:w="1170" w:type="dxa"/>
            <w:vAlign w:val="center"/>
          </w:tcPr>
          <w:p w14:paraId="7C0B69B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None </w:t>
            </w:r>
          </w:p>
          <w:p w14:paraId="5CE3E32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 (%)</w:t>
            </w:r>
          </w:p>
        </w:tc>
        <w:tc>
          <w:tcPr>
            <w:tcW w:w="1260" w:type="dxa"/>
            <w:vAlign w:val="center"/>
          </w:tcPr>
          <w:p w14:paraId="2D8D4BA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ONCD </w:t>
            </w:r>
          </w:p>
          <w:p w14:paraId="209CC16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 (%)</w:t>
            </w:r>
          </w:p>
        </w:tc>
        <w:tc>
          <w:tcPr>
            <w:tcW w:w="1080" w:type="dxa"/>
            <w:vAlign w:val="center"/>
          </w:tcPr>
          <w:p w14:paraId="38B5586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OCD</w:t>
            </w:r>
          </w:p>
          <w:p w14:paraId="200E21A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 N (%)</w:t>
            </w:r>
          </w:p>
        </w:tc>
        <w:tc>
          <w:tcPr>
            <w:tcW w:w="1170" w:type="dxa"/>
            <w:vAlign w:val="center"/>
          </w:tcPr>
          <w:p w14:paraId="592E6F5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ONCD&amp;OCD</w:t>
            </w:r>
          </w:p>
          <w:p w14:paraId="65715A3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      N (%)</w:t>
            </w:r>
          </w:p>
        </w:tc>
        <w:tc>
          <w:tcPr>
            <w:tcW w:w="900" w:type="dxa"/>
            <w:vAlign w:val="center"/>
          </w:tcPr>
          <w:p w14:paraId="489F612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NCD%</w:t>
            </w:r>
          </w:p>
        </w:tc>
        <w:tc>
          <w:tcPr>
            <w:tcW w:w="918" w:type="dxa"/>
            <w:vAlign w:val="center"/>
          </w:tcPr>
          <w:p w14:paraId="255FC9B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CD%</w:t>
            </w:r>
          </w:p>
        </w:tc>
      </w:tr>
      <w:tr w:rsidR="002234DC" w:rsidRPr="00381786" w14:paraId="25BEF0F5" w14:textId="77777777" w:rsidTr="00BD2233">
        <w:trPr>
          <w:jc w:val="center"/>
        </w:trPr>
        <w:tc>
          <w:tcPr>
            <w:tcW w:w="1548" w:type="dxa"/>
            <w:vAlign w:val="center"/>
          </w:tcPr>
          <w:p w14:paraId="0532164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India</w:t>
            </w:r>
          </w:p>
        </w:tc>
        <w:tc>
          <w:tcPr>
            <w:tcW w:w="1530" w:type="dxa"/>
            <w:vAlign w:val="center"/>
          </w:tcPr>
          <w:p w14:paraId="6D8DF68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31347</w:t>
            </w:r>
          </w:p>
        </w:tc>
        <w:tc>
          <w:tcPr>
            <w:tcW w:w="1170" w:type="dxa"/>
            <w:vAlign w:val="center"/>
          </w:tcPr>
          <w:p w14:paraId="7A36F36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10616 (33.9)</w:t>
            </w:r>
          </w:p>
        </w:tc>
        <w:tc>
          <w:tcPr>
            <w:tcW w:w="1260" w:type="dxa"/>
            <w:vAlign w:val="center"/>
          </w:tcPr>
          <w:p w14:paraId="292595C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12307 (39.3)</w:t>
            </w:r>
          </w:p>
        </w:tc>
        <w:tc>
          <w:tcPr>
            <w:tcW w:w="1080" w:type="dxa"/>
            <w:vAlign w:val="center"/>
          </w:tcPr>
          <w:p w14:paraId="21EF026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3705 (11.8)</w:t>
            </w:r>
          </w:p>
        </w:tc>
        <w:tc>
          <w:tcPr>
            <w:tcW w:w="1170" w:type="dxa"/>
            <w:vAlign w:val="center"/>
          </w:tcPr>
          <w:p w14:paraId="693B00F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4719 (15.1)</w:t>
            </w:r>
          </w:p>
        </w:tc>
        <w:tc>
          <w:tcPr>
            <w:tcW w:w="900" w:type="dxa"/>
            <w:vAlign w:val="center"/>
          </w:tcPr>
          <w:p w14:paraId="17A16A7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54.40</w:t>
            </w:r>
          </w:p>
        </w:tc>
        <w:tc>
          <w:tcPr>
            <w:tcW w:w="918" w:type="dxa"/>
            <w:vAlign w:val="center"/>
          </w:tcPr>
          <w:p w14:paraId="267D089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26.90</w:t>
            </w:r>
          </w:p>
        </w:tc>
      </w:tr>
      <w:tr w:rsidR="002234DC" w:rsidRPr="00381786" w14:paraId="7C3C8E9A" w14:textId="77777777" w:rsidTr="00BD2233">
        <w:trPr>
          <w:jc w:val="center"/>
        </w:trPr>
        <w:tc>
          <w:tcPr>
            <w:tcW w:w="9576" w:type="dxa"/>
            <w:gridSpan w:val="8"/>
          </w:tcPr>
          <w:p w14:paraId="292E9CA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Age *</w:t>
            </w:r>
          </w:p>
        </w:tc>
      </w:tr>
      <w:tr w:rsidR="002234DC" w:rsidRPr="00381786" w14:paraId="143C7D78" w14:textId="77777777" w:rsidTr="00BD2233">
        <w:trPr>
          <w:jc w:val="center"/>
        </w:trPr>
        <w:tc>
          <w:tcPr>
            <w:tcW w:w="1548" w:type="dxa"/>
            <w:tcBorders>
              <w:top w:val="nil"/>
              <w:left w:val="single" w:sz="4" w:space="0" w:color="auto"/>
              <w:bottom w:val="single" w:sz="4" w:space="0" w:color="auto"/>
              <w:right w:val="single" w:sz="4" w:space="0" w:color="auto"/>
            </w:tcBorders>
            <w:vAlign w:val="center"/>
          </w:tcPr>
          <w:p w14:paraId="3A37A54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60-64</w:t>
            </w:r>
          </w:p>
        </w:tc>
        <w:tc>
          <w:tcPr>
            <w:tcW w:w="1530" w:type="dxa"/>
            <w:tcBorders>
              <w:top w:val="nil"/>
              <w:left w:val="nil"/>
              <w:bottom w:val="single" w:sz="4" w:space="0" w:color="auto"/>
              <w:right w:val="single" w:sz="4" w:space="0" w:color="auto"/>
            </w:tcBorders>
            <w:vAlign w:val="center"/>
          </w:tcPr>
          <w:p w14:paraId="03CC6DE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10091 (32.19)</w:t>
            </w:r>
          </w:p>
        </w:tc>
        <w:tc>
          <w:tcPr>
            <w:tcW w:w="1170" w:type="dxa"/>
            <w:tcBorders>
              <w:top w:val="nil"/>
              <w:left w:val="nil"/>
              <w:bottom w:val="single" w:sz="4" w:space="0" w:color="auto"/>
              <w:right w:val="single" w:sz="4" w:space="0" w:color="auto"/>
            </w:tcBorders>
            <w:vAlign w:val="center"/>
          </w:tcPr>
          <w:p w14:paraId="54A04FD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3730 (36.96)</w:t>
            </w:r>
          </w:p>
        </w:tc>
        <w:tc>
          <w:tcPr>
            <w:tcW w:w="1260" w:type="dxa"/>
            <w:tcBorders>
              <w:top w:val="nil"/>
              <w:left w:val="nil"/>
              <w:bottom w:val="single" w:sz="4" w:space="0" w:color="auto"/>
              <w:right w:val="single" w:sz="4" w:space="0" w:color="auto"/>
            </w:tcBorders>
            <w:vAlign w:val="center"/>
          </w:tcPr>
          <w:p w14:paraId="2522E12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3559 (35.27)</w:t>
            </w:r>
          </w:p>
        </w:tc>
        <w:tc>
          <w:tcPr>
            <w:tcW w:w="1080" w:type="dxa"/>
            <w:tcBorders>
              <w:top w:val="nil"/>
              <w:left w:val="nil"/>
              <w:bottom w:val="single" w:sz="4" w:space="0" w:color="auto"/>
              <w:right w:val="single" w:sz="4" w:space="0" w:color="auto"/>
            </w:tcBorders>
            <w:vAlign w:val="center"/>
          </w:tcPr>
          <w:p w14:paraId="4624D2B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1363 (13.51)</w:t>
            </w:r>
          </w:p>
        </w:tc>
        <w:tc>
          <w:tcPr>
            <w:tcW w:w="1170" w:type="dxa"/>
            <w:tcBorders>
              <w:top w:val="nil"/>
              <w:left w:val="nil"/>
              <w:bottom w:val="single" w:sz="4" w:space="0" w:color="auto"/>
              <w:right w:val="single" w:sz="4" w:space="0" w:color="auto"/>
            </w:tcBorders>
            <w:vAlign w:val="center"/>
          </w:tcPr>
          <w:p w14:paraId="0DB5654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1439 (14.26)</w:t>
            </w:r>
          </w:p>
        </w:tc>
        <w:tc>
          <w:tcPr>
            <w:tcW w:w="900" w:type="dxa"/>
            <w:tcBorders>
              <w:top w:val="nil"/>
              <w:left w:val="nil"/>
              <w:bottom w:val="single" w:sz="4" w:space="0" w:color="auto"/>
              <w:right w:val="single" w:sz="4" w:space="0" w:color="auto"/>
            </w:tcBorders>
            <w:vAlign w:val="center"/>
          </w:tcPr>
          <w:p w14:paraId="02FABBE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49.53</w:t>
            </w:r>
          </w:p>
        </w:tc>
        <w:tc>
          <w:tcPr>
            <w:tcW w:w="918" w:type="dxa"/>
            <w:tcBorders>
              <w:top w:val="nil"/>
              <w:left w:val="nil"/>
              <w:bottom w:val="single" w:sz="4" w:space="0" w:color="auto"/>
              <w:right w:val="single" w:sz="4" w:space="0" w:color="auto"/>
            </w:tcBorders>
            <w:vAlign w:val="center"/>
          </w:tcPr>
          <w:p w14:paraId="6807F48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27.77</w:t>
            </w:r>
          </w:p>
        </w:tc>
      </w:tr>
      <w:tr w:rsidR="002234DC" w:rsidRPr="00381786" w14:paraId="2960BA1E" w14:textId="77777777" w:rsidTr="00BD2233">
        <w:trPr>
          <w:jc w:val="center"/>
        </w:trPr>
        <w:tc>
          <w:tcPr>
            <w:tcW w:w="1548" w:type="dxa"/>
            <w:tcBorders>
              <w:top w:val="nil"/>
              <w:left w:val="single" w:sz="4" w:space="0" w:color="auto"/>
              <w:bottom w:val="single" w:sz="4" w:space="0" w:color="auto"/>
              <w:right w:val="single" w:sz="4" w:space="0" w:color="auto"/>
            </w:tcBorders>
            <w:vAlign w:val="center"/>
          </w:tcPr>
          <w:p w14:paraId="6FA6255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65-69</w:t>
            </w:r>
          </w:p>
        </w:tc>
        <w:tc>
          <w:tcPr>
            <w:tcW w:w="1530" w:type="dxa"/>
            <w:tcBorders>
              <w:top w:val="nil"/>
              <w:left w:val="nil"/>
              <w:bottom w:val="single" w:sz="4" w:space="0" w:color="auto"/>
              <w:right w:val="single" w:sz="4" w:space="0" w:color="auto"/>
            </w:tcBorders>
            <w:vAlign w:val="center"/>
          </w:tcPr>
          <w:p w14:paraId="53F3055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8817 (28.13)</w:t>
            </w:r>
          </w:p>
        </w:tc>
        <w:tc>
          <w:tcPr>
            <w:tcW w:w="1170" w:type="dxa"/>
            <w:tcBorders>
              <w:top w:val="nil"/>
              <w:left w:val="nil"/>
              <w:bottom w:val="single" w:sz="4" w:space="0" w:color="auto"/>
              <w:right w:val="single" w:sz="4" w:space="0" w:color="auto"/>
            </w:tcBorders>
            <w:vAlign w:val="center"/>
          </w:tcPr>
          <w:p w14:paraId="2D1FF3B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2938 (33.32)</w:t>
            </w:r>
          </w:p>
        </w:tc>
        <w:tc>
          <w:tcPr>
            <w:tcW w:w="1260" w:type="dxa"/>
            <w:tcBorders>
              <w:top w:val="nil"/>
              <w:left w:val="nil"/>
              <w:bottom w:val="single" w:sz="4" w:space="0" w:color="auto"/>
              <w:right w:val="single" w:sz="4" w:space="0" w:color="auto"/>
            </w:tcBorders>
            <w:vAlign w:val="center"/>
          </w:tcPr>
          <w:p w14:paraId="3DD617B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3551 (40.27)</w:t>
            </w:r>
          </w:p>
        </w:tc>
        <w:tc>
          <w:tcPr>
            <w:tcW w:w="1080" w:type="dxa"/>
            <w:tcBorders>
              <w:top w:val="nil"/>
              <w:left w:val="nil"/>
              <w:bottom w:val="single" w:sz="4" w:space="0" w:color="auto"/>
              <w:right w:val="single" w:sz="4" w:space="0" w:color="auto"/>
            </w:tcBorders>
            <w:vAlign w:val="center"/>
          </w:tcPr>
          <w:p w14:paraId="5958859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1019 (11.56)</w:t>
            </w:r>
          </w:p>
        </w:tc>
        <w:tc>
          <w:tcPr>
            <w:tcW w:w="1170" w:type="dxa"/>
            <w:tcBorders>
              <w:top w:val="nil"/>
              <w:left w:val="nil"/>
              <w:bottom w:val="single" w:sz="4" w:space="0" w:color="auto"/>
              <w:right w:val="single" w:sz="4" w:space="0" w:color="auto"/>
            </w:tcBorders>
            <w:vAlign w:val="center"/>
          </w:tcPr>
          <w:p w14:paraId="340A085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1309 (14.85)</w:t>
            </w:r>
          </w:p>
        </w:tc>
        <w:tc>
          <w:tcPr>
            <w:tcW w:w="900" w:type="dxa"/>
            <w:tcBorders>
              <w:top w:val="nil"/>
              <w:left w:val="nil"/>
              <w:bottom w:val="single" w:sz="4" w:space="0" w:color="auto"/>
              <w:right w:val="single" w:sz="4" w:space="0" w:color="auto"/>
            </w:tcBorders>
            <w:vAlign w:val="center"/>
          </w:tcPr>
          <w:p w14:paraId="7FEDB4B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55.12</w:t>
            </w:r>
          </w:p>
        </w:tc>
        <w:tc>
          <w:tcPr>
            <w:tcW w:w="918" w:type="dxa"/>
            <w:tcBorders>
              <w:top w:val="nil"/>
              <w:left w:val="nil"/>
              <w:bottom w:val="single" w:sz="4" w:space="0" w:color="auto"/>
              <w:right w:val="single" w:sz="4" w:space="0" w:color="auto"/>
            </w:tcBorders>
            <w:vAlign w:val="center"/>
          </w:tcPr>
          <w:p w14:paraId="5D3A872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26.40</w:t>
            </w:r>
          </w:p>
        </w:tc>
      </w:tr>
      <w:tr w:rsidR="002234DC" w:rsidRPr="00381786" w14:paraId="3211ACBF" w14:textId="77777777" w:rsidTr="00BD2233">
        <w:trPr>
          <w:jc w:val="center"/>
        </w:trPr>
        <w:tc>
          <w:tcPr>
            <w:tcW w:w="1548" w:type="dxa"/>
            <w:tcBorders>
              <w:top w:val="nil"/>
              <w:left w:val="single" w:sz="4" w:space="0" w:color="auto"/>
              <w:bottom w:val="single" w:sz="4" w:space="0" w:color="auto"/>
              <w:right w:val="single" w:sz="4" w:space="0" w:color="auto"/>
            </w:tcBorders>
            <w:vAlign w:val="center"/>
          </w:tcPr>
          <w:p w14:paraId="7ED0D28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70+</w:t>
            </w:r>
          </w:p>
        </w:tc>
        <w:tc>
          <w:tcPr>
            <w:tcW w:w="1530" w:type="dxa"/>
            <w:tcBorders>
              <w:top w:val="nil"/>
              <w:left w:val="nil"/>
              <w:bottom w:val="single" w:sz="4" w:space="0" w:color="auto"/>
              <w:right w:val="single" w:sz="4" w:space="0" w:color="auto"/>
            </w:tcBorders>
            <w:vAlign w:val="center"/>
          </w:tcPr>
          <w:p w14:paraId="2C29B01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12439 (39.68)</w:t>
            </w:r>
          </w:p>
        </w:tc>
        <w:tc>
          <w:tcPr>
            <w:tcW w:w="1170" w:type="dxa"/>
            <w:tcBorders>
              <w:top w:val="nil"/>
              <w:left w:val="nil"/>
              <w:bottom w:val="single" w:sz="4" w:space="0" w:color="auto"/>
              <w:right w:val="single" w:sz="4" w:space="0" w:color="auto"/>
            </w:tcBorders>
            <w:vAlign w:val="center"/>
          </w:tcPr>
          <w:p w14:paraId="5655C9A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3948 (31.74)</w:t>
            </w:r>
          </w:p>
        </w:tc>
        <w:tc>
          <w:tcPr>
            <w:tcW w:w="1260" w:type="dxa"/>
            <w:tcBorders>
              <w:top w:val="nil"/>
              <w:left w:val="nil"/>
              <w:bottom w:val="single" w:sz="4" w:space="0" w:color="auto"/>
              <w:right w:val="single" w:sz="4" w:space="0" w:color="auto"/>
            </w:tcBorders>
            <w:vAlign w:val="center"/>
          </w:tcPr>
          <w:p w14:paraId="342627A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5197 (41.78)</w:t>
            </w:r>
          </w:p>
        </w:tc>
        <w:tc>
          <w:tcPr>
            <w:tcW w:w="1080" w:type="dxa"/>
            <w:tcBorders>
              <w:top w:val="nil"/>
              <w:left w:val="nil"/>
              <w:bottom w:val="single" w:sz="4" w:space="0" w:color="auto"/>
              <w:right w:val="single" w:sz="4" w:space="0" w:color="auto"/>
            </w:tcBorders>
            <w:vAlign w:val="center"/>
          </w:tcPr>
          <w:p w14:paraId="36CCABB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1323 (10.64)</w:t>
            </w:r>
          </w:p>
        </w:tc>
        <w:tc>
          <w:tcPr>
            <w:tcW w:w="1170" w:type="dxa"/>
            <w:tcBorders>
              <w:top w:val="nil"/>
              <w:left w:val="nil"/>
              <w:bottom w:val="single" w:sz="4" w:space="0" w:color="auto"/>
              <w:right w:val="single" w:sz="4" w:space="0" w:color="auto"/>
            </w:tcBorders>
            <w:vAlign w:val="center"/>
          </w:tcPr>
          <w:p w14:paraId="64E3F76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1971 (15.85)</w:t>
            </w:r>
          </w:p>
        </w:tc>
        <w:tc>
          <w:tcPr>
            <w:tcW w:w="900" w:type="dxa"/>
            <w:tcBorders>
              <w:top w:val="nil"/>
              <w:left w:val="nil"/>
              <w:bottom w:val="single" w:sz="4" w:space="0" w:color="auto"/>
              <w:right w:val="single" w:sz="4" w:space="0" w:color="auto"/>
            </w:tcBorders>
            <w:vAlign w:val="center"/>
          </w:tcPr>
          <w:p w14:paraId="1896EA2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57.63</w:t>
            </w:r>
          </w:p>
        </w:tc>
        <w:tc>
          <w:tcPr>
            <w:tcW w:w="918" w:type="dxa"/>
            <w:tcBorders>
              <w:top w:val="nil"/>
              <w:left w:val="nil"/>
              <w:bottom w:val="single" w:sz="4" w:space="0" w:color="auto"/>
              <w:right w:val="single" w:sz="4" w:space="0" w:color="auto"/>
            </w:tcBorders>
            <w:vAlign w:val="center"/>
          </w:tcPr>
          <w:p w14:paraId="70A2D6A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26.48</w:t>
            </w:r>
          </w:p>
        </w:tc>
      </w:tr>
      <w:tr w:rsidR="002234DC" w:rsidRPr="00381786" w14:paraId="4CF3720A" w14:textId="77777777" w:rsidTr="00BD2233">
        <w:trPr>
          <w:jc w:val="center"/>
        </w:trPr>
        <w:tc>
          <w:tcPr>
            <w:tcW w:w="9576" w:type="dxa"/>
            <w:gridSpan w:val="8"/>
          </w:tcPr>
          <w:p w14:paraId="6B1CDA6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Sex *</w:t>
            </w:r>
          </w:p>
        </w:tc>
      </w:tr>
      <w:tr w:rsidR="002234DC" w:rsidRPr="00381786" w14:paraId="0A37DCA3" w14:textId="77777777" w:rsidTr="00BD2233">
        <w:trPr>
          <w:jc w:val="center"/>
        </w:trPr>
        <w:tc>
          <w:tcPr>
            <w:tcW w:w="1548" w:type="dxa"/>
            <w:vAlign w:val="center"/>
          </w:tcPr>
          <w:p w14:paraId="326AD48E" w14:textId="77777777" w:rsidR="002234DC" w:rsidRPr="00381786" w:rsidRDefault="002234DC" w:rsidP="00BD2233">
            <w:pPr>
              <w:pStyle w:val="NoSpacing"/>
              <w:spacing w:line="360" w:lineRule="auto"/>
              <w:jc w:val="both"/>
              <w:rPr>
                <w:rFonts w:ascii="Times New Roman" w:hAnsi="Times New Roman" w:cs="Times New Roman"/>
                <w:b/>
                <w:bCs/>
              </w:rPr>
            </w:pPr>
            <w:r w:rsidRPr="00381786">
              <w:rPr>
                <w:rFonts w:ascii="Times New Roman" w:hAnsi="Times New Roman" w:cs="Times New Roman"/>
                <w:bCs/>
              </w:rPr>
              <w:t>Male</w:t>
            </w:r>
          </w:p>
        </w:tc>
        <w:tc>
          <w:tcPr>
            <w:tcW w:w="1530" w:type="dxa"/>
            <w:vAlign w:val="center"/>
          </w:tcPr>
          <w:p w14:paraId="47692D2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15025 (47.93)</w:t>
            </w:r>
          </w:p>
        </w:tc>
        <w:tc>
          <w:tcPr>
            <w:tcW w:w="1170" w:type="dxa"/>
            <w:vAlign w:val="center"/>
          </w:tcPr>
          <w:p w14:paraId="28F5AAF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5444 (36.23)</w:t>
            </w:r>
          </w:p>
        </w:tc>
        <w:tc>
          <w:tcPr>
            <w:tcW w:w="1260" w:type="dxa"/>
            <w:vAlign w:val="center"/>
          </w:tcPr>
          <w:p w14:paraId="73AC033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5724 (38.1)</w:t>
            </w:r>
          </w:p>
        </w:tc>
        <w:tc>
          <w:tcPr>
            <w:tcW w:w="1080" w:type="dxa"/>
            <w:vAlign w:val="center"/>
          </w:tcPr>
          <w:p w14:paraId="2903639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1783 (11.87)</w:t>
            </w:r>
          </w:p>
        </w:tc>
        <w:tc>
          <w:tcPr>
            <w:tcW w:w="1170" w:type="dxa"/>
            <w:vAlign w:val="center"/>
          </w:tcPr>
          <w:p w14:paraId="02115EC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2074 (13.8)</w:t>
            </w:r>
          </w:p>
        </w:tc>
        <w:tc>
          <w:tcPr>
            <w:tcW w:w="900" w:type="dxa"/>
            <w:vAlign w:val="center"/>
          </w:tcPr>
          <w:p w14:paraId="6F6D722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51.90</w:t>
            </w:r>
          </w:p>
        </w:tc>
        <w:tc>
          <w:tcPr>
            <w:tcW w:w="918" w:type="dxa"/>
            <w:vAlign w:val="center"/>
          </w:tcPr>
          <w:p w14:paraId="54C0F9B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25.67</w:t>
            </w:r>
          </w:p>
        </w:tc>
      </w:tr>
      <w:tr w:rsidR="002234DC" w:rsidRPr="00381786" w14:paraId="5B56A6CB" w14:textId="77777777" w:rsidTr="00BD2233">
        <w:trPr>
          <w:jc w:val="center"/>
        </w:trPr>
        <w:tc>
          <w:tcPr>
            <w:tcW w:w="1548" w:type="dxa"/>
            <w:vAlign w:val="center"/>
          </w:tcPr>
          <w:p w14:paraId="1C180AD2" w14:textId="77777777" w:rsidR="002234DC" w:rsidRPr="00381786" w:rsidRDefault="002234DC" w:rsidP="00BD2233">
            <w:pPr>
              <w:pStyle w:val="NoSpacing"/>
              <w:spacing w:line="360" w:lineRule="auto"/>
              <w:jc w:val="both"/>
              <w:rPr>
                <w:rFonts w:ascii="Times New Roman" w:hAnsi="Times New Roman" w:cs="Times New Roman"/>
                <w:b/>
                <w:bCs/>
              </w:rPr>
            </w:pPr>
            <w:r w:rsidRPr="00381786">
              <w:rPr>
                <w:rFonts w:ascii="Times New Roman" w:hAnsi="Times New Roman" w:cs="Times New Roman"/>
                <w:bCs/>
              </w:rPr>
              <w:t>Female</w:t>
            </w:r>
          </w:p>
        </w:tc>
        <w:tc>
          <w:tcPr>
            <w:tcW w:w="1530" w:type="dxa"/>
            <w:vAlign w:val="center"/>
          </w:tcPr>
          <w:p w14:paraId="6163D73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16322 (52.07)</w:t>
            </w:r>
          </w:p>
        </w:tc>
        <w:tc>
          <w:tcPr>
            <w:tcW w:w="1170" w:type="dxa"/>
            <w:vAlign w:val="center"/>
          </w:tcPr>
          <w:p w14:paraId="4E43D99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5172 (31.69)</w:t>
            </w:r>
          </w:p>
        </w:tc>
        <w:tc>
          <w:tcPr>
            <w:tcW w:w="1260" w:type="dxa"/>
            <w:vAlign w:val="center"/>
          </w:tcPr>
          <w:p w14:paraId="1BFEEDF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6583 (40.33)</w:t>
            </w:r>
          </w:p>
        </w:tc>
        <w:tc>
          <w:tcPr>
            <w:tcW w:w="1080" w:type="dxa"/>
            <w:vAlign w:val="center"/>
          </w:tcPr>
          <w:p w14:paraId="1DFCD9F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1922 (11.78)</w:t>
            </w:r>
          </w:p>
        </w:tc>
        <w:tc>
          <w:tcPr>
            <w:tcW w:w="1170" w:type="dxa"/>
            <w:vAlign w:val="center"/>
          </w:tcPr>
          <w:p w14:paraId="0843283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2645 (16.21)</w:t>
            </w:r>
          </w:p>
        </w:tc>
        <w:tc>
          <w:tcPr>
            <w:tcW w:w="900" w:type="dxa"/>
            <w:vAlign w:val="center"/>
          </w:tcPr>
          <w:p w14:paraId="136A51A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56.54</w:t>
            </w:r>
          </w:p>
        </w:tc>
        <w:tc>
          <w:tcPr>
            <w:tcW w:w="918" w:type="dxa"/>
            <w:vAlign w:val="center"/>
          </w:tcPr>
          <w:p w14:paraId="70CBF3D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27.98</w:t>
            </w:r>
          </w:p>
        </w:tc>
      </w:tr>
      <w:tr w:rsidR="002234DC" w:rsidRPr="00381786" w14:paraId="72A0D147" w14:textId="77777777" w:rsidTr="00BD2233">
        <w:trPr>
          <w:jc w:val="center"/>
        </w:trPr>
        <w:tc>
          <w:tcPr>
            <w:tcW w:w="9576" w:type="dxa"/>
            <w:gridSpan w:val="8"/>
          </w:tcPr>
          <w:p w14:paraId="2649A73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Residence *</w:t>
            </w:r>
          </w:p>
        </w:tc>
      </w:tr>
      <w:tr w:rsidR="002234DC" w:rsidRPr="00381786" w14:paraId="2C94F9E5" w14:textId="77777777" w:rsidTr="00BD2233">
        <w:trPr>
          <w:jc w:val="center"/>
        </w:trPr>
        <w:tc>
          <w:tcPr>
            <w:tcW w:w="1548" w:type="dxa"/>
            <w:vAlign w:val="center"/>
          </w:tcPr>
          <w:p w14:paraId="1E898B01" w14:textId="77777777" w:rsidR="002234DC" w:rsidRPr="00381786" w:rsidRDefault="002234DC" w:rsidP="00BD2233">
            <w:pPr>
              <w:pStyle w:val="NoSpacing"/>
              <w:spacing w:line="360" w:lineRule="auto"/>
              <w:jc w:val="both"/>
              <w:rPr>
                <w:rFonts w:ascii="Times New Roman" w:hAnsi="Times New Roman" w:cs="Times New Roman"/>
                <w:b/>
                <w:bCs/>
              </w:rPr>
            </w:pPr>
            <w:r w:rsidRPr="00381786">
              <w:rPr>
                <w:rFonts w:ascii="Times New Roman" w:hAnsi="Times New Roman" w:cs="Times New Roman"/>
                <w:bCs/>
              </w:rPr>
              <w:t>Rural</w:t>
            </w:r>
          </w:p>
        </w:tc>
        <w:tc>
          <w:tcPr>
            <w:tcW w:w="1530" w:type="dxa"/>
            <w:vAlign w:val="center"/>
          </w:tcPr>
          <w:p w14:paraId="1DA662B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20669 (65.94)</w:t>
            </w:r>
          </w:p>
        </w:tc>
        <w:tc>
          <w:tcPr>
            <w:tcW w:w="1170" w:type="dxa"/>
            <w:vAlign w:val="center"/>
          </w:tcPr>
          <w:p w14:paraId="132670B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7750 (37.5)</w:t>
            </w:r>
          </w:p>
        </w:tc>
        <w:tc>
          <w:tcPr>
            <w:tcW w:w="1260" w:type="dxa"/>
            <w:vAlign w:val="center"/>
          </w:tcPr>
          <w:p w14:paraId="44BEA24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6677 (32.3)</w:t>
            </w:r>
          </w:p>
        </w:tc>
        <w:tc>
          <w:tcPr>
            <w:tcW w:w="1080" w:type="dxa"/>
            <w:vAlign w:val="center"/>
          </w:tcPr>
          <w:p w14:paraId="60634A9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3035 (14.68)</w:t>
            </w:r>
          </w:p>
        </w:tc>
        <w:tc>
          <w:tcPr>
            <w:tcW w:w="1170" w:type="dxa"/>
            <w:vAlign w:val="center"/>
          </w:tcPr>
          <w:p w14:paraId="5C3063E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3207 (15.52)</w:t>
            </w:r>
          </w:p>
        </w:tc>
        <w:tc>
          <w:tcPr>
            <w:tcW w:w="900" w:type="dxa"/>
            <w:vAlign w:val="center"/>
          </w:tcPr>
          <w:p w14:paraId="477697B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47.82</w:t>
            </w:r>
          </w:p>
        </w:tc>
        <w:tc>
          <w:tcPr>
            <w:tcW w:w="918" w:type="dxa"/>
            <w:vAlign w:val="center"/>
          </w:tcPr>
          <w:p w14:paraId="2BA679A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30.20</w:t>
            </w:r>
          </w:p>
        </w:tc>
      </w:tr>
      <w:tr w:rsidR="002234DC" w:rsidRPr="00381786" w14:paraId="1C9CAFBA" w14:textId="77777777" w:rsidTr="00BD2233">
        <w:trPr>
          <w:jc w:val="center"/>
        </w:trPr>
        <w:tc>
          <w:tcPr>
            <w:tcW w:w="1548" w:type="dxa"/>
            <w:vAlign w:val="center"/>
          </w:tcPr>
          <w:p w14:paraId="6A4388F3" w14:textId="77777777" w:rsidR="002234DC" w:rsidRPr="00381786" w:rsidRDefault="002234DC" w:rsidP="00BD2233">
            <w:pPr>
              <w:pStyle w:val="NoSpacing"/>
              <w:spacing w:line="360" w:lineRule="auto"/>
              <w:jc w:val="both"/>
              <w:rPr>
                <w:rFonts w:ascii="Times New Roman" w:hAnsi="Times New Roman" w:cs="Times New Roman"/>
                <w:b/>
                <w:bCs/>
              </w:rPr>
            </w:pPr>
            <w:r w:rsidRPr="00381786">
              <w:rPr>
                <w:rFonts w:ascii="Times New Roman" w:hAnsi="Times New Roman" w:cs="Times New Roman"/>
                <w:bCs/>
              </w:rPr>
              <w:t>Urban</w:t>
            </w:r>
          </w:p>
        </w:tc>
        <w:tc>
          <w:tcPr>
            <w:tcW w:w="1530" w:type="dxa"/>
            <w:vAlign w:val="center"/>
          </w:tcPr>
          <w:p w14:paraId="3BE9CC6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10678 </w:t>
            </w:r>
            <w:r w:rsidRPr="00381786">
              <w:rPr>
                <w:rFonts w:ascii="Times New Roman" w:hAnsi="Times New Roman" w:cs="Times New Roman"/>
                <w:bCs/>
              </w:rPr>
              <w:lastRenderedPageBreak/>
              <w:t>(34.06)</w:t>
            </w:r>
          </w:p>
        </w:tc>
        <w:tc>
          <w:tcPr>
            <w:tcW w:w="1170" w:type="dxa"/>
            <w:vAlign w:val="center"/>
          </w:tcPr>
          <w:p w14:paraId="1353B4D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2866 </w:t>
            </w:r>
            <w:r w:rsidRPr="00381786">
              <w:rPr>
                <w:rFonts w:ascii="Times New Roman" w:hAnsi="Times New Roman" w:cs="Times New Roman"/>
                <w:bCs/>
              </w:rPr>
              <w:lastRenderedPageBreak/>
              <w:t>(26.84)</w:t>
            </w:r>
          </w:p>
        </w:tc>
        <w:tc>
          <w:tcPr>
            <w:tcW w:w="1260" w:type="dxa"/>
            <w:vAlign w:val="center"/>
          </w:tcPr>
          <w:p w14:paraId="0D4D1D4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5630 </w:t>
            </w:r>
            <w:r w:rsidRPr="00381786">
              <w:rPr>
                <w:rFonts w:ascii="Times New Roman" w:hAnsi="Times New Roman" w:cs="Times New Roman"/>
                <w:bCs/>
              </w:rPr>
              <w:lastRenderedPageBreak/>
              <w:t>(52.73)</w:t>
            </w:r>
          </w:p>
        </w:tc>
        <w:tc>
          <w:tcPr>
            <w:tcW w:w="1080" w:type="dxa"/>
            <w:vAlign w:val="center"/>
          </w:tcPr>
          <w:p w14:paraId="626A0F9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670 </w:t>
            </w:r>
            <w:r w:rsidRPr="00381786">
              <w:rPr>
                <w:rFonts w:ascii="Times New Roman" w:hAnsi="Times New Roman" w:cs="Times New Roman"/>
                <w:bCs/>
              </w:rPr>
              <w:lastRenderedPageBreak/>
              <w:t>(6.27)</w:t>
            </w:r>
          </w:p>
        </w:tc>
        <w:tc>
          <w:tcPr>
            <w:tcW w:w="1170" w:type="dxa"/>
            <w:vAlign w:val="center"/>
          </w:tcPr>
          <w:p w14:paraId="19E47D3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1512 </w:t>
            </w:r>
            <w:r w:rsidRPr="00381786">
              <w:rPr>
                <w:rFonts w:ascii="Times New Roman" w:hAnsi="Times New Roman" w:cs="Times New Roman"/>
                <w:bCs/>
              </w:rPr>
              <w:lastRenderedPageBreak/>
              <w:t>(14.16)</w:t>
            </w:r>
          </w:p>
        </w:tc>
        <w:tc>
          <w:tcPr>
            <w:tcW w:w="900" w:type="dxa"/>
            <w:vAlign w:val="center"/>
          </w:tcPr>
          <w:p w14:paraId="6DA4F97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66.89</w:t>
            </w:r>
          </w:p>
        </w:tc>
        <w:tc>
          <w:tcPr>
            <w:tcW w:w="918" w:type="dxa"/>
            <w:vAlign w:val="center"/>
          </w:tcPr>
          <w:p w14:paraId="6D02B9B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20.43</w:t>
            </w:r>
          </w:p>
        </w:tc>
      </w:tr>
      <w:tr w:rsidR="002234DC" w:rsidRPr="00381786" w14:paraId="36435019" w14:textId="77777777" w:rsidTr="00BD2233">
        <w:trPr>
          <w:jc w:val="center"/>
        </w:trPr>
        <w:tc>
          <w:tcPr>
            <w:tcW w:w="9576" w:type="dxa"/>
            <w:gridSpan w:val="8"/>
          </w:tcPr>
          <w:p w14:paraId="420E363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lastRenderedPageBreak/>
              <w:t>Religion *</w:t>
            </w:r>
          </w:p>
        </w:tc>
      </w:tr>
      <w:tr w:rsidR="002234DC" w:rsidRPr="00381786" w14:paraId="21016316" w14:textId="77777777" w:rsidTr="00BD2233">
        <w:trPr>
          <w:jc w:val="center"/>
        </w:trPr>
        <w:tc>
          <w:tcPr>
            <w:tcW w:w="1548" w:type="dxa"/>
            <w:vAlign w:val="center"/>
          </w:tcPr>
          <w:p w14:paraId="4F64A0AE" w14:textId="77777777" w:rsidR="002234DC" w:rsidRPr="00381786" w:rsidRDefault="002234DC" w:rsidP="00BD2233">
            <w:pPr>
              <w:pStyle w:val="NoSpacing"/>
              <w:spacing w:line="360" w:lineRule="auto"/>
              <w:jc w:val="both"/>
              <w:rPr>
                <w:rFonts w:ascii="Times New Roman" w:hAnsi="Times New Roman" w:cs="Times New Roman"/>
                <w:b/>
                <w:bCs/>
              </w:rPr>
            </w:pPr>
            <w:r w:rsidRPr="00381786">
              <w:rPr>
                <w:rFonts w:ascii="Times New Roman" w:hAnsi="Times New Roman" w:cs="Times New Roman"/>
                <w:bCs/>
              </w:rPr>
              <w:t>Hindu</w:t>
            </w:r>
          </w:p>
        </w:tc>
        <w:tc>
          <w:tcPr>
            <w:tcW w:w="1530" w:type="dxa"/>
            <w:vAlign w:val="center"/>
          </w:tcPr>
          <w:p w14:paraId="627505A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22954 (73.73)</w:t>
            </w:r>
          </w:p>
        </w:tc>
        <w:tc>
          <w:tcPr>
            <w:tcW w:w="1170" w:type="dxa"/>
            <w:vAlign w:val="center"/>
          </w:tcPr>
          <w:p w14:paraId="3E65EA3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7725 (33.65)</w:t>
            </w:r>
          </w:p>
        </w:tc>
        <w:tc>
          <w:tcPr>
            <w:tcW w:w="1260" w:type="dxa"/>
            <w:vAlign w:val="center"/>
          </w:tcPr>
          <w:p w14:paraId="66D671E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8773 (38.22)</w:t>
            </w:r>
          </w:p>
        </w:tc>
        <w:tc>
          <w:tcPr>
            <w:tcW w:w="1080" w:type="dxa"/>
            <w:vAlign w:val="center"/>
          </w:tcPr>
          <w:p w14:paraId="4BDCA0C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2926 (12.75)</w:t>
            </w:r>
          </w:p>
        </w:tc>
        <w:tc>
          <w:tcPr>
            <w:tcW w:w="1170" w:type="dxa"/>
            <w:vAlign w:val="center"/>
          </w:tcPr>
          <w:p w14:paraId="6A10E7C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3530 (15.38)</w:t>
            </w:r>
          </w:p>
        </w:tc>
        <w:tc>
          <w:tcPr>
            <w:tcW w:w="900" w:type="dxa"/>
            <w:vAlign w:val="center"/>
          </w:tcPr>
          <w:p w14:paraId="2598B64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53.60</w:t>
            </w:r>
          </w:p>
        </w:tc>
        <w:tc>
          <w:tcPr>
            <w:tcW w:w="918" w:type="dxa"/>
            <w:vAlign w:val="center"/>
          </w:tcPr>
          <w:p w14:paraId="6E968F3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28.13</w:t>
            </w:r>
          </w:p>
        </w:tc>
      </w:tr>
      <w:tr w:rsidR="002234DC" w:rsidRPr="00381786" w14:paraId="5DA76B3F" w14:textId="77777777" w:rsidTr="00BD2233">
        <w:trPr>
          <w:jc w:val="center"/>
        </w:trPr>
        <w:tc>
          <w:tcPr>
            <w:tcW w:w="1548" w:type="dxa"/>
            <w:vAlign w:val="center"/>
          </w:tcPr>
          <w:p w14:paraId="4D4313B1" w14:textId="77777777" w:rsidR="002234DC" w:rsidRPr="00381786" w:rsidRDefault="002234DC" w:rsidP="00BD2233">
            <w:pPr>
              <w:pStyle w:val="NoSpacing"/>
              <w:spacing w:line="360" w:lineRule="auto"/>
              <w:jc w:val="both"/>
              <w:rPr>
                <w:rFonts w:ascii="Times New Roman" w:hAnsi="Times New Roman" w:cs="Times New Roman"/>
                <w:b/>
                <w:bCs/>
              </w:rPr>
            </w:pPr>
            <w:r w:rsidRPr="00381786">
              <w:rPr>
                <w:rFonts w:ascii="Times New Roman" w:hAnsi="Times New Roman" w:cs="Times New Roman"/>
                <w:bCs/>
              </w:rPr>
              <w:t>Other</w:t>
            </w:r>
          </w:p>
        </w:tc>
        <w:tc>
          <w:tcPr>
            <w:tcW w:w="1530" w:type="dxa"/>
            <w:vAlign w:val="center"/>
          </w:tcPr>
          <w:p w14:paraId="215738D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8177 (26.27)</w:t>
            </w:r>
          </w:p>
        </w:tc>
        <w:tc>
          <w:tcPr>
            <w:tcW w:w="1170" w:type="dxa"/>
            <w:vAlign w:val="center"/>
          </w:tcPr>
          <w:p w14:paraId="2A2BFA7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2782 (34.02)</w:t>
            </w:r>
          </w:p>
        </w:tc>
        <w:tc>
          <w:tcPr>
            <w:tcW w:w="1260" w:type="dxa"/>
            <w:vAlign w:val="center"/>
          </w:tcPr>
          <w:p w14:paraId="7433FB0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3471 (42.45)</w:t>
            </w:r>
          </w:p>
        </w:tc>
        <w:tc>
          <w:tcPr>
            <w:tcW w:w="1080" w:type="dxa"/>
            <w:vAlign w:val="center"/>
          </w:tcPr>
          <w:p w14:paraId="0931E89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749 (9.16)</w:t>
            </w:r>
          </w:p>
        </w:tc>
        <w:tc>
          <w:tcPr>
            <w:tcW w:w="1170" w:type="dxa"/>
            <w:vAlign w:val="center"/>
          </w:tcPr>
          <w:p w14:paraId="5AB42FA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1175 (14.37)</w:t>
            </w:r>
          </w:p>
        </w:tc>
        <w:tc>
          <w:tcPr>
            <w:tcW w:w="900" w:type="dxa"/>
            <w:vAlign w:val="center"/>
          </w:tcPr>
          <w:p w14:paraId="4D96361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56.82</w:t>
            </w:r>
          </w:p>
        </w:tc>
        <w:tc>
          <w:tcPr>
            <w:tcW w:w="918" w:type="dxa"/>
            <w:vAlign w:val="center"/>
          </w:tcPr>
          <w:p w14:paraId="16A5472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23.53</w:t>
            </w:r>
          </w:p>
        </w:tc>
      </w:tr>
      <w:tr w:rsidR="002234DC" w:rsidRPr="00381786" w14:paraId="3CEE255C" w14:textId="77777777" w:rsidTr="00BD2233">
        <w:trPr>
          <w:jc w:val="center"/>
        </w:trPr>
        <w:tc>
          <w:tcPr>
            <w:tcW w:w="9576" w:type="dxa"/>
            <w:gridSpan w:val="8"/>
            <w:vAlign w:val="center"/>
          </w:tcPr>
          <w:p w14:paraId="7ACA460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Ever attended school *</w:t>
            </w:r>
          </w:p>
        </w:tc>
      </w:tr>
      <w:tr w:rsidR="002234DC" w:rsidRPr="00381786" w14:paraId="40B7B2A6" w14:textId="77777777" w:rsidTr="00BD2233">
        <w:trPr>
          <w:jc w:val="center"/>
        </w:trPr>
        <w:tc>
          <w:tcPr>
            <w:tcW w:w="1548" w:type="dxa"/>
            <w:vAlign w:val="center"/>
          </w:tcPr>
          <w:p w14:paraId="171BFC9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Yes</w:t>
            </w:r>
          </w:p>
        </w:tc>
        <w:tc>
          <w:tcPr>
            <w:tcW w:w="1530" w:type="dxa"/>
            <w:vAlign w:val="center"/>
          </w:tcPr>
          <w:p w14:paraId="27B5C8E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14506 (46.28)</w:t>
            </w:r>
          </w:p>
        </w:tc>
        <w:tc>
          <w:tcPr>
            <w:tcW w:w="1170" w:type="dxa"/>
            <w:vAlign w:val="center"/>
          </w:tcPr>
          <w:p w14:paraId="03E8370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4378 (30.18)</w:t>
            </w:r>
          </w:p>
        </w:tc>
        <w:tc>
          <w:tcPr>
            <w:tcW w:w="1260" w:type="dxa"/>
            <w:vAlign w:val="center"/>
          </w:tcPr>
          <w:p w14:paraId="7E93F8D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6842 (47.17)</w:t>
            </w:r>
          </w:p>
        </w:tc>
        <w:tc>
          <w:tcPr>
            <w:tcW w:w="1080" w:type="dxa"/>
            <w:vAlign w:val="center"/>
          </w:tcPr>
          <w:p w14:paraId="0DBDF5C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1247 (8.6)</w:t>
            </w:r>
          </w:p>
        </w:tc>
        <w:tc>
          <w:tcPr>
            <w:tcW w:w="1170" w:type="dxa"/>
            <w:vAlign w:val="center"/>
          </w:tcPr>
          <w:p w14:paraId="4B8B54A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2039 (14.06)</w:t>
            </w:r>
          </w:p>
        </w:tc>
        <w:tc>
          <w:tcPr>
            <w:tcW w:w="900" w:type="dxa"/>
            <w:vAlign w:val="center"/>
          </w:tcPr>
          <w:p w14:paraId="3B3C21D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61.22</w:t>
            </w:r>
          </w:p>
        </w:tc>
        <w:tc>
          <w:tcPr>
            <w:tcW w:w="918" w:type="dxa"/>
            <w:vAlign w:val="center"/>
          </w:tcPr>
          <w:p w14:paraId="0CEB7A1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22.65</w:t>
            </w:r>
          </w:p>
        </w:tc>
      </w:tr>
      <w:tr w:rsidR="002234DC" w:rsidRPr="00381786" w14:paraId="220BA128" w14:textId="77777777" w:rsidTr="00BD2233">
        <w:trPr>
          <w:jc w:val="center"/>
        </w:trPr>
        <w:tc>
          <w:tcPr>
            <w:tcW w:w="1548" w:type="dxa"/>
            <w:vAlign w:val="center"/>
          </w:tcPr>
          <w:p w14:paraId="624D728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No</w:t>
            </w:r>
          </w:p>
        </w:tc>
        <w:tc>
          <w:tcPr>
            <w:tcW w:w="1530" w:type="dxa"/>
            <w:vAlign w:val="center"/>
          </w:tcPr>
          <w:p w14:paraId="502F984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16841 (53.72)</w:t>
            </w:r>
          </w:p>
        </w:tc>
        <w:tc>
          <w:tcPr>
            <w:tcW w:w="1170" w:type="dxa"/>
            <w:vAlign w:val="center"/>
          </w:tcPr>
          <w:p w14:paraId="4CF1E9E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6238 (37.04)</w:t>
            </w:r>
          </w:p>
        </w:tc>
        <w:tc>
          <w:tcPr>
            <w:tcW w:w="1260" w:type="dxa"/>
            <w:vAlign w:val="center"/>
          </w:tcPr>
          <w:p w14:paraId="77A83F4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5465 (32.45)</w:t>
            </w:r>
          </w:p>
        </w:tc>
        <w:tc>
          <w:tcPr>
            <w:tcW w:w="1080" w:type="dxa"/>
            <w:vAlign w:val="center"/>
          </w:tcPr>
          <w:p w14:paraId="0C8F7AC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2458 (14.6)</w:t>
            </w:r>
          </w:p>
        </w:tc>
        <w:tc>
          <w:tcPr>
            <w:tcW w:w="1170" w:type="dxa"/>
            <w:vAlign w:val="center"/>
          </w:tcPr>
          <w:p w14:paraId="7765055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2680 (15.91)</w:t>
            </w:r>
          </w:p>
        </w:tc>
        <w:tc>
          <w:tcPr>
            <w:tcW w:w="900" w:type="dxa"/>
            <w:vAlign w:val="center"/>
          </w:tcPr>
          <w:p w14:paraId="798BDD6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48.36</w:t>
            </w:r>
          </w:p>
        </w:tc>
        <w:tc>
          <w:tcPr>
            <w:tcW w:w="918" w:type="dxa"/>
            <w:vAlign w:val="center"/>
          </w:tcPr>
          <w:p w14:paraId="05B8EA9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30.51</w:t>
            </w:r>
          </w:p>
        </w:tc>
      </w:tr>
      <w:tr w:rsidR="002234DC" w:rsidRPr="00381786" w14:paraId="2A97EAFE" w14:textId="77777777" w:rsidTr="00BD2233">
        <w:trPr>
          <w:jc w:val="center"/>
        </w:trPr>
        <w:tc>
          <w:tcPr>
            <w:tcW w:w="9576" w:type="dxa"/>
            <w:gridSpan w:val="8"/>
            <w:vAlign w:val="center"/>
          </w:tcPr>
          <w:p w14:paraId="3332454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Marital Status*</w:t>
            </w:r>
          </w:p>
        </w:tc>
      </w:tr>
      <w:tr w:rsidR="002234DC" w:rsidRPr="00381786" w14:paraId="5099BB7B" w14:textId="77777777" w:rsidTr="00BD2233">
        <w:trPr>
          <w:jc w:val="center"/>
        </w:trPr>
        <w:tc>
          <w:tcPr>
            <w:tcW w:w="1548" w:type="dxa"/>
            <w:vAlign w:val="center"/>
          </w:tcPr>
          <w:p w14:paraId="211EC8F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In union</w:t>
            </w:r>
          </w:p>
        </w:tc>
        <w:tc>
          <w:tcPr>
            <w:tcW w:w="1530" w:type="dxa"/>
            <w:vAlign w:val="center"/>
          </w:tcPr>
          <w:p w14:paraId="3510C2D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19845 (63.31)</w:t>
            </w:r>
          </w:p>
        </w:tc>
        <w:tc>
          <w:tcPr>
            <w:tcW w:w="1170" w:type="dxa"/>
            <w:vAlign w:val="center"/>
          </w:tcPr>
          <w:p w14:paraId="5F1059E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6886 (34.7)</w:t>
            </w:r>
          </w:p>
        </w:tc>
        <w:tc>
          <w:tcPr>
            <w:tcW w:w="1260" w:type="dxa"/>
            <w:vAlign w:val="center"/>
          </w:tcPr>
          <w:p w14:paraId="1156911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7628 (38.44)</w:t>
            </w:r>
          </w:p>
        </w:tc>
        <w:tc>
          <w:tcPr>
            <w:tcW w:w="1080" w:type="dxa"/>
            <w:vAlign w:val="center"/>
          </w:tcPr>
          <w:p w14:paraId="41082D5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2398 (12.08)</w:t>
            </w:r>
          </w:p>
        </w:tc>
        <w:tc>
          <w:tcPr>
            <w:tcW w:w="1170" w:type="dxa"/>
            <w:vAlign w:val="center"/>
          </w:tcPr>
          <w:p w14:paraId="71BF44B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2933 (14.78)</w:t>
            </w:r>
          </w:p>
        </w:tc>
        <w:tc>
          <w:tcPr>
            <w:tcW w:w="900" w:type="dxa"/>
            <w:vAlign w:val="center"/>
          </w:tcPr>
          <w:p w14:paraId="51BC9EA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53.22</w:t>
            </w:r>
          </w:p>
        </w:tc>
        <w:tc>
          <w:tcPr>
            <w:tcW w:w="918" w:type="dxa"/>
            <w:vAlign w:val="center"/>
          </w:tcPr>
          <w:p w14:paraId="4C1EB1D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26.86</w:t>
            </w:r>
          </w:p>
        </w:tc>
      </w:tr>
      <w:tr w:rsidR="002234DC" w:rsidRPr="00381786" w14:paraId="42A2CFF9" w14:textId="77777777" w:rsidTr="00BD2233">
        <w:trPr>
          <w:jc w:val="center"/>
        </w:trPr>
        <w:tc>
          <w:tcPr>
            <w:tcW w:w="1548" w:type="dxa"/>
            <w:vAlign w:val="center"/>
          </w:tcPr>
          <w:p w14:paraId="34BA3BD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Not in union</w:t>
            </w:r>
          </w:p>
        </w:tc>
        <w:tc>
          <w:tcPr>
            <w:tcW w:w="1530" w:type="dxa"/>
            <w:vAlign w:val="center"/>
          </w:tcPr>
          <w:p w14:paraId="679799D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11502 (36.69)</w:t>
            </w:r>
          </w:p>
        </w:tc>
        <w:tc>
          <w:tcPr>
            <w:tcW w:w="1170" w:type="dxa"/>
            <w:vAlign w:val="center"/>
          </w:tcPr>
          <w:p w14:paraId="3DF610B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3730 (32.43)</w:t>
            </w:r>
          </w:p>
        </w:tc>
        <w:tc>
          <w:tcPr>
            <w:tcW w:w="1260" w:type="dxa"/>
            <w:vAlign w:val="center"/>
          </w:tcPr>
          <w:p w14:paraId="23ED2CF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4679 (40.68)</w:t>
            </w:r>
          </w:p>
        </w:tc>
        <w:tc>
          <w:tcPr>
            <w:tcW w:w="1080" w:type="dxa"/>
            <w:vAlign w:val="center"/>
          </w:tcPr>
          <w:p w14:paraId="5CE3587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1307 (11.36)</w:t>
            </w:r>
          </w:p>
        </w:tc>
        <w:tc>
          <w:tcPr>
            <w:tcW w:w="1170" w:type="dxa"/>
            <w:vAlign w:val="center"/>
          </w:tcPr>
          <w:p w14:paraId="18C6ECA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1786 (15.53)</w:t>
            </w:r>
          </w:p>
        </w:tc>
        <w:tc>
          <w:tcPr>
            <w:tcW w:w="900" w:type="dxa"/>
            <w:vAlign w:val="center"/>
          </w:tcPr>
          <w:p w14:paraId="2270DD4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56.21</w:t>
            </w:r>
          </w:p>
        </w:tc>
        <w:tc>
          <w:tcPr>
            <w:tcW w:w="918" w:type="dxa"/>
            <w:vAlign w:val="center"/>
          </w:tcPr>
          <w:p w14:paraId="5EE642F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26.89</w:t>
            </w:r>
          </w:p>
        </w:tc>
      </w:tr>
      <w:tr w:rsidR="002234DC" w:rsidRPr="00381786" w14:paraId="62EA6D27" w14:textId="77777777" w:rsidTr="00BD2233">
        <w:trPr>
          <w:jc w:val="center"/>
        </w:trPr>
        <w:tc>
          <w:tcPr>
            <w:tcW w:w="9576" w:type="dxa"/>
            <w:gridSpan w:val="8"/>
            <w:vAlign w:val="center"/>
          </w:tcPr>
          <w:p w14:paraId="7B1154A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Present work status *</w:t>
            </w:r>
          </w:p>
        </w:tc>
      </w:tr>
      <w:tr w:rsidR="002234DC" w:rsidRPr="00381786" w14:paraId="07BD9D1B" w14:textId="77777777" w:rsidTr="00BD2233">
        <w:trPr>
          <w:jc w:val="center"/>
        </w:trPr>
        <w:tc>
          <w:tcPr>
            <w:tcW w:w="1548" w:type="dxa"/>
            <w:vAlign w:val="center"/>
          </w:tcPr>
          <w:p w14:paraId="566A583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Working &amp; worked previously</w:t>
            </w:r>
          </w:p>
        </w:tc>
        <w:tc>
          <w:tcPr>
            <w:tcW w:w="1530" w:type="dxa"/>
            <w:vAlign w:val="center"/>
          </w:tcPr>
          <w:p w14:paraId="48C646A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9275 (29.59)</w:t>
            </w:r>
          </w:p>
        </w:tc>
        <w:tc>
          <w:tcPr>
            <w:tcW w:w="1170" w:type="dxa"/>
            <w:vAlign w:val="center"/>
          </w:tcPr>
          <w:p w14:paraId="7990B83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4035 (43.5)</w:t>
            </w:r>
          </w:p>
        </w:tc>
        <w:tc>
          <w:tcPr>
            <w:tcW w:w="1260" w:type="dxa"/>
            <w:vAlign w:val="center"/>
          </w:tcPr>
          <w:p w14:paraId="3FF7665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2550 (27.49)</w:t>
            </w:r>
          </w:p>
        </w:tc>
        <w:tc>
          <w:tcPr>
            <w:tcW w:w="1080" w:type="dxa"/>
            <w:vAlign w:val="center"/>
          </w:tcPr>
          <w:p w14:paraId="111D6A4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1507 (16.25)</w:t>
            </w:r>
          </w:p>
        </w:tc>
        <w:tc>
          <w:tcPr>
            <w:tcW w:w="1170" w:type="dxa"/>
            <w:vAlign w:val="center"/>
          </w:tcPr>
          <w:p w14:paraId="3082DD6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1183 (12.75)</w:t>
            </w:r>
          </w:p>
        </w:tc>
        <w:tc>
          <w:tcPr>
            <w:tcW w:w="900" w:type="dxa"/>
            <w:vAlign w:val="center"/>
          </w:tcPr>
          <w:p w14:paraId="277416A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40.25</w:t>
            </w:r>
          </w:p>
        </w:tc>
        <w:tc>
          <w:tcPr>
            <w:tcW w:w="918" w:type="dxa"/>
            <w:vAlign w:val="center"/>
          </w:tcPr>
          <w:p w14:paraId="2B94D50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29</w:t>
            </w:r>
          </w:p>
        </w:tc>
      </w:tr>
      <w:tr w:rsidR="002234DC" w:rsidRPr="00381786" w14:paraId="71228949" w14:textId="77777777" w:rsidTr="00BD2233">
        <w:trPr>
          <w:jc w:val="center"/>
        </w:trPr>
        <w:tc>
          <w:tcPr>
            <w:tcW w:w="1548" w:type="dxa"/>
            <w:vAlign w:val="center"/>
          </w:tcPr>
          <w:p w14:paraId="1040B85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Worked previously</w:t>
            </w:r>
          </w:p>
        </w:tc>
        <w:tc>
          <w:tcPr>
            <w:tcW w:w="1530" w:type="dxa"/>
            <w:vAlign w:val="center"/>
          </w:tcPr>
          <w:p w14:paraId="1DEC25B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13315 (42.48)</w:t>
            </w:r>
          </w:p>
        </w:tc>
        <w:tc>
          <w:tcPr>
            <w:tcW w:w="1170" w:type="dxa"/>
            <w:vAlign w:val="center"/>
          </w:tcPr>
          <w:p w14:paraId="0770987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3981 (29.9)</w:t>
            </w:r>
          </w:p>
        </w:tc>
        <w:tc>
          <w:tcPr>
            <w:tcW w:w="1260" w:type="dxa"/>
            <w:vAlign w:val="center"/>
          </w:tcPr>
          <w:p w14:paraId="059671D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5815 (43.67)</w:t>
            </w:r>
          </w:p>
        </w:tc>
        <w:tc>
          <w:tcPr>
            <w:tcW w:w="1080" w:type="dxa"/>
            <w:vAlign w:val="center"/>
          </w:tcPr>
          <w:p w14:paraId="7799FFB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1390 (10.44)</w:t>
            </w:r>
          </w:p>
        </w:tc>
        <w:tc>
          <w:tcPr>
            <w:tcW w:w="1170" w:type="dxa"/>
            <w:vAlign w:val="center"/>
          </w:tcPr>
          <w:p w14:paraId="69F3518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2129 (15.99)</w:t>
            </w:r>
          </w:p>
        </w:tc>
        <w:tc>
          <w:tcPr>
            <w:tcW w:w="900" w:type="dxa"/>
            <w:vAlign w:val="center"/>
          </w:tcPr>
          <w:p w14:paraId="368B068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59.66</w:t>
            </w:r>
          </w:p>
        </w:tc>
        <w:tc>
          <w:tcPr>
            <w:tcW w:w="918" w:type="dxa"/>
            <w:vAlign w:val="center"/>
          </w:tcPr>
          <w:p w14:paraId="0E8721A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26.43</w:t>
            </w:r>
          </w:p>
        </w:tc>
      </w:tr>
      <w:tr w:rsidR="002234DC" w:rsidRPr="00381786" w14:paraId="4D52BE29" w14:textId="77777777" w:rsidTr="00BD2233">
        <w:trPr>
          <w:jc w:val="center"/>
        </w:trPr>
        <w:tc>
          <w:tcPr>
            <w:tcW w:w="1548" w:type="dxa"/>
            <w:vAlign w:val="center"/>
          </w:tcPr>
          <w:p w14:paraId="54F9A74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Never worked</w:t>
            </w:r>
          </w:p>
        </w:tc>
        <w:tc>
          <w:tcPr>
            <w:tcW w:w="1530" w:type="dxa"/>
            <w:vAlign w:val="center"/>
          </w:tcPr>
          <w:p w14:paraId="089284D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8753 (27.93)</w:t>
            </w:r>
          </w:p>
        </w:tc>
        <w:tc>
          <w:tcPr>
            <w:tcW w:w="1170" w:type="dxa"/>
            <w:vAlign w:val="center"/>
          </w:tcPr>
          <w:p w14:paraId="77FEFB3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2598 (29.68)</w:t>
            </w:r>
          </w:p>
        </w:tc>
        <w:tc>
          <w:tcPr>
            <w:tcW w:w="1260" w:type="dxa"/>
            <w:vAlign w:val="center"/>
          </w:tcPr>
          <w:p w14:paraId="0BF8D91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3940 (45.01)</w:t>
            </w:r>
          </w:p>
        </w:tc>
        <w:tc>
          <w:tcPr>
            <w:tcW w:w="1080" w:type="dxa"/>
            <w:vAlign w:val="center"/>
          </w:tcPr>
          <w:p w14:paraId="64ACBB9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808 (9.23)</w:t>
            </w:r>
          </w:p>
        </w:tc>
        <w:tc>
          <w:tcPr>
            <w:tcW w:w="1170" w:type="dxa"/>
            <w:vAlign w:val="center"/>
          </w:tcPr>
          <w:p w14:paraId="51A57C3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1407 (16.07)</w:t>
            </w:r>
          </w:p>
        </w:tc>
        <w:tc>
          <w:tcPr>
            <w:tcW w:w="900" w:type="dxa"/>
            <w:vAlign w:val="center"/>
          </w:tcPr>
          <w:p w14:paraId="549AA36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61.09</w:t>
            </w:r>
          </w:p>
        </w:tc>
        <w:tc>
          <w:tcPr>
            <w:tcW w:w="918" w:type="dxa"/>
            <w:vAlign w:val="center"/>
          </w:tcPr>
          <w:p w14:paraId="4B7B1EA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25.31</w:t>
            </w:r>
          </w:p>
        </w:tc>
      </w:tr>
      <w:tr w:rsidR="002234DC" w:rsidRPr="00381786" w14:paraId="50C414AF" w14:textId="77777777" w:rsidTr="00BD2233">
        <w:trPr>
          <w:jc w:val="center"/>
        </w:trPr>
        <w:tc>
          <w:tcPr>
            <w:tcW w:w="9576" w:type="dxa"/>
            <w:gridSpan w:val="8"/>
            <w:vAlign w:val="center"/>
          </w:tcPr>
          <w:p w14:paraId="7A56032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MPCE *</w:t>
            </w:r>
          </w:p>
        </w:tc>
      </w:tr>
      <w:tr w:rsidR="002234DC" w:rsidRPr="00381786" w14:paraId="4530489D" w14:textId="77777777" w:rsidTr="00BD2233">
        <w:trPr>
          <w:jc w:val="center"/>
        </w:trPr>
        <w:tc>
          <w:tcPr>
            <w:tcW w:w="1548" w:type="dxa"/>
            <w:vAlign w:val="center"/>
          </w:tcPr>
          <w:p w14:paraId="0D5A60D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Poorest</w:t>
            </w:r>
          </w:p>
        </w:tc>
        <w:tc>
          <w:tcPr>
            <w:tcW w:w="1530" w:type="dxa"/>
            <w:vAlign w:val="center"/>
          </w:tcPr>
          <w:p w14:paraId="5F427EE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6458 (20.6)</w:t>
            </w:r>
          </w:p>
        </w:tc>
        <w:tc>
          <w:tcPr>
            <w:tcW w:w="1170" w:type="dxa"/>
            <w:vAlign w:val="center"/>
          </w:tcPr>
          <w:p w14:paraId="150A8F5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2673 (41.39)</w:t>
            </w:r>
          </w:p>
        </w:tc>
        <w:tc>
          <w:tcPr>
            <w:tcW w:w="1260" w:type="dxa"/>
            <w:vAlign w:val="center"/>
          </w:tcPr>
          <w:p w14:paraId="51293A3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2055 (31.82)</w:t>
            </w:r>
          </w:p>
        </w:tc>
        <w:tc>
          <w:tcPr>
            <w:tcW w:w="1080" w:type="dxa"/>
            <w:vAlign w:val="center"/>
          </w:tcPr>
          <w:p w14:paraId="35AB52B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933 (14.45)</w:t>
            </w:r>
          </w:p>
        </w:tc>
        <w:tc>
          <w:tcPr>
            <w:tcW w:w="1170" w:type="dxa"/>
            <w:vAlign w:val="center"/>
          </w:tcPr>
          <w:p w14:paraId="0891A85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797 (12.34)</w:t>
            </w:r>
          </w:p>
        </w:tc>
        <w:tc>
          <w:tcPr>
            <w:tcW w:w="900" w:type="dxa"/>
            <w:vAlign w:val="center"/>
          </w:tcPr>
          <w:p w14:paraId="56F4450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44.16</w:t>
            </w:r>
          </w:p>
        </w:tc>
        <w:tc>
          <w:tcPr>
            <w:tcW w:w="918" w:type="dxa"/>
            <w:vAlign w:val="center"/>
          </w:tcPr>
          <w:p w14:paraId="740A2B6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26.79</w:t>
            </w:r>
          </w:p>
        </w:tc>
      </w:tr>
      <w:tr w:rsidR="002234DC" w:rsidRPr="00381786" w14:paraId="0141FE15" w14:textId="77777777" w:rsidTr="00BD2233">
        <w:trPr>
          <w:jc w:val="center"/>
        </w:trPr>
        <w:tc>
          <w:tcPr>
            <w:tcW w:w="1548" w:type="dxa"/>
            <w:vAlign w:val="center"/>
          </w:tcPr>
          <w:p w14:paraId="685E976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Poorer</w:t>
            </w:r>
          </w:p>
        </w:tc>
        <w:tc>
          <w:tcPr>
            <w:tcW w:w="1530" w:type="dxa"/>
            <w:vAlign w:val="center"/>
          </w:tcPr>
          <w:p w14:paraId="0FE371F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6448 (20.57)</w:t>
            </w:r>
          </w:p>
        </w:tc>
        <w:tc>
          <w:tcPr>
            <w:tcW w:w="1170" w:type="dxa"/>
            <w:vAlign w:val="center"/>
          </w:tcPr>
          <w:p w14:paraId="2397A38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2302 (35.7)</w:t>
            </w:r>
          </w:p>
        </w:tc>
        <w:tc>
          <w:tcPr>
            <w:tcW w:w="1260" w:type="dxa"/>
            <w:vAlign w:val="center"/>
          </w:tcPr>
          <w:p w14:paraId="0B69AF5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2284 (35.42)</w:t>
            </w:r>
          </w:p>
        </w:tc>
        <w:tc>
          <w:tcPr>
            <w:tcW w:w="1080" w:type="dxa"/>
            <w:vAlign w:val="center"/>
          </w:tcPr>
          <w:p w14:paraId="7077632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913 (14.16)</w:t>
            </w:r>
          </w:p>
        </w:tc>
        <w:tc>
          <w:tcPr>
            <w:tcW w:w="1170" w:type="dxa"/>
            <w:vAlign w:val="center"/>
          </w:tcPr>
          <w:p w14:paraId="2F23E03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949 (14.72)</w:t>
            </w:r>
          </w:p>
        </w:tc>
        <w:tc>
          <w:tcPr>
            <w:tcW w:w="900" w:type="dxa"/>
            <w:vAlign w:val="center"/>
          </w:tcPr>
          <w:p w14:paraId="0E5E041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50.14</w:t>
            </w:r>
          </w:p>
        </w:tc>
        <w:tc>
          <w:tcPr>
            <w:tcW w:w="918" w:type="dxa"/>
            <w:vAlign w:val="center"/>
          </w:tcPr>
          <w:p w14:paraId="47CF92D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28.88</w:t>
            </w:r>
          </w:p>
        </w:tc>
      </w:tr>
      <w:tr w:rsidR="002234DC" w:rsidRPr="00381786" w14:paraId="47C7A316" w14:textId="77777777" w:rsidTr="00BD2233">
        <w:trPr>
          <w:jc w:val="center"/>
        </w:trPr>
        <w:tc>
          <w:tcPr>
            <w:tcW w:w="1548" w:type="dxa"/>
            <w:vAlign w:val="center"/>
          </w:tcPr>
          <w:p w14:paraId="5BBD1E4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Middle</w:t>
            </w:r>
          </w:p>
        </w:tc>
        <w:tc>
          <w:tcPr>
            <w:tcW w:w="1530" w:type="dxa"/>
            <w:vAlign w:val="center"/>
          </w:tcPr>
          <w:p w14:paraId="013F81E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6392 (20.39)</w:t>
            </w:r>
          </w:p>
        </w:tc>
        <w:tc>
          <w:tcPr>
            <w:tcW w:w="1170" w:type="dxa"/>
            <w:vAlign w:val="center"/>
          </w:tcPr>
          <w:p w14:paraId="7C6766B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2197 (34.37)</w:t>
            </w:r>
          </w:p>
        </w:tc>
        <w:tc>
          <w:tcPr>
            <w:tcW w:w="1260" w:type="dxa"/>
            <w:vAlign w:val="center"/>
          </w:tcPr>
          <w:p w14:paraId="25DD491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2529 (39.57)</w:t>
            </w:r>
          </w:p>
        </w:tc>
        <w:tc>
          <w:tcPr>
            <w:tcW w:w="1080" w:type="dxa"/>
            <w:vAlign w:val="center"/>
          </w:tcPr>
          <w:p w14:paraId="354AA47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732 (11.45)</w:t>
            </w:r>
          </w:p>
        </w:tc>
        <w:tc>
          <w:tcPr>
            <w:tcW w:w="1170" w:type="dxa"/>
            <w:vAlign w:val="center"/>
          </w:tcPr>
          <w:p w14:paraId="0B95502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934 (14.61)</w:t>
            </w:r>
          </w:p>
        </w:tc>
        <w:tc>
          <w:tcPr>
            <w:tcW w:w="900" w:type="dxa"/>
            <w:vAlign w:val="center"/>
          </w:tcPr>
          <w:p w14:paraId="7A302AC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54.18</w:t>
            </w:r>
          </w:p>
        </w:tc>
        <w:tc>
          <w:tcPr>
            <w:tcW w:w="918" w:type="dxa"/>
            <w:vAlign w:val="center"/>
          </w:tcPr>
          <w:p w14:paraId="24E6DD6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26.06</w:t>
            </w:r>
          </w:p>
        </w:tc>
      </w:tr>
      <w:tr w:rsidR="002234DC" w:rsidRPr="00381786" w14:paraId="683E38C2" w14:textId="77777777" w:rsidTr="00BD2233">
        <w:trPr>
          <w:jc w:val="center"/>
        </w:trPr>
        <w:tc>
          <w:tcPr>
            <w:tcW w:w="1548" w:type="dxa"/>
            <w:vAlign w:val="center"/>
          </w:tcPr>
          <w:p w14:paraId="50C85C7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Richer</w:t>
            </w:r>
          </w:p>
        </w:tc>
        <w:tc>
          <w:tcPr>
            <w:tcW w:w="1530" w:type="dxa"/>
            <w:vAlign w:val="center"/>
          </w:tcPr>
          <w:p w14:paraId="318FC9B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6151 (19.62)</w:t>
            </w:r>
          </w:p>
        </w:tc>
        <w:tc>
          <w:tcPr>
            <w:tcW w:w="1170" w:type="dxa"/>
            <w:vAlign w:val="center"/>
          </w:tcPr>
          <w:p w14:paraId="74399FA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1899 (30.87)</w:t>
            </w:r>
          </w:p>
        </w:tc>
        <w:tc>
          <w:tcPr>
            <w:tcW w:w="1260" w:type="dxa"/>
            <w:vAlign w:val="center"/>
          </w:tcPr>
          <w:p w14:paraId="61AEE2B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2632 (42.79)</w:t>
            </w:r>
          </w:p>
        </w:tc>
        <w:tc>
          <w:tcPr>
            <w:tcW w:w="1080" w:type="dxa"/>
            <w:vAlign w:val="center"/>
          </w:tcPr>
          <w:p w14:paraId="0D3D96D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621 (10.1)</w:t>
            </w:r>
          </w:p>
        </w:tc>
        <w:tc>
          <w:tcPr>
            <w:tcW w:w="1170" w:type="dxa"/>
            <w:vAlign w:val="center"/>
          </w:tcPr>
          <w:p w14:paraId="0ECFE38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999 (16.24)</w:t>
            </w:r>
          </w:p>
        </w:tc>
        <w:tc>
          <w:tcPr>
            <w:tcW w:w="900" w:type="dxa"/>
            <w:vAlign w:val="center"/>
          </w:tcPr>
          <w:p w14:paraId="5858D22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59.03</w:t>
            </w:r>
          </w:p>
        </w:tc>
        <w:tc>
          <w:tcPr>
            <w:tcW w:w="918" w:type="dxa"/>
            <w:vAlign w:val="center"/>
          </w:tcPr>
          <w:p w14:paraId="6283757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26.34</w:t>
            </w:r>
          </w:p>
        </w:tc>
      </w:tr>
      <w:tr w:rsidR="002234DC" w:rsidRPr="00381786" w14:paraId="60E5249C" w14:textId="77777777" w:rsidTr="00BD2233">
        <w:trPr>
          <w:jc w:val="center"/>
        </w:trPr>
        <w:tc>
          <w:tcPr>
            <w:tcW w:w="1548" w:type="dxa"/>
            <w:vAlign w:val="center"/>
          </w:tcPr>
          <w:p w14:paraId="3614653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Richest</w:t>
            </w:r>
          </w:p>
        </w:tc>
        <w:tc>
          <w:tcPr>
            <w:tcW w:w="1530" w:type="dxa"/>
            <w:vAlign w:val="center"/>
          </w:tcPr>
          <w:p w14:paraId="477B905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5898 (18.82)</w:t>
            </w:r>
          </w:p>
        </w:tc>
        <w:tc>
          <w:tcPr>
            <w:tcW w:w="1170" w:type="dxa"/>
            <w:vAlign w:val="center"/>
          </w:tcPr>
          <w:p w14:paraId="6A5C937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1545 </w:t>
            </w:r>
            <w:r w:rsidRPr="00381786">
              <w:rPr>
                <w:rFonts w:ascii="Times New Roman" w:hAnsi="Times New Roman" w:cs="Times New Roman"/>
                <w:bCs/>
              </w:rPr>
              <w:lastRenderedPageBreak/>
              <w:t>(26.2)</w:t>
            </w:r>
          </w:p>
        </w:tc>
        <w:tc>
          <w:tcPr>
            <w:tcW w:w="1260" w:type="dxa"/>
            <w:vAlign w:val="center"/>
          </w:tcPr>
          <w:p w14:paraId="7C92623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2807 </w:t>
            </w:r>
            <w:r w:rsidRPr="00381786">
              <w:rPr>
                <w:rFonts w:ascii="Times New Roman" w:hAnsi="Times New Roman" w:cs="Times New Roman"/>
                <w:bCs/>
              </w:rPr>
              <w:lastRenderedPageBreak/>
              <w:t>(47.59)</w:t>
            </w:r>
          </w:p>
        </w:tc>
        <w:tc>
          <w:tcPr>
            <w:tcW w:w="1080" w:type="dxa"/>
            <w:vAlign w:val="center"/>
          </w:tcPr>
          <w:p w14:paraId="16CDFED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506 </w:t>
            </w:r>
            <w:r w:rsidRPr="00381786">
              <w:rPr>
                <w:rFonts w:ascii="Times New Roman" w:hAnsi="Times New Roman" w:cs="Times New Roman"/>
                <w:bCs/>
              </w:rPr>
              <w:lastRenderedPageBreak/>
              <w:t>(8.58)</w:t>
            </w:r>
          </w:p>
        </w:tc>
        <w:tc>
          <w:tcPr>
            <w:tcW w:w="1170" w:type="dxa"/>
            <w:vAlign w:val="center"/>
          </w:tcPr>
          <w:p w14:paraId="77B56BE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1040 </w:t>
            </w:r>
            <w:r w:rsidRPr="00381786">
              <w:rPr>
                <w:rFonts w:ascii="Times New Roman" w:hAnsi="Times New Roman" w:cs="Times New Roman"/>
                <w:bCs/>
              </w:rPr>
              <w:lastRenderedPageBreak/>
              <w:t>(17.63)</w:t>
            </w:r>
          </w:p>
        </w:tc>
        <w:tc>
          <w:tcPr>
            <w:tcW w:w="900" w:type="dxa"/>
            <w:vAlign w:val="center"/>
          </w:tcPr>
          <w:p w14:paraId="05FA07F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65.23</w:t>
            </w:r>
          </w:p>
        </w:tc>
        <w:tc>
          <w:tcPr>
            <w:tcW w:w="918" w:type="dxa"/>
            <w:vAlign w:val="center"/>
          </w:tcPr>
          <w:p w14:paraId="6410504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26.21</w:t>
            </w:r>
          </w:p>
        </w:tc>
      </w:tr>
      <w:tr w:rsidR="002234DC" w:rsidRPr="00381786" w14:paraId="77F1D4C1" w14:textId="77777777" w:rsidTr="00BD2233">
        <w:trPr>
          <w:jc w:val="center"/>
        </w:trPr>
        <w:tc>
          <w:tcPr>
            <w:tcW w:w="9576" w:type="dxa"/>
            <w:gridSpan w:val="8"/>
            <w:vAlign w:val="center"/>
          </w:tcPr>
          <w:p w14:paraId="51BA6CE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lastRenderedPageBreak/>
              <w:t>Type of house *</w:t>
            </w:r>
          </w:p>
        </w:tc>
      </w:tr>
      <w:tr w:rsidR="002234DC" w:rsidRPr="00381786" w14:paraId="622116DF" w14:textId="77777777" w:rsidTr="00BD2233">
        <w:trPr>
          <w:jc w:val="center"/>
        </w:trPr>
        <w:tc>
          <w:tcPr>
            <w:tcW w:w="1548" w:type="dxa"/>
            <w:vAlign w:val="center"/>
          </w:tcPr>
          <w:p w14:paraId="137BD857" w14:textId="77777777" w:rsidR="002234DC" w:rsidRPr="00381786" w:rsidRDefault="002234DC" w:rsidP="00BD2233">
            <w:pPr>
              <w:pStyle w:val="NoSpacing"/>
              <w:spacing w:line="360" w:lineRule="auto"/>
              <w:jc w:val="both"/>
              <w:rPr>
                <w:rFonts w:ascii="Times New Roman" w:hAnsi="Times New Roman" w:cs="Times New Roman"/>
                <w:bCs/>
              </w:rPr>
            </w:pPr>
            <w:proofErr w:type="spellStart"/>
            <w:r w:rsidRPr="00381786">
              <w:rPr>
                <w:rFonts w:ascii="Times New Roman" w:hAnsi="Times New Roman" w:cs="Times New Roman"/>
                <w:bCs/>
              </w:rPr>
              <w:t>Pucca</w:t>
            </w:r>
            <w:proofErr w:type="spellEnd"/>
          </w:p>
        </w:tc>
        <w:tc>
          <w:tcPr>
            <w:tcW w:w="1530" w:type="dxa"/>
            <w:vAlign w:val="center"/>
          </w:tcPr>
          <w:p w14:paraId="11274E8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16349 (53.38)</w:t>
            </w:r>
          </w:p>
        </w:tc>
        <w:tc>
          <w:tcPr>
            <w:tcW w:w="1170" w:type="dxa"/>
            <w:vAlign w:val="center"/>
          </w:tcPr>
          <w:p w14:paraId="2BFD8C5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4696 (28.72)</w:t>
            </w:r>
          </w:p>
        </w:tc>
        <w:tc>
          <w:tcPr>
            <w:tcW w:w="1260" w:type="dxa"/>
            <w:vAlign w:val="center"/>
          </w:tcPr>
          <w:p w14:paraId="38FD5E3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7637 (46.71)</w:t>
            </w:r>
          </w:p>
        </w:tc>
        <w:tc>
          <w:tcPr>
            <w:tcW w:w="1080" w:type="dxa"/>
            <w:vAlign w:val="center"/>
          </w:tcPr>
          <w:p w14:paraId="6B1331F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1458 (8.92)</w:t>
            </w:r>
          </w:p>
        </w:tc>
        <w:tc>
          <w:tcPr>
            <w:tcW w:w="1170" w:type="dxa"/>
            <w:vAlign w:val="center"/>
          </w:tcPr>
          <w:p w14:paraId="5A70214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2558 (15.65)</w:t>
            </w:r>
          </w:p>
        </w:tc>
        <w:tc>
          <w:tcPr>
            <w:tcW w:w="900" w:type="dxa"/>
            <w:vAlign w:val="center"/>
          </w:tcPr>
          <w:p w14:paraId="1ABA61B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62.36</w:t>
            </w:r>
          </w:p>
        </w:tc>
        <w:tc>
          <w:tcPr>
            <w:tcW w:w="918" w:type="dxa"/>
            <w:vAlign w:val="center"/>
          </w:tcPr>
          <w:p w14:paraId="7B435BA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24.56</w:t>
            </w:r>
          </w:p>
        </w:tc>
      </w:tr>
      <w:tr w:rsidR="002234DC" w:rsidRPr="00381786" w14:paraId="53CD47D8" w14:textId="77777777" w:rsidTr="00BD2233">
        <w:trPr>
          <w:jc w:val="center"/>
        </w:trPr>
        <w:tc>
          <w:tcPr>
            <w:tcW w:w="1548" w:type="dxa"/>
            <w:vAlign w:val="center"/>
          </w:tcPr>
          <w:p w14:paraId="2A77622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Not </w:t>
            </w:r>
            <w:proofErr w:type="spellStart"/>
            <w:r w:rsidRPr="00381786">
              <w:rPr>
                <w:rFonts w:ascii="Times New Roman" w:hAnsi="Times New Roman" w:cs="Times New Roman"/>
                <w:bCs/>
              </w:rPr>
              <w:t>pucca</w:t>
            </w:r>
            <w:proofErr w:type="spellEnd"/>
          </w:p>
        </w:tc>
        <w:tc>
          <w:tcPr>
            <w:tcW w:w="1530" w:type="dxa"/>
            <w:vAlign w:val="center"/>
          </w:tcPr>
          <w:p w14:paraId="40FE00C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14280 (46.62)</w:t>
            </w:r>
          </w:p>
        </w:tc>
        <w:tc>
          <w:tcPr>
            <w:tcW w:w="1170" w:type="dxa"/>
            <w:vAlign w:val="center"/>
          </w:tcPr>
          <w:p w14:paraId="6B71E25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5702 (39.93)</w:t>
            </w:r>
          </w:p>
        </w:tc>
        <w:tc>
          <w:tcPr>
            <w:tcW w:w="1260" w:type="dxa"/>
            <w:vAlign w:val="center"/>
          </w:tcPr>
          <w:p w14:paraId="0B04CE9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4356 </w:t>
            </w:r>
          </w:p>
          <w:p w14:paraId="527740E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(30.5)</w:t>
            </w:r>
          </w:p>
        </w:tc>
        <w:tc>
          <w:tcPr>
            <w:tcW w:w="1080" w:type="dxa"/>
            <w:vAlign w:val="center"/>
          </w:tcPr>
          <w:p w14:paraId="44022FB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2171 (15.2)</w:t>
            </w:r>
          </w:p>
        </w:tc>
        <w:tc>
          <w:tcPr>
            <w:tcW w:w="1170" w:type="dxa"/>
            <w:vAlign w:val="center"/>
          </w:tcPr>
          <w:p w14:paraId="22ED701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2051 (14.36)</w:t>
            </w:r>
          </w:p>
        </w:tc>
        <w:tc>
          <w:tcPr>
            <w:tcW w:w="900" w:type="dxa"/>
            <w:vAlign w:val="center"/>
          </w:tcPr>
          <w:p w14:paraId="09F2492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44.87</w:t>
            </w:r>
          </w:p>
        </w:tc>
        <w:tc>
          <w:tcPr>
            <w:tcW w:w="918" w:type="dxa"/>
            <w:vAlign w:val="center"/>
          </w:tcPr>
          <w:p w14:paraId="2EECF70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29.57</w:t>
            </w:r>
          </w:p>
        </w:tc>
      </w:tr>
      <w:tr w:rsidR="002234DC" w:rsidRPr="00381786" w14:paraId="01DB517B" w14:textId="77777777" w:rsidTr="00BD2233">
        <w:trPr>
          <w:jc w:val="center"/>
        </w:trPr>
        <w:tc>
          <w:tcPr>
            <w:tcW w:w="9576" w:type="dxa"/>
            <w:gridSpan w:val="8"/>
            <w:vAlign w:val="center"/>
          </w:tcPr>
          <w:p w14:paraId="0549F8D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Living Arrangement *</w:t>
            </w:r>
          </w:p>
        </w:tc>
      </w:tr>
      <w:tr w:rsidR="002234DC" w:rsidRPr="00381786" w14:paraId="511ECFB0" w14:textId="77777777" w:rsidTr="00BD2233">
        <w:trPr>
          <w:jc w:val="center"/>
        </w:trPr>
        <w:tc>
          <w:tcPr>
            <w:tcW w:w="1548" w:type="dxa"/>
            <w:vAlign w:val="center"/>
          </w:tcPr>
          <w:p w14:paraId="55D1903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living with spouse and children</w:t>
            </w:r>
          </w:p>
        </w:tc>
        <w:tc>
          <w:tcPr>
            <w:tcW w:w="1530" w:type="dxa"/>
            <w:vAlign w:val="center"/>
          </w:tcPr>
          <w:p w14:paraId="639627C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13457 (42.93)</w:t>
            </w:r>
          </w:p>
        </w:tc>
        <w:tc>
          <w:tcPr>
            <w:tcW w:w="1170" w:type="dxa"/>
            <w:vAlign w:val="center"/>
          </w:tcPr>
          <w:p w14:paraId="12801A8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4669 (34.7)</w:t>
            </w:r>
          </w:p>
        </w:tc>
        <w:tc>
          <w:tcPr>
            <w:tcW w:w="1260" w:type="dxa"/>
            <w:vAlign w:val="center"/>
          </w:tcPr>
          <w:p w14:paraId="5786EA8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5058 (37.59)</w:t>
            </w:r>
          </w:p>
        </w:tc>
        <w:tc>
          <w:tcPr>
            <w:tcW w:w="1080" w:type="dxa"/>
            <w:vAlign w:val="center"/>
          </w:tcPr>
          <w:p w14:paraId="6DE071C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1695 (12.6)</w:t>
            </w:r>
          </w:p>
        </w:tc>
        <w:tc>
          <w:tcPr>
            <w:tcW w:w="1170" w:type="dxa"/>
            <w:vAlign w:val="center"/>
          </w:tcPr>
          <w:p w14:paraId="567970E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2035 (15.12)</w:t>
            </w:r>
          </w:p>
        </w:tc>
        <w:tc>
          <w:tcPr>
            <w:tcW w:w="900" w:type="dxa"/>
            <w:vAlign w:val="center"/>
          </w:tcPr>
          <w:p w14:paraId="0BED1BC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52.71</w:t>
            </w:r>
          </w:p>
        </w:tc>
        <w:tc>
          <w:tcPr>
            <w:tcW w:w="918" w:type="dxa"/>
            <w:vAlign w:val="center"/>
          </w:tcPr>
          <w:p w14:paraId="224F23D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27.72</w:t>
            </w:r>
          </w:p>
        </w:tc>
      </w:tr>
      <w:tr w:rsidR="002234DC" w:rsidRPr="00381786" w14:paraId="66A205A0" w14:textId="77777777" w:rsidTr="00BD2233">
        <w:trPr>
          <w:jc w:val="center"/>
        </w:trPr>
        <w:tc>
          <w:tcPr>
            <w:tcW w:w="1548" w:type="dxa"/>
            <w:vAlign w:val="center"/>
          </w:tcPr>
          <w:p w14:paraId="261271F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Not living with spouse and children</w:t>
            </w:r>
          </w:p>
        </w:tc>
        <w:tc>
          <w:tcPr>
            <w:tcW w:w="1530" w:type="dxa"/>
            <w:vAlign w:val="center"/>
          </w:tcPr>
          <w:p w14:paraId="2CAA370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17890 (57.07)</w:t>
            </w:r>
          </w:p>
        </w:tc>
        <w:tc>
          <w:tcPr>
            <w:tcW w:w="1170" w:type="dxa"/>
            <w:vAlign w:val="center"/>
          </w:tcPr>
          <w:p w14:paraId="190E6A9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5947 (33.24)</w:t>
            </w:r>
          </w:p>
        </w:tc>
        <w:tc>
          <w:tcPr>
            <w:tcW w:w="1260" w:type="dxa"/>
            <w:vAlign w:val="center"/>
          </w:tcPr>
          <w:p w14:paraId="591B717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7249 (40.52)</w:t>
            </w:r>
          </w:p>
        </w:tc>
        <w:tc>
          <w:tcPr>
            <w:tcW w:w="1080" w:type="dxa"/>
            <w:vAlign w:val="center"/>
          </w:tcPr>
          <w:p w14:paraId="0CDD3AA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2010 (11.24)</w:t>
            </w:r>
          </w:p>
        </w:tc>
        <w:tc>
          <w:tcPr>
            <w:tcW w:w="1170" w:type="dxa"/>
            <w:vAlign w:val="center"/>
          </w:tcPr>
          <w:p w14:paraId="1E1ED5C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2684 (15)</w:t>
            </w:r>
          </w:p>
        </w:tc>
        <w:tc>
          <w:tcPr>
            <w:tcW w:w="900" w:type="dxa"/>
            <w:vAlign w:val="center"/>
          </w:tcPr>
          <w:p w14:paraId="1FFC225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55.52</w:t>
            </w:r>
          </w:p>
        </w:tc>
        <w:tc>
          <w:tcPr>
            <w:tcW w:w="918" w:type="dxa"/>
            <w:vAlign w:val="center"/>
          </w:tcPr>
          <w:p w14:paraId="26BE1E6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26.24</w:t>
            </w:r>
          </w:p>
        </w:tc>
      </w:tr>
      <w:tr w:rsidR="002234DC" w:rsidRPr="00381786" w14:paraId="5F71CAE1" w14:textId="77777777" w:rsidTr="00BD2233">
        <w:trPr>
          <w:jc w:val="center"/>
        </w:trPr>
        <w:tc>
          <w:tcPr>
            <w:tcW w:w="9576" w:type="dxa"/>
            <w:gridSpan w:val="8"/>
            <w:vAlign w:val="center"/>
          </w:tcPr>
          <w:p w14:paraId="70BEB6A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Life satisfaction*</w:t>
            </w:r>
          </w:p>
        </w:tc>
      </w:tr>
      <w:tr w:rsidR="002234DC" w:rsidRPr="00381786" w14:paraId="40F786ED" w14:textId="77777777" w:rsidTr="00BD2233">
        <w:trPr>
          <w:jc w:val="center"/>
        </w:trPr>
        <w:tc>
          <w:tcPr>
            <w:tcW w:w="1548" w:type="dxa"/>
            <w:vAlign w:val="center"/>
          </w:tcPr>
          <w:p w14:paraId="2B810C0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Much or fully satisfied</w:t>
            </w:r>
          </w:p>
        </w:tc>
        <w:tc>
          <w:tcPr>
            <w:tcW w:w="1530" w:type="dxa"/>
            <w:vAlign w:val="center"/>
          </w:tcPr>
          <w:p w14:paraId="10B65C4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15014 (50.04)</w:t>
            </w:r>
          </w:p>
        </w:tc>
        <w:tc>
          <w:tcPr>
            <w:tcW w:w="1170" w:type="dxa"/>
            <w:vAlign w:val="center"/>
          </w:tcPr>
          <w:p w14:paraId="3EFEE86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5287 (35.21)</w:t>
            </w:r>
          </w:p>
        </w:tc>
        <w:tc>
          <w:tcPr>
            <w:tcW w:w="1260" w:type="dxa"/>
            <w:vAlign w:val="center"/>
          </w:tcPr>
          <w:p w14:paraId="5427BF9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5975</w:t>
            </w:r>
          </w:p>
          <w:p w14:paraId="13EDF8D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 (39.8)</w:t>
            </w:r>
          </w:p>
        </w:tc>
        <w:tc>
          <w:tcPr>
            <w:tcW w:w="1080" w:type="dxa"/>
            <w:vAlign w:val="center"/>
          </w:tcPr>
          <w:p w14:paraId="2B6F588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1668 (11.11)</w:t>
            </w:r>
          </w:p>
        </w:tc>
        <w:tc>
          <w:tcPr>
            <w:tcW w:w="1170" w:type="dxa"/>
            <w:vAlign w:val="center"/>
          </w:tcPr>
          <w:p w14:paraId="69A3C40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2084 (13.88)</w:t>
            </w:r>
          </w:p>
        </w:tc>
        <w:tc>
          <w:tcPr>
            <w:tcW w:w="900" w:type="dxa"/>
            <w:vAlign w:val="center"/>
          </w:tcPr>
          <w:p w14:paraId="4AA5097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53.68</w:t>
            </w:r>
          </w:p>
        </w:tc>
        <w:tc>
          <w:tcPr>
            <w:tcW w:w="918" w:type="dxa"/>
            <w:vAlign w:val="center"/>
          </w:tcPr>
          <w:p w14:paraId="3869769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24.99</w:t>
            </w:r>
          </w:p>
        </w:tc>
      </w:tr>
      <w:tr w:rsidR="002234DC" w:rsidRPr="00381786" w14:paraId="277424EC" w14:textId="77777777" w:rsidTr="00BD2233">
        <w:trPr>
          <w:jc w:val="center"/>
        </w:trPr>
        <w:tc>
          <w:tcPr>
            <w:tcW w:w="1548" w:type="dxa"/>
            <w:vAlign w:val="center"/>
          </w:tcPr>
          <w:p w14:paraId="7300068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Little or not satisfied</w:t>
            </w:r>
          </w:p>
        </w:tc>
        <w:tc>
          <w:tcPr>
            <w:tcW w:w="1530" w:type="dxa"/>
            <w:vAlign w:val="center"/>
          </w:tcPr>
          <w:p w14:paraId="6307D12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14988 (49.96)</w:t>
            </w:r>
          </w:p>
        </w:tc>
        <w:tc>
          <w:tcPr>
            <w:tcW w:w="1170" w:type="dxa"/>
            <w:vAlign w:val="center"/>
          </w:tcPr>
          <w:p w14:paraId="3DF0542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4961 (33.1)</w:t>
            </w:r>
          </w:p>
        </w:tc>
        <w:tc>
          <w:tcPr>
            <w:tcW w:w="1260" w:type="dxa"/>
            <w:vAlign w:val="center"/>
          </w:tcPr>
          <w:p w14:paraId="47DA68B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5805 (38.73)</w:t>
            </w:r>
          </w:p>
        </w:tc>
        <w:tc>
          <w:tcPr>
            <w:tcW w:w="1080" w:type="dxa"/>
            <w:vAlign w:val="center"/>
          </w:tcPr>
          <w:p w14:paraId="20EF0B1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1875 (12.51)</w:t>
            </w:r>
          </w:p>
        </w:tc>
        <w:tc>
          <w:tcPr>
            <w:tcW w:w="1170" w:type="dxa"/>
            <w:vAlign w:val="center"/>
          </w:tcPr>
          <w:p w14:paraId="0D8870E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2347 (15.66)</w:t>
            </w:r>
          </w:p>
        </w:tc>
        <w:tc>
          <w:tcPr>
            <w:tcW w:w="900" w:type="dxa"/>
            <w:vAlign w:val="center"/>
          </w:tcPr>
          <w:p w14:paraId="4661279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54.39</w:t>
            </w:r>
          </w:p>
        </w:tc>
        <w:tc>
          <w:tcPr>
            <w:tcW w:w="918" w:type="dxa"/>
            <w:vAlign w:val="center"/>
          </w:tcPr>
          <w:p w14:paraId="183795A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28.17</w:t>
            </w:r>
          </w:p>
        </w:tc>
      </w:tr>
      <w:tr w:rsidR="002234DC" w:rsidRPr="00381786" w14:paraId="330BF7D5" w14:textId="77777777" w:rsidTr="00BD2233">
        <w:trPr>
          <w:jc w:val="center"/>
        </w:trPr>
        <w:tc>
          <w:tcPr>
            <w:tcW w:w="9576" w:type="dxa"/>
            <w:gridSpan w:val="8"/>
            <w:vAlign w:val="center"/>
          </w:tcPr>
          <w:p w14:paraId="2DB926A3" w14:textId="77777777" w:rsidR="002234DC" w:rsidRPr="00381786" w:rsidRDefault="002234DC" w:rsidP="00BD2233">
            <w:pPr>
              <w:pStyle w:val="NoSpacing"/>
              <w:spacing w:line="360" w:lineRule="auto"/>
              <w:jc w:val="both"/>
              <w:rPr>
                <w:rFonts w:ascii="Times New Roman" w:hAnsi="Times New Roman" w:cs="Times New Roman"/>
                <w:b/>
                <w:bCs/>
              </w:rPr>
            </w:pPr>
            <w:r w:rsidRPr="00381786">
              <w:rPr>
                <w:rFonts w:ascii="Times New Roman" w:hAnsi="Times New Roman" w:cs="Times New Roman"/>
                <w:b/>
                <w:bCs/>
              </w:rPr>
              <w:t>History of tobacco/alcohol use *</w:t>
            </w:r>
          </w:p>
        </w:tc>
      </w:tr>
      <w:tr w:rsidR="002234DC" w:rsidRPr="00381786" w14:paraId="59BA4C1B" w14:textId="77777777" w:rsidTr="00BD2233">
        <w:trPr>
          <w:jc w:val="center"/>
        </w:trPr>
        <w:tc>
          <w:tcPr>
            <w:tcW w:w="1548" w:type="dxa"/>
            <w:vAlign w:val="center"/>
          </w:tcPr>
          <w:p w14:paraId="6D2F7E3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Yes</w:t>
            </w:r>
          </w:p>
        </w:tc>
        <w:tc>
          <w:tcPr>
            <w:tcW w:w="1530" w:type="dxa"/>
            <w:vAlign w:val="center"/>
          </w:tcPr>
          <w:p w14:paraId="5209198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13462 (43.18)</w:t>
            </w:r>
          </w:p>
        </w:tc>
        <w:tc>
          <w:tcPr>
            <w:tcW w:w="1170" w:type="dxa"/>
            <w:vAlign w:val="center"/>
          </w:tcPr>
          <w:p w14:paraId="422465D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4867 (36.15)</w:t>
            </w:r>
          </w:p>
        </w:tc>
        <w:tc>
          <w:tcPr>
            <w:tcW w:w="1260" w:type="dxa"/>
            <w:vAlign w:val="center"/>
          </w:tcPr>
          <w:p w14:paraId="0964E71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4550 </w:t>
            </w:r>
          </w:p>
          <w:p w14:paraId="7F02375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(33.8)</w:t>
            </w:r>
          </w:p>
        </w:tc>
        <w:tc>
          <w:tcPr>
            <w:tcW w:w="1080" w:type="dxa"/>
            <w:vAlign w:val="center"/>
          </w:tcPr>
          <w:p w14:paraId="13120A9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1968 (14.62)</w:t>
            </w:r>
          </w:p>
        </w:tc>
        <w:tc>
          <w:tcPr>
            <w:tcW w:w="1170" w:type="dxa"/>
            <w:vAlign w:val="center"/>
          </w:tcPr>
          <w:p w14:paraId="362CA0E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2077 (15.43)</w:t>
            </w:r>
          </w:p>
        </w:tc>
        <w:tc>
          <w:tcPr>
            <w:tcW w:w="900" w:type="dxa"/>
            <w:vAlign w:val="center"/>
          </w:tcPr>
          <w:p w14:paraId="6925FFF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49.23</w:t>
            </w:r>
          </w:p>
        </w:tc>
        <w:tc>
          <w:tcPr>
            <w:tcW w:w="918" w:type="dxa"/>
            <w:vAlign w:val="center"/>
          </w:tcPr>
          <w:p w14:paraId="71DA2B4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30.05</w:t>
            </w:r>
          </w:p>
        </w:tc>
      </w:tr>
      <w:tr w:rsidR="002234DC" w:rsidRPr="00381786" w14:paraId="0B7DA0B7" w14:textId="77777777" w:rsidTr="00BD2233">
        <w:trPr>
          <w:jc w:val="center"/>
        </w:trPr>
        <w:tc>
          <w:tcPr>
            <w:tcW w:w="1548" w:type="dxa"/>
            <w:vAlign w:val="center"/>
          </w:tcPr>
          <w:p w14:paraId="5B068C7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No</w:t>
            </w:r>
          </w:p>
        </w:tc>
        <w:tc>
          <w:tcPr>
            <w:tcW w:w="1530" w:type="dxa"/>
            <w:vAlign w:val="center"/>
          </w:tcPr>
          <w:p w14:paraId="25467C5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17716 (56.82)</w:t>
            </w:r>
          </w:p>
        </w:tc>
        <w:tc>
          <w:tcPr>
            <w:tcW w:w="1170" w:type="dxa"/>
            <w:vAlign w:val="center"/>
          </w:tcPr>
          <w:p w14:paraId="1C1D767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5691 (32.12)</w:t>
            </w:r>
          </w:p>
        </w:tc>
        <w:tc>
          <w:tcPr>
            <w:tcW w:w="1260" w:type="dxa"/>
            <w:vAlign w:val="center"/>
          </w:tcPr>
          <w:p w14:paraId="3156910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7692 (43.42)</w:t>
            </w:r>
          </w:p>
        </w:tc>
        <w:tc>
          <w:tcPr>
            <w:tcW w:w="1080" w:type="dxa"/>
            <w:vAlign w:val="center"/>
          </w:tcPr>
          <w:p w14:paraId="6107165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1719 (9.7)</w:t>
            </w:r>
          </w:p>
        </w:tc>
        <w:tc>
          <w:tcPr>
            <w:tcW w:w="1170" w:type="dxa"/>
            <w:vAlign w:val="center"/>
          </w:tcPr>
          <w:p w14:paraId="67F1863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2614 (14.76)</w:t>
            </w:r>
          </w:p>
        </w:tc>
        <w:tc>
          <w:tcPr>
            <w:tcW w:w="900" w:type="dxa"/>
            <w:vAlign w:val="center"/>
          </w:tcPr>
          <w:p w14:paraId="37B6A7B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58.17</w:t>
            </w:r>
          </w:p>
        </w:tc>
        <w:tc>
          <w:tcPr>
            <w:tcW w:w="918" w:type="dxa"/>
            <w:vAlign w:val="center"/>
          </w:tcPr>
          <w:p w14:paraId="754C4EF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24.46</w:t>
            </w:r>
          </w:p>
        </w:tc>
      </w:tr>
      <w:tr w:rsidR="002234DC" w:rsidRPr="00381786" w14:paraId="10D3FAAE" w14:textId="77777777" w:rsidTr="00BD2233">
        <w:trPr>
          <w:jc w:val="center"/>
        </w:trPr>
        <w:tc>
          <w:tcPr>
            <w:tcW w:w="9576" w:type="dxa"/>
            <w:gridSpan w:val="8"/>
            <w:vAlign w:val="center"/>
          </w:tcPr>
          <w:p w14:paraId="6D8B374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Body mass index (BMI)* </w:t>
            </w:r>
          </w:p>
        </w:tc>
      </w:tr>
      <w:tr w:rsidR="002234DC" w:rsidRPr="00381786" w14:paraId="1A100385" w14:textId="77777777" w:rsidTr="00BD2233">
        <w:trPr>
          <w:jc w:val="center"/>
        </w:trPr>
        <w:tc>
          <w:tcPr>
            <w:tcW w:w="1548" w:type="dxa"/>
            <w:vAlign w:val="center"/>
          </w:tcPr>
          <w:p w14:paraId="2F44A9E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Normal</w:t>
            </w:r>
          </w:p>
        </w:tc>
        <w:tc>
          <w:tcPr>
            <w:tcW w:w="1530" w:type="dxa"/>
            <w:vAlign w:val="center"/>
          </w:tcPr>
          <w:p w14:paraId="78378BD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14706 (52.46)</w:t>
            </w:r>
          </w:p>
        </w:tc>
        <w:tc>
          <w:tcPr>
            <w:tcW w:w="1170" w:type="dxa"/>
            <w:vAlign w:val="center"/>
          </w:tcPr>
          <w:p w14:paraId="05FD81E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5318 (36.16)</w:t>
            </w:r>
          </w:p>
        </w:tc>
        <w:tc>
          <w:tcPr>
            <w:tcW w:w="1260" w:type="dxa"/>
            <w:vAlign w:val="center"/>
          </w:tcPr>
          <w:p w14:paraId="696DC5B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5455 (37.09)</w:t>
            </w:r>
          </w:p>
        </w:tc>
        <w:tc>
          <w:tcPr>
            <w:tcW w:w="1080" w:type="dxa"/>
            <w:vAlign w:val="center"/>
          </w:tcPr>
          <w:p w14:paraId="3348252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1811 (12.31)</w:t>
            </w:r>
          </w:p>
        </w:tc>
        <w:tc>
          <w:tcPr>
            <w:tcW w:w="1170" w:type="dxa"/>
            <w:vAlign w:val="center"/>
          </w:tcPr>
          <w:p w14:paraId="71C5165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2122 (14.43)</w:t>
            </w:r>
          </w:p>
        </w:tc>
        <w:tc>
          <w:tcPr>
            <w:tcW w:w="900" w:type="dxa"/>
            <w:vAlign w:val="center"/>
          </w:tcPr>
          <w:p w14:paraId="30F5E52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51.52</w:t>
            </w:r>
          </w:p>
        </w:tc>
        <w:tc>
          <w:tcPr>
            <w:tcW w:w="918" w:type="dxa"/>
            <w:vAlign w:val="center"/>
          </w:tcPr>
          <w:p w14:paraId="6465378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26.74</w:t>
            </w:r>
          </w:p>
        </w:tc>
      </w:tr>
      <w:tr w:rsidR="002234DC" w:rsidRPr="00381786" w14:paraId="3EEF7B96" w14:textId="77777777" w:rsidTr="00BD2233">
        <w:trPr>
          <w:jc w:val="center"/>
        </w:trPr>
        <w:tc>
          <w:tcPr>
            <w:tcW w:w="1548" w:type="dxa"/>
            <w:vAlign w:val="center"/>
          </w:tcPr>
          <w:p w14:paraId="7363D81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Underweight</w:t>
            </w:r>
          </w:p>
        </w:tc>
        <w:tc>
          <w:tcPr>
            <w:tcW w:w="1530" w:type="dxa"/>
            <w:vAlign w:val="center"/>
          </w:tcPr>
          <w:p w14:paraId="58669F5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6496 (23.17)</w:t>
            </w:r>
          </w:p>
        </w:tc>
        <w:tc>
          <w:tcPr>
            <w:tcW w:w="1170" w:type="dxa"/>
            <w:vAlign w:val="center"/>
          </w:tcPr>
          <w:p w14:paraId="73FC698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2755 (42.41)</w:t>
            </w:r>
          </w:p>
        </w:tc>
        <w:tc>
          <w:tcPr>
            <w:tcW w:w="1260" w:type="dxa"/>
            <w:vAlign w:val="center"/>
          </w:tcPr>
          <w:p w14:paraId="356A645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1563 (24.06)</w:t>
            </w:r>
          </w:p>
        </w:tc>
        <w:tc>
          <w:tcPr>
            <w:tcW w:w="1080" w:type="dxa"/>
            <w:vAlign w:val="center"/>
          </w:tcPr>
          <w:p w14:paraId="4D9781A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1220 (18.78)</w:t>
            </w:r>
          </w:p>
        </w:tc>
        <w:tc>
          <w:tcPr>
            <w:tcW w:w="1170" w:type="dxa"/>
            <w:vAlign w:val="center"/>
          </w:tcPr>
          <w:p w14:paraId="48565BD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958 (14.75)</w:t>
            </w:r>
          </w:p>
        </w:tc>
        <w:tc>
          <w:tcPr>
            <w:tcW w:w="900" w:type="dxa"/>
            <w:vAlign w:val="center"/>
          </w:tcPr>
          <w:p w14:paraId="340DC4A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38.81</w:t>
            </w:r>
          </w:p>
        </w:tc>
        <w:tc>
          <w:tcPr>
            <w:tcW w:w="918" w:type="dxa"/>
            <w:vAlign w:val="center"/>
          </w:tcPr>
          <w:p w14:paraId="0F3D54E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33.53</w:t>
            </w:r>
          </w:p>
        </w:tc>
      </w:tr>
      <w:tr w:rsidR="002234DC" w:rsidRPr="00381786" w14:paraId="08277F59" w14:textId="77777777" w:rsidTr="00BD2233">
        <w:trPr>
          <w:jc w:val="center"/>
        </w:trPr>
        <w:tc>
          <w:tcPr>
            <w:tcW w:w="1548" w:type="dxa"/>
            <w:vAlign w:val="center"/>
          </w:tcPr>
          <w:p w14:paraId="0464F68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Overweight</w:t>
            </w:r>
          </w:p>
        </w:tc>
        <w:tc>
          <w:tcPr>
            <w:tcW w:w="1530" w:type="dxa"/>
            <w:vAlign w:val="center"/>
          </w:tcPr>
          <w:p w14:paraId="30521BA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6830 (24.37)</w:t>
            </w:r>
          </w:p>
        </w:tc>
        <w:tc>
          <w:tcPr>
            <w:tcW w:w="1170" w:type="dxa"/>
            <w:vAlign w:val="center"/>
          </w:tcPr>
          <w:p w14:paraId="58FC304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1476 (21.61)</w:t>
            </w:r>
          </w:p>
        </w:tc>
        <w:tc>
          <w:tcPr>
            <w:tcW w:w="1260" w:type="dxa"/>
            <w:vAlign w:val="center"/>
          </w:tcPr>
          <w:p w14:paraId="5DD6219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3850 (56.37)</w:t>
            </w:r>
          </w:p>
        </w:tc>
        <w:tc>
          <w:tcPr>
            <w:tcW w:w="1080" w:type="dxa"/>
            <w:vAlign w:val="center"/>
          </w:tcPr>
          <w:p w14:paraId="7AD35DF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366 (5.36)</w:t>
            </w:r>
          </w:p>
        </w:tc>
        <w:tc>
          <w:tcPr>
            <w:tcW w:w="1170" w:type="dxa"/>
            <w:vAlign w:val="center"/>
          </w:tcPr>
          <w:p w14:paraId="19C9C5B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1138 (16.66)</w:t>
            </w:r>
          </w:p>
        </w:tc>
        <w:tc>
          <w:tcPr>
            <w:tcW w:w="900" w:type="dxa"/>
            <w:vAlign w:val="center"/>
          </w:tcPr>
          <w:p w14:paraId="6CB2113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73.03</w:t>
            </w:r>
          </w:p>
        </w:tc>
        <w:tc>
          <w:tcPr>
            <w:tcW w:w="918" w:type="dxa"/>
            <w:vAlign w:val="center"/>
          </w:tcPr>
          <w:p w14:paraId="064B0C6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22.02</w:t>
            </w:r>
          </w:p>
        </w:tc>
      </w:tr>
      <w:tr w:rsidR="002234DC" w:rsidRPr="00381786" w14:paraId="2107BB05" w14:textId="77777777" w:rsidTr="00BD2233">
        <w:trPr>
          <w:jc w:val="center"/>
        </w:trPr>
        <w:tc>
          <w:tcPr>
            <w:tcW w:w="9576" w:type="dxa"/>
            <w:gridSpan w:val="8"/>
            <w:vAlign w:val="center"/>
          </w:tcPr>
          <w:p w14:paraId="6E4D281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Waist Hip Ratio (WHR) *</w:t>
            </w:r>
          </w:p>
        </w:tc>
      </w:tr>
      <w:tr w:rsidR="002234DC" w:rsidRPr="00381786" w14:paraId="62752726" w14:textId="77777777" w:rsidTr="00BD2233">
        <w:trPr>
          <w:jc w:val="center"/>
        </w:trPr>
        <w:tc>
          <w:tcPr>
            <w:tcW w:w="1548" w:type="dxa"/>
            <w:vAlign w:val="center"/>
          </w:tcPr>
          <w:p w14:paraId="409E7F5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Low risk</w:t>
            </w:r>
          </w:p>
        </w:tc>
        <w:tc>
          <w:tcPr>
            <w:tcW w:w="1530" w:type="dxa"/>
            <w:vAlign w:val="center"/>
          </w:tcPr>
          <w:p w14:paraId="1B88F6B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3962 (14.42)</w:t>
            </w:r>
          </w:p>
        </w:tc>
        <w:tc>
          <w:tcPr>
            <w:tcW w:w="1170" w:type="dxa"/>
            <w:vAlign w:val="center"/>
          </w:tcPr>
          <w:p w14:paraId="706E9656"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1740 (43.92)</w:t>
            </w:r>
          </w:p>
        </w:tc>
        <w:tc>
          <w:tcPr>
            <w:tcW w:w="1260" w:type="dxa"/>
            <w:vAlign w:val="center"/>
          </w:tcPr>
          <w:p w14:paraId="5D8A4DB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1001 (25.27)</w:t>
            </w:r>
          </w:p>
        </w:tc>
        <w:tc>
          <w:tcPr>
            <w:tcW w:w="1080" w:type="dxa"/>
            <w:vAlign w:val="center"/>
          </w:tcPr>
          <w:p w14:paraId="1DD5261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683 (17.24)</w:t>
            </w:r>
          </w:p>
        </w:tc>
        <w:tc>
          <w:tcPr>
            <w:tcW w:w="1170" w:type="dxa"/>
            <w:vAlign w:val="center"/>
          </w:tcPr>
          <w:p w14:paraId="15237024"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538 (13.58)</w:t>
            </w:r>
          </w:p>
        </w:tc>
        <w:tc>
          <w:tcPr>
            <w:tcW w:w="900" w:type="dxa"/>
            <w:vAlign w:val="center"/>
          </w:tcPr>
          <w:p w14:paraId="0B91CD8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38.84</w:t>
            </w:r>
          </w:p>
        </w:tc>
        <w:tc>
          <w:tcPr>
            <w:tcW w:w="918" w:type="dxa"/>
            <w:vAlign w:val="center"/>
          </w:tcPr>
          <w:p w14:paraId="738578B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30.82</w:t>
            </w:r>
          </w:p>
        </w:tc>
      </w:tr>
      <w:tr w:rsidR="002234DC" w:rsidRPr="00381786" w14:paraId="711ED69C" w14:textId="77777777" w:rsidTr="00BD2233">
        <w:trPr>
          <w:jc w:val="center"/>
        </w:trPr>
        <w:tc>
          <w:tcPr>
            <w:tcW w:w="1548" w:type="dxa"/>
            <w:vAlign w:val="center"/>
          </w:tcPr>
          <w:p w14:paraId="436BC3D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Moderate </w:t>
            </w:r>
            <w:r w:rsidRPr="00381786">
              <w:rPr>
                <w:rFonts w:ascii="Times New Roman" w:hAnsi="Times New Roman" w:cs="Times New Roman"/>
                <w:bCs/>
              </w:rPr>
              <w:lastRenderedPageBreak/>
              <w:t>risk</w:t>
            </w:r>
          </w:p>
        </w:tc>
        <w:tc>
          <w:tcPr>
            <w:tcW w:w="1530" w:type="dxa"/>
            <w:vAlign w:val="center"/>
          </w:tcPr>
          <w:p w14:paraId="184492D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6764 (24.62)</w:t>
            </w:r>
          </w:p>
        </w:tc>
        <w:tc>
          <w:tcPr>
            <w:tcW w:w="1170" w:type="dxa"/>
            <w:vAlign w:val="center"/>
          </w:tcPr>
          <w:p w14:paraId="19C2922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 xml:space="preserve">2601 </w:t>
            </w:r>
            <w:r w:rsidRPr="00381786">
              <w:rPr>
                <w:rFonts w:ascii="Times New Roman" w:hAnsi="Times New Roman" w:cs="Times New Roman"/>
                <w:bCs/>
              </w:rPr>
              <w:lastRenderedPageBreak/>
              <w:t>(38.45)</w:t>
            </w:r>
          </w:p>
        </w:tc>
        <w:tc>
          <w:tcPr>
            <w:tcW w:w="1260" w:type="dxa"/>
            <w:vAlign w:val="center"/>
          </w:tcPr>
          <w:p w14:paraId="586ED882"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2373 </w:t>
            </w:r>
            <w:r w:rsidRPr="00381786">
              <w:rPr>
                <w:rFonts w:ascii="Times New Roman" w:hAnsi="Times New Roman" w:cs="Times New Roman"/>
                <w:bCs/>
              </w:rPr>
              <w:lastRenderedPageBreak/>
              <w:t>(35.08)</w:t>
            </w:r>
          </w:p>
        </w:tc>
        <w:tc>
          <w:tcPr>
            <w:tcW w:w="1080" w:type="dxa"/>
            <w:vAlign w:val="center"/>
          </w:tcPr>
          <w:p w14:paraId="2F74DF5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880 </w:t>
            </w:r>
            <w:r w:rsidRPr="00381786">
              <w:rPr>
                <w:rFonts w:ascii="Times New Roman" w:hAnsi="Times New Roman" w:cs="Times New Roman"/>
                <w:bCs/>
              </w:rPr>
              <w:lastRenderedPageBreak/>
              <w:t>(13.01)</w:t>
            </w:r>
          </w:p>
        </w:tc>
        <w:tc>
          <w:tcPr>
            <w:tcW w:w="1170" w:type="dxa"/>
            <w:vAlign w:val="center"/>
          </w:tcPr>
          <w:p w14:paraId="31A9374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 xml:space="preserve">910 </w:t>
            </w:r>
            <w:r w:rsidRPr="00381786">
              <w:rPr>
                <w:rFonts w:ascii="Times New Roman" w:hAnsi="Times New Roman" w:cs="Times New Roman"/>
                <w:bCs/>
              </w:rPr>
              <w:lastRenderedPageBreak/>
              <w:t>(13.45)</w:t>
            </w:r>
          </w:p>
        </w:tc>
        <w:tc>
          <w:tcPr>
            <w:tcW w:w="900" w:type="dxa"/>
            <w:vAlign w:val="center"/>
          </w:tcPr>
          <w:p w14:paraId="43BB098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48.54</w:t>
            </w:r>
          </w:p>
        </w:tc>
        <w:tc>
          <w:tcPr>
            <w:tcW w:w="918" w:type="dxa"/>
            <w:vAlign w:val="center"/>
          </w:tcPr>
          <w:p w14:paraId="7969F667"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26.46</w:t>
            </w:r>
          </w:p>
        </w:tc>
      </w:tr>
      <w:tr w:rsidR="002234DC" w:rsidRPr="00381786" w14:paraId="5AC88F15" w14:textId="77777777" w:rsidTr="00BD2233">
        <w:trPr>
          <w:jc w:val="center"/>
        </w:trPr>
        <w:tc>
          <w:tcPr>
            <w:tcW w:w="1548" w:type="dxa"/>
            <w:vAlign w:val="center"/>
          </w:tcPr>
          <w:p w14:paraId="471C0EF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lastRenderedPageBreak/>
              <w:t>High risk</w:t>
            </w:r>
          </w:p>
        </w:tc>
        <w:tc>
          <w:tcPr>
            <w:tcW w:w="1530" w:type="dxa"/>
            <w:vAlign w:val="center"/>
          </w:tcPr>
          <w:p w14:paraId="1A77E48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16747 (60.96)</w:t>
            </w:r>
          </w:p>
        </w:tc>
        <w:tc>
          <w:tcPr>
            <w:tcW w:w="1170" w:type="dxa"/>
            <w:vAlign w:val="center"/>
          </w:tcPr>
          <w:p w14:paraId="048759C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4991 (29.8)</w:t>
            </w:r>
          </w:p>
        </w:tc>
        <w:tc>
          <w:tcPr>
            <w:tcW w:w="1260" w:type="dxa"/>
            <w:vAlign w:val="center"/>
          </w:tcPr>
          <w:p w14:paraId="578CD4E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7325 (43.74)</w:t>
            </w:r>
          </w:p>
        </w:tc>
        <w:tc>
          <w:tcPr>
            <w:tcW w:w="1080" w:type="dxa"/>
            <w:vAlign w:val="center"/>
          </w:tcPr>
          <w:p w14:paraId="50CF998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1729 (10.32)</w:t>
            </w:r>
          </w:p>
        </w:tc>
        <w:tc>
          <w:tcPr>
            <w:tcW w:w="1170" w:type="dxa"/>
            <w:vAlign w:val="center"/>
          </w:tcPr>
          <w:p w14:paraId="4742799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2702 (16.13)</w:t>
            </w:r>
          </w:p>
        </w:tc>
        <w:tc>
          <w:tcPr>
            <w:tcW w:w="900" w:type="dxa"/>
            <w:vAlign w:val="center"/>
          </w:tcPr>
          <w:p w14:paraId="5C3F2E48"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59.87</w:t>
            </w:r>
          </w:p>
        </w:tc>
        <w:tc>
          <w:tcPr>
            <w:tcW w:w="918" w:type="dxa"/>
            <w:vAlign w:val="center"/>
          </w:tcPr>
          <w:p w14:paraId="7EDF623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26.46</w:t>
            </w:r>
          </w:p>
        </w:tc>
      </w:tr>
      <w:tr w:rsidR="002234DC" w:rsidRPr="00381786" w14:paraId="5AD0ABE2" w14:textId="77777777" w:rsidTr="00BD2233">
        <w:trPr>
          <w:jc w:val="center"/>
        </w:trPr>
        <w:tc>
          <w:tcPr>
            <w:tcW w:w="9576" w:type="dxa"/>
            <w:gridSpan w:val="8"/>
            <w:vAlign w:val="center"/>
          </w:tcPr>
          <w:p w14:paraId="5B25F90F"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
                <w:bCs/>
              </w:rPr>
              <w:t>Activities of Daily Life (ADL)* </w:t>
            </w:r>
          </w:p>
        </w:tc>
      </w:tr>
      <w:tr w:rsidR="002234DC" w:rsidRPr="00381786" w14:paraId="7D423E98" w14:textId="77777777" w:rsidTr="00BD2233">
        <w:trPr>
          <w:jc w:val="center"/>
        </w:trPr>
        <w:tc>
          <w:tcPr>
            <w:tcW w:w="1548" w:type="dxa"/>
            <w:vAlign w:val="center"/>
          </w:tcPr>
          <w:p w14:paraId="125EEB7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Dependent</w:t>
            </w:r>
          </w:p>
        </w:tc>
        <w:tc>
          <w:tcPr>
            <w:tcW w:w="1530" w:type="dxa"/>
            <w:vAlign w:val="center"/>
          </w:tcPr>
          <w:p w14:paraId="5E7C49C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9155 (29.27)</w:t>
            </w:r>
          </w:p>
        </w:tc>
        <w:tc>
          <w:tcPr>
            <w:tcW w:w="1170" w:type="dxa"/>
            <w:vAlign w:val="center"/>
          </w:tcPr>
          <w:p w14:paraId="61279323"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2286 (24.97)</w:t>
            </w:r>
          </w:p>
        </w:tc>
        <w:tc>
          <w:tcPr>
            <w:tcW w:w="1260" w:type="dxa"/>
            <w:vAlign w:val="center"/>
          </w:tcPr>
          <w:p w14:paraId="46448DD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3806 (41.57)</w:t>
            </w:r>
          </w:p>
        </w:tc>
        <w:tc>
          <w:tcPr>
            <w:tcW w:w="1080" w:type="dxa"/>
            <w:vAlign w:val="center"/>
          </w:tcPr>
          <w:p w14:paraId="4F03438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1110 (12.12)</w:t>
            </w:r>
          </w:p>
        </w:tc>
        <w:tc>
          <w:tcPr>
            <w:tcW w:w="1170" w:type="dxa"/>
            <w:vAlign w:val="center"/>
          </w:tcPr>
          <w:p w14:paraId="4B438A7B"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1953 (21.33)</w:t>
            </w:r>
          </w:p>
        </w:tc>
        <w:tc>
          <w:tcPr>
            <w:tcW w:w="900" w:type="dxa"/>
            <w:vAlign w:val="center"/>
          </w:tcPr>
          <w:p w14:paraId="79248019"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62.91</w:t>
            </w:r>
          </w:p>
        </w:tc>
        <w:tc>
          <w:tcPr>
            <w:tcW w:w="918" w:type="dxa"/>
            <w:vAlign w:val="center"/>
          </w:tcPr>
          <w:p w14:paraId="0853431C"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33.46</w:t>
            </w:r>
          </w:p>
        </w:tc>
      </w:tr>
      <w:tr w:rsidR="002234DC" w:rsidRPr="00381786" w14:paraId="5882063F" w14:textId="77777777" w:rsidTr="00BD2233">
        <w:trPr>
          <w:jc w:val="center"/>
        </w:trPr>
        <w:tc>
          <w:tcPr>
            <w:tcW w:w="1548" w:type="dxa"/>
            <w:vAlign w:val="center"/>
          </w:tcPr>
          <w:p w14:paraId="71683A9D"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Independent</w:t>
            </w:r>
          </w:p>
        </w:tc>
        <w:tc>
          <w:tcPr>
            <w:tcW w:w="1530" w:type="dxa"/>
            <w:vAlign w:val="center"/>
          </w:tcPr>
          <w:p w14:paraId="469D7A5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22122 (70.73)</w:t>
            </w:r>
          </w:p>
        </w:tc>
        <w:tc>
          <w:tcPr>
            <w:tcW w:w="1170" w:type="dxa"/>
            <w:vAlign w:val="center"/>
          </w:tcPr>
          <w:p w14:paraId="226C4031"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8300 (37.52)</w:t>
            </w:r>
          </w:p>
        </w:tc>
        <w:tc>
          <w:tcPr>
            <w:tcW w:w="1260" w:type="dxa"/>
            <w:vAlign w:val="center"/>
          </w:tcPr>
          <w:p w14:paraId="2DE75BB0"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8487 (38.36)</w:t>
            </w:r>
          </w:p>
        </w:tc>
        <w:tc>
          <w:tcPr>
            <w:tcW w:w="1080" w:type="dxa"/>
            <w:vAlign w:val="center"/>
          </w:tcPr>
          <w:p w14:paraId="1FB5382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2579 (11.66)</w:t>
            </w:r>
          </w:p>
        </w:tc>
        <w:tc>
          <w:tcPr>
            <w:tcW w:w="1170" w:type="dxa"/>
            <w:vAlign w:val="center"/>
          </w:tcPr>
          <w:p w14:paraId="0637A8AE"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2756 (12.46)</w:t>
            </w:r>
          </w:p>
        </w:tc>
        <w:tc>
          <w:tcPr>
            <w:tcW w:w="900" w:type="dxa"/>
            <w:vAlign w:val="center"/>
          </w:tcPr>
          <w:p w14:paraId="204EC865"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50.82</w:t>
            </w:r>
          </w:p>
        </w:tc>
        <w:tc>
          <w:tcPr>
            <w:tcW w:w="918" w:type="dxa"/>
            <w:vAlign w:val="center"/>
          </w:tcPr>
          <w:p w14:paraId="096A927A" w14:textId="77777777" w:rsidR="002234DC" w:rsidRPr="00381786" w:rsidRDefault="002234DC" w:rsidP="00BD2233">
            <w:pPr>
              <w:pStyle w:val="NoSpacing"/>
              <w:spacing w:line="360" w:lineRule="auto"/>
              <w:jc w:val="both"/>
              <w:rPr>
                <w:rFonts w:ascii="Times New Roman" w:hAnsi="Times New Roman" w:cs="Times New Roman"/>
                <w:bCs/>
              </w:rPr>
            </w:pPr>
            <w:r w:rsidRPr="00381786">
              <w:rPr>
                <w:rFonts w:ascii="Times New Roman" w:hAnsi="Times New Roman" w:cs="Times New Roman"/>
                <w:bCs/>
              </w:rPr>
              <w:t>24.12%</w:t>
            </w:r>
          </w:p>
        </w:tc>
      </w:tr>
    </w:tbl>
    <w:p w14:paraId="0F367402" w14:textId="77777777" w:rsidR="002234DC" w:rsidRPr="00381786" w:rsidRDefault="002234DC" w:rsidP="002234DC">
      <w:pPr>
        <w:pStyle w:val="NoSpacing"/>
        <w:spacing w:line="360" w:lineRule="auto"/>
        <w:jc w:val="both"/>
        <w:rPr>
          <w:rFonts w:ascii="Times New Roman" w:hAnsi="Times New Roman" w:cs="Times New Roman"/>
          <w:bCs/>
          <w:vertAlign w:val="superscript"/>
        </w:rPr>
      </w:pPr>
      <w:r w:rsidRPr="00381786">
        <w:rPr>
          <w:rFonts w:ascii="Times New Roman" w:hAnsi="Times New Roman" w:cs="Times New Roman"/>
          <w:bCs/>
          <w:vertAlign w:val="superscript"/>
        </w:rPr>
        <w:t>*P-value &lt;=0.05 for 5% level of significance.</w:t>
      </w:r>
    </w:p>
    <w:p w14:paraId="69E49D66" w14:textId="77777777" w:rsidR="00C67BA4" w:rsidRPr="00381786" w:rsidRDefault="00606890" w:rsidP="00086D35">
      <w:pPr>
        <w:pStyle w:val="NoSpacing"/>
        <w:spacing w:line="360" w:lineRule="auto"/>
        <w:jc w:val="both"/>
        <w:rPr>
          <w:rFonts w:ascii="Times New Roman" w:hAnsi="Times New Roman" w:cs="Times New Roman"/>
        </w:rPr>
      </w:pPr>
      <w:r w:rsidRPr="00381786">
        <w:rPr>
          <w:rFonts w:ascii="Times New Roman" w:hAnsi="Times New Roman" w:cs="Times New Roman"/>
        </w:rPr>
        <w:t xml:space="preserve"> </w:t>
      </w:r>
      <w:r w:rsidR="006544FD" w:rsidRPr="00381786">
        <w:rPr>
          <w:rFonts w:ascii="Times New Roman" w:hAnsi="Times New Roman" w:cs="Times New Roman"/>
          <w:bCs/>
        </w:rPr>
        <w:t>Table 4</w:t>
      </w:r>
      <w:r w:rsidR="0024719D" w:rsidRPr="00381786">
        <w:rPr>
          <w:rFonts w:ascii="Times New Roman" w:hAnsi="Times New Roman" w:cs="Times New Roman"/>
        </w:rPr>
        <w:t xml:space="preserve"> presents the adjusted odds ratios (AORs) and 95% confidence intervals (CIs) from three piecewise logistic regression models examining risk factors associated with the prevalence of three groups of diseases burden. The assumption of multi-collinearity was checked in on the basis of variance information criterion value and it was well below 10 for each predictor in each model. </w:t>
      </w:r>
    </w:p>
    <w:p w14:paraId="1CF00A80" w14:textId="77777777" w:rsidR="00993FE1" w:rsidRPr="00381786" w:rsidRDefault="00993FE1" w:rsidP="00993FE1">
      <w:pPr>
        <w:pStyle w:val="NoSpacing"/>
        <w:spacing w:line="360" w:lineRule="auto"/>
        <w:jc w:val="both"/>
        <w:rPr>
          <w:rFonts w:ascii="Times New Roman" w:hAnsi="Times New Roman" w:cs="Times New Roman"/>
          <w:color w:val="EE0000"/>
        </w:rPr>
      </w:pPr>
      <w:proofErr w:type="gramStart"/>
      <w:r w:rsidRPr="00381786">
        <w:rPr>
          <w:rFonts w:ascii="Times New Roman" w:hAnsi="Times New Roman" w:cs="Times New Roman"/>
          <w:b/>
          <w:bCs/>
          <w:lang w:bidi="hi-IN"/>
        </w:rPr>
        <w:t>Table 4.</w:t>
      </w:r>
      <w:proofErr w:type="gramEnd"/>
      <w:r w:rsidRPr="00381786">
        <w:rPr>
          <w:rFonts w:ascii="Times New Roman" w:hAnsi="Times New Roman" w:cs="Times New Roman"/>
          <w:b/>
          <w:bCs/>
          <w:lang w:bidi="hi-IN"/>
        </w:rPr>
        <w:t xml:space="preserve"> Results of piecewise logistic regression</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50"/>
        <w:gridCol w:w="2430"/>
        <w:gridCol w:w="2421"/>
      </w:tblGrid>
      <w:tr w:rsidR="00993FE1" w:rsidRPr="00381786" w14:paraId="4C301238" w14:textId="77777777" w:rsidTr="00BD2233">
        <w:trPr>
          <w:trHeight w:val="288"/>
          <w:jc w:val="center"/>
        </w:trPr>
        <w:tc>
          <w:tcPr>
            <w:tcW w:w="2241" w:type="dxa"/>
            <w:tcBorders>
              <w:top w:val="single" w:sz="4" w:space="0" w:color="auto"/>
            </w:tcBorders>
            <w:noWrap/>
            <w:hideMark/>
          </w:tcPr>
          <w:p w14:paraId="3FCF917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Characteristics</w:t>
            </w:r>
          </w:p>
        </w:tc>
        <w:tc>
          <w:tcPr>
            <w:tcW w:w="2250" w:type="dxa"/>
            <w:tcBorders>
              <w:top w:val="single" w:sz="4" w:space="0" w:color="auto"/>
            </w:tcBorders>
            <w:noWrap/>
            <w:hideMark/>
          </w:tcPr>
          <w:p w14:paraId="190C483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ONCD</w:t>
            </w:r>
          </w:p>
        </w:tc>
        <w:tc>
          <w:tcPr>
            <w:tcW w:w="2430" w:type="dxa"/>
            <w:tcBorders>
              <w:top w:val="single" w:sz="4" w:space="0" w:color="auto"/>
            </w:tcBorders>
            <w:noWrap/>
            <w:hideMark/>
          </w:tcPr>
          <w:p w14:paraId="073B327C" w14:textId="77777777" w:rsidR="00993FE1" w:rsidRPr="00381786" w:rsidRDefault="00993FE1" w:rsidP="00BD2233">
            <w:pPr>
              <w:pStyle w:val="NoSpacing"/>
              <w:tabs>
                <w:tab w:val="left" w:pos="1490"/>
              </w:tabs>
              <w:spacing w:line="360" w:lineRule="auto"/>
              <w:jc w:val="both"/>
              <w:rPr>
                <w:rFonts w:ascii="Times New Roman" w:hAnsi="Times New Roman" w:cs="Times New Roman"/>
                <w:lang w:bidi="hi-IN"/>
              </w:rPr>
            </w:pPr>
            <w:r w:rsidRPr="00381786">
              <w:rPr>
                <w:rFonts w:ascii="Times New Roman" w:hAnsi="Times New Roman" w:cs="Times New Roman"/>
                <w:lang w:bidi="hi-IN"/>
              </w:rPr>
              <w:t>OCD</w:t>
            </w:r>
            <w:r w:rsidRPr="00381786">
              <w:rPr>
                <w:rFonts w:ascii="Times New Roman" w:hAnsi="Times New Roman" w:cs="Times New Roman"/>
                <w:lang w:bidi="hi-IN"/>
              </w:rPr>
              <w:tab/>
            </w:r>
          </w:p>
        </w:tc>
        <w:tc>
          <w:tcPr>
            <w:tcW w:w="2421" w:type="dxa"/>
            <w:tcBorders>
              <w:top w:val="single" w:sz="4" w:space="0" w:color="auto"/>
            </w:tcBorders>
            <w:noWrap/>
            <w:hideMark/>
          </w:tcPr>
          <w:p w14:paraId="050C83FC"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ONCD&amp;OCD</w:t>
            </w:r>
          </w:p>
        </w:tc>
      </w:tr>
      <w:tr w:rsidR="00993FE1" w:rsidRPr="00381786" w14:paraId="55CB2776" w14:textId="77777777" w:rsidTr="00BD2233">
        <w:trPr>
          <w:trHeight w:val="288"/>
          <w:jc w:val="center"/>
        </w:trPr>
        <w:tc>
          <w:tcPr>
            <w:tcW w:w="9342" w:type="dxa"/>
            <w:gridSpan w:val="4"/>
            <w:noWrap/>
            <w:hideMark/>
          </w:tcPr>
          <w:p w14:paraId="6B37C69B"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Age (Ref. 60- 64)</w:t>
            </w:r>
            <w:r w:rsidRPr="00381786">
              <w:rPr>
                <w:rFonts w:ascii="Times New Roman" w:hAnsi="Times New Roman" w:cs="Times New Roman"/>
                <w:lang w:bidi="hi-IN"/>
              </w:rPr>
              <w:t> </w:t>
            </w:r>
          </w:p>
        </w:tc>
      </w:tr>
      <w:tr w:rsidR="00993FE1" w:rsidRPr="00381786" w14:paraId="5946B8D5" w14:textId="77777777" w:rsidTr="00BD2233">
        <w:trPr>
          <w:trHeight w:val="288"/>
          <w:jc w:val="center"/>
        </w:trPr>
        <w:tc>
          <w:tcPr>
            <w:tcW w:w="2241" w:type="dxa"/>
            <w:noWrap/>
            <w:hideMark/>
          </w:tcPr>
          <w:p w14:paraId="6DB5BD25"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65-69</w:t>
            </w:r>
          </w:p>
        </w:tc>
        <w:tc>
          <w:tcPr>
            <w:tcW w:w="2250" w:type="dxa"/>
            <w:noWrap/>
            <w:hideMark/>
          </w:tcPr>
          <w:p w14:paraId="70262821"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1.241 (1.158-1.329) *</w:t>
            </w:r>
          </w:p>
        </w:tc>
        <w:tc>
          <w:tcPr>
            <w:tcW w:w="2430" w:type="dxa"/>
            <w:noWrap/>
            <w:hideMark/>
          </w:tcPr>
          <w:p w14:paraId="02DE653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0.845 (0.767-0.932) *</w:t>
            </w:r>
          </w:p>
        </w:tc>
        <w:tc>
          <w:tcPr>
            <w:tcW w:w="2421" w:type="dxa"/>
            <w:noWrap/>
            <w:hideMark/>
          </w:tcPr>
          <w:p w14:paraId="28DD9FC3"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0.994 (0.908-1.087)</w:t>
            </w:r>
          </w:p>
        </w:tc>
      </w:tr>
      <w:tr w:rsidR="00993FE1" w:rsidRPr="00381786" w14:paraId="04373679" w14:textId="77777777" w:rsidTr="00BD2233">
        <w:trPr>
          <w:trHeight w:val="288"/>
          <w:jc w:val="center"/>
        </w:trPr>
        <w:tc>
          <w:tcPr>
            <w:tcW w:w="2241" w:type="dxa"/>
            <w:noWrap/>
            <w:hideMark/>
          </w:tcPr>
          <w:p w14:paraId="092DAEAE"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70+</w:t>
            </w:r>
          </w:p>
        </w:tc>
        <w:tc>
          <w:tcPr>
            <w:tcW w:w="2250" w:type="dxa"/>
            <w:noWrap/>
            <w:hideMark/>
          </w:tcPr>
          <w:p w14:paraId="389300E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1.309 (1.223-1.402) *</w:t>
            </w:r>
          </w:p>
        </w:tc>
        <w:tc>
          <w:tcPr>
            <w:tcW w:w="2430" w:type="dxa"/>
            <w:noWrap/>
            <w:hideMark/>
          </w:tcPr>
          <w:p w14:paraId="7A95B65D"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0.77 (0.697-0.85) *</w:t>
            </w:r>
          </w:p>
        </w:tc>
        <w:tc>
          <w:tcPr>
            <w:tcW w:w="2421" w:type="dxa"/>
            <w:noWrap/>
            <w:hideMark/>
          </w:tcPr>
          <w:p w14:paraId="5C820CF0"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0.987 (0.903-1.08)</w:t>
            </w:r>
          </w:p>
        </w:tc>
      </w:tr>
      <w:tr w:rsidR="00993FE1" w:rsidRPr="00381786" w14:paraId="63463097" w14:textId="77777777" w:rsidTr="00BD2233">
        <w:trPr>
          <w:trHeight w:val="288"/>
          <w:jc w:val="center"/>
        </w:trPr>
        <w:tc>
          <w:tcPr>
            <w:tcW w:w="9342" w:type="dxa"/>
            <w:gridSpan w:val="4"/>
            <w:noWrap/>
            <w:hideMark/>
          </w:tcPr>
          <w:p w14:paraId="553166EB"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Sex (Ref. Male)</w:t>
            </w:r>
            <w:r w:rsidRPr="00381786">
              <w:rPr>
                <w:rFonts w:ascii="Times New Roman" w:hAnsi="Times New Roman" w:cs="Times New Roman"/>
                <w:lang w:bidi="hi-IN"/>
              </w:rPr>
              <w:t> </w:t>
            </w:r>
          </w:p>
        </w:tc>
      </w:tr>
      <w:tr w:rsidR="00993FE1" w:rsidRPr="00381786" w14:paraId="4D93244A" w14:textId="77777777" w:rsidTr="00BD2233">
        <w:trPr>
          <w:trHeight w:val="288"/>
          <w:jc w:val="center"/>
        </w:trPr>
        <w:tc>
          <w:tcPr>
            <w:tcW w:w="2241" w:type="dxa"/>
            <w:noWrap/>
            <w:hideMark/>
          </w:tcPr>
          <w:p w14:paraId="16C30E4A"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Female</w:t>
            </w:r>
          </w:p>
        </w:tc>
        <w:tc>
          <w:tcPr>
            <w:tcW w:w="2250" w:type="dxa"/>
            <w:noWrap/>
            <w:hideMark/>
          </w:tcPr>
          <w:p w14:paraId="5407E2E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0.897 (0.828-0.973) *</w:t>
            </w:r>
          </w:p>
        </w:tc>
        <w:tc>
          <w:tcPr>
            <w:tcW w:w="2430" w:type="dxa"/>
            <w:noWrap/>
            <w:hideMark/>
          </w:tcPr>
          <w:p w14:paraId="4D98B6B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1.31 (1.165-1.473) *</w:t>
            </w:r>
          </w:p>
        </w:tc>
        <w:tc>
          <w:tcPr>
            <w:tcW w:w="2421" w:type="dxa"/>
            <w:noWrap/>
            <w:hideMark/>
          </w:tcPr>
          <w:p w14:paraId="76A5B163"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1.056 (0.951-1.173)</w:t>
            </w:r>
          </w:p>
        </w:tc>
      </w:tr>
      <w:tr w:rsidR="00993FE1" w:rsidRPr="00381786" w14:paraId="69871CFE" w14:textId="77777777" w:rsidTr="00BD2233">
        <w:trPr>
          <w:trHeight w:val="288"/>
          <w:jc w:val="center"/>
        </w:trPr>
        <w:tc>
          <w:tcPr>
            <w:tcW w:w="9342" w:type="dxa"/>
            <w:gridSpan w:val="4"/>
            <w:noWrap/>
            <w:hideMark/>
          </w:tcPr>
          <w:p w14:paraId="20E4185B"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Residence(Ref. Rural)</w:t>
            </w:r>
          </w:p>
        </w:tc>
      </w:tr>
      <w:tr w:rsidR="00993FE1" w:rsidRPr="00381786" w14:paraId="7D4776C7" w14:textId="77777777" w:rsidTr="00BD2233">
        <w:trPr>
          <w:trHeight w:val="288"/>
          <w:jc w:val="center"/>
        </w:trPr>
        <w:tc>
          <w:tcPr>
            <w:tcW w:w="2241" w:type="dxa"/>
            <w:noWrap/>
            <w:hideMark/>
          </w:tcPr>
          <w:p w14:paraId="7F70367A"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Urban</w:t>
            </w:r>
          </w:p>
        </w:tc>
        <w:tc>
          <w:tcPr>
            <w:tcW w:w="2250" w:type="dxa"/>
            <w:noWrap/>
            <w:hideMark/>
          </w:tcPr>
          <w:p w14:paraId="0EE6F05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1.524 (1.434-1.62) *</w:t>
            </w:r>
          </w:p>
        </w:tc>
        <w:tc>
          <w:tcPr>
            <w:tcW w:w="2430" w:type="dxa"/>
            <w:noWrap/>
            <w:hideMark/>
          </w:tcPr>
          <w:p w14:paraId="4C9F0369"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0.613 (0.552-0.681) *</w:t>
            </w:r>
          </w:p>
        </w:tc>
        <w:tc>
          <w:tcPr>
            <w:tcW w:w="2421" w:type="dxa"/>
            <w:noWrap/>
            <w:hideMark/>
          </w:tcPr>
          <w:p w14:paraId="0B52A9C4"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0.892 (0.821-0.97) *</w:t>
            </w:r>
          </w:p>
        </w:tc>
      </w:tr>
      <w:tr w:rsidR="00993FE1" w:rsidRPr="00381786" w14:paraId="7BD203CD" w14:textId="77777777" w:rsidTr="00BD2233">
        <w:trPr>
          <w:trHeight w:val="288"/>
          <w:jc w:val="center"/>
        </w:trPr>
        <w:tc>
          <w:tcPr>
            <w:tcW w:w="9342" w:type="dxa"/>
            <w:gridSpan w:val="4"/>
            <w:noWrap/>
            <w:hideMark/>
          </w:tcPr>
          <w:p w14:paraId="39A4A16F"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Religion (Ref.  Hindu)</w:t>
            </w:r>
            <w:r w:rsidRPr="00381786">
              <w:rPr>
                <w:rFonts w:ascii="Times New Roman" w:hAnsi="Times New Roman" w:cs="Times New Roman"/>
                <w:lang w:bidi="hi-IN"/>
              </w:rPr>
              <w:t> </w:t>
            </w:r>
          </w:p>
        </w:tc>
      </w:tr>
      <w:tr w:rsidR="00993FE1" w:rsidRPr="00381786" w14:paraId="5EFF95AD" w14:textId="77777777" w:rsidTr="00BD2233">
        <w:trPr>
          <w:trHeight w:val="288"/>
          <w:jc w:val="center"/>
        </w:trPr>
        <w:tc>
          <w:tcPr>
            <w:tcW w:w="2241" w:type="dxa"/>
            <w:noWrap/>
            <w:hideMark/>
          </w:tcPr>
          <w:p w14:paraId="42E8BF91"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Other</w:t>
            </w:r>
          </w:p>
        </w:tc>
        <w:tc>
          <w:tcPr>
            <w:tcW w:w="2250" w:type="dxa"/>
            <w:noWrap/>
            <w:hideMark/>
          </w:tcPr>
          <w:p w14:paraId="7609ED5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1.123 (1.057-1.192) *</w:t>
            </w:r>
          </w:p>
        </w:tc>
        <w:tc>
          <w:tcPr>
            <w:tcW w:w="2430" w:type="dxa"/>
            <w:noWrap/>
            <w:hideMark/>
          </w:tcPr>
          <w:p w14:paraId="75E26636"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0.733 (0.666-0.807) *</w:t>
            </w:r>
          </w:p>
        </w:tc>
        <w:tc>
          <w:tcPr>
            <w:tcW w:w="2421" w:type="dxa"/>
            <w:noWrap/>
            <w:hideMark/>
          </w:tcPr>
          <w:p w14:paraId="09781663"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0.922 (0.851-1) *</w:t>
            </w:r>
          </w:p>
        </w:tc>
      </w:tr>
      <w:tr w:rsidR="00993FE1" w:rsidRPr="00381786" w14:paraId="2E05E8D3" w14:textId="77777777" w:rsidTr="00BD2233">
        <w:trPr>
          <w:trHeight w:val="288"/>
          <w:jc w:val="center"/>
        </w:trPr>
        <w:tc>
          <w:tcPr>
            <w:tcW w:w="9342" w:type="dxa"/>
            <w:gridSpan w:val="4"/>
            <w:noWrap/>
            <w:hideMark/>
          </w:tcPr>
          <w:p w14:paraId="0E1DF32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Ever Attended School (Ref. No)</w:t>
            </w:r>
            <w:r w:rsidRPr="00381786">
              <w:rPr>
                <w:rFonts w:ascii="Times New Roman" w:hAnsi="Times New Roman" w:cs="Times New Roman"/>
                <w:lang w:bidi="hi-IN"/>
              </w:rPr>
              <w:t> </w:t>
            </w:r>
          </w:p>
        </w:tc>
      </w:tr>
      <w:tr w:rsidR="00993FE1" w:rsidRPr="00381786" w14:paraId="06D48025" w14:textId="77777777" w:rsidTr="00BD2233">
        <w:trPr>
          <w:trHeight w:val="288"/>
          <w:jc w:val="center"/>
        </w:trPr>
        <w:tc>
          <w:tcPr>
            <w:tcW w:w="2241" w:type="dxa"/>
            <w:noWrap/>
            <w:hideMark/>
          </w:tcPr>
          <w:p w14:paraId="33C1AF55"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 xml:space="preserve"> Yes</w:t>
            </w:r>
          </w:p>
        </w:tc>
        <w:tc>
          <w:tcPr>
            <w:tcW w:w="2250" w:type="dxa"/>
            <w:noWrap/>
            <w:hideMark/>
          </w:tcPr>
          <w:p w14:paraId="28703110"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1.447 (1.361-1.539) *</w:t>
            </w:r>
          </w:p>
        </w:tc>
        <w:tc>
          <w:tcPr>
            <w:tcW w:w="2430" w:type="dxa"/>
            <w:noWrap/>
            <w:hideMark/>
          </w:tcPr>
          <w:p w14:paraId="7316FCD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0.748 (0.682-0.82) *</w:t>
            </w:r>
          </w:p>
        </w:tc>
        <w:tc>
          <w:tcPr>
            <w:tcW w:w="2421" w:type="dxa"/>
            <w:noWrap/>
            <w:hideMark/>
          </w:tcPr>
          <w:p w14:paraId="53EEAFA0"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0.918 (0.846-0.996) *</w:t>
            </w:r>
          </w:p>
        </w:tc>
      </w:tr>
      <w:tr w:rsidR="00993FE1" w:rsidRPr="00381786" w14:paraId="6451BB11" w14:textId="77777777" w:rsidTr="00BD2233">
        <w:trPr>
          <w:trHeight w:val="288"/>
          <w:jc w:val="center"/>
        </w:trPr>
        <w:tc>
          <w:tcPr>
            <w:tcW w:w="9342" w:type="dxa"/>
            <w:gridSpan w:val="4"/>
            <w:noWrap/>
            <w:hideMark/>
          </w:tcPr>
          <w:p w14:paraId="2144B7F3"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 xml:space="preserve">Marital Status </w:t>
            </w:r>
            <w:proofErr w:type="gramStart"/>
            <w:r w:rsidRPr="00381786">
              <w:rPr>
                <w:rFonts w:ascii="Times New Roman" w:hAnsi="Times New Roman" w:cs="Times New Roman"/>
                <w:b/>
                <w:bCs/>
                <w:lang w:bidi="hi-IN"/>
              </w:rPr>
              <w:t>( Ref</w:t>
            </w:r>
            <w:proofErr w:type="gramEnd"/>
            <w:r w:rsidRPr="00381786">
              <w:rPr>
                <w:rFonts w:ascii="Times New Roman" w:hAnsi="Times New Roman" w:cs="Times New Roman"/>
                <w:b/>
                <w:bCs/>
                <w:lang w:bidi="hi-IN"/>
              </w:rPr>
              <w:t>. In Union)</w:t>
            </w:r>
            <w:r w:rsidRPr="00381786">
              <w:rPr>
                <w:rFonts w:ascii="Times New Roman" w:hAnsi="Times New Roman" w:cs="Times New Roman"/>
                <w:lang w:bidi="hi-IN"/>
              </w:rPr>
              <w:t> </w:t>
            </w:r>
          </w:p>
        </w:tc>
      </w:tr>
      <w:tr w:rsidR="00993FE1" w:rsidRPr="00381786" w14:paraId="0435CED6" w14:textId="77777777" w:rsidTr="00BD2233">
        <w:trPr>
          <w:trHeight w:val="288"/>
          <w:jc w:val="center"/>
        </w:trPr>
        <w:tc>
          <w:tcPr>
            <w:tcW w:w="2241" w:type="dxa"/>
            <w:noWrap/>
            <w:hideMark/>
          </w:tcPr>
          <w:p w14:paraId="2E827A8E"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Not in union</w:t>
            </w:r>
          </w:p>
        </w:tc>
        <w:tc>
          <w:tcPr>
            <w:tcW w:w="2250" w:type="dxa"/>
            <w:noWrap/>
            <w:hideMark/>
          </w:tcPr>
          <w:p w14:paraId="5EA46B55"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1.008 (0.933-1.09)</w:t>
            </w:r>
          </w:p>
        </w:tc>
        <w:tc>
          <w:tcPr>
            <w:tcW w:w="2430" w:type="dxa"/>
            <w:noWrap/>
            <w:hideMark/>
          </w:tcPr>
          <w:p w14:paraId="64B67C3C"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1.026 (0.914-1.152)</w:t>
            </w:r>
          </w:p>
        </w:tc>
        <w:tc>
          <w:tcPr>
            <w:tcW w:w="2421" w:type="dxa"/>
            <w:noWrap/>
            <w:hideMark/>
          </w:tcPr>
          <w:p w14:paraId="47C8FA44"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0.983 (0.887-1.089)</w:t>
            </w:r>
          </w:p>
        </w:tc>
      </w:tr>
      <w:tr w:rsidR="00993FE1" w:rsidRPr="00381786" w14:paraId="5650A305" w14:textId="77777777" w:rsidTr="00BD2233">
        <w:trPr>
          <w:trHeight w:val="288"/>
          <w:jc w:val="center"/>
        </w:trPr>
        <w:tc>
          <w:tcPr>
            <w:tcW w:w="9342" w:type="dxa"/>
            <w:gridSpan w:val="4"/>
            <w:noWrap/>
            <w:hideMark/>
          </w:tcPr>
          <w:p w14:paraId="1F4C89D6"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lastRenderedPageBreak/>
              <w:t>Present work status (Ref. working &amp; worked previously)</w:t>
            </w:r>
            <w:r w:rsidRPr="00381786">
              <w:rPr>
                <w:rFonts w:ascii="Times New Roman" w:hAnsi="Times New Roman" w:cs="Times New Roman"/>
                <w:lang w:bidi="hi-IN"/>
              </w:rPr>
              <w:t> </w:t>
            </w:r>
          </w:p>
        </w:tc>
      </w:tr>
      <w:tr w:rsidR="00993FE1" w:rsidRPr="00381786" w14:paraId="31B58CE2" w14:textId="77777777" w:rsidTr="00BD2233">
        <w:trPr>
          <w:trHeight w:val="288"/>
          <w:jc w:val="center"/>
        </w:trPr>
        <w:tc>
          <w:tcPr>
            <w:tcW w:w="2241" w:type="dxa"/>
            <w:noWrap/>
            <w:hideMark/>
          </w:tcPr>
          <w:p w14:paraId="6E8ACD35"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Worked previously only</w:t>
            </w:r>
          </w:p>
        </w:tc>
        <w:tc>
          <w:tcPr>
            <w:tcW w:w="2250" w:type="dxa"/>
            <w:noWrap/>
            <w:hideMark/>
          </w:tcPr>
          <w:p w14:paraId="5DEF54A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1.61 (1.503-1.724) *</w:t>
            </w:r>
          </w:p>
        </w:tc>
        <w:tc>
          <w:tcPr>
            <w:tcW w:w="2430" w:type="dxa"/>
            <w:noWrap/>
            <w:hideMark/>
          </w:tcPr>
          <w:p w14:paraId="418F61CF"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0.729 (0.663-0.801) *</w:t>
            </w:r>
          </w:p>
        </w:tc>
        <w:tc>
          <w:tcPr>
            <w:tcW w:w="2421" w:type="dxa"/>
            <w:noWrap/>
            <w:hideMark/>
          </w:tcPr>
          <w:p w14:paraId="34A8258E"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1.119 (1.022-1.224) *</w:t>
            </w:r>
          </w:p>
        </w:tc>
      </w:tr>
      <w:tr w:rsidR="00993FE1" w:rsidRPr="00381786" w14:paraId="7F8338D6" w14:textId="77777777" w:rsidTr="00BD2233">
        <w:trPr>
          <w:trHeight w:val="288"/>
          <w:jc w:val="center"/>
        </w:trPr>
        <w:tc>
          <w:tcPr>
            <w:tcW w:w="2241" w:type="dxa"/>
            <w:noWrap/>
            <w:hideMark/>
          </w:tcPr>
          <w:p w14:paraId="1CEA7AD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Never Worked</w:t>
            </w:r>
          </w:p>
        </w:tc>
        <w:tc>
          <w:tcPr>
            <w:tcW w:w="2250" w:type="dxa"/>
            <w:noWrap/>
            <w:hideMark/>
          </w:tcPr>
          <w:p w14:paraId="6A77618B"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1.534 (1.411-1.667) *</w:t>
            </w:r>
          </w:p>
        </w:tc>
        <w:tc>
          <w:tcPr>
            <w:tcW w:w="2430" w:type="dxa"/>
            <w:noWrap/>
            <w:hideMark/>
          </w:tcPr>
          <w:p w14:paraId="00E610BA"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0.689 (0.614-0.775) *</w:t>
            </w:r>
          </w:p>
        </w:tc>
        <w:tc>
          <w:tcPr>
            <w:tcW w:w="2421" w:type="dxa"/>
            <w:noWrap/>
            <w:hideMark/>
          </w:tcPr>
          <w:p w14:paraId="151C736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1.131 (1.015-1.26) *</w:t>
            </w:r>
          </w:p>
        </w:tc>
      </w:tr>
      <w:tr w:rsidR="00993FE1" w:rsidRPr="00381786" w14:paraId="70B61325" w14:textId="77777777" w:rsidTr="00BD2233">
        <w:trPr>
          <w:trHeight w:val="288"/>
          <w:jc w:val="center"/>
        </w:trPr>
        <w:tc>
          <w:tcPr>
            <w:tcW w:w="9342" w:type="dxa"/>
            <w:gridSpan w:val="4"/>
            <w:noWrap/>
            <w:hideMark/>
          </w:tcPr>
          <w:p w14:paraId="682864F6"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MPCE (Ref. Poorest)</w:t>
            </w:r>
            <w:r w:rsidRPr="00381786">
              <w:rPr>
                <w:rFonts w:ascii="Times New Roman" w:hAnsi="Times New Roman" w:cs="Times New Roman"/>
                <w:lang w:bidi="hi-IN"/>
              </w:rPr>
              <w:t> </w:t>
            </w:r>
          </w:p>
        </w:tc>
      </w:tr>
      <w:tr w:rsidR="00993FE1" w:rsidRPr="00381786" w14:paraId="737CF527" w14:textId="77777777" w:rsidTr="00BD2233">
        <w:trPr>
          <w:trHeight w:val="288"/>
          <w:jc w:val="center"/>
        </w:trPr>
        <w:tc>
          <w:tcPr>
            <w:tcW w:w="2241" w:type="dxa"/>
            <w:noWrap/>
            <w:hideMark/>
          </w:tcPr>
          <w:p w14:paraId="1409743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Poorer</w:t>
            </w:r>
          </w:p>
        </w:tc>
        <w:tc>
          <w:tcPr>
            <w:tcW w:w="2250" w:type="dxa"/>
            <w:noWrap/>
            <w:hideMark/>
          </w:tcPr>
          <w:p w14:paraId="49BC52E6"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1.106 (1.016-1.206) *</w:t>
            </w:r>
          </w:p>
        </w:tc>
        <w:tc>
          <w:tcPr>
            <w:tcW w:w="2430" w:type="dxa"/>
            <w:noWrap/>
            <w:hideMark/>
          </w:tcPr>
          <w:p w14:paraId="58C51121"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1.025 (0.917-1.146)</w:t>
            </w:r>
          </w:p>
        </w:tc>
        <w:tc>
          <w:tcPr>
            <w:tcW w:w="2421" w:type="dxa"/>
            <w:noWrap/>
            <w:hideMark/>
          </w:tcPr>
          <w:p w14:paraId="1B2EF515"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1.263 (1.126-1.417) *</w:t>
            </w:r>
          </w:p>
        </w:tc>
      </w:tr>
      <w:tr w:rsidR="00993FE1" w:rsidRPr="00381786" w14:paraId="2CF85D6E" w14:textId="77777777" w:rsidTr="00BD2233">
        <w:trPr>
          <w:trHeight w:val="288"/>
          <w:jc w:val="center"/>
        </w:trPr>
        <w:tc>
          <w:tcPr>
            <w:tcW w:w="2241" w:type="dxa"/>
            <w:noWrap/>
            <w:hideMark/>
          </w:tcPr>
          <w:p w14:paraId="1BD5C0CC"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Middle</w:t>
            </w:r>
          </w:p>
        </w:tc>
        <w:tc>
          <w:tcPr>
            <w:tcW w:w="2250" w:type="dxa"/>
            <w:noWrap/>
            <w:hideMark/>
          </w:tcPr>
          <w:p w14:paraId="72520DAD"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1.234 (1.133-1.345) *</w:t>
            </w:r>
          </w:p>
        </w:tc>
        <w:tc>
          <w:tcPr>
            <w:tcW w:w="2430" w:type="dxa"/>
            <w:noWrap/>
            <w:hideMark/>
          </w:tcPr>
          <w:p w14:paraId="50E38F3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0.856 (0.761-0.963) *</w:t>
            </w:r>
          </w:p>
        </w:tc>
        <w:tc>
          <w:tcPr>
            <w:tcW w:w="2421" w:type="dxa"/>
            <w:noWrap/>
            <w:hideMark/>
          </w:tcPr>
          <w:p w14:paraId="44F959D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1.282 (1.142-1.439) *</w:t>
            </w:r>
          </w:p>
        </w:tc>
      </w:tr>
      <w:tr w:rsidR="00993FE1" w:rsidRPr="00381786" w14:paraId="6AADC9EC" w14:textId="77777777" w:rsidTr="00BD2233">
        <w:trPr>
          <w:trHeight w:val="288"/>
          <w:jc w:val="center"/>
        </w:trPr>
        <w:tc>
          <w:tcPr>
            <w:tcW w:w="2241" w:type="dxa"/>
            <w:noWrap/>
            <w:hideMark/>
          </w:tcPr>
          <w:p w14:paraId="4F25140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Richer</w:t>
            </w:r>
          </w:p>
        </w:tc>
        <w:tc>
          <w:tcPr>
            <w:tcW w:w="2250" w:type="dxa"/>
            <w:noWrap/>
            <w:hideMark/>
          </w:tcPr>
          <w:p w14:paraId="5C7D82C4"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1.323 (1.213-1.444) *</w:t>
            </w:r>
          </w:p>
        </w:tc>
        <w:tc>
          <w:tcPr>
            <w:tcW w:w="2430" w:type="dxa"/>
            <w:noWrap/>
            <w:hideMark/>
          </w:tcPr>
          <w:p w14:paraId="560E8493"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0.817 (0.722-0.925) *</w:t>
            </w:r>
          </w:p>
        </w:tc>
        <w:tc>
          <w:tcPr>
            <w:tcW w:w="2421" w:type="dxa"/>
            <w:noWrap/>
            <w:hideMark/>
          </w:tcPr>
          <w:p w14:paraId="0600E069"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1.46 (1.3-1.639) *</w:t>
            </w:r>
          </w:p>
        </w:tc>
      </w:tr>
      <w:tr w:rsidR="00993FE1" w:rsidRPr="00381786" w14:paraId="43741251" w14:textId="77777777" w:rsidTr="00BD2233">
        <w:trPr>
          <w:trHeight w:val="288"/>
          <w:jc w:val="center"/>
        </w:trPr>
        <w:tc>
          <w:tcPr>
            <w:tcW w:w="2241" w:type="dxa"/>
            <w:noWrap/>
            <w:hideMark/>
          </w:tcPr>
          <w:p w14:paraId="28286244"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Richest</w:t>
            </w:r>
          </w:p>
        </w:tc>
        <w:tc>
          <w:tcPr>
            <w:tcW w:w="2250" w:type="dxa"/>
            <w:noWrap/>
            <w:hideMark/>
          </w:tcPr>
          <w:p w14:paraId="304E8406"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1.422 (1.299-1.556) *</w:t>
            </w:r>
          </w:p>
        </w:tc>
        <w:tc>
          <w:tcPr>
            <w:tcW w:w="2430" w:type="dxa"/>
            <w:noWrap/>
            <w:hideMark/>
          </w:tcPr>
          <w:p w14:paraId="4F2BB24B"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0.775 (0.677-0.886) *</w:t>
            </w:r>
          </w:p>
        </w:tc>
        <w:tc>
          <w:tcPr>
            <w:tcW w:w="2421" w:type="dxa"/>
            <w:noWrap/>
            <w:hideMark/>
          </w:tcPr>
          <w:p w14:paraId="5A63D876"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1.614 (1.433-1.819) *</w:t>
            </w:r>
          </w:p>
        </w:tc>
      </w:tr>
      <w:tr w:rsidR="00993FE1" w:rsidRPr="00381786" w14:paraId="3B1CF04B" w14:textId="77777777" w:rsidTr="00BD2233">
        <w:trPr>
          <w:trHeight w:val="288"/>
          <w:jc w:val="center"/>
        </w:trPr>
        <w:tc>
          <w:tcPr>
            <w:tcW w:w="9342" w:type="dxa"/>
            <w:gridSpan w:val="4"/>
            <w:noWrap/>
            <w:hideMark/>
          </w:tcPr>
          <w:p w14:paraId="56EF730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 xml:space="preserve">Type Of House (Ref. </w:t>
            </w:r>
            <w:proofErr w:type="spellStart"/>
            <w:r w:rsidRPr="00381786">
              <w:rPr>
                <w:rFonts w:ascii="Times New Roman" w:hAnsi="Times New Roman" w:cs="Times New Roman"/>
                <w:b/>
                <w:bCs/>
                <w:lang w:bidi="hi-IN"/>
              </w:rPr>
              <w:t>Pucca</w:t>
            </w:r>
            <w:proofErr w:type="spellEnd"/>
            <w:r w:rsidRPr="00381786">
              <w:rPr>
                <w:rFonts w:ascii="Times New Roman" w:hAnsi="Times New Roman" w:cs="Times New Roman"/>
                <w:b/>
                <w:bCs/>
                <w:lang w:bidi="hi-IN"/>
              </w:rPr>
              <w:t>)</w:t>
            </w:r>
            <w:r w:rsidRPr="00381786">
              <w:rPr>
                <w:rFonts w:ascii="Times New Roman" w:hAnsi="Times New Roman" w:cs="Times New Roman"/>
                <w:lang w:bidi="hi-IN"/>
              </w:rPr>
              <w:t> </w:t>
            </w:r>
          </w:p>
        </w:tc>
      </w:tr>
      <w:tr w:rsidR="00993FE1" w:rsidRPr="00381786" w14:paraId="6D8FD42E" w14:textId="77777777" w:rsidTr="00BD2233">
        <w:trPr>
          <w:trHeight w:val="288"/>
          <w:jc w:val="center"/>
        </w:trPr>
        <w:tc>
          <w:tcPr>
            <w:tcW w:w="2241" w:type="dxa"/>
            <w:noWrap/>
            <w:hideMark/>
          </w:tcPr>
          <w:p w14:paraId="603B46C9"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 xml:space="preserve">Not </w:t>
            </w:r>
            <w:proofErr w:type="spellStart"/>
            <w:r w:rsidRPr="00381786">
              <w:rPr>
                <w:rFonts w:ascii="Times New Roman" w:hAnsi="Times New Roman" w:cs="Times New Roman"/>
                <w:lang w:bidi="hi-IN"/>
              </w:rPr>
              <w:t>pucca</w:t>
            </w:r>
            <w:proofErr w:type="spellEnd"/>
          </w:p>
        </w:tc>
        <w:tc>
          <w:tcPr>
            <w:tcW w:w="2250" w:type="dxa"/>
            <w:noWrap/>
            <w:hideMark/>
          </w:tcPr>
          <w:p w14:paraId="5D17692E"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0.769 (0.725-0.816) *</w:t>
            </w:r>
          </w:p>
        </w:tc>
        <w:tc>
          <w:tcPr>
            <w:tcW w:w="2430" w:type="dxa"/>
            <w:noWrap/>
            <w:hideMark/>
          </w:tcPr>
          <w:p w14:paraId="662AF395"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1.209 (1.11-1.316) *</w:t>
            </w:r>
          </w:p>
        </w:tc>
        <w:tc>
          <w:tcPr>
            <w:tcW w:w="2421" w:type="dxa"/>
            <w:noWrap/>
            <w:hideMark/>
          </w:tcPr>
          <w:p w14:paraId="18CF8E39"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 (0.833-0.973) *</w:t>
            </w:r>
          </w:p>
        </w:tc>
      </w:tr>
      <w:tr w:rsidR="00993FE1" w:rsidRPr="00381786" w14:paraId="4579D8C7" w14:textId="77777777" w:rsidTr="00BD2233">
        <w:trPr>
          <w:trHeight w:val="288"/>
          <w:jc w:val="center"/>
        </w:trPr>
        <w:tc>
          <w:tcPr>
            <w:tcW w:w="9342" w:type="dxa"/>
            <w:gridSpan w:val="4"/>
            <w:noWrap/>
            <w:hideMark/>
          </w:tcPr>
          <w:p w14:paraId="41CBE0BF"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Living Arrangement (Ref. Living with spouse and children)</w:t>
            </w:r>
            <w:r w:rsidRPr="00381786">
              <w:rPr>
                <w:rFonts w:ascii="Times New Roman" w:hAnsi="Times New Roman" w:cs="Times New Roman"/>
                <w:lang w:bidi="hi-IN"/>
              </w:rPr>
              <w:t> </w:t>
            </w:r>
          </w:p>
        </w:tc>
      </w:tr>
      <w:tr w:rsidR="00993FE1" w:rsidRPr="00381786" w14:paraId="46006006" w14:textId="77777777" w:rsidTr="00BD2233">
        <w:trPr>
          <w:trHeight w:val="288"/>
          <w:jc w:val="center"/>
        </w:trPr>
        <w:tc>
          <w:tcPr>
            <w:tcW w:w="2241" w:type="dxa"/>
            <w:noWrap/>
            <w:hideMark/>
          </w:tcPr>
          <w:p w14:paraId="6E7E1884"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Not living with spouse and children</w:t>
            </w:r>
          </w:p>
        </w:tc>
        <w:tc>
          <w:tcPr>
            <w:tcW w:w="2250" w:type="dxa"/>
            <w:noWrap/>
            <w:hideMark/>
          </w:tcPr>
          <w:p w14:paraId="767F7211"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1.093 (1.017-1.175) *</w:t>
            </w:r>
          </w:p>
        </w:tc>
        <w:tc>
          <w:tcPr>
            <w:tcW w:w="2430" w:type="dxa"/>
            <w:noWrap/>
            <w:hideMark/>
          </w:tcPr>
          <w:p w14:paraId="1247E89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0.856 (0.769-0.952) *</w:t>
            </w:r>
          </w:p>
        </w:tc>
        <w:tc>
          <w:tcPr>
            <w:tcW w:w="2421" w:type="dxa"/>
            <w:noWrap/>
            <w:hideMark/>
          </w:tcPr>
          <w:p w14:paraId="6BB2D0C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0.872 (0.793-0.96) *</w:t>
            </w:r>
          </w:p>
        </w:tc>
      </w:tr>
      <w:tr w:rsidR="00993FE1" w:rsidRPr="00381786" w14:paraId="5586FF32" w14:textId="77777777" w:rsidTr="00BD2233">
        <w:trPr>
          <w:trHeight w:val="288"/>
          <w:jc w:val="center"/>
        </w:trPr>
        <w:tc>
          <w:tcPr>
            <w:tcW w:w="9342" w:type="dxa"/>
            <w:gridSpan w:val="4"/>
            <w:noWrap/>
            <w:hideMark/>
          </w:tcPr>
          <w:p w14:paraId="17709814"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Life Satisfaction (Ref. Much or Fully Satisfied)</w:t>
            </w:r>
            <w:r w:rsidRPr="00381786">
              <w:rPr>
                <w:rFonts w:ascii="Times New Roman" w:hAnsi="Times New Roman" w:cs="Times New Roman"/>
                <w:lang w:bidi="hi-IN"/>
              </w:rPr>
              <w:t> </w:t>
            </w:r>
          </w:p>
        </w:tc>
      </w:tr>
      <w:tr w:rsidR="00993FE1" w:rsidRPr="00381786" w14:paraId="1FD8285D" w14:textId="77777777" w:rsidTr="00BD2233">
        <w:trPr>
          <w:trHeight w:val="288"/>
          <w:jc w:val="center"/>
        </w:trPr>
        <w:tc>
          <w:tcPr>
            <w:tcW w:w="2241" w:type="dxa"/>
            <w:noWrap/>
            <w:hideMark/>
          </w:tcPr>
          <w:p w14:paraId="36F90964"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Little or not satisfied</w:t>
            </w:r>
          </w:p>
        </w:tc>
        <w:tc>
          <w:tcPr>
            <w:tcW w:w="2250" w:type="dxa"/>
            <w:noWrap/>
            <w:hideMark/>
          </w:tcPr>
          <w:p w14:paraId="0AEA0E35"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1.206 (1.142-1.274) *</w:t>
            </w:r>
          </w:p>
        </w:tc>
        <w:tc>
          <w:tcPr>
            <w:tcW w:w="2430" w:type="dxa"/>
            <w:noWrap/>
            <w:hideMark/>
          </w:tcPr>
          <w:p w14:paraId="502FC8AA"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0.952 (0.88-1.031)</w:t>
            </w:r>
          </w:p>
        </w:tc>
        <w:tc>
          <w:tcPr>
            <w:tcW w:w="2421" w:type="dxa"/>
            <w:noWrap/>
            <w:hideMark/>
          </w:tcPr>
          <w:p w14:paraId="5432118D"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1.108 (1.032-1.189) *</w:t>
            </w:r>
          </w:p>
        </w:tc>
      </w:tr>
      <w:tr w:rsidR="00993FE1" w:rsidRPr="00381786" w14:paraId="592978FF" w14:textId="77777777" w:rsidTr="00BD2233">
        <w:trPr>
          <w:trHeight w:val="288"/>
          <w:jc w:val="center"/>
        </w:trPr>
        <w:tc>
          <w:tcPr>
            <w:tcW w:w="9342" w:type="dxa"/>
            <w:gridSpan w:val="4"/>
            <w:noWrap/>
            <w:hideMark/>
          </w:tcPr>
          <w:p w14:paraId="42913EF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History of tobacco/alcohol use (Ref. No)</w:t>
            </w:r>
            <w:r w:rsidRPr="00381786">
              <w:rPr>
                <w:rFonts w:ascii="Times New Roman" w:hAnsi="Times New Roman" w:cs="Times New Roman"/>
                <w:lang w:bidi="hi-IN"/>
              </w:rPr>
              <w:t> </w:t>
            </w:r>
          </w:p>
        </w:tc>
      </w:tr>
      <w:tr w:rsidR="00993FE1" w:rsidRPr="00381786" w14:paraId="6F471A69" w14:textId="77777777" w:rsidTr="00BD2233">
        <w:trPr>
          <w:trHeight w:val="288"/>
          <w:jc w:val="center"/>
        </w:trPr>
        <w:tc>
          <w:tcPr>
            <w:tcW w:w="2241" w:type="dxa"/>
            <w:noWrap/>
            <w:hideMark/>
          </w:tcPr>
          <w:p w14:paraId="2713C4BA"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Yes</w:t>
            </w:r>
          </w:p>
        </w:tc>
        <w:tc>
          <w:tcPr>
            <w:tcW w:w="2250" w:type="dxa"/>
            <w:noWrap/>
            <w:hideMark/>
          </w:tcPr>
          <w:p w14:paraId="3C6ED13D"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0.893 (0.842-0.948) *</w:t>
            </w:r>
          </w:p>
        </w:tc>
        <w:tc>
          <w:tcPr>
            <w:tcW w:w="2430" w:type="dxa"/>
            <w:noWrap/>
            <w:hideMark/>
          </w:tcPr>
          <w:p w14:paraId="025DD77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1.299 (1.192-1.416) *</w:t>
            </w:r>
          </w:p>
        </w:tc>
        <w:tc>
          <w:tcPr>
            <w:tcW w:w="2421" w:type="dxa"/>
            <w:noWrap/>
            <w:hideMark/>
          </w:tcPr>
          <w:p w14:paraId="651EF26D"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1.143 (1.057-1.236) *</w:t>
            </w:r>
          </w:p>
        </w:tc>
      </w:tr>
      <w:tr w:rsidR="00993FE1" w:rsidRPr="00381786" w14:paraId="7A050EAF" w14:textId="77777777" w:rsidTr="00BD2233">
        <w:trPr>
          <w:trHeight w:val="288"/>
          <w:jc w:val="center"/>
        </w:trPr>
        <w:tc>
          <w:tcPr>
            <w:tcW w:w="9342" w:type="dxa"/>
            <w:gridSpan w:val="4"/>
            <w:noWrap/>
            <w:hideMark/>
          </w:tcPr>
          <w:p w14:paraId="15CD24AF"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BMI (Ref. Normal weight)</w:t>
            </w:r>
            <w:r w:rsidRPr="00381786">
              <w:rPr>
                <w:rFonts w:ascii="Times New Roman" w:hAnsi="Times New Roman" w:cs="Times New Roman"/>
                <w:lang w:bidi="hi-IN"/>
              </w:rPr>
              <w:t> </w:t>
            </w:r>
          </w:p>
        </w:tc>
      </w:tr>
      <w:tr w:rsidR="00993FE1" w:rsidRPr="00381786" w14:paraId="7D4D0B15" w14:textId="77777777" w:rsidTr="00BD2233">
        <w:trPr>
          <w:trHeight w:val="288"/>
          <w:jc w:val="center"/>
        </w:trPr>
        <w:tc>
          <w:tcPr>
            <w:tcW w:w="2241" w:type="dxa"/>
            <w:noWrap/>
            <w:hideMark/>
          </w:tcPr>
          <w:p w14:paraId="2F1149DC"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Overweight</w:t>
            </w:r>
          </w:p>
        </w:tc>
        <w:tc>
          <w:tcPr>
            <w:tcW w:w="2250" w:type="dxa"/>
            <w:noWrap/>
            <w:hideMark/>
          </w:tcPr>
          <w:p w14:paraId="454B412E"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1.684 (1.578-1.797) *</w:t>
            </w:r>
          </w:p>
        </w:tc>
        <w:tc>
          <w:tcPr>
            <w:tcW w:w="2430" w:type="dxa"/>
            <w:noWrap/>
            <w:hideMark/>
          </w:tcPr>
          <w:p w14:paraId="73106DC1"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0.536 (0.473-0.608) *</w:t>
            </w:r>
          </w:p>
        </w:tc>
        <w:tc>
          <w:tcPr>
            <w:tcW w:w="2421" w:type="dxa"/>
            <w:noWrap/>
            <w:hideMark/>
          </w:tcPr>
          <w:p w14:paraId="584F827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1.13 (1.036-1.233) *</w:t>
            </w:r>
          </w:p>
        </w:tc>
      </w:tr>
      <w:tr w:rsidR="00993FE1" w:rsidRPr="00381786" w14:paraId="3A4F9A32" w14:textId="77777777" w:rsidTr="00BD2233">
        <w:trPr>
          <w:trHeight w:val="288"/>
          <w:jc w:val="center"/>
        </w:trPr>
        <w:tc>
          <w:tcPr>
            <w:tcW w:w="2241" w:type="dxa"/>
            <w:noWrap/>
            <w:hideMark/>
          </w:tcPr>
          <w:p w14:paraId="0FAF2E80"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Underweight</w:t>
            </w:r>
          </w:p>
        </w:tc>
        <w:tc>
          <w:tcPr>
            <w:tcW w:w="2250" w:type="dxa"/>
            <w:noWrap/>
            <w:hideMark/>
          </w:tcPr>
          <w:p w14:paraId="4E97A05E"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0.658 (0.61-0.71) *</w:t>
            </w:r>
          </w:p>
        </w:tc>
        <w:tc>
          <w:tcPr>
            <w:tcW w:w="2430" w:type="dxa"/>
            <w:noWrap/>
            <w:hideMark/>
          </w:tcPr>
          <w:p w14:paraId="29F0150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1.32 (1.204-1.447) *</w:t>
            </w:r>
          </w:p>
        </w:tc>
        <w:tc>
          <w:tcPr>
            <w:tcW w:w="2421" w:type="dxa"/>
            <w:noWrap/>
            <w:hideMark/>
          </w:tcPr>
          <w:p w14:paraId="7A62C5EA"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0.996 (0.907-1.095)</w:t>
            </w:r>
          </w:p>
        </w:tc>
      </w:tr>
      <w:tr w:rsidR="00993FE1" w:rsidRPr="00381786" w14:paraId="65F884F8" w14:textId="77777777" w:rsidTr="00BD2233">
        <w:trPr>
          <w:trHeight w:val="288"/>
          <w:jc w:val="center"/>
        </w:trPr>
        <w:tc>
          <w:tcPr>
            <w:tcW w:w="9342" w:type="dxa"/>
            <w:gridSpan w:val="4"/>
            <w:noWrap/>
            <w:hideMark/>
          </w:tcPr>
          <w:p w14:paraId="1ADB3121"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WHR (Ref. Low risk)</w:t>
            </w:r>
            <w:r w:rsidRPr="00381786">
              <w:rPr>
                <w:rFonts w:ascii="Times New Roman" w:hAnsi="Times New Roman" w:cs="Times New Roman"/>
                <w:lang w:bidi="hi-IN"/>
              </w:rPr>
              <w:t> </w:t>
            </w:r>
          </w:p>
        </w:tc>
      </w:tr>
      <w:tr w:rsidR="00993FE1" w:rsidRPr="00381786" w14:paraId="16FCBEF0" w14:textId="77777777" w:rsidTr="00BD2233">
        <w:trPr>
          <w:trHeight w:val="288"/>
          <w:jc w:val="center"/>
        </w:trPr>
        <w:tc>
          <w:tcPr>
            <w:tcW w:w="2241" w:type="dxa"/>
            <w:noWrap/>
            <w:hideMark/>
          </w:tcPr>
          <w:p w14:paraId="0A1210F6"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Moderate risk</w:t>
            </w:r>
          </w:p>
        </w:tc>
        <w:tc>
          <w:tcPr>
            <w:tcW w:w="2250" w:type="dxa"/>
            <w:noWrap/>
            <w:hideMark/>
          </w:tcPr>
          <w:p w14:paraId="7221724C"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1.153 (1.047-1.27) *</w:t>
            </w:r>
          </w:p>
        </w:tc>
        <w:tc>
          <w:tcPr>
            <w:tcW w:w="2430" w:type="dxa"/>
            <w:noWrap/>
            <w:hideMark/>
          </w:tcPr>
          <w:p w14:paraId="082AD203"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0.956 (0.85-1.076)</w:t>
            </w:r>
          </w:p>
        </w:tc>
        <w:tc>
          <w:tcPr>
            <w:tcW w:w="2421" w:type="dxa"/>
            <w:noWrap/>
            <w:hideMark/>
          </w:tcPr>
          <w:p w14:paraId="6DC76F11"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1.001 (0.885-1.132)</w:t>
            </w:r>
          </w:p>
        </w:tc>
      </w:tr>
      <w:tr w:rsidR="00993FE1" w:rsidRPr="00381786" w14:paraId="5978D351" w14:textId="77777777" w:rsidTr="00BD2233">
        <w:trPr>
          <w:trHeight w:val="288"/>
          <w:jc w:val="center"/>
        </w:trPr>
        <w:tc>
          <w:tcPr>
            <w:tcW w:w="2241" w:type="dxa"/>
            <w:noWrap/>
            <w:hideMark/>
          </w:tcPr>
          <w:p w14:paraId="7935B5E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High risk</w:t>
            </w:r>
          </w:p>
        </w:tc>
        <w:tc>
          <w:tcPr>
            <w:tcW w:w="2250" w:type="dxa"/>
            <w:noWrap/>
            <w:hideMark/>
          </w:tcPr>
          <w:p w14:paraId="1C907261"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1.39 (1.263-1.529) *</w:t>
            </w:r>
          </w:p>
        </w:tc>
        <w:tc>
          <w:tcPr>
            <w:tcW w:w="2430" w:type="dxa"/>
            <w:noWrap/>
            <w:hideMark/>
          </w:tcPr>
          <w:p w14:paraId="6C80B8B2"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0.835 (0.738-0.944) *</w:t>
            </w:r>
          </w:p>
        </w:tc>
        <w:tc>
          <w:tcPr>
            <w:tcW w:w="2421" w:type="dxa"/>
            <w:noWrap/>
            <w:hideMark/>
          </w:tcPr>
          <w:p w14:paraId="213A6D1E"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1.119 (0.991-1.264)</w:t>
            </w:r>
          </w:p>
        </w:tc>
      </w:tr>
      <w:tr w:rsidR="00993FE1" w:rsidRPr="00381786" w14:paraId="0999F3AA" w14:textId="77777777" w:rsidTr="00BD2233">
        <w:trPr>
          <w:trHeight w:val="288"/>
          <w:jc w:val="center"/>
        </w:trPr>
        <w:tc>
          <w:tcPr>
            <w:tcW w:w="9342" w:type="dxa"/>
            <w:gridSpan w:val="4"/>
            <w:noWrap/>
            <w:hideMark/>
          </w:tcPr>
          <w:p w14:paraId="0B4FA5D8"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b/>
                <w:bCs/>
                <w:lang w:bidi="hi-IN"/>
              </w:rPr>
              <w:t>ADL (Ref. Independent)</w:t>
            </w:r>
            <w:r w:rsidRPr="00381786">
              <w:rPr>
                <w:rFonts w:ascii="Times New Roman" w:hAnsi="Times New Roman" w:cs="Times New Roman"/>
                <w:lang w:bidi="hi-IN"/>
              </w:rPr>
              <w:t> </w:t>
            </w:r>
          </w:p>
        </w:tc>
      </w:tr>
      <w:tr w:rsidR="00993FE1" w:rsidRPr="00381786" w14:paraId="0A5F8006" w14:textId="77777777" w:rsidTr="00BD2233">
        <w:trPr>
          <w:trHeight w:val="288"/>
          <w:jc w:val="center"/>
        </w:trPr>
        <w:tc>
          <w:tcPr>
            <w:tcW w:w="2241" w:type="dxa"/>
            <w:noWrap/>
            <w:hideMark/>
          </w:tcPr>
          <w:p w14:paraId="722569F7"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lastRenderedPageBreak/>
              <w:t>Dependent</w:t>
            </w:r>
          </w:p>
        </w:tc>
        <w:tc>
          <w:tcPr>
            <w:tcW w:w="2250" w:type="dxa"/>
            <w:noWrap/>
            <w:hideMark/>
          </w:tcPr>
          <w:p w14:paraId="205F2530"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1.127 (1.058-1.2) *</w:t>
            </w:r>
          </w:p>
        </w:tc>
        <w:tc>
          <w:tcPr>
            <w:tcW w:w="2430" w:type="dxa"/>
            <w:noWrap/>
            <w:hideMark/>
          </w:tcPr>
          <w:p w14:paraId="7D227109"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1.087 (0.993-1.19)</w:t>
            </w:r>
          </w:p>
        </w:tc>
        <w:tc>
          <w:tcPr>
            <w:tcW w:w="2421" w:type="dxa"/>
            <w:noWrap/>
            <w:hideMark/>
          </w:tcPr>
          <w:p w14:paraId="2D5754DD" w14:textId="77777777" w:rsidR="00993FE1" w:rsidRPr="00381786" w:rsidRDefault="00993FE1" w:rsidP="00BD2233">
            <w:pPr>
              <w:pStyle w:val="NoSpacing"/>
              <w:spacing w:line="360" w:lineRule="auto"/>
              <w:jc w:val="both"/>
              <w:rPr>
                <w:rFonts w:ascii="Times New Roman" w:hAnsi="Times New Roman" w:cs="Times New Roman"/>
                <w:lang w:bidi="hi-IN"/>
              </w:rPr>
            </w:pPr>
            <w:r w:rsidRPr="00381786">
              <w:rPr>
                <w:rFonts w:ascii="Times New Roman" w:hAnsi="Times New Roman" w:cs="Times New Roman"/>
                <w:lang w:bidi="hi-IN"/>
              </w:rPr>
              <w:t>1.841 (1.704-1.988) *</w:t>
            </w:r>
          </w:p>
        </w:tc>
      </w:tr>
    </w:tbl>
    <w:p w14:paraId="0CBF2293" w14:textId="77777777" w:rsidR="00993FE1" w:rsidRPr="00381786" w:rsidRDefault="00993FE1" w:rsidP="00993FE1">
      <w:pPr>
        <w:pStyle w:val="NoSpacing"/>
        <w:spacing w:line="360" w:lineRule="auto"/>
        <w:jc w:val="both"/>
        <w:rPr>
          <w:rFonts w:ascii="Times New Roman" w:hAnsi="Times New Roman" w:cs="Times New Roman"/>
          <w:bCs/>
          <w:vertAlign w:val="superscript"/>
        </w:rPr>
      </w:pPr>
      <w:r w:rsidRPr="00381786">
        <w:rPr>
          <w:rFonts w:ascii="Times New Roman" w:hAnsi="Times New Roman" w:cs="Times New Roman"/>
          <w:bCs/>
          <w:vertAlign w:val="superscript"/>
        </w:rPr>
        <w:t>*P-value &lt;=0.05 for 5% level of significance.</w:t>
      </w:r>
    </w:p>
    <w:p w14:paraId="1D5221E7" w14:textId="02773557" w:rsidR="00FE047F" w:rsidRPr="00381786" w:rsidRDefault="0024719D" w:rsidP="00086D35">
      <w:pPr>
        <w:pStyle w:val="NoSpacing"/>
        <w:spacing w:line="360" w:lineRule="auto"/>
        <w:jc w:val="both"/>
        <w:rPr>
          <w:rFonts w:ascii="Times New Roman" w:hAnsi="Times New Roman" w:cs="Times New Roman"/>
        </w:rPr>
      </w:pPr>
      <w:r w:rsidRPr="00381786">
        <w:rPr>
          <w:rFonts w:ascii="Times New Roman" w:hAnsi="Times New Roman" w:cs="Times New Roman"/>
        </w:rPr>
        <w:t>The model fit was assured by Hosmer and Lemeshow test under each modeling situations. The significance values indicated that the logistic regression model provides an adequate fit to the observed data, and there is no statistical evidence of poor fit.</w:t>
      </w:r>
    </w:p>
    <w:p w14:paraId="0AF0DC30" w14:textId="69C8FE4B" w:rsidR="00F52212" w:rsidRPr="00381786" w:rsidRDefault="0024719D" w:rsidP="00086D35">
      <w:pPr>
        <w:pStyle w:val="NoSpacing"/>
        <w:spacing w:line="360" w:lineRule="auto"/>
        <w:jc w:val="both"/>
        <w:rPr>
          <w:rFonts w:ascii="Times New Roman" w:hAnsi="Times New Roman" w:cs="Times New Roman"/>
        </w:rPr>
      </w:pPr>
      <w:r w:rsidRPr="00381786">
        <w:rPr>
          <w:rFonts w:ascii="Times New Roman" w:hAnsi="Times New Roman" w:cs="Times New Roman"/>
        </w:rPr>
        <w:t>Older age (65–69 and 70+) was significantly associated with higher odds of ONCD but lower odds of OCD, with no significant association with co-occurring conditions. Elderly aged 70+ had a 31% higher likelihood of ONCD (AOR=1.309, 95% CI: 1.223–1.402), but a 23% lower chance of OCD (AOR=0.770, CI: 0.697–0.850), suggesting a differential age pattern in chronic versus infectious disease risk among older adults, consistent with prior findings from</w:t>
      </w:r>
      <w:r w:rsidR="00A835CE" w:rsidRPr="00381786">
        <w:rPr>
          <w:rFonts w:ascii="Times New Roman" w:hAnsi="Times New Roman" w:cs="Times New Roman"/>
        </w:rPr>
        <w:t xml:space="preserve"> LASI and similar aging studies</w:t>
      </w:r>
      <w:r w:rsidR="002C70E4" w:rsidRPr="00381786">
        <w:rPr>
          <w:rFonts w:ascii="Times New Roman" w:hAnsi="Times New Roman" w:cs="Times New Roman"/>
        </w:rPr>
        <w:t xml:space="preserve"> [26]</w:t>
      </w:r>
      <w:r w:rsidRPr="00381786">
        <w:rPr>
          <w:rFonts w:ascii="Times New Roman" w:hAnsi="Times New Roman" w:cs="Times New Roman"/>
        </w:rPr>
        <w:t>.</w:t>
      </w:r>
      <w:r w:rsidR="00A835CE" w:rsidRPr="00381786">
        <w:rPr>
          <w:rFonts w:ascii="Times New Roman" w:hAnsi="Times New Roman" w:cs="Times New Roman"/>
        </w:rPr>
        <w:t xml:space="preserve"> </w:t>
      </w:r>
      <w:r w:rsidR="00F52212" w:rsidRPr="00381786">
        <w:rPr>
          <w:rFonts w:ascii="Times New Roman" w:hAnsi="Times New Roman" w:cs="Times New Roman"/>
        </w:rPr>
        <w:t>Females had significantly lower odds of ONCD but higher odds of OCD (AOR=1.310, CI: 1.165–1.473), indicating a gender disparity that may stem from differential healthcare-seeking behavio</w:t>
      </w:r>
      <w:r w:rsidR="00E41295" w:rsidRPr="00381786">
        <w:rPr>
          <w:rFonts w:ascii="Times New Roman" w:hAnsi="Times New Roman" w:cs="Times New Roman"/>
        </w:rPr>
        <w:t>rs or biological susceptibility</w:t>
      </w:r>
      <w:r w:rsidR="002C70E4" w:rsidRPr="00381786">
        <w:rPr>
          <w:rFonts w:ascii="Times New Roman" w:hAnsi="Times New Roman" w:cs="Times New Roman"/>
        </w:rPr>
        <w:t xml:space="preserve"> [27]</w:t>
      </w:r>
      <w:r w:rsidR="00F52212" w:rsidRPr="00381786">
        <w:rPr>
          <w:rFonts w:ascii="Times New Roman" w:hAnsi="Times New Roman" w:cs="Times New Roman"/>
          <w:bCs/>
        </w:rPr>
        <w:t>.</w:t>
      </w:r>
      <w:r w:rsidR="00993FE1" w:rsidRPr="00381786">
        <w:rPr>
          <w:rFonts w:ascii="Times New Roman" w:hAnsi="Times New Roman" w:cs="Times New Roman"/>
        </w:rPr>
        <w:t xml:space="preserve"> </w:t>
      </w:r>
      <w:r w:rsidR="00F52212" w:rsidRPr="00381786">
        <w:rPr>
          <w:rFonts w:ascii="Times New Roman" w:hAnsi="Times New Roman" w:cs="Times New Roman"/>
        </w:rPr>
        <w:t xml:space="preserve">Urban residence strongly increased the risk of ONCD (AOR=1.524) while being protective against OCD and co-occurrence, highlighting the </w:t>
      </w:r>
      <w:r w:rsidR="00D169D9" w:rsidRPr="00381786">
        <w:rPr>
          <w:rFonts w:ascii="Times New Roman" w:hAnsi="Times New Roman" w:cs="Times New Roman"/>
        </w:rPr>
        <w:t xml:space="preserve">dual burden of urban lifestyles </w:t>
      </w:r>
      <w:r w:rsidR="00F52212" w:rsidRPr="00381786">
        <w:rPr>
          <w:rFonts w:ascii="Times New Roman" w:hAnsi="Times New Roman" w:cs="Times New Roman"/>
        </w:rPr>
        <w:t>higher chronic disease risk but better infection control.</w:t>
      </w:r>
    </w:p>
    <w:p w14:paraId="17D5690E" w14:textId="6C29B847" w:rsidR="00574DE6" w:rsidRPr="00381786" w:rsidRDefault="00F52212" w:rsidP="00086D35">
      <w:pPr>
        <w:pStyle w:val="NoSpacing"/>
        <w:spacing w:line="360" w:lineRule="auto"/>
        <w:jc w:val="both"/>
        <w:rPr>
          <w:rFonts w:ascii="Times New Roman" w:hAnsi="Times New Roman" w:cs="Times New Roman"/>
        </w:rPr>
      </w:pPr>
      <w:r w:rsidRPr="00381786">
        <w:rPr>
          <w:rFonts w:ascii="Times New Roman" w:hAnsi="Times New Roman" w:cs="Times New Roman"/>
        </w:rPr>
        <w:t>Education and higher wealth quintiles were positively associated with ONCD and co-occurrence, but negatively associated with OCD. Educated elderly were 45% more likely to have ONCD (AOR=1.447), whereas they were 25% less likely to have OCD (AOR=0.748), reflecting the socioeconom</w:t>
      </w:r>
      <w:r w:rsidR="00E41295" w:rsidRPr="00381786">
        <w:rPr>
          <w:rFonts w:ascii="Times New Roman" w:hAnsi="Times New Roman" w:cs="Times New Roman"/>
        </w:rPr>
        <w:t>ic gradient in disease profiles</w:t>
      </w:r>
      <w:r w:rsidR="002C70E4" w:rsidRPr="00381786">
        <w:rPr>
          <w:rFonts w:ascii="Times New Roman" w:hAnsi="Times New Roman" w:cs="Times New Roman"/>
        </w:rPr>
        <w:t xml:space="preserve"> [28]</w:t>
      </w:r>
      <w:r w:rsidRPr="00381786">
        <w:rPr>
          <w:rFonts w:ascii="Times New Roman" w:hAnsi="Times New Roman" w:cs="Times New Roman"/>
        </w:rPr>
        <w:t>.</w:t>
      </w:r>
      <w:r w:rsidRPr="00381786">
        <w:rPr>
          <w:rFonts w:ascii="Times New Roman" w:hAnsi="Times New Roman" w:cs="Times New Roman"/>
          <w:color w:val="EE0000"/>
        </w:rPr>
        <w:t xml:space="preserve"> </w:t>
      </w:r>
      <w:r w:rsidRPr="00381786">
        <w:rPr>
          <w:rFonts w:ascii="Times New Roman" w:hAnsi="Times New Roman" w:cs="Times New Roman"/>
        </w:rPr>
        <w:t xml:space="preserve">A graded increase in ONCD and ONCD&amp;OCD was evident across wealth quintiles, with the richest showing the highest odds (AOR=1.614 for ONCD&amp;OCD), </w:t>
      </w:r>
      <w:r w:rsidR="003276B8" w:rsidRPr="00381786">
        <w:rPr>
          <w:rFonts w:ascii="Times New Roman" w:hAnsi="Times New Roman" w:cs="Times New Roman"/>
        </w:rPr>
        <w:t xml:space="preserve">while OCD declined with wealth. </w:t>
      </w:r>
      <w:r w:rsidRPr="00381786">
        <w:rPr>
          <w:rFonts w:ascii="Times New Roman" w:hAnsi="Times New Roman" w:cs="Times New Roman"/>
        </w:rPr>
        <w:t>Respondents living in non-</w:t>
      </w:r>
      <w:r w:rsidR="00B92FE4">
        <w:rPr>
          <w:rFonts w:ascii="Times New Roman" w:hAnsi="Times New Roman" w:cs="Times New Roman"/>
        </w:rPr>
        <w:t xml:space="preserve"> </w:t>
      </w:r>
      <w:proofErr w:type="spellStart"/>
      <w:r w:rsidRPr="00381786">
        <w:rPr>
          <w:rFonts w:ascii="Times New Roman" w:hAnsi="Times New Roman" w:cs="Times New Roman"/>
        </w:rPr>
        <w:t>pucca</w:t>
      </w:r>
      <w:proofErr w:type="spellEnd"/>
      <w:r w:rsidRPr="00381786">
        <w:rPr>
          <w:rFonts w:ascii="Times New Roman" w:hAnsi="Times New Roman" w:cs="Times New Roman"/>
        </w:rPr>
        <w:t xml:space="preserve"> houses and those not living with spouse and children were more vulnerable to OCD and less likely to have ONCD, underscoring the importance of housing quality and social support. Dissatisfaction with life also showed a positive association with ONCD and co-occurrence (AOR=1.206 and 1.108, respectively), in line with literature linking psychoso</w:t>
      </w:r>
      <w:r w:rsidR="00E41295" w:rsidRPr="00381786">
        <w:rPr>
          <w:rFonts w:ascii="Times New Roman" w:hAnsi="Times New Roman" w:cs="Times New Roman"/>
        </w:rPr>
        <w:t>cial stress and chronic illness</w:t>
      </w:r>
      <w:r w:rsidR="002C70E4" w:rsidRPr="00381786">
        <w:rPr>
          <w:rFonts w:ascii="Times New Roman" w:hAnsi="Times New Roman" w:cs="Times New Roman"/>
        </w:rPr>
        <w:t xml:space="preserve"> [29]</w:t>
      </w:r>
      <w:r w:rsidR="00ED525B" w:rsidRPr="00381786">
        <w:rPr>
          <w:rFonts w:ascii="Times New Roman" w:hAnsi="Times New Roman" w:cs="Times New Roman"/>
        </w:rPr>
        <w:t>.</w:t>
      </w:r>
      <w:r w:rsidR="003276B8" w:rsidRPr="00381786">
        <w:rPr>
          <w:rFonts w:ascii="Times New Roman" w:hAnsi="Times New Roman" w:cs="Times New Roman"/>
        </w:rPr>
        <w:t xml:space="preserve"> </w:t>
      </w:r>
      <w:r w:rsidRPr="00381786">
        <w:rPr>
          <w:rFonts w:ascii="Times New Roman" w:hAnsi="Times New Roman" w:cs="Times New Roman"/>
        </w:rPr>
        <w:t xml:space="preserve">Substance use was inversely associated with ONCD but increased the odds of OCD (AOR=1.299) and ONCD&amp;OCD (AOR=1.143). Underweight status was significantly associated with higher OCD risk (AOR=1.320), while overweight increased ONCD risk (AOR=1.684), reflecting the divergent nutritional pathways of disease. High waist-hip ratio was also significantly related to ONCD (AOR=1.390), consistent with metabolic syndrome literature </w:t>
      </w:r>
      <w:r w:rsidR="002C70E4" w:rsidRPr="00381786">
        <w:rPr>
          <w:rFonts w:ascii="Times New Roman" w:hAnsi="Times New Roman" w:cs="Times New Roman"/>
        </w:rPr>
        <w:t>[30]</w:t>
      </w:r>
      <w:r w:rsidR="00993FE1" w:rsidRPr="00381786">
        <w:rPr>
          <w:rFonts w:ascii="Times New Roman" w:hAnsi="Times New Roman" w:cs="Times New Roman"/>
        </w:rPr>
        <w:t>.</w:t>
      </w:r>
      <w:r w:rsidRPr="00381786">
        <w:rPr>
          <w:rFonts w:ascii="Times New Roman" w:hAnsi="Times New Roman" w:cs="Times New Roman"/>
        </w:rPr>
        <w:t>Functional disability (ADL dependence) was significantly associated with all three outcomes, particularly with co-occurrence (AOR=1.841), suggesting that disease burden contributes to loss of independence and vice versa. This finding aligns with gerontological evidence on multim</w:t>
      </w:r>
      <w:r w:rsidR="00E41295" w:rsidRPr="00381786">
        <w:rPr>
          <w:rFonts w:ascii="Times New Roman" w:hAnsi="Times New Roman" w:cs="Times New Roman"/>
        </w:rPr>
        <w:t>orbidity and functional decline</w:t>
      </w:r>
      <w:r w:rsidR="002C70E4" w:rsidRPr="00381786">
        <w:rPr>
          <w:rFonts w:ascii="Times New Roman" w:hAnsi="Times New Roman" w:cs="Times New Roman"/>
        </w:rPr>
        <w:t xml:space="preserve"> [31]</w:t>
      </w:r>
      <w:r w:rsidRPr="00381786">
        <w:rPr>
          <w:rFonts w:ascii="Times New Roman" w:hAnsi="Times New Roman" w:cs="Times New Roman"/>
        </w:rPr>
        <w:t>.</w:t>
      </w:r>
    </w:p>
    <w:p w14:paraId="7928BDD6" w14:textId="77777777" w:rsidR="00F52212" w:rsidRPr="00381786" w:rsidRDefault="00F52212" w:rsidP="00086D35">
      <w:pPr>
        <w:pStyle w:val="NoSpacing"/>
        <w:spacing w:line="360" w:lineRule="auto"/>
        <w:jc w:val="both"/>
        <w:rPr>
          <w:rFonts w:ascii="Times New Roman" w:hAnsi="Times New Roman" w:cs="Times New Roman"/>
          <w:b/>
          <w:bCs/>
        </w:rPr>
      </w:pPr>
      <w:r w:rsidRPr="00381786">
        <w:rPr>
          <w:rFonts w:ascii="Times New Roman" w:hAnsi="Times New Roman" w:cs="Times New Roman"/>
          <w:b/>
          <w:bCs/>
        </w:rPr>
        <w:lastRenderedPageBreak/>
        <w:t>Discussion</w:t>
      </w:r>
    </w:p>
    <w:p w14:paraId="607F3FF9" w14:textId="2B3EA192" w:rsidR="00F52212" w:rsidRPr="00381786" w:rsidRDefault="00F52212" w:rsidP="00086D35">
      <w:pPr>
        <w:pStyle w:val="NoSpacing"/>
        <w:spacing w:line="360" w:lineRule="auto"/>
        <w:jc w:val="both"/>
        <w:rPr>
          <w:rFonts w:ascii="Times New Roman" w:hAnsi="Times New Roman" w:cs="Times New Roman"/>
        </w:rPr>
      </w:pPr>
      <w:r w:rsidRPr="00381786">
        <w:rPr>
          <w:rFonts w:ascii="Times New Roman" w:hAnsi="Times New Roman" w:cs="Times New Roman"/>
        </w:rPr>
        <w:t>This study underscores the growing burden of both non-communicable diseases (NCDs) and communicable diseases (CDs) among older adults in India, with a noteworthy proportion of the population experienci</w:t>
      </w:r>
      <w:r w:rsidR="00381786">
        <w:rPr>
          <w:rFonts w:ascii="Times New Roman" w:hAnsi="Times New Roman" w:cs="Times New Roman"/>
        </w:rPr>
        <w:t xml:space="preserve">ng co-occurrence of both types. </w:t>
      </w:r>
      <w:r w:rsidRPr="00381786">
        <w:rPr>
          <w:rFonts w:ascii="Times New Roman" w:hAnsi="Times New Roman" w:cs="Times New Roman"/>
        </w:rPr>
        <w:t>The use of piecewise binary logistic regression allowed for a more reliable estimation of associations in the presence of sparse cells, which would have otherwise impaired the efficiency of a multinomial logistic appro</w:t>
      </w:r>
      <w:r w:rsidR="00897981" w:rsidRPr="00381786">
        <w:rPr>
          <w:rFonts w:ascii="Times New Roman" w:hAnsi="Times New Roman" w:cs="Times New Roman"/>
        </w:rPr>
        <w:t xml:space="preserve">ach. </w:t>
      </w:r>
      <w:r w:rsidRPr="00381786">
        <w:rPr>
          <w:rFonts w:ascii="Times New Roman" w:hAnsi="Times New Roman" w:cs="Times New Roman"/>
        </w:rPr>
        <w:t>The findings show a higher prevalence of NCDs (39.3%) compared to CDs (11.8%), with 15.1% experiencing both. This pattern mirrors the ongoing epidemiological transition in India, where lifestyle-related chronic conditions are increasingly prevalent among older adults, especially in urban an</w:t>
      </w:r>
      <w:r w:rsidR="00A835CE" w:rsidRPr="00381786">
        <w:rPr>
          <w:rFonts w:ascii="Times New Roman" w:hAnsi="Times New Roman" w:cs="Times New Roman"/>
        </w:rPr>
        <w:t>d economically advantaged areas</w:t>
      </w:r>
      <w:r w:rsidR="002C70E4" w:rsidRPr="00381786">
        <w:rPr>
          <w:rFonts w:ascii="Times New Roman" w:hAnsi="Times New Roman" w:cs="Times New Roman"/>
        </w:rPr>
        <w:t xml:space="preserve"> [26]</w:t>
      </w:r>
      <w:r w:rsidRPr="00381786">
        <w:rPr>
          <w:rFonts w:ascii="Times New Roman" w:hAnsi="Times New Roman" w:cs="Times New Roman"/>
        </w:rPr>
        <w:t>. Hypertension and diabetes remain the most frequently reported NCDs, consistent with ot</w:t>
      </w:r>
      <w:r w:rsidR="00E41295" w:rsidRPr="00381786">
        <w:rPr>
          <w:rFonts w:ascii="Times New Roman" w:hAnsi="Times New Roman" w:cs="Times New Roman"/>
        </w:rPr>
        <w:t>her aging surveys in South Asia</w:t>
      </w:r>
      <w:r w:rsidR="002C70E4" w:rsidRPr="00381786">
        <w:rPr>
          <w:rFonts w:ascii="Times New Roman" w:hAnsi="Times New Roman" w:cs="Times New Roman"/>
        </w:rPr>
        <w:t xml:space="preserve"> [32]</w:t>
      </w:r>
      <w:r w:rsidRPr="00381786">
        <w:rPr>
          <w:rFonts w:ascii="Times New Roman" w:hAnsi="Times New Roman" w:cs="Times New Roman"/>
        </w:rPr>
        <w:t>.</w:t>
      </w:r>
    </w:p>
    <w:p w14:paraId="0CC61B50" w14:textId="5441BD26" w:rsidR="00F52212" w:rsidRPr="00381786" w:rsidRDefault="00F52212" w:rsidP="00086D35">
      <w:pPr>
        <w:pStyle w:val="NoSpacing"/>
        <w:spacing w:line="360" w:lineRule="auto"/>
        <w:jc w:val="both"/>
        <w:rPr>
          <w:rFonts w:ascii="Times New Roman" w:hAnsi="Times New Roman" w:cs="Times New Roman"/>
        </w:rPr>
      </w:pPr>
      <w:r w:rsidRPr="00381786">
        <w:rPr>
          <w:rFonts w:ascii="Times New Roman" w:hAnsi="Times New Roman" w:cs="Times New Roman"/>
        </w:rPr>
        <w:t>Socioeconomic and demographic factors emerged as critical determinants of disease patterns. Higher age, education, wealth, and urban residence were consistently associated with increased odds of ONCD, possibly reflecting lifestyle transitions and improved disease detection. In contrast, OCD was more common among individuals with lower education, rural residence, and under</w:t>
      </w:r>
      <w:r w:rsidR="00897981" w:rsidRPr="00381786">
        <w:rPr>
          <w:rFonts w:ascii="Times New Roman" w:hAnsi="Times New Roman" w:cs="Times New Roman"/>
        </w:rPr>
        <w:t xml:space="preserve"> </w:t>
      </w:r>
      <w:r w:rsidR="00D169D9" w:rsidRPr="00381786">
        <w:rPr>
          <w:rFonts w:ascii="Times New Roman" w:hAnsi="Times New Roman" w:cs="Times New Roman"/>
        </w:rPr>
        <w:t xml:space="preserve">nutrition </w:t>
      </w:r>
      <w:r w:rsidRPr="00381786">
        <w:rPr>
          <w:rFonts w:ascii="Times New Roman" w:hAnsi="Times New Roman" w:cs="Times New Roman"/>
        </w:rPr>
        <w:t>highlighting the continued presence of infectious diseases in disadvantaged populations. These dual patterns indicate the need for differentiated health system responses.</w:t>
      </w:r>
    </w:p>
    <w:p w14:paraId="27127619" w14:textId="240C6D63" w:rsidR="00F52212" w:rsidRPr="00381786" w:rsidRDefault="00F52212" w:rsidP="00086D35">
      <w:pPr>
        <w:pStyle w:val="NoSpacing"/>
        <w:spacing w:line="360" w:lineRule="auto"/>
        <w:jc w:val="both"/>
        <w:rPr>
          <w:rFonts w:ascii="Times New Roman" w:hAnsi="Times New Roman" w:cs="Times New Roman"/>
        </w:rPr>
      </w:pPr>
      <w:r w:rsidRPr="00381786">
        <w:rPr>
          <w:rFonts w:ascii="Times New Roman" w:hAnsi="Times New Roman" w:cs="Times New Roman"/>
        </w:rPr>
        <w:t>Interestingly, the risk of co-occurrence (ONCD&amp;OCD) appeared most elevated among those with poor functional health (measured via ADLs), low nutritional status, and those living in poor housing conditions. Functional dependency, in particular, showed a strong association with co-occurrence, emphasizing the interplay between physical disabilit</w:t>
      </w:r>
      <w:r w:rsidR="00E41295" w:rsidRPr="00381786">
        <w:rPr>
          <w:rFonts w:ascii="Times New Roman" w:hAnsi="Times New Roman" w:cs="Times New Roman"/>
        </w:rPr>
        <w:t>y and cumulative disease burden</w:t>
      </w:r>
      <w:r w:rsidR="002C70E4" w:rsidRPr="00381786">
        <w:rPr>
          <w:rFonts w:ascii="Times New Roman" w:hAnsi="Times New Roman" w:cs="Times New Roman"/>
        </w:rPr>
        <w:t xml:space="preserve"> [31]</w:t>
      </w:r>
      <w:r w:rsidRPr="00381786">
        <w:rPr>
          <w:rFonts w:ascii="Times New Roman" w:hAnsi="Times New Roman" w:cs="Times New Roman"/>
        </w:rPr>
        <w:t xml:space="preserve">. The role of psychosocial factors was also evident; life dissatisfaction and social isolation (e.g., not living with spouse/children) increased the odds of chronic illness, highlighting how emotional well-being affects physical health among the elderly </w:t>
      </w:r>
      <w:r w:rsidR="002C70E4" w:rsidRPr="00381786">
        <w:rPr>
          <w:rFonts w:ascii="Times New Roman" w:hAnsi="Times New Roman" w:cs="Times New Roman"/>
        </w:rPr>
        <w:t>[29]</w:t>
      </w:r>
      <w:r w:rsidR="00ED525B" w:rsidRPr="00381786">
        <w:rPr>
          <w:rFonts w:ascii="Times New Roman" w:hAnsi="Times New Roman" w:cs="Times New Roman"/>
        </w:rPr>
        <w:t>.</w:t>
      </w:r>
    </w:p>
    <w:p w14:paraId="3ED17401" w14:textId="60AD0233" w:rsidR="00F52212" w:rsidRPr="00381786" w:rsidRDefault="00F52212" w:rsidP="00086D35">
      <w:pPr>
        <w:pStyle w:val="NoSpacing"/>
        <w:spacing w:line="360" w:lineRule="auto"/>
        <w:jc w:val="both"/>
        <w:rPr>
          <w:rFonts w:ascii="Times New Roman" w:hAnsi="Times New Roman" w:cs="Times New Roman"/>
        </w:rPr>
      </w:pPr>
      <w:r w:rsidRPr="00381786">
        <w:rPr>
          <w:rFonts w:ascii="Times New Roman" w:hAnsi="Times New Roman" w:cs="Times New Roman"/>
        </w:rPr>
        <w:t>Geographical</w:t>
      </w:r>
      <w:r w:rsidR="00A163DC" w:rsidRPr="00381786">
        <w:rPr>
          <w:rFonts w:ascii="Times New Roman" w:hAnsi="Times New Roman" w:cs="Times New Roman"/>
        </w:rPr>
        <w:t xml:space="preserve"> variations in disease profiles </w:t>
      </w:r>
      <w:r w:rsidRPr="00381786">
        <w:rPr>
          <w:rFonts w:ascii="Times New Roman" w:hAnsi="Times New Roman" w:cs="Times New Roman"/>
        </w:rPr>
        <w:t>ONCD more prevalent in urbanized coastal states, OCD in central regions, and co-occurrence in the n</w:t>
      </w:r>
      <w:r w:rsidR="00A163DC" w:rsidRPr="00381786">
        <w:rPr>
          <w:rFonts w:ascii="Times New Roman" w:hAnsi="Times New Roman" w:cs="Times New Roman"/>
        </w:rPr>
        <w:t xml:space="preserve">orthwestern belt </w:t>
      </w:r>
      <w:r w:rsidRPr="00381786">
        <w:rPr>
          <w:rFonts w:ascii="Times New Roman" w:hAnsi="Times New Roman" w:cs="Times New Roman"/>
        </w:rPr>
        <w:t>further point to environmental, cultural, and systemic healthcare differences across regions. These</w:t>
      </w:r>
      <w:r w:rsidR="00A163DC" w:rsidRPr="00381786">
        <w:rPr>
          <w:rFonts w:ascii="Times New Roman" w:hAnsi="Times New Roman" w:cs="Times New Roman"/>
        </w:rPr>
        <w:t xml:space="preserve"> patterns align with other LASI </w:t>
      </w:r>
      <w:r w:rsidRPr="00381786">
        <w:rPr>
          <w:rFonts w:ascii="Times New Roman" w:hAnsi="Times New Roman" w:cs="Times New Roman"/>
        </w:rPr>
        <w:t xml:space="preserve">based spatial studies showing clustering of NCDs in wealthier states and CDs in lower-performing regions </w:t>
      </w:r>
      <w:r w:rsidR="002C70E4" w:rsidRPr="00381786">
        <w:rPr>
          <w:rFonts w:ascii="Times New Roman" w:hAnsi="Times New Roman" w:cs="Times New Roman"/>
        </w:rPr>
        <w:t>[33-34]</w:t>
      </w:r>
      <w:r w:rsidRPr="00381786">
        <w:rPr>
          <w:rFonts w:ascii="Times New Roman" w:hAnsi="Times New Roman" w:cs="Times New Roman"/>
        </w:rPr>
        <w:t>.</w:t>
      </w:r>
      <w:r w:rsidR="00897981" w:rsidRPr="00381786">
        <w:rPr>
          <w:rFonts w:ascii="Times New Roman" w:hAnsi="Times New Roman" w:cs="Times New Roman"/>
        </w:rPr>
        <w:t xml:space="preserve"> </w:t>
      </w:r>
      <w:r w:rsidRPr="00381786">
        <w:rPr>
          <w:rFonts w:ascii="Times New Roman" w:hAnsi="Times New Roman" w:cs="Times New Roman"/>
        </w:rPr>
        <w:t>Overall, the analysis suggests that India’s elderly face a dual burden of disease shaped by both epidemiological transition and persistent inequities in healthcare access, li</w:t>
      </w:r>
      <w:r w:rsidR="00BF6EF1" w:rsidRPr="00381786">
        <w:rPr>
          <w:rFonts w:ascii="Times New Roman" w:hAnsi="Times New Roman" w:cs="Times New Roman"/>
        </w:rPr>
        <w:t>festyle, and living conditions.</w:t>
      </w:r>
    </w:p>
    <w:p w14:paraId="250FA8C2" w14:textId="1C9C634B" w:rsidR="0087792B" w:rsidRPr="00381786" w:rsidRDefault="00F52212" w:rsidP="00B76C61">
      <w:pPr>
        <w:pStyle w:val="NoSpacing"/>
        <w:tabs>
          <w:tab w:val="left" w:pos="2792"/>
        </w:tabs>
        <w:spacing w:line="360" w:lineRule="auto"/>
        <w:jc w:val="both"/>
        <w:rPr>
          <w:rFonts w:ascii="Times New Roman" w:hAnsi="Times New Roman" w:cs="Times New Roman"/>
        </w:rPr>
      </w:pPr>
      <w:r w:rsidRPr="00381786">
        <w:rPr>
          <w:rFonts w:ascii="Times New Roman" w:hAnsi="Times New Roman" w:cs="Times New Roman"/>
        </w:rPr>
        <w:t xml:space="preserve">India’s aging population is confronting a complex health landscape where traditional infectious diseases persist alongside a surge in chronic non-communicable diseases. This study, drawing from a nationally representative LASI dataset, highlights the magnitude and risk factors of this dual burden. While NCDs dominate, a significant portion of older adults experience both disease </w:t>
      </w:r>
      <w:r w:rsidRPr="00381786">
        <w:rPr>
          <w:rFonts w:ascii="Times New Roman" w:hAnsi="Times New Roman" w:cs="Times New Roman"/>
        </w:rPr>
        <w:lastRenderedPageBreak/>
        <w:t>types simultaneously, complicating diagnosis, treatment, and management.</w:t>
      </w:r>
      <w:r w:rsidR="00B13EE2" w:rsidRPr="00381786">
        <w:rPr>
          <w:rFonts w:ascii="Times New Roman" w:hAnsi="Times New Roman" w:cs="Times New Roman"/>
          <w:b/>
          <w:bCs/>
        </w:rPr>
        <w:t xml:space="preserve"> </w:t>
      </w:r>
      <w:r w:rsidRPr="00381786">
        <w:rPr>
          <w:rFonts w:ascii="Times New Roman" w:hAnsi="Times New Roman" w:cs="Times New Roman"/>
        </w:rPr>
        <w:t xml:space="preserve">Health interventions for the elderly must therefore move beyond vertical programs focused on a single disease type. Instead, a more </w:t>
      </w:r>
      <w:r w:rsidRPr="00381786">
        <w:rPr>
          <w:rFonts w:ascii="Times New Roman" w:hAnsi="Times New Roman" w:cs="Times New Roman"/>
          <w:bCs/>
        </w:rPr>
        <w:t>integrated and context-specific approach</w:t>
      </w:r>
      <w:r w:rsidRPr="00381786">
        <w:rPr>
          <w:rFonts w:ascii="Times New Roman" w:hAnsi="Times New Roman" w:cs="Times New Roman"/>
        </w:rPr>
        <w:t xml:space="preserve"> is needed—one that addresses </w:t>
      </w:r>
      <w:r w:rsidRPr="00381786">
        <w:rPr>
          <w:rFonts w:ascii="Times New Roman" w:hAnsi="Times New Roman" w:cs="Times New Roman"/>
          <w:bCs/>
        </w:rPr>
        <w:t>multimorbidity</w:t>
      </w:r>
      <w:r w:rsidRPr="00381786">
        <w:rPr>
          <w:rFonts w:ascii="Times New Roman" w:hAnsi="Times New Roman" w:cs="Times New Roman"/>
        </w:rPr>
        <w:t>, social determinants of health, functional capacity, and region-specific challenges. Strengthening primary care, improving geriatric services, investing in preventive screening, and enhancing nutrition and social support systems are urgent priorities.</w:t>
      </w:r>
      <w:r w:rsidR="00381786">
        <w:rPr>
          <w:rFonts w:ascii="Times New Roman" w:hAnsi="Times New Roman" w:cs="Times New Roman"/>
        </w:rPr>
        <w:t xml:space="preserve"> </w:t>
      </w:r>
      <w:r w:rsidR="00E41295" w:rsidRPr="00381786">
        <w:rPr>
          <w:rFonts w:ascii="Times New Roman" w:hAnsi="Times New Roman" w:cs="Times New Roman"/>
        </w:rPr>
        <w:t>Without such systemic changes, India risks facing a growing crisis of elderly health with serious implications for health expenditure, family caregiving, and quality of life in older age.</w:t>
      </w:r>
      <w:bookmarkStart w:id="1" w:name="_Hlk204461491"/>
    </w:p>
    <w:p w14:paraId="4B7C5524" w14:textId="77777777" w:rsidR="00B76C61" w:rsidRPr="00B76C61" w:rsidRDefault="00B76C61" w:rsidP="00B76C61">
      <w:pPr>
        <w:pStyle w:val="NoSpacing"/>
        <w:tabs>
          <w:tab w:val="left" w:pos="2792"/>
        </w:tabs>
        <w:spacing w:line="360" w:lineRule="auto"/>
        <w:jc w:val="both"/>
        <w:rPr>
          <w:rFonts w:ascii="Times New Roman" w:hAnsi="Times New Roman" w:cs="Times New Roman"/>
          <w:b/>
          <w:bCs/>
        </w:rPr>
      </w:pPr>
    </w:p>
    <w:bookmarkEnd w:id="1"/>
    <w:p w14:paraId="3F7C8511" w14:textId="77777777" w:rsidR="00342F6D" w:rsidRPr="00D5500D" w:rsidRDefault="00342F6D" w:rsidP="00D5500D">
      <w:pPr>
        <w:spacing w:line="360" w:lineRule="auto"/>
        <w:jc w:val="both"/>
        <w:rPr>
          <w:rFonts w:ascii="Times New Roman" w:hAnsi="Times New Roman" w:cs="Times New Roman"/>
          <w:b/>
          <w:sz w:val="24"/>
          <w:szCs w:val="24"/>
        </w:rPr>
      </w:pPr>
      <w:r w:rsidRPr="00D5500D">
        <w:rPr>
          <w:rFonts w:ascii="Times New Roman" w:hAnsi="Times New Roman" w:cs="Times New Roman"/>
          <w:b/>
          <w:sz w:val="24"/>
          <w:szCs w:val="24"/>
        </w:rPr>
        <w:t>References</w:t>
      </w:r>
    </w:p>
    <w:p w14:paraId="336389CE" w14:textId="107EABBF" w:rsidR="0027591E" w:rsidRDefault="00004DE8" w:rsidP="0027591E">
      <w:pPr>
        <w:pStyle w:val="NormalWeb"/>
        <w:spacing w:line="276" w:lineRule="auto"/>
        <w:jc w:val="both"/>
      </w:pPr>
      <w:r w:rsidRPr="00D5500D">
        <w:t>1.</w:t>
      </w:r>
      <w:r w:rsidR="009C43A9" w:rsidRPr="00D5500D">
        <w:t xml:space="preserve"> </w:t>
      </w:r>
      <w:r w:rsidR="0027591E">
        <w:t xml:space="preserve">United Nations Department of Economic and Social Affairs. </w:t>
      </w:r>
      <w:r w:rsidR="0027591E">
        <w:rPr>
          <w:rStyle w:val="Emphasis"/>
        </w:rPr>
        <w:t>World Economic and Social Survey 2007: Development in an Ageing World</w:t>
      </w:r>
      <w:r w:rsidR="0027591E">
        <w:t xml:space="preserve">. New York: United Nations; 2007 [cited 2025 Jul]. </w:t>
      </w:r>
      <w:hyperlink r:id="rId15" w:history="1">
        <w:r w:rsidR="0027591E" w:rsidRPr="00633991">
          <w:rPr>
            <w:rStyle w:val="Hyperlink"/>
          </w:rPr>
          <w:t>https://www.un.org/esa/socdev/ageing/documents/WESS2007.pdf</w:t>
        </w:r>
      </w:hyperlink>
    </w:p>
    <w:p w14:paraId="7C889A21" w14:textId="28204FE8" w:rsidR="009C43A9" w:rsidRPr="00D5500D" w:rsidRDefault="00004DE8" w:rsidP="0027591E">
      <w:pPr>
        <w:pStyle w:val="NormalWeb"/>
        <w:spacing w:line="276" w:lineRule="auto"/>
        <w:jc w:val="both"/>
      </w:pPr>
      <w:r w:rsidRPr="00D5500D">
        <w:t>2.</w:t>
      </w:r>
      <w:r w:rsidR="009C43A9" w:rsidRPr="00D5500D">
        <w:t xml:space="preserve"> </w:t>
      </w:r>
      <w:r w:rsidR="003876CC">
        <w:t xml:space="preserve">Bloom DE. </w:t>
      </w:r>
      <w:proofErr w:type="gramStart"/>
      <w:r w:rsidR="003876CC">
        <w:rPr>
          <w:rStyle w:val="Emphasis"/>
        </w:rPr>
        <w:t>7 billion and counting</w:t>
      </w:r>
      <w:r w:rsidR="003876CC">
        <w:t>.</w:t>
      </w:r>
      <w:proofErr w:type="gramEnd"/>
      <w:r w:rsidR="003876CC">
        <w:t xml:space="preserve"> Science 2011; 333(6042): 562–569. </w:t>
      </w:r>
      <w:hyperlink r:id="rId16" w:tgtFrame="_new" w:history="1">
        <w:r w:rsidR="003876CC">
          <w:rPr>
            <w:rStyle w:val="Hyperlink"/>
          </w:rPr>
          <w:t>https://doi.org/10.1126/science.1209290</w:t>
        </w:r>
      </w:hyperlink>
    </w:p>
    <w:p w14:paraId="1F8DE158" w14:textId="0059B1DB" w:rsidR="009C43A9" w:rsidRPr="00D5500D" w:rsidRDefault="00004DE8" w:rsidP="003876CC">
      <w:pPr>
        <w:pStyle w:val="NormalWeb"/>
      </w:pPr>
      <w:r w:rsidRPr="00D5500D">
        <w:t>3.</w:t>
      </w:r>
      <w:r w:rsidR="009C43A9" w:rsidRPr="00D5500D">
        <w:t xml:space="preserve"> </w:t>
      </w:r>
      <w:r w:rsidR="003876CC">
        <w:t xml:space="preserve">Christensen K, </w:t>
      </w:r>
      <w:proofErr w:type="spellStart"/>
      <w:r w:rsidR="003876CC">
        <w:t>Doblhammer</w:t>
      </w:r>
      <w:proofErr w:type="spellEnd"/>
      <w:r w:rsidR="003876CC">
        <w:t xml:space="preserve"> G, Rau R, </w:t>
      </w:r>
      <w:proofErr w:type="spellStart"/>
      <w:r w:rsidR="003876CC">
        <w:t>Vaupel</w:t>
      </w:r>
      <w:proofErr w:type="spellEnd"/>
      <w:r w:rsidR="003876CC">
        <w:t xml:space="preserve"> JW. </w:t>
      </w:r>
      <w:proofErr w:type="gramStart"/>
      <w:r w:rsidR="003876CC">
        <w:rPr>
          <w:rStyle w:val="Emphasis"/>
        </w:rPr>
        <w:t>Ageing populations: the challenges ahead</w:t>
      </w:r>
      <w:r w:rsidR="003876CC">
        <w:t>.</w:t>
      </w:r>
      <w:proofErr w:type="gramEnd"/>
      <w:r w:rsidR="003876CC">
        <w:t xml:space="preserve"> Lancet 2009; 374(9696): 1196–1208. </w:t>
      </w:r>
      <w:hyperlink r:id="rId17" w:tgtFrame="_new" w:history="1">
        <w:r w:rsidR="003876CC">
          <w:rPr>
            <w:rStyle w:val="Hyperlink"/>
          </w:rPr>
          <w:t>https://doi.org/10.1016/S0140-6736(09)61460-4</w:t>
        </w:r>
      </w:hyperlink>
    </w:p>
    <w:p w14:paraId="210AC277" w14:textId="12D3AEDC" w:rsidR="009C43A9" w:rsidRPr="00D5500D" w:rsidRDefault="00004DE8" w:rsidP="002737B4">
      <w:pPr>
        <w:pStyle w:val="NormalWeb"/>
      </w:pPr>
      <w:r w:rsidRPr="00D5500D">
        <w:t>4.</w:t>
      </w:r>
      <w:r w:rsidR="009C43A9" w:rsidRPr="00D5500D">
        <w:t xml:space="preserve"> </w:t>
      </w:r>
      <w:r w:rsidR="002737B4">
        <w:t xml:space="preserve">World Health Organization. </w:t>
      </w:r>
      <w:proofErr w:type="gramStart"/>
      <w:r w:rsidR="002737B4">
        <w:rPr>
          <w:rStyle w:val="Emphasis"/>
        </w:rPr>
        <w:t>World report on ageing and health</w:t>
      </w:r>
      <w:r w:rsidR="002737B4">
        <w:t>.</w:t>
      </w:r>
      <w:proofErr w:type="gramEnd"/>
      <w:r w:rsidR="002737B4">
        <w:t xml:space="preserve"> Geneva: World Health Organization; 2015 [cited 2025 Jul]. </w:t>
      </w:r>
      <w:hyperlink r:id="rId18" w:tgtFrame="_new" w:history="1">
        <w:r w:rsidR="002737B4">
          <w:rPr>
            <w:rStyle w:val="Hyperlink"/>
          </w:rPr>
          <w:t>https://iris.who.int/handle/10665/186463</w:t>
        </w:r>
      </w:hyperlink>
    </w:p>
    <w:p w14:paraId="541878B4" w14:textId="77777777" w:rsidR="00DF5E15" w:rsidRDefault="00004DE8" w:rsidP="00DF5E15">
      <w:pPr>
        <w:pStyle w:val="NormalWeb"/>
      </w:pPr>
      <w:r w:rsidRPr="00D5500D">
        <w:t>5.</w:t>
      </w:r>
      <w:r w:rsidR="009C43A9" w:rsidRPr="00D5500D">
        <w:t xml:space="preserve"> </w:t>
      </w:r>
      <w:r w:rsidR="00DF5E15">
        <w:t xml:space="preserve">World Health Organization. </w:t>
      </w:r>
      <w:r w:rsidR="00DF5E15">
        <w:rPr>
          <w:rStyle w:val="Emphasis"/>
        </w:rPr>
        <w:t>Ageing and health: fact sheet</w:t>
      </w:r>
      <w:r w:rsidR="00DF5E15">
        <w:t xml:space="preserve">. Geneva: World Health Organization; [cited 2025 Jul]. </w:t>
      </w:r>
      <w:hyperlink r:id="rId19" w:tgtFrame="_new" w:history="1">
        <w:r w:rsidR="00DF5E15">
          <w:rPr>
            <w:rStyle w:val="Hyperlink"/>
          </w:rPr>
          <w:t>https://www.who.int/news-room/fact-sheets/detail/ageing-and-health</w:t>
        </w:r>
      </w:hyperlink>
    </w:p>
    <w:p w14:paraId="1F8E7ABF" w14:textId="76557E7D" w:rsidR="009C43A9" w:rsidRPr="00D5500D" w:rsidRDefault="00004DE8" w:rsidP="00DF5E15">
      <w:pPr>
        <w:pStyle w:val="NormalWeb"/>
        <w:spacing w:line="276" w:lineRule="auto"/>
        <w:jc w:val="both"/>
      </w:pPr>
      <w:r w:rsidRPr="00D5500D">
        <w:t xml:space="preserve">6. </w:t>
      </w:r>
      <w:r w:rsidR="00DF5E15">
        <w:t xml:space="preserve">Chauhan S, </w:t>
      </w:r>
      <w:proofErr w:type="spellStart"/>
      <w:r w:rsidR="00DF5E15">
        <w:t>Srivastava</w:t>
      </w:r>
      <w:proofErr w:type="spellEnd"/>
      <w:r w:rsidR="00DF5E15">
        <w:t xml:space="preserve"> S, Patel R, et al. </w:t>
      </w:r>
      <w:r w:rsidR="00DF5E15">
        <w:rPr>
          <w:rStyle w:val="Emphasis"/>
        </w:rPr>
        <w:t>Prevalence and risk factors of communicable and non-communicable diseases among older adults in India: a cross-sectional study</w:t>
      </w:r>
      <w:r w:rsidR="00DF5E15">
        <w:t xml:space="preserve">. BMC </w:t>
      </w:r>
      <w:proofErr w:type="spellStart"/>
      <w:r w:rsidR="00DF5E15">
        <w:t>Geriatr</w:t>
      </w:r>
      <w:proofErr w:type="spellEnd"/>
      <w:r w:rsidR="00DF5E15">
        <w:t xml:space="preserve"> 2022; 22: 3481. </w:t>
      </w:r>
      <w:hyperlink r:id="rId20" w:tgtFrame="_new" w:history="1">
        <w:r w:rsidR="00DF5E15">
          <w:rPr>
            <w:rStyle w:val="Hyperlink"/>
          </w:rPr>
          <w:t>https://doi.org/10.1186/s12877-022-03481-x</w:t>
        </w:r>
      </w:hyperlink>
    </w:p>
    <w:p w14:paraId="3807A9E2" w14:textId="1776ABE8" w:rsidR="009C43A9" w:rsidRPr="00D5500D" w:rsidRDefault="00004DE8" w:rsidP="00B76C61">
      <w:pPr>
        <w:pStyle w:val="NormalWeb"/>
        <w:spacing w:line="276" w:lineRule="auto"/>
        <w:jc w:val="both"/>
      </w:pPr>
      <w:r w:rsidRPr="00D5500D">
        <w:t>7.</w:t>
      </w:r>
      <w:r w:rsidR="009C43A9" w:rsidRPr="00D5500D">
        <w:t xml:space="preserve"> </w:t>
      </w:r>
      <w:r w:rsidR="00DF5E15">
        <w:t xml:space="preserve">Tyagi P. </w:t>
      </w:r>
      <w:r w:rsidR="00DF5E15">
        <w:rPr>
          <w:rStyle w:val="Emphasis"/>
        </w:rPr>
        <w:t>Double burden of disease: double burden of communicable and non-communicable disease in old age in South Asia</w:t>
      </w:r>
      <w:r w:rsidR="00DF5E15">
        <w:t xml:space="preserve">. </w:t>
      </w:r>
      <w:proofErr w:type="gramStart"/>
      <w:r w:rsidR="00DF5E15">
        <w:t>Gravis 2014.</w:t>
      </w:r>
      <w:proofErr w:type="gramEnd"/>
    </w:p>
    <w:p w14:paraId="190D1B4B" w14:textId="2B670FC1" w:rsidR="009C43A9" w:rsidRPr="00D5500D" w:rsidRDefault="00004DE8" w:rsidP="00DF5E15">
      <w:pPr>
        <w:pStyle w:val="NormalWeb"/>
      </w:pPr>
      <w:r w:rsidRPr="00D5500D">
        <w:t>8.</w:t>
      </w:r>
      <w:r w:rsidR="009C43A9" w:rsidRPr="00D5500D">
        <w:t xml:space="preserve">  </w:t>
      </w:r>
      <w:r w:rsidR="00DF5E15">
        <w:t xml:space="preserve">Chauhan S, </w:t>
      </w:r>
      <w:proofErr w:type="spellStart"/>
      <w:r w:rsidR="00DF5E15">
        <w:t>Arokiasamy</w:t>
      </w:r>
      <w:proofErr w:type="spellEnd"/>
      <w:r w:rsidR="00DF5E15">
        <w:t xml:space="preserve"> P. </w:t>
      </w:r>
      <w:r w:rsidR="00DF5E15">
        <w:rPr>
          <w:rStyle w:val="Emphasis"/>
        </w:rPr>
        <w:t>India’s demographic dividend: state wise perspective</w:t>
      </w:r>
      <w:r w:rsidR="00DF5E15">
        <w:t xml:space="preserve">. J </w:t>
      </w:r>
      <w:proofErr w:type="spellStart"/>
      <w:r w:rsidR="00DF5E15">
        <w:t>Soc</w:t>
      </w:r>
      <w:proofErr w:type="spellEnd"/>
      <w:r w:rsidR="00DF5E15">
        <w:t xml:space="preserve"> Econ </w:t>
      </w:r>
      <w:proofErr w:type="spellStart"/>
      <w:r w:rsidR="00DF5E15">
        <w:t>Dev</w:t>
      </w:r>
      <w:proofErr w:type="spellEnd"/>
      <w:r w:rsidR="00DF5E15">
        <w:t xml:space="preserve"> 2018; 20(1): 1–23. </w:t>
      </w:r>
      <w:hyperlink r:id="rId21" w:tgtFrame="_new" w:history="1">
        <w:r w:rsidR="00DF5E15">
          <w:rPr>
            <w:rStyle w:val="Hyperlink"/>
          </w:rPr>
          <w:t>https://doi.org/10.1007/s40847-018-0061-7</w:t>
        </w:r>
      </w:hyperlink>
    </w:p>
    <w:p w14:paraId="26DCDE12" w14:textId="3E7A1EE7" w:rsidR="009C43A9" w:rsidRPr="00D5500D" w:rsidRDefault="00004DE8" w:rsidP="00B76C61">
      <w:pPr>
        <w:pStyle w:val="NormalWeb"/>
        <w:spacing w:line="276" w:lineRule="auto"/>
        <w:jc w:val="both"/>
      </w:pPr>
      <w:r w:rsidRPr="00D5500D">
        <w:t>9.</w:t>
      </w:r>
      <w:r w:rsidR="009C43A9" w:rsidRPr="00D5500D">
        <w:t xml:space="preserve">  Patel R, Chauhan S, </w:t>
      </w:r>
      <w:proofErr w:type="spellStart"/>
      <w:r w:rsidR="009C43A9" w:rsidRPr="00D5500D">
        <w:t>Chaurasiya</w:t>
      </w:r>
      <w:proofErr w:type="spellEnd"/>
      <w:r w:rsidR="009C43A9" w:rsidRPr="00D5500D">
        <w:t xml:space="preserve"> D, Kumar S, </w:t>
      </w:r>
      <w:proofErr w:type="spellStart"/>
      <w:r w:rsidR="009C43A9" w:rsidRPr="00D5500D">
        <w:t>Paswan</w:t>
      </w:r>
      <w:proofErr w:type="spellEnd"/>
      <w:r w:rsidR="009C43A9" w:rsidRPr="00D5500D">
        <w:t xml:space="preserve"> B. Role and impact of social capital on health of older adults in India. Indian J </w:t>
      </w:r>
      <w:proofErr w:type="spellStart"/>
      <w:r w:rsidR="009C43A9" w:rsidRPr="00D5500D">
        <w:t>Soc</w:t>
      </w:r>
      <w:proofErr w:type="spellEnd"/>
      <w:r w:rsidR="009C43A9" w:rsidRPr="00D5500D">
        <w:t xml:space="preserve"> Res. 2019</w:t>
      </w:r>
      <w:proofErr w:type="gramStart"/>
      <w:r w:rsidR="009C43A9" w:rsidRPr="00D5500D">
        <w:t>;60</w:t>
      </w:r>
      <w:proofErr w:type="gramEnd"/>
      <w:r w:rsidR="009C43A9" w:rsidRPr="00D5500D">
        <w:t>(2):279–305.</w:t>
      </w:r>
    </w:p>
    <w:p w14:paraId="02401982" w14:textId="25215C6A" w:rsidR="009C43A9" w:rsidRPr="00D5500D" w:rsidRDefault="00004DE8" w:rsidP="00B76C61">
      <w:pPr>
        <w:pStyle w:val="NormalWeb"/>
        <w:spacing w:line="276" w:lineRule="auto"/>
        <w:jc w:val="both"/>
      </w:pPr>
      <w:r w:rsidRPr="00D5500D">
        <w:t>10.</w:t>
      </w:r>
      <w:r w:rsidR="009C43A9" w:rsidRPr="00D5500D">
        <w:t xml:space="preserve">  </w:t>
      </w:r>
      <w:proofErr w:type="spellStart"/>
      <w:r w:rsidR="00DF5E15">
        <w:t>Srivastava</w:t>
      </w:r>
      <w:proofErr w:type="spellEnd"/>
      <w:r w:rsidR="00DF5E15">
        <w:t xml:space="preserve"> S, Chauhan S, Patel R. </w:t>
      </w:r>
      <w:r w:rsidR="00DF5E15">
        <w:rPr>
          <w:rStyle w:val="Emphasis"/>
        </w:rPr>
        <w:t>Socio-economic inequalities in the prevalence of poor self-rated health among older adults in India from 2004 to 2014: a decomposition analysis</w:t>
      </w:r>
      <w:r w:rsidR="00DF5E15">
        <w:t xml:space="preserve">. Ageing </w:t>
      </w:r>
      <w:proofErr w:type="spellStart"/>
      <w:r w:rsidR="00DF5E15">
        <w:t>Int</w:t>
      </w:r>
      <w:proofErr w:type="spellEnd"/>
      <w:r w:rsidR="00DF5E15">
        <w:t xml:space="preserve"> 2021; 46(2): 182–199. </w:t>
      </w:r>
      <w:hyperlink r:id="rId22" w:tgtFrame="_new" w:history="1">
        <w:r w:rsidR="00DF5E15">
          <w:rPr>
            <w:rStyle w:val="Hyperlink"/>
          </w:rPr>
          <w:t>https://doi.org/10.1007/s12126-020-09385-8</w:t>
        </w:r>
      </w:hyperlink>
    </w:p>
    <w:p w14:paraId="30442A0A" w14:textId="77777777" w:rsidR="002B67E4" w:rsidRDefault="00004DE8" w:rsidP="002B67E4">
      <w:pPr>
        <w:pStyle w:val="NormalWeb"/>
        <w:spacing w:line="276" w:lineRule="auto"/>
        <w:jc w:val="both"/>
      </w:pPr>
      <w:r w:rsidRPr="00D5500D">
        <w:lastRenderedPageBreak/>
        <w:t xml:space="preserve">11. </w:t>
      </w:r>
      <w:r w:rsidR="009C43A9" w:rsidRPr="00D5500D">
        <w:t xml:space="preserve"> </w:t>
      </w:r>
      <w:proofErr w:type="spellStart"/>
      <w:r w:rsidR="002B67E4">
        <w:t>Agarwal</w:t>
      </w:r>
      <w:proofErr w:type="spellEnd"/>
      <w:r w:rsidR="002B67E4">
        <w:t xml:space="preserve"> R, Jain P, </w:t>
      </w:r>
      <w:proofErr w:type="spellStart"/>
      <w:r w:rsidR="002B67E4">
        <w:t>Ghosh</w:t>
      </w:r>
      <w:proofErr w:type="spellEnd"/>
      <w:r w:rsidR="002B67E4">
        <w:t xml:space="preserve"> MS, </w:t>
      </w:r>
      <w:proofErr w:type="spellStart"/>
      <w:r w:rsidR="002B67E4">
        <w:t>Parihar</w:t>
      </w:r>
      <w:proofErr w:type="spellEnd"/>
      <w:r w:rsidR="002B67E4">
        <w:t xml:space="preserve"> KS. </w:t>
      </w:r>
      <w:proofErr w:type="gramStart"/>
      <w:r w:rsidR="002B67E4">
        <w:rPr>
          <w:rStyle w:val="Emphasis"/>
        </w:rPr>
        <w:t>Importance of primary health care in the society</w:t>
      </w:r>
      <w:r w:rsidR="002B67E4">
        <w:t>.</w:t>
      </w:r>
      <w:proofErr w:type="gramEnd"/>
      <w:r w:rsidR="002B67E4">
        <w:t xml:space="preserve"> </w:t>
      </w:r>
      <w:proofErr w:type="spellStart"/>
      <w:r w:rsidR="002B67E4">
        <w:t>Int</w:t>
      </w:r>
      <w:proofErr w:type="spellEnd"/>
      <w:r w:rsidR="002B67E4">
        <w:t xml:space="preserve"> J Health </w:t>
      </w:r>
      <w:proofErr w:type="spellStart"/>
      <w:r w:rsidR="002B67E4">
        <w:t>Sci</w:t>
      </w:r>
      <w:proofErr w:type="spellEnd"/>
      <w:r w:rsidR="002B67E4">
        <w:t xml:space="preserve"> 2017; 1(1): 6–11. </w:t>
      </w:r>
      <w:hyperlink r:id="rId23" w:tgtFrame="_new" w:history="1">
        <w:r w:rsidR="002B67E4">
          <w:rPr>
            <w:rStyle w:val="Hyperlink"/>
          </w:rPr>
          <w:t>https://doi.org/10.21744/ijhs.v1i1.17</w:t>
        </w:r>
      </w:hyperlink>
    </w:p>
    <w:p w14:paraId="63BD153C" w14:textId="77777777" w:rsidR="002B67E4" w:rsidRDefault="00004DE8" w:rsidP="002B67E4">
      <w:pPr>
        <w:pStyle w:val="NormalWeb"/>
      </w:pPr>
      <w:r w:rsidRPr="00D5500D">
        <w:t>12.</w:t>
      </w:r>
      <w:r w:rsidR="009C43A9" w:rsidRPr="00D5500D">
        <w:t xml:space="preserve"> </w:t>
      </w:r>
      <w:proofErr w:type="spellStart"/>
      <w:r w:rsidR="002B67E4">
        <w:t>Boutayeb</w:t>
      </w:r>
      <w:proofErr w:type="spellEnd"/>
      <w:r w:rsidR="002B67E4">
        <w:t xml:space="preserve"> A. </w:t>
      </w:r>
      <w:proofErr w:type="gramStart"/>
      <w:r w:rsidR="002B67E4">
        <w:rPr>
          <w:rStyle w:val="Emphasis"/>
        </w:rPr>
        <w:t>The double burden of communicable and non-communicable diseases in developing countries</w:t>
      </w:r>
      <w:r w:rsidR="002B67E4">
        <w:t>.</w:t>
      </w:r>
      <w:proofErr w:type="gramEnd"/>
      <w:r w:rsidR="002B67E4">
        <w:t xml:space="preserve"> Trans R </w:t>
      </w:r>
      <w:proofErr w:type="spellStart"/>
      <w:r w:rsidR="002B67E4">
        <w:t>Soc</w:t>
      </w:r>
      <w:proofErr w:type="spellEnd"/>
      <w:r w:rsidR="002B67E4">
        <w:t xml:space="preserve"> Trop Med </w:t>
      </w:r>
      <w:proofErr w:type="spellStart"/>
      <w:r w:rsidR="002B67E4">
        <w:t>Hyg</w:t>
      </w:r>
      <w:proofErr w:type="spellEnd"/>
      <w:r w:rsidR="002B67E4">
        <w:t xml:space="preserve"> 2006; 100(3): 191–199. </w:t>
      </w:r>
      <w:hyperlink r:id="rId24" w:tgtFrame="_new" w:history="1">
        <w:r w:rsidR="002B67E4">
          <w:rPr>
            <w:rStyle w:val="Hyperlink"/>
          </w:rPr>
          <w:t>https://doi.org/10.1016/j.trstmh.2005.07.021</w:t>
        </w:r>
      </w:hyperlink>
    </w:p>
    <w:p w14:paraId="3F3FC0CE" w14:textId="77777777" w:rsidR="002B67E4" w:rsidRDefault="00004DE8" w:rsidP="002B67E4">
      <w:pPr>
        <w:pStyle w:val="NormalWeb"/>
        <w:spacing w:line="276" w:lineRule="auto"/>
        <w:jc w:val="both"/>
      </w:pPr>
      <w:r w:rsidRPr="00D5500D">
        <w:t xml:space="preserve">13. </w:t>
      </w:r>
      <w:r w:rsidR="002B67E4">
        <w:t xml:space="preserve">Ministry of Health and Family Welfare, Government of India. </w:t>
      </w:r>
      <w:proofErr w:type="gramStart"/>
      <w:r w:rsidR="002B67E4">
        <w:rPr>
          <w:rStyle w:val="Emphasis"/>
        </w:rPr>
        <w:t>National Programme for Prevention and Control of Cancer, Diabetes, Cardiovascular Diseases and Stroke (NPCDCS)</w:t>
      </w:r>
      <w:r w:rsidR="002B67E4">
        <w:t>.</w:t>
      </w:r>
      <w:proofErr w:type="gramEnd"/>
      <w:r w:rsidR="002B67E4">
        <w:t xml:space="preserve"> New Delhi: Government of India; [cited 2025 Jul]. </w:t>
      </w:r>
      <w:hyperlink r:id="rId25" w:tgtFrame="_new" w:history="1">
        <w:r w:rsidR="002B67E4">
          <w:rPr>
            <w:rStyle w:val="Hyperlink"/>
          </w:rPr>
          <w:t>https://www.wbhealth.gov.in/NCD/</w:t>
        </w:r>
      </w:hyperlink>
    </w:p>
    <w:p w14:paraId="4A7DA0C1" w14:textId="420C043C" w:rsidR="009C43A9" w:rsidRPr="00D5500D" w:rsidRDefault="00004DE8" w:rsidP="002B67E4">
      <w:pPr>
        <w:pStyle w:val="NormalWeb"/>
      </w:pPr>
      <w:r w:rsidRPr="00D5500D">
        <w:t>14.</w:t>
      </w:r>
      <w:r w:rsidR="009C43A9" w:rsidRPr="00D5500D">
        <w:t xml:space="preserve"> </w:t>
      </w:r>
      <w:r w:rsidR="002B67E4">
        <w:t xml:space="preserve">Mohan P, Mohan SB, Dutta M. </w:t>
      </w:r>
      <w:r w:rsidR="002B67E4">
        <w:rPr>
          <w:rStyle w:val="Emphasis"/>
        </w:rPr>
        <w:t xml:space="preserve">Communicable or </w:t>
      </w:r>
      <w:proofErr w:type="spellStart"/>
      <w:r w:rsidR="002B67E4">
        <w:rPr>
          <w:rStyle w:val="Emphasis"/>
        </w:rPr>
        <w:t>noncommunicable</w:t>
      </w:r>
      <w:proofErr w:type="spellEnd"/>
      <w:r w:rsidR="002B67E4">
        <w:rPr>
          <w:rStyle w:val="Emphasis"/>
        </w:rPr>
        <w:t xml:space="preserve"> diseases? </w:t>
      </w:r>
      <w:proofErr w:type="gramStart"/>
      <w:r w:rsidR="002B67E4">
        <w:rPr>
          <w:rStyle w:val="Emphasis"/>
        </w:rPr>
        <w:t>Building strong primary health care systems to address double burden of disease in India</w:t>
      </w:r>
      <w:r w:rsidR="002B67E4">
        <w:t>.</w:t>
      </w:r>
      <w:proofErr w:type="gramEnd"/>
      <w:r w:rsidR="002B67E4">
        <w:t xml:space="preserve"> J Family Med Prim Care 2019; 8(2): 326–329. </w:t>
      </w:r>
      <w:hyperlink r:id="rId26" w:tgtFrame="_new" w:history="1">
        <w:r w:rsidR="002B67E4">
          <w:rPr>
            <w:rStyle w:val="Hyperlink"/>
          </w:rPr>
          <w:t>https://doi.org/10.4103/jfmpc.jfmpc_67_19</w:t>
        </w:r>
      </w:hyperlink>
    </w:p>
    <w:p w14:paraId="673A220D" w14:textId="77777777" w:rsidR="002B67E4" w:rsidRDefault="00004DE8" w:rsidP="002B67E4">
      <w:pPr>
        <w:pStyle w:val="NormalWeb"/>
        <w:spacing w:line="276" w:lineRule="auto"/>
        <w:jc w:val="both"/>
      </w:pPr>
      <w:r w:rsidRPr="00D5500D">
        <w:t>15.</w:t>
      </w:r>
      <w:r w:rsidR="009C43A9" w:rsidRPr="00D5500D">
        <w:t xml:space="preserve"> </w:t>
      </w:r>
      <w:r w:rsidR="002B67E4">
        <w:t>India State-Level Disease Burden Initiative Collaborators (</w:t>
      </w:r>
      <w:proofErr w:type="spellStart"/>
      <w:r w:rsidR="002B67E4">
        <w:t>Dandona</w:t>
      </w:r>
      <w:proofErr w:type="spellEnd"/>
      <w:r w:rsidR="002B67E4">
        <w:t xml:space="preserve"> L, </w:t>
      </w:r>
      <w:proofErr w:type="spellStart"/>
      <w:r w:rsidR="002B67E4">
        <w:t>Dandona</w:t>
      </w:r>
      <w:proofErr w:type="spellEnd"/>
      <w:r w:rsidR="002B67E4">
        <w:t xml:space="preserve"> R, Kumar GA, </w:t>
      </w:r>
      <w:proofErr w:type="spellStart"/>
      <w:r w:rsidR="002B67E4">
        <w:t>Shukla</w:t>
      </w:r>
      <w:proofErr w:type="spellEnd"/>
      <w:r w:rsidR="002B67E4">
        <w:t xml:space="preserve"> DK, Paul VK, </w:t>
      </w:r>
      <w:proofErr w:type="spellStart"/>
      <w:r w:rsidR="002B67E4">
        <w:t>Balakrishnan</w:t>
      </w:r>
      <w:proofErr w:type="spellEnd"/>
      <w:r w:rsidR="002B67E4">
        <w:t xml:space="preserve"> K, et al.). </w:t>
      </w:r>
      <w:r w:rsidR="002B67E4">
        <w:rPr>
          <w:rStyle w:val="Emphasis"/>
        </w:rPr>
        <w:t>Nations within a nation: variations in epidemiological transition across the states of India, 1990–2016 in the Global Burden of Disease Study</w:t>
      </w:r>
      <w:r w:rsidR="002B67E4">
        <w:t xml:space="preserve">. Lancet 2017; 390(10111): 2437–2460. </w:t>
      </w:r>
      <w:hyperlink r:id="rId27" w:tgtFrame="_new" w:history="1">
        <w:r w:rsidR="002B67E4">
          <w:rPr>
            <w:rStyle w:val="Hyperlink"/>
          </w:rPr>
          <w:t>https://doi.org/10.1016/S0140-6736(17)32804-0</w:t>
        </w:r>
      </w:hyperlink>
    </w:p>
    <w:p w14:paraId="494D2894" w14:textId="6A475CE3" w:rsidR="009C43A9" w:rsidRPr="00D5500D" w:rsidRDefault="00004DE8" w:rsidP="002B67E4">
      <w:pPr>
        <w:pStyle w:val="NormalWeb"/>
        <w:spacing w:line="276" w:lineRule="auto"/>
        <w:jc w:val="both"/>
      </w:pPr>
      <w:r w:rsidRPr="00D5500D">
        <w:t>16.</w:t>
      </w:r>
      <w:r w:rsidR="009C43A9" w:rsidRPr="00D5500D">
        <w:t xml:space="preserve"> </w:t>
      </w:r>
      <w:r w:rsidR="004B59C3">
        <w:t xml:space="preserve">World Health Organization. </w:t>
      </w:r>
      <w:proofErr w:type="gramStart"/>
      <w:r w:rsidR="004B59C3">
        <w:rPr>
          <w:rStyle w:val="Emphasis"/>
        </w:rPr>
        <w:t xml:space="preserve">Global status report on </w:t>
      </w:r>
      <w:proofErr w:type="spellStart"/>
      <w:r w:rsidR="004B59C3">
        <w:rPr>
          <w:rStyle w:val="Emphasis"/>
        </w:rPr>
        <w:t>noncommunicable</w:t>
      </w:r>
      <w:proofErr w:type="spellEnd"/>
      <w:r w:rsidR="004B59C3">
        <w:rPr>
          <w:rStyle w:val="Emphasis"/>
        </w:rPr>
        <w:t xml:space="preserve"> diseases 2014</w:t>
      </w:r>
      <w:r w:rsidR="004B59C3">
        <w:t>.</w:t>
      </w:r>
      <w:proofErr w:type="gramEnd"/>
      <w:r w:rsidR="004B59C3">
        <w:t xml:space="preserve"> Geneva: World Health Organization; 2014 [cited 2025 Jul]. </w:t>
      </w:r>
      <w:hyperlink r:id="rId28" w:tgtFrame="_new" w:history="1">
        <w:r w:rsidR="004B59C3">
          <w:rPr>
            <w:rStyle w:val="Hyperlink"/>
          </w:rPr>
          <w:t>https://www.who.int/publications/i/item/9789241564854</w:t>
        </w:r>
      </w:hyperlink>
    </w:p>
    <w:p w14:paraId="301A9261" w14:textId="1EB90D6C" w:rsidR="009C43A9" w:rsidRPr="00D5500D" w:rsidRDefault="00004DE8" w:rsidP="00B76C61">
      <w:pPr>
        <w:pStyle w:val="NormalWeb"/>
        <w:spacing w:line="276" w:lineRule="auto"/>
        <w:jc w:val="both"/>
      </w:pPr>
      <w:r w:rsidRPr="00D5500D">
        <w:t xml:space="preserve">17. </w:t>
      </w:r>
      <w:proofErr w:type="spellStart"/>
      <w:r w:rsidR="004B59C3">
        <w:t>Arokiasamy</w:t>
      </w:r>
      <w:proofErr w:type="spellEnd"/>
      <w:r w:rsidR="004B59C3">
        <w:t xml:space="preserve"> P, </w:t>
      </w:r>
      <w:proofErr w:type="spellStart"/>
      <w:r w:rsidR="004B59C3">
        <w:t>Uttamacharya</w:t>
      </w:r>
      <w:proofErr w:type="spellEnd"/>
      <w:r w:rsidR="004B59C3">
        <w:t xml:space="preserve"> U, </w:t>
      </w:r>
      <w:proofErr w:type="spellStart"/>
      <w:r w:rsidR="004B59C3">
        <w:t>Kowal</w:t>
      </w:r>
      <w:proofErr w:type="spellEnd"/>
      <w:r w:rsidR="004B59C3">
        <w:t xml:space="preserve"> P, </w:t>
      </w:r>
      <w:proofErr w:type="spellStart"/>
      <w:r w:rsidR="004B59C3">
        <w:t>Capistrant</w:t>
      </w:r>
      <w:proofErr w:type="spellEnd"/>
      <w:r w:rsidR="004B59C3">
        <w:t xml:space="preserve"> BD, </w:t>
      </w:r>
      <w:proofErr w:type="spellStart"/>
      <w:r w:rsidR="004B59C3">
        <w:t>Gildner</w:t>
      </w:r>
      <w:proofErr w:type="spellEnd"/>
      <w:r w:rsidR="004B59C3">
        <w:t xml:space="preserve"> TE, Thiele E, et al. </w:t>
      </w:r>
      <w:r w:rsidR="004B59C3">
        <w:rPr>
          <w:rStyle w:val="Emphasis"/>
        </w:rPr>
        <w:t xml:space="preserve">Chronic </w:t>
      </w:r>
      <w:proofErr w:type="spellStart"/>
      <w:r w:rsidR="004B59C3">
        <w:rPr>
          <w:rStyle w:val="Emphasis"/>
        </w:rPr>
        <w:t>noncommunicable</w:t>
      </w:r>
      <w:proofErr w:type="spellEnd"/>
      <w:r w:rsidR="004B59C3">
        <w:rPr>
          <w:rStyle w:val="Emphasis"/>
        </w:rPr>
        <w:t xml:space="preserve"> diseases in six low- and middle-income countries: findings from Wave 1 of the WHO Study on Global Ageing and Adult Health (SAGE)</w:t>
      </w:r>
      <w:r w:rsidR="004B59C3">
        <w:t xml:space="preserve">. Am J </w:t>
      </w:r>
      <w:proofErr w:type="spellStart"/>
      <w:r w:rsidR="004B59C3">
        <w:t>Epidemiol</w:t>
      </w:r>
      <w:proofErr w:type="spellEnd"/>
      <w:r w:rsidR="004B59C3">
        <w:t xml:space="preserve"> 2017; 185(6): 414–428. </w:t>
      </w:r>
      <w:hyperlink r:id="rId29" w:tgtFrame="_new" w:history="1">
        <w:r w:rsidR="004B59C3">
          <w:rPr>
            <w:rStyle w:val="Hyperlink"/>
          </w:rPr>
          <w:t>https://doi.org/10.1093/aje/kww125</w:t>
        </w:r>
      </w:hyperlink>
    </w:p>
    <w:p w14:paraId="066E5A33" w14:textId="503B9A89" w:rsidR="009C43A9" w:rsidRPr="00D5500D" w:rsidRDefault="00004DE8" w:rsidP="00B76C61">
      <w:pPr>
        <w:pStyle w:val="NormalWeb"/>
        <w:spacing w:line="276" w:lineRule="auto"/>
        <w:jc w:val="both"/>
      </w:pPr>
      <w:r w:rsidRPr="00D5500D">
        <w:t>18.</w:t>
      </w:r>
      <w:r w:rsidR="009C43A9" w:rsidRPr="00D5500D">
        <w:t xml:space="preserve"> </w:t>
      </w:r>
      <w:proofErr w:type="spellStart"/>
      <w:r w:rsidR="004B59C3">
        <w:t>Puri</w:t>
      </w:r>
      <w:proofErr w:type="spellEnd"/>
      <w:r w:rsidR="004B59C3">
        <w:t xml:space="preserve"> P, Singh SK. </w:t>
      </w:r>
      <w:r w:rsidR="004B59C3">
        <w:rPr>
          <w:rStyle w:val="Emphasis"/>
        </w:rPr>
        <w:t>Patterns and predictors of non-communicable disease multimorbidity among older adults in India: evidence from Longitudinal Ageing Study in India (LASI), 2017–2018</w:t>
      </w:r>
      <w:r w:rsidR="004B59C3">
        <w:t xml:space="preserve">. J Public Health Policy 2022; 43(1): 109–128. </w:t>
      </w:r>
      <w:hyperlink r:id="rId30" w:tgtFrame="_new" w:history="1">
        <w:r w:rsidR="004B59C3">
          <w:rPr>
            <w:rStyle w:val="Hyperlink"/>
          </w:rPr>
          <w:t>https://doi.org/10.1057/s41271-021-00321-x</w:t>
        </w:r>
      </w:hyperlink>
    </w:p>
    <w:p w14:paraId="52870A87" w14:textId="35911401" w:rsidR="009C43A9" w:rsidRPr="00D5500D" w:rsidRDefault="00004DE8" w:rsidP="00B76C61">
      <w:pPr>
        <w:pStyle w:val="NormalWeb"/>
        <w:spacing w:line="276" w:lineRule="auto"/>
        <w:jc w:val="both"/>
      </w:pPr>
      <w:r w:rsidRPr="00D5500D">
        <w:t xml:space="preserve">19. </w:t>
      </w:r>
      <w:r w:rsidR="004B59C3">
        <w:t xml:space="preserve">International Institute for Population Sciences (IIPS), Harvard T.H. Chan School of Public Health (HSPH). </w:t>
      </w:r>
      <w:r w:rsidR="004B59C3">
        <w:rPr>
          <w:rStyle w:val="Emphasis"/>
        </w:rPr>
        <w:t>Longitudinal Ageing Study in India (LASI) Wave 1, 2017–18, India Report</w:t>
      </w:r>
      <w:r w:rsidR="004B59C3">
        <w:t xml:space="preserve">. Mumbai: IIPS; 2020 [cited 2025 Jul]. </w:t>
      </w:r>
      <w:hyperlink r:id="rId31" w:tgtFrame="_new" w:history="1">
        <w:r w:rsidR="004B59C3">
          <w:rPr>
            <w:rStyle w:val="Hyperlink"/>
          </w:rPr>
          <w:t>https://www.iipsindia.ac.in/sites/default/files/LASI_India_Report_2020_compressed.pdf</w:t>
        </w:r>
      </w:hyperlink>
    </w:p>
    <w:p w14:paraId="359754A3" w14:textId="77777777" w:rsidR="00C9265E" w:rsidRDefault="00004DE8" w:rsidP="00C9265E">
      <w:pPr>
        <w:pStyle w:val="NormalWeb"/>
        <w:spacing w:line="276" w:lineRule="auto"/>
        <w:jc w:val="both"/>
      </w:pPr>
      <w:r w:rsidRPr="00D5500D">
        <w:t xml:space="preserve">20. </w:t>
      </w:r>
      <w:r w:rsidR="00C9265E">
        <w:t xml:space="preserve">Mohan V, </w:t>
      </w:r>
      <w:proofErr w:type="spellStart"/>
      <w:r w:rsidR="00C9265E">
        <w:t>Mathur</w:t>
      </w:r>
      <w:proofErr w:type="spellEnd"/>
      <w:r w:rsidR="00C9265E">
        <w:t xml:space="preserve"> P, </w:t>
      </w:r>
      <w:proofErr w:type="spellStart"/>
      <w:r w:rsidR="00C9265E">
        <w:t>Deepa</w:t>
      </w:r>
      <w:proofErr w:type="spellEnd"/>
      <w:r w:rsidR="00C9265E">
        <w:t xml:space="preserve"> R, </w:t>
      </w:r>
      <w:proofErr w:type="spellStart"/>
      <w:r w:rsidR="00C9265E">
        <w:t>Deepa</w:t>
      </w:r>
      <w:proofErr w:type="spellEnd"/>
      <w:r w:rsidR="00C9265E">
        <w:t xml:space="preserve"> M, </w:t>
      </w:r>
      <w:proofErr w:type="spellStart"/>
      <w:r w:rsidR="00C9265E">
        <w:t>Shukla</w:t>
      </w:r>
      <w:proofErr w:type="spellEnd"/>
      <w:r w:rsidR="00C9265E">
        <w:t xml:space="preserve"> DK, </w:t>
      </w:r>
      <w:proofErr w:type="spellStart"/>
      <w:r w:rsidR="00C9265E">
        <w:t>Menon</w:t>
      </w:r>
      <w:proofErr w:type="spellEnd"/>
      <w:r w:rsidR="00C9265E">
        <w:t xml:space="preserve"> GR, et al. </w:t>
      </w:r>
      <w:r w:rsidR="00C9265E">
        <w:rPr>
          <w:rStyle w:val="Emphasis"/>
        </w:rPr>
        <w:t>Urban rural differences in prevalence of self-reported diabetes in India—The WHO–ICMR Indian NCD risk factor surveillance</w:t>
      </w:r>
      <w:r w:rsidR="00C9265E">
        <w:t xml:space="preserve">. Diabetes Res </w:t>
      </w:r>
      <w:proofErr w:type="spellStart"/>
      <w:r w:rsidR="00C9265E">
        <w:t>Clin</w:t>
      </w:r>
      <w:proofErr w:type="spellEnd"/>
      <w:r w:rsidR="00C9265E">
        <w:t xml:space="preserve"> </w:t>
      </w:r>
      <w:proofErr w:type="spellStart"/>
      <w:r w:rsidR="00C9265E">
        <w:t>Pract</w:t>
      </w:r>
      <w:proofErr w:type="spellEnd"/>
      <w:r w:rsidR="00C9265E">
        <w:t xml:space="preserve"> 2008; 80(1): 159–168. </w:t>
      </w:r>
      <w:hyperlink r:id="rId32" w:tgtFrame="_new" w:history="1">
        <w:r w:rsidR="00C9265E">
          <w:rPr>
            <w:rStyle w:val="Hyperlink"/>
          </w:rPr>
          <w:t>https://doi.org/10.1016/j.diabres.2007.11.018</w:t>
        </w:r>
      </w:hyperlink>
    </w:p>
    <w:p w14:paraId="015EC74D" w14:textId="018E09C8" w:rsidR="00C9265E" w:rsidRPr="00C9265E" w:rsidRDefault="00004DE8" w:rsidP="00C9265E">
      <w:pPr>
        <w:pStyle w:val="NormalWeb"/>
        <w:rPr>
          <w:lang w:bidi="ar-SA"/>
        </w:rPr>
      </w:pPr>
      <w:r w:rsidRPr="00D5500D">
        <w:t>21.</w:t>
      </w:r>
      <w:r w:rsidR="009C43A9" w:rsidRPr="00D5500D">
        <w:t xml:space="preserve"> </w:t>
      </w:r>
      <w:r w:rsidR="00C9265E" w:rsidRPr="00C9265E">
        <w:rPr>
          <w:lang w:bidi="ar-SA"/>
        </w:rPr>
        <w:t xml:space="preserve">Roy S, </w:t>
      </w:r>
      <w:proofErr w:type="spellStart"/>
      <w:r w:rsidR="00C9265E" w:rsidRPr="00C9265E">
        <w:rPr>
          <w:lang w:bidi="ar-SA"/>
        </w:rPr>
        <w:t>Maheshwari</w:t>
      </w:r>
      <w:proofErr w:type="spellEnd"/>
      <w:r w:rsidR="00C9265E" w:rsidRPr="00C9265E">
        <w:rPr>
          <w:lang w:bidi="ar-SA"/>
        </w:rPr>
        <w:t xml:space="preserve"> V, </w:t>
      </w:r>
      <w:proofErr w:type="spellStart"/>
      <w:r w:rsidR="00C9265E" w:rsidRPr="00C9265E">
        <w:rPr>
          <w:lang w:bidi="ar-SA"/>
        </w:rPr>
        <w:t>Basu</w:t>
      </w:r>
      <w:proofErr w:type="spellEnd"/>
      <w:r w:rsidR="00C9265E" w:rsidRPr="00C9265E">
        <w:rPr>
          <w:lang w:bidi="ar-SA"/>
        </w:rPr>
        <w:t xml:space="preserve"> S. </w:t>
      </w:r>
      <w:r w:rsidR="00C9265E" w:rsidRPr="00C9265E">
        <w:rPr>
          <w:i/>
          <w:iCs/>
          <w:lang w:bidi="ar-SA"/>
        </w:rPr>
        <w:t>Prevalence of multiple non-communicable disease risk factors among self-reported healthy older adults living in community dwelling in India: evidence from the Longitudinal Ageing Study in India</w:t>
      </w:r>
      <w:r w:rsidR="00C9265E" w:rsidRPr="00C9265E">
        <w:rPr>
          <w:lang w:bidi="ar-SA"/>
        </w:rPr>
        <w:t xml:space="preserve">. </w:t>
      </w:r>
      <w:proofErr w:type="spellStart"/>
      <w:r w:rsidR="00C9265E" w:rsidRPr="00C9265E">
        <w:rPr>
          <w:lang w:bidi="ar-SA"/>
        </w:rPr>
        <w:t>Clin</w:t>
      </w:r>
      <w:proofErr w:type="spellEnd"/>
      <w:r w:rsidR="00C9265E" w:rsidRPr="00C9265E">
        <w:rPr>
          <w:lang w:bidi="ar-SA"/>
        </w:rPr>
        <w:t xml:space="preserve"> </w:t>
      </w:r>
      <w:proofErr w:type="spellStart"/>
      <w:r w:rsidR="00C9265E" w:rsidRPr="00C9265E">
        <w:rPr>
          <w:lang w:bidi="ar-SA"/>
        </w:rPr>
        <w:t>Epidemiol</w:t>
      </w:r>
      <w:proofErr w:type="spellEnd"/>
      <w:r w:rsidR="00C9265E" w:rsidRPr="00C9265E">
        <w:rPr>
          <w:lang w:bidi="ar-SA"/>
        </w:rPr>
        <w:t xml:space="preserve"> Glob Health 2024; 28: 101680. </w:t>
      </w:r>
      <w:hyperlink r:id="rId33" w:history="1">
        <w:r w:rsidR="00C9265E" w:rsidRPr="00C9265E">
          <w:rPr>
            <w:rStyle w:val="Hyperlink"/>
            <w:lang w:bidi="ar-SA"/>
          </w:rPr>
          <w:t>https://doi.org/10.1016/j.cegh.2024.101680</w:t>
        </w:r>
      </w:hyperlink>
    </w:p>
    <w:p w14:paraId="548A670A" w14:textId="22CC91AF" w:rsidR="009C43A9" w:rsidRPr="00D5500D" w:rsidRDefault="00004DE8" w:rsidP="00C9265E">
      <w:pPr>
        <w:pStyle w:val="NormalWeb"/>
        <w:spacing w:line="276" w:lineRule="auto"/>
        <w:jc w:val="both"/>
      </w:pPr>
      <w:r w:rsidRPr="00D5500D">
        <w:lastRenderedPageBreak/>
        <w:t xml:space="preserve">22. </w:t>
      </w:r>
      <w:r w:rsidR="00C9265E">
        <w:t xml:space="preserve">Singh S, Shankar R, Singh GP. </w:t>
      </w:r>
      <w:r w:rsidR="00C9265E">
        <w:rPr>
          <w:rStyle w:val="Emphasis"/>
        </w:rPr>
        <w:t>Prevalence and associated risk factors of hypertension: a cross-sectional study in urban Varanasi</w:t>
      </w:r>
      <w:r w:rsidR="00C9265E">
        <w:t xml:space="preserve">. </w:t>
      </w:r>
      <w:proofErr w:type="spellStart"/>
      <w:r w:rsidR="00C9265E">
        <w:t>Int</w:t>
      </w:r>
      <w:proofErr w:type="spellEnd"/>
      <w:r w:rsidR="00C9265E">
        <w:t xml:space="preserve"> J </w:t>
      </w:r>
      <w:proofErr w:type="spellStart"/>
      <w:r w:rsidR="00C9265E">
        <w:t>Hypertens</w:t>
      </w:r>
      <w:proofErr w:type="spellEnd"/>
      <w:r w:rsidR="00C9265E">
        <w:t xml:space="preserve"> 2017; 2017: 5491838. </w:t>
      </w:r>
      <w:hyperlink r:id="rId34" w:tgtFrame="_new" w:history="1">
        <w:r w:rsidR="00C9265E">
          <w:rPr>
            <w:rStyle w:val="Hyperlink"/>
          </w:rPr>
          <w:t>https://doi.org/10.1155/2017/5491838</w:t>
        </w:r>
      </w:hyperlink>
    </w:p>
    <w:p w14:paraId="5C9FC419" w14:textId="59969877" w:rsidR="009C43A9" w:rsidRPr="00D5500D" w:rsidRDefault="00004DE8" w:rsidP="00B76C61">
      <w:pPr>
        <w:pStyle w:val="NormalWeb"/>
        <w:spacing w:line="276" w:lineRule="auto"/>
        <w:jc w:val="both"/>
      </w:pPr>
      <w:r w:rsidRPr="00D5500D">
        <w:t>23.</w:t>
      </w:r>
      <w:r w:rsidR="009C43A9" w:rsidRPr="00D5500D">
        <w:t xml:space="preserve">  </w:t>
      </w:r>
      <w:r w:rsidR="00C9265E">
        <w:t xml:space="preserve">Singh M, Singh GP. </w:t>
      </w:r>
      <w:proofErr w:type="gramStart"/>
      <w:r w:rsidR="00C9265E">
        <w:rPr>
          <w:rStyle w:val="Emphasis"/>
        </w:rPr>
        <w:t>Prevalence, diagnosis, treatment and control of hypertension, diabetes and their co-occurrence, and its correlates in India using NFHS-5 data</w:t>
      </w:r>
      <w:r w:rsidR="00C9265E">
        <w:t>.</w:t>
      </w:r>
      <w:proofErr w:type="gramEnd"/>
      <w:r w:rsidR="00C9265E">
        <w:t xml:space="preserve"> </w:t>
      </w:r>
      <w:proofErr w:type="spellStart"/>
      <w:r w:rsidR="00C9265E">
        <w:t>Curr</w:t>
      </w:r>
      <w:proofErr w:type="spellEnd"/>
      <w:r w:rsidR="00C9265E">
        <w:t xml:space="preserve"> </w:t>
      </w:r>
      <w:proofErr w:type="spellStart"/>
      <w:r w:rsidR="00C9265E">
        <w:t>Sci</w:t>
      </w:r>
      <w:proofErr w:type="spellEnd"/>
      <w:r w:rsidR="00C9265E">
        <w:t xml:space="preserve"> 2025; 128(6): 578–589. </w:t>
      </w:r>
      <w:hyperlink r:id="rId35" w:history="1">
        <w:r w:rsidR="00C9265E" w:rsidRPr="00C9265E">
          <w:rPr>
            <w:rStyle w:val="Hyperlink"/>
          </w:rPr>
          <w:t>https://doi.org/10.18520/cs/v128/i6/578-589</w:t>
        </w:r>
      </w:hyperlink>
      <w:r w:rsidR="009C43A9" w:rsidRPr="00D5500D">
        <w:t>.</w:t>
      </w:r>
    </w:p>
    <w:p w14:paraId="35DC0C38" w14:textId="77777777" w:rsidR="00C9265E" w:rsidRDefault="00004DE8" w:rsidP="00C9265E">
      <w:pPr>
        <w:pStyle w:val="NormalWeb"/>
      </w:pPr>
      <w:r w:rsidRPr="00D5500D">
        <w:t>24.</w:t>
      </w:r>
      <w:r w:rsidR="009C43A9" w:rsidRPr="00D5500D">
        <w:t xml:space="preserve"> </w:t>
      </w:r>
      <w:r w:rsidR="00C9265E">
        <w:t xml:space="preserve">Long JS, </w:t>
      </w:r>
      <w:proofErr w:type="spellStart"/>
      <w:r w:rsidR="00C9265E">
        <w:t>Freese</w:t>
      </w:r>
      <w:proofErr w:type="spellEnd"/>
      <w:r w:rsidR="00C9265E">
        <w:t xml:space="preserve"> J. </w:t>
      </w:r>
      <w:r w:rsidR="00C9265E">
        <w:rPr>
          <w:rStyle w:val="Emphasis"/>
        </w:rPr>
        <w:t xml:space="preserve">Regression Models for Categorical Dependent Variables Using </w:t>
      </w:r>
      <w:proofErr w:type="spellStart"/>
      <w:r w:rsidR="00C9265E">
        <w:rPr>
          <w:rStyle w:val="Emphasis"/>
        </w:rPr>
        <w:t>Stata</w:t>
      </w:r>
      <w:proofErr w:type="spellEnd"/>
      <w:r w:rsidR="00C9265E">
        <w:t xml:space="preserve">. 3rd ed. College Station: </w:t>
      </w:r>
      <w:proofErr w:type="spellStart"/>
      <w:r w:rsidR="00C9265E">
        <w:t>Stata</w:t>
      </w:r>
      <w:proofErr w:type="spellEnd"/>
      <w:r w:rsidR="00C9265E">
        <w:t xml:space="preserve"> Press; 2014. </w:t>
      </w:r>
      <w:hyperlink r:id="rId36" w:tgtFrame="_new" w:history="1">
        <w:r w:rsidR="00C9265E">
          <w:rPr>
            <w:rStyle w:val="Hyperlink"/>
          </w:rPr>
          <w:t>https://www.stata.com/bookstore/regression-models-categorical-dependent-variables/</w:t>
        </w:r>
      </w:hyperlink>
    </w:p>
    <w:p w14:paraId="4F3A136C" w14:textId="4F948804" w:rsidR="009C43A9" w:rsidRPr="00D5500D" w:rsidRDefault="00004DE8" w:rsidP="00C9265E">
      <w:pPr>
        <w:pStyle w:val="NormalWeb"/>
      </w:pPr>
      <w:r w:rsidRPr="00D5500D">
        <w:t>25</w:t>
      </w:r>
      <w:r w:rsidR="00C9265E">
        <w:t xml:space="preserve">. Hosmer DW, Lemeshow S, </w:t>
      </w:r>
      <w:proofErr w:type="spellStart"/>
      <w:r w:rsidR="00C9265E">
        <w:t>Sturdivant</w:t>
      </w:r>
      <w:proofErr w:type="spellEnd"/>
      <w:r w:rsidR="00C9265E">
        <w:t xml:space="preserve"> RX. </w:t>
      </w:r>
      <w:proofErr w:type="gramStart"/>
      <w:r w:rsidR="00C9265E">
        <w:rPr>
          <w:rStyle w:val="Emphasis"/>
        </w:rPr>
        <w:t>Applied Logistic Regression</w:t>
      </w:r>
      <w:r w:rsidR="00C9265E">
        <w:t>.</w:t>
      </w:r>
      <w:proofErr w:type="gramEnd"/>
      <w:r w:rsidR="00C9265E">
        <w:t xml:space="preserve"> 3rd ed. Hoboken: Wiley; 2013. </w:t>
      </w:r>
      <w:hyperlink r:id="rId37" w:tgtFrame="_new" w:history="1">
        <w:r w:rsidR="00C9265E">
          <w:rPr>
            <w:rStyle w:val="Hyperlink"/>
          </w:rPr>
          <w:t>https://onlinelibrary.wiley.com/doi/book/10.1002/9781118548387</w:t>
        </w:r>
      </w:hyperlink>
    </w:p>
    <w:p w14:paraId="721C83C3" w14:textId="77777777" w:rsidR="00C9265E" w:rsidRDefault="00004DE8" w:rsidP="00C9265E">
      <w:pPr>
        <w:pStyle w:val="NormalWeb"/>
      </w:pPr>
      <w:r w:rsidRPr="00D5500D">
        <w:t>26.</w:t>
      </w:r>
      <w:r w:rsidR="009C43A9" w:rsidRPr="00D5500D">
        <w:t xml:space="preserve"> </w:t>
      </w:r>
      <w:proofErr w:type="spellStart"/>
      <w:r w:rsidR="00C9265E">
        <w:t>Arokiasamy</w:t>
      </w:r>
      <w:proofErr w:type="spellEnd"/>
      <w:r w:rsidR="00C9265E">
        <w:t xml:space="preserve"> P, Bloom DE, Lee J, Feeney K, </w:t>
      </w:r>
      <w:proofErr w:type="spellStart"/>
      <w:r w:rsidR="00C9265E">
        <w:t>Ozolins</w:t>
      </w:r>
      <w:proofErr w:type="spellEnd"/>
      <w:r w:rsidR="00C9265E">
        <w:t xml:space="preserve"> M. </w:t>
      </w:r>
      <w:r w:rsidR="00C9265E">
        <w:rPr>
          <w:rStyle w:val="Emphasis"/>
        </w:rPr>
        <w:t>Cohort profile: the Longitudinal Ageing Study in India (LASI)</w:t>
      </w:r>
      <w:r w:rsidR="00C9265E">
        <w:t xml:space="preserve">. </w:t>
      </w:r>
      <w:proofErr w:type="spellStart"/>
      <w:r w:rsidR="00C9265E">
        <w:t>Int</w:t>
      </w:r>
      <w:proofErr w:type="spellEnd"/>
      <w:r w:rsidR="00C9265E">
        <w:t xml:space="preserve"> J </w:t>
      </w:r>
      <w:proofErr w:type="spellStart"/>
      <w:r w:rsidR="00C9265E">
        <w:t>Epidemiol</w:t>
      </w:r>
      <w:proofErr w:type="spellEnd"/>
      <w:r w:rsidR="00C9265E">
        <w:t xml:space="preserve"> 2022; 51(4): e167–e177. </w:t>
      </w:r>
      <w:hyperlink r:id="rId38" w:tgtFrame="_new" w:history="1">
        <w:r w:rsidR="00C9265E">
          <w:rPr>
            <w:rStyle w:val="Hyperlink"/>
          </w:rPr>
          <w:t>https://doi.org/10.1093/ije/dyab164</w:t>
        </w:r>
      </w:hyperlink>
    </w:p>
    <w:p w14:paraId="2C953F66" w14:textId="77777777" w:rsidR="00263F3F" w:rsidRDefault="00004DE8" w:rsidP="00263F3F">
      <w:pPr>
        <w:pStyle w:val="NormalWeb"/>
      </w:pPr>
      <w:r w:rsidRPr="00D5500D">
        <w:t xml:space="preserve">27. </w:t>
      </w:r>
      <w:r w:rsidR="00263F3F">
        <w:t xml:space="preserve">World Health Organization. </w:t>
      </w:r>
      <w:r w:rsidR="00263F3F">
        <w:rPr>
          <w:rStyle w:val="Emphasis"/>
        </w:rPr>
        <w:t>Gender, women and health: Global Health Observatory data repository</w:t>
      </w:r>
      <w:r w:rsidR="00263F3F">
        <w:t xml:space="preserve">. Geneva: World Health Organization; [cited 2025 Jul]. </w:t>
      </w:r>
      <w:hyperlink r:id="rId39" w:anchor="tab=tab_1" w:tgtFrame="_new" w:history="1">
        <w:r w:rsidR="00263F3F">
          <w:rPr>
            <w:rStyle w:val="Hyperlink"/>
          </w:rPr>
          <w:t>https://www.who.int/health-topics/gender#tab=tab_1</w:t>
        </w:r>
      </w:hyperlink>
    </w:p>
    <w:p w14:paraId="4ACC667E" w14:textId="17019C64" w:rsidR="009C43A9" w:rsidRPr="00D5500D" w:rsidRDefault="00004DE8" w:rsidP="00263F3F">
      <w:pPr>
        <w:pStyle w:val="NormalWeb"/>
      </w:pPr>
      <w:proofErr w:type="gramStart"/>
      <w:r w:rsidRPr="00D5500D">
        <w:t xml:space="preserve">28. </w:t>
      </w:r>
      <w:r w:rsidR="00263F3F">
        <w:t xml:space="preserve">Subramanian SV, </w:t>
      </w:r>
      <w:proofErr w:type="spellStart"/>
      <w:r w:rsidR="00263F3F">
        <w:t>Nandy</w:t>
      </w:r>
      <w:proofErr w:type="spellEnd"/>
      <w:r w:rsidR="00263F3F">
        <w:t xml:space="preserve"> S, Irving M, Gordon D, Lambert H, Davey Smith G.</w:t>
      </w:r>
      <w:proofErr w:type="gramEnd"/>
      <w:r w:rsidR="00263F3F">
        <w:t xml:space="preserve"> </w:t>
      </w:r>
      <w:r w:rsidR="00263F3F">
        <w:rPr>
          <w:rStyle w:val="Emphasis"/>
        </w:rPr>
        <w:t>The mortality divide in India: the differential contributions of gender, caste, and standard of living across the life course</w:t>
      </w:r>
      <w:r w:rsidR="00263F3F">
        <w:t xml:space="preserve">. Am J Public Health 2006; 96(5): 818–825. </w:t>
      </w:r>
      <w:hyperlink r:id="rId40" w:tgtFrame="_new" w:history="1">
        <w:r w:rsidR="00263F3F">
          <w:rPr>
            <w:rStyle w:val="Hyperlink"/>
          </w:rPr>
          <w:t>https://doi.org/10.2105/AJPH.2004.060103</w:t>
        </w:r>
      </w:hyperlink>
    </w:p>
    <w:p w14:paraId="1E84DE49" w14:textId="4CE3009D" w:rsidR="009C43A9" w:rsidRPr="00D5500D" w:rsidRDefault="00263F3F" w:rsidP="00263F3F">
      <w:pPr>
        <w:pStyle w:val="NormalWeb"/>
      </w:pPr>
      <w:r>
        <w:t xml:space="preserve">29. Cohen S, </w:t>
      </w:r>
      <w:proofErr w:type="spellStart"/>
      <w:r>
        <w:t>Janicki-Deverts</w:t>
      </w:r>
      <w:proofErr w:type="spellEnd"/>
      <w:r>
        <w:t xml:space="preserve"> D, Miller GE. </w:t>
      </w:r>
      <w:proofErr w:type="gramStart"/>
      <w:r>
        <w:rPr>
          <w:rStyle w:val="Emphasis"/>
        </w:rPr>
        <w:t>Psychological stress and disease</w:t>
      </w:r>
      <w:r>
        <w:t>.</w:t>
      </w:r>
      <w:proofErr w:type="gramEnd"/>
      <w:r>
        <w:t xml:space="preserve"> JAMA 2007; 298(14): 1685–1687. </w:t>
      </w:r>
      <w:hyperlink r:id="rId41" w:tgtFrame="_new" w:history="1">
        <w:r>
          <w:rPr>
            <w:rStyle w:val="Hyperlink"/>
          </w:rPr>
          <w:t>https://doi.org/10.1001/jama.298.14.1685</w:t>
        </w:r>
      </w:hyperlink>
    </w:p>
    <w:p w14:paraId="4A07ACCC" w14:textId="77777777" w:rsidR="00263F3F" w:rsidRDefault="00004DE8" w:rsidP="00263F3F">
      <w:pPr>
        <w:pStyle w:val="NormalWeb"/>
        <w:spacing w:line="276" w:lineRule="auto"/>
        <w:jc w:val="both"/>
      </w:pPr>
      <w:r w:rsidRPr="00D5500D">
        <w:t xml:space="preserve">30. </w:t>
      </w:r>
      <w:proofErr w:type="spellStart"/>
      <w:r w:rsidR="00263F3F">
        <w:t>Alberti</w:t>
      </w:r>
      <w:proofErr w:type="spellEnd"/>
      <w:r w:rsidR="00263F3F">
        <w:t xml:space="preserve"> KGMM, </w:t>
      </w:r>
      <w:proofErr w:type="spellStart"/>
      <w:r w:rsidR="00263F3F">
        <w:t>Eckel</w:t>
      </w:r>
      <w:proofErr w:type="spellEnd"/>
      <w:r w:rsidR="00263F3F">
        <w:t xml:space="preserve"> RH, Grundy SM, </w:t>
      </w:r>
      <w:proofErr w:type="spellStart"/>
      <w:r w:rsidR="00263F3F">
        <w:t>Zimmet</w:t>
      </w:r>
      <w:proofErr w:type="spellEnd"/>
      <w:r w:rsidR="00263F3F">
        <w:t xml:space="preserve"> PZ, </w:t>
      </w:r>
      <w:proofErr w:type="spellStart"/>
      <w:r w:rsidR="00263F3F">
        <w:t>Cleeman</w:t>
      </w:r>
      <w:proofErr w:type="spellEnd"/>
      <w:r w:rsidR="00263F3F">
        <w:t xml:space="preserve"> JI, </w:t>
      </w:r>
      <w:proofErr w:type="spellStart"/>
      <w:r w:rsidR="00263F3F">
        <w:t>Donato</w:t>
      </w:r>
      <w:proofErr w:type="spellEnd"/>
      <w:r w:rsidR="00263F3F">
        <w:t xml:space="preserve"> KA, et al. </w:t>
      </w:r>
      <w:r w:rsidR="00263F3F">
        <w:rPr>
          <w:rStyle w:val="Emphasis"/>
        </w:rPr>
        <w:t>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w:t>
      </w:r>
      <w:r w:rsidR="00263F3F">
        <w:t xml:space="preserve">. Circulation 2009; 120(16): 1640–1645. </w:t>
      </w:r>
      <w:hyperlink r:id="rId42" w:tgtFrame="_new" w:history="1">
        <w:r w:rsidR="00263F3F">
          <w:rPr>
            <w:rStyle w:val="Hyperlink"/>
          </w:rPr>
          <w:t>https://doi.org/10.1161/CIRCULATIONAHA.109.192644</w:t>
        </w:r>
      </w:hyperlink>
    </w:p>
    <w:p w14:paraId="28330AC8" w14:textId="6DF474B2" w:rsidR="009C43A9" w:rsidRPr="00D5500D" w:rsidRDefault="00004DE8" w:rsidP="00263F3F">
      <w:pPr>
        <w:pStyle w:val="NormalWeb"/>
        <w:spacing w:line="276" w:lineRule="auto"/>
        <w:jc w:val="both"/>
      </w:pPr>
      <w:r w:rsidRPr="00D5500D">
        <w:t xml:space="preserve">31. </w:t>
      </w:r>
      <w:proofErr w:type="spellStart"/>
      <w:r w:rsidR="000863BC">
        <w:t>Marengoni</w:t>
      </w:r>
      <w:proofErr w:type="spellEnd"/>
      <w:r w:rsidR="000863BC">
        <w:t xml:space="preserve"> A, </w:t>
      </w:r>
      <w:proofErr w:type="spellStart"/>
      <w:r w:rsidR="000863BC">
        <w:t>Angleman</w:t>
      </w:r>
      <w:proofErr w:type="spellEnd"/>
      <w:r w:rsidR="000863BC">
        <w:t xml:space="preserve"> S, </w:t>
      </w:r>
      <w:proofErr w:type="spellStart"/>
      <w:r w:rsidR="000863BC">
        <w:t>Melis</w:t>
      </w:r>
      <w:proofErr w:type="spellEnd"/>
      <w:r w:rsidR="000863BC">
        <w:t xml:space="preserve"> R, </w:t>
      </w:r>
      <w:proofErr w:type="spellStart"/>
      <w:r w:rsidR="000863BC">
        <w:t>Mangialasche</w:t>
      </w:r>
      <w:proofErr w:type="spellEnd"/>
      <w:r w:rsidR="000863BC">
        <w:t xml:space="preserve"> F, Karp A, </w:t>
      </w:r>
      <w:proofErr w:type="spellStart"/>
      <w:r w:rsidR="000863BC">
        <w:t>Garmen</w:t>
      </w:r>
      <w:proofErr w:type="spellEnd"/>
      <w:r w:rsidR="000863BC">
        <w:t xml:space="preserve"> A, et al. </w:t>
      </w:r>
      <w:r w:rsidR="000863BC">
        <w:rPr>
          <w:rStyle w:val="Emphasis"/>
        </w:rPr>
        <w:t>Aging with multimorbidity: a systematic review of the literature</w:t>
      </w:r>
      <w:r w:rsidR="000863BC">
        <w:t xml:space="preserve">. Ageing Res Rev 2011; 10(4): 430–439. </w:t>
      </w:r>
      <w:hyperlink r:id="rId43" w:tgtFrame="_new" w:history="1">
        <w:r w:rsidR="000863BC">
          <w:rPr>
            <w:rStyle w:val="Hyperlink"/>
          </w:rPr>
          <w:t>https://doi.org/10.1016/j.arr.2011.03.003</w:t>
        </w:r>
      </w:hyperlink>
    </w:p>
    <w:p w14:paraId="58A70110" w14:textId="77777777" w:rsidR="000863BC" w:rsidRDefault="00004DE8" w:rsidP="000863BC">
      <w:pPr>
        <w:pStyle w:val="NormalWeb"/>
        <w:spacing w:line="276" w:lineRule="auto"/>
        <w:jc w:val="both"/>
      </w:pPr>
      <w:r w:rsidRPr="00D5500D">
        <w:t xml:space="preserve">32. </w:t>
      </w:r>
      <w:r w:rsidR="000863BC">
        <w:t xml:space="preserve">World Health Organization. </w:t>
      </w:r>
      <w:r w:rsidR="000863BC">
        <w:rPr>
          <w:rStyle w:val="Emphasis"/>
        </w:rPr>
        <w:t>World health statistics 2020: monitoring health for the SDGs</w:t>
      </w:r>
      <w:r w:rsidR="000863BC">
        <w:t xml:space="preserve">. Geneva: World Health Organization; 2020 [cited 2025 Jul]. </w:t>
      </w:r>
      <w:hyperlink r:id="rId44" w:tgtFrame="_new" w:history="1">
        <w:r w:rsidR="000863BC">
          <w:rPr>
            <w:rStyle w:val="Hyperlink"/>
          </w:rPr>
          <w:t>https://iris.who.int/handle/10665/332070</w:t>
        </w:r>
      </w:hyperlink>
    </w:p>
    <w:p w14:paraId="05528BB9" w14:textId="308AA34D" w:rsidR="009C43A9" w:rsidRPr="00D5500D" w:rsidRDefault="00004DE8" w:rsidP="000863BC">
      <w:pPr>
        <w:pStyle w:val="NormalWeb"/>
      </w:pPr>
      <w:r w:rsidRPr="00D5500D">
        <w:t xml:space="preserve">33. </w:t>
      </w:r>
      <w:r w:rsidR="000863BC">
        <w:t xml:space="preserve">Joe W, Perkins JM, </w:t>
      </w:r>
      <w:proofErr w:type="spellStart"/>
      <w:r w:rsidR="000863BC">
        <w:t>Kaur</w:t>
      </w:r>
      <w:proofErr w:type="spellEnd"/>
      <w:r w:rsidR="000863BC">
        <w:t xml:space="preserve"> M, </w:t>
      </w:r>
      <w:proofErr w:type="spellStart"/>
      <w:r w:rsidR="000863BC">
        <w:t>Golechha</w:t>
      </w:r>
      <w:proofErr w:type="spellEnd"/>
      <w:r w:rsidR="000863BC">
        <w:t xml:space="preserve"> M, Subramanian SV. </w:t>
      </w:r>
      <w:r w:rsidR="000863BC">
        <w:rPr>
          <w:rStyle w:val="Emphasis"/>
        </w:rPr>
        <w:t>Spatial inequalities in health and healthcare in India: evidence from LASI</w:t>
      </w:r>
      <w:r w:rsidR="000863BC">
        <w:t xml:space="preserve">. BMC Public Health 2022; 22: 1805. </w:t>
      </w:r>
      <w:hyperlink r:id="rId45" w:tgtFrame="_new" w:history="1">
        <w:r w:rsidR="000863BC">
          <w:rPr>
            <w:rStyle w:val="Hyperlink"/>
          </w:rPr>
          <w:t>https://doi.org/10.1186/s12889-022-14251-3</w:t>
        </w:r>
      </w:hyperlink>
    </w:p>
    <w:p w14:paraId="0A671FC1" w14:textId="14A5092F" w:rsidR="002F70AA" w:rsidRPr="00990CC8" w:rsidRDefault="00004DE8" w:rsidP="000863BC">
      <w:pPr>
        <w:pStyle w:val="NormalWeb"/>
        <w:spacing w:line="276" w:lineRule="auto"/>
        <w:jc w:val="both"/>
      </w:pPr>
      <w:r w:rsidRPr="00D5500D">
        <w:lastRenderedPageBreak/>
        <w:t xml:space="preserve">34. </w:t>
      </w:r>
      <w:proofErr w:type="spellStart"/>
      <w:r w:rsidR="000863BC">
        <w:t>Ramamoorthy</w:t>
      </w:r>
      <w:proofErr w:type="spellEnd"/>
      <w:r w:rsidR="000863BC">
        <w:t xml:space="preserve"> T, </w:t>
      </w:r>
      <w:proofErr w:type="spellStart"/>
      <w:r w:rsidR="000863BC">
        <w:t>Leburu</w:t>
      </w:r>
      <w:proofErr w:type="spellEnd"/>
      <w:r w:rsidR="000863BC">
        <w:t xml:space="preserve"> S, </w:t>
      </w:r>
      <w:proofErr w:type="spellStart"/>
      <w:r w:rsidR="000863BC">
        <w:t>Kulothungan</w:t>
      </w:r>
      <w:proofErr w:type="spellEnd"/>
      <w:r w:rsidR="000863BC">
        <w:t xml:space="preserve"> V, et al. </w:t>
      </w:r>
      <w:r w:rsidR="000863BC">
        <w:rPr>
          <w:rStyle w:val="Emphasis"/>
        </w:rPr>
        <w:t xml:space="preserve">Regional estimates of </w:t>
      </w:r>
      <w:proofErr w:type="spellStart"/>
      <w:r w:rsidR="000863BC">
        <w:rPr>
          <w:rStyle w:val="Emphasis"/>
        </w:rPr>
        <w:t>noncommunicable</w:t>
      </w:r>
      <w:proofErr w:type="spellEnd"/>
      <w:r w:rsidR="000863BC">
        <w:rPr>
          <w:rStyle w:val="Emphasis"/>
        </w:rPr>
        <w:t xml:space="preserve"> diseases associated risk factors among adults in India: results from National </w:t>
      </w:r>
      <w:proofErr w:type="spellStart"/>
      <w:r w:rsidR="000863BC">
        <w:rPr>
          <w:rStyle w:val="Emphasis"/>
        </w:rPr>
        <w:t>Noncommunicable</w:t>
      </w:r>
      <w:proofErr w:type="spellEnd"/>
      <w:r w:rsidR="000863BC">
        <w:rPr>
          <w:rStyle w:val="Emphasis"/>
        </w:rPr>
        <w:t xml:space="preserve"> Disease Monitoring Survey</w:t>
      </w:r>
      <w:r w:rsidR="000863BC">
        <w:t xml:space="preserve">. BMC Public Health 2022; 22: 1069. </w:t>
      </w:r>
      <w:hyperlink r:id="rId46" w:tgtFrame="_new" w:history="1">
        <w:r w:rsidR="000863BC">
          <w:rPr>
            <w:rStyle w:val="Hyperlink"/>
          </w:rPr>
          <w:t>https://doi.org/10.1186/s12889-022-13466-5</w:t>
        </w:r>
      </w:hyperlink>
      <w:r w:rsidR="002F70AA" w:rsidRPr="002F70AA">
        <w:rPr>
          <w:rFonts w:eastAsia="Calibri"/>
          <w:b/>
          <w:bCs/>
        </w:rPr>
        <w:t xml:space="preserve"> </w:t>
      </w:r>
    </w:p>
    <w:p w14:paraId="5622D304" w14:textId="77777777" w:rsidR="002F70AA" w:rsidRPr="00D5500D" w:rsidRDefault="002F70AA" w:rsidP="002F70AA">
      <w:pPr>
        <w:pStyle w:val="NoSpacing"/>
        <w:spacing w:line="360" w:lineRule="auto"/>
        <w:jc w:val="both"/>
        <w:rPr>
          <w:rFonts w:ascii="Times New Roman" w:hAnsi="Times New Roman" w:cs="Times New Roman"/>
          <w:bCs/>
        </w:rPr>
      </w:pPr>
    </w:p>
    <w:sectPr w:rsidR="002F70AA" w:rsidRPr="00D5500D" w:rsidSect="006C70E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A31EC" w14:textId="77777777" w:rsidR="008F484C" w:rsidRDefault="008F484C" w:rsidP="0060021B">
      <w:pPr>
        <w:spacing w:after="0" w:line="240" w:lineRule="auto"/>
      </w:pPr>
      <w:r>
        <w:separator/>
      </w:r>
    </w:p>
  </w:endnote>
  <w:endnote w:type="continuationSeparator" w:id="0">
    <w:p w14:paraId="72F95654" w14:textId="77777777" w:rsidR="008F484C" w:rsidRDefault="008F484C" w:rsidP="0060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tencil">
    <w:panose1 w:val="040409050D08020204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CA8A9" w14:textId="77777777" w:rsidR="008F484C" w:rsidRDefault="008F484C" w:rsidP="0060021B">
      <w:pPr>
        <w:spacing w:after="0" w:line="240" w:lineRule="auto"/>
      </w:pPr>
      <w:r>
        <w:separator/>
      </w:r>
    </w:p>
  </w:footnote>
  <w:footnote w:type="continuationSeparator" w:id="0">
    <w:p w14:paraId="2F8372ED" w14:textId="77777777" w:rsidR="008F484C" w:rsidRDefault="008F484C" w:rsidP="00600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044F6"/>
    <w:multiLevelType w:val="multilevel"/>
    <w:tmpl w:val="A0F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9E"/>
    <w:rsid w:val="00004DE8"/>
    <w:rsid w:val="00010C36"/>
    <w:rsid w:val="00011C0D"/>
    <w:rsid w:val="00070298"/>
    <w:rsid w:val="000863BC"/>
    <w:rsid w:val="00086D35"/>
    <w:rsid w:val="000A6A95"/>
    <w:rsid w:val="000B27A2"/>
    <w:rsid w:val="000C42AC"/>
    <w:rsid w:val="000E4660"/>
    <w:rsid w:val="00101744"/>
    <w:rsid w:val="00135D36"/>
    <w:rsid w:val="00150D94"/>
    <w:rsid w:val="00166083"/>
    <w:rsid w:val="001B3324"/>
    <w:rsid w:val="001C2D11"/>
    <w:rsid w:val="001C6287"/>
    <w:rsid w:val="001E44A5"/>
    <w:rsid w:val="00223002"/>
    <w:rsid w:val="002234DC"/>
    <w:rsid w:val="0024439E"/>
    <w:rsid w:val="0024719D"/>
    <w:rsid w:val="00263F3F"/>
    <w:rsid w:val="002737B4"/>
    <w:rsid w:val="0027591E"/>
    <w:rsid w:val="002A7960"/>
    <w:rsid w:val="002B67E4"/>
    <w:rsid w:val="002B6912"/>
    <w:rsid w:val="002B6E6A"/>
    <w:rsid w:val="002C70E4"/>
    <w:rsid w:val="002D710A"/>
    <w:rsid w:val="002E6A3D"/>
    <w:rsid w:val="002F10B3"/>
    <w:rsid w:val="002F70AA"/>
    <w:rsid w:val="003276B8"/>
    <w:rsid w:val="00337ED4"/>
    <w:rsid w:val="00342F6D"/>
    <w:rsid w:val="00366071"/>
    <w:rsid w:val="0037338A"/>
    <w:rsid w:val="00381786"/>
    <w:rsid w:val="00384440"/>
    <w:rsid w:val="003876CC"/>
    <w:rsid w:val="003D77AC"/>
    <w:rsid w:val="003E785F"/>
    <w:rsid w:val="003F385C"/>
    <w:rsid w:val="00410E41"/>
    <w:rsid w:val="00415045"/>
    <w:rsid w:val="004509C4"/>
    <w:rsid w:val="00457363"/>
    <w:rsid w:val="004608B0"/>
    <w:rsid w:val="0048092B"/>
    <w:rsid w:val="004961D4"/>
    <w:rsid w:val="004966DF"/>
    <w:rsid w:val="004A0F42"/>
    <w:rsid w:val="004A62A7"/>
    <w:rsid w:val="004B59C3"/>
    <w:rsid w:val="00520E1D"/>
    <w:rsid w:val="00527175"/>
    <w:rsid w:val="00574DE6"/>
    <w:rsid w:val="005766A3"/>
    <w:rsid w:val="00581F65"/>
    <w:rsid w:val="005D10E6"/>
    <w:rsid w:val="0060021B"/>
    <w:rsid w:val="00606890"/>
    <w:rsid w:val="00610458"/>
    <w:rsid w:val="006410DF"/>
    <w:rsid w:val="006544FD"/>
    <w:rsid w:val="006A1AE4"/>
    <w:rsid w:val="006B3140"/>
    <w:rsid w:val="006C70ED"/>
    <w:rsid w:val="006F63D9"/>
    <w:rsid w:val="00712F0B"/>
    <w:rsid w:val="007258D0"/>
    <w:rsid w:val="00731B2A"/>
    <w:rsid w:val="007366DA"/>
    <w:rsid w:val="0074469A"/>
    <w:rsid w:val="00755462"/>
    <w:rsid w:val="00785FFE"/>
    <w:rsid w:val="007B5284"/>
    <w:rsid w:val="007E414E"/>
    <w:rsid w:val="0082596E"/>
    <w:rsid w:val="00827D83"/>
    <w:rsid w:val="00830BBC"/>
    <w:rsid w:val="0087792B"/>
    <w:rsid w:val="0088012B"/>
    <w:rsid w:val="00897981"/>
    <w:rsid w:val="008B3903"/>
    <w:rsid w:val="008C0133"/>
    <w:rsid w:val="008C07B5"/>
    <w:rsid w:val="008D0D1F"/>
    <w:rsid w:val="008F484C"/>
    <w:rsid w:val="009071F7"/>
    <w:rsid w:val="00913D6D"/>
    <w:rsid w:val="00914CF4"/>
    <w:rsid w:val="00917BBB"/>
    <w:rsid w:val="00934026"/>
    <w:rsid w:val="00947950"/>
    <w:rsid w:val="00956CA5"/>
    <w:rsid w:val="00983784"/>
    <w:rsid w:val="00985E4E"/>
    <w:rsid w:val="00993FE1"/>
    <w:rsid w:val="009B2006"/>
    <w:rsid w:val="009B661B"/>
    <w:rsid w:val="009C43A9"/>
    <w:rsid w:val="009C4930"/>
    <w:rsid w:val="009D1C6A"/>
    <w:rsid w:val="009D5234"/>
    <w:rsid w:val="009F248B"/>
    <w:rsid w:val="009F4106"/>
    <w:rsid w:val="00A163DC"/>
    <w:rsid w:val="00A24659"/>
    <w:rsid w:val="00A314A9"/>
    <w:rsid w:val="00A835CE"/>
    <w:rsid w:val="00AC5549"/>
    <w:rsid w:val="00AE2025"/>
    <w:rsid w:val="00AF1376"/>
    <w:rsid w:val="00AF1D9B"/>
    <w:rsid w:val="00B01D54"/>
    <w:rsid w:val="00B12EBD"/>
    <w:rsid w:val="00B13EE2"/>
    <w:rsid w:val="00B24B5A"/>
    <w:rsid w:val="00B34517"/>
    <w:rsid w:val="00B601C1"/>
    <w:rsid w:val="00B7536F"/>
    <w:rsid w:val="00B76C61"/>
    <w:rsid w:val="00B92FE4"/>
    <w:rsid w:val="00B93C24"/>
    <w:rsid w:val="00B95464"/>
    <w:rsid w:val="00BD2233"/>
    <w:rsid w:val="00BF6EF1"/>
    <w:rsid w:val="00C06D02"/>
    <w:rsid w:val="00C138B3"/>
    <w:rsid w:val="00C45773"/>
    <w:rsid w:val="00C54B20"/>
    <w:rsid w:val="00C67BA4"/>
    <w:rsid w:val="00C829A9"/>
    <w:rsid w:val="00C9265E"/>
    <w:rsid w:val="00CB0DA2"/>
    <w:rsid w:val="00CB71DA"/>
    <w:rsid w:val="00CC508D"/>
    <w:rsid w:val="00CD35F5"/>
    <w:rsid w:val="00CE2B29"/>
    <w:rsid w:val="00D169D9"/>
    <w:rsid w:val="00D32429"/>
    <w:rsid w:val="00D46DDF"/>
    <w:rsid w:val="00D5500D"/>
    <w:rsid w:val="00D65406"/>
    <w:rsid w:val="00D72320"/>
    <w:rsid w:val="00D8444F"/>
    <w:rsid w:val="00DD6473"/>
    <w:rsid w:val="00DE6A74"/>
    <w:rsid w:val="00DF097C"/>
    <w:rsid w:val="00DF5E15"/>
    <w:rsid w:val="00E332FC"/>
    <w:rsid w:val="00E37E29"/>
    <w:rsid w:val="00E41295"/>
    <w:rsid w:val="00E46184"/>
    <w:rsid w:val="00E56966"/>
    <w:rsid w:val="00E6675F"/>
    <w:rsid w:val="00E80240"/>
    <w:rsid w:val="00E85199"/>
    <w:rsid w:val="00E85F5C"/>
    <w:rsid w:val="00E8759C"/>
    <w:rsid w:val="00EA0B99"/>
    <w:rsid w:val="00EB044B"/>
    <w:rsid w:val="00EB336F"/>
    <w:rsid w:val="00EB39D4"/>
    <w:rsid w:val="00EC35ED"/>
    <w:rsid w:val="00EC6074"/>
    <w:rsid w:val="00ED525B"/>
    <w:rsid w:val="00EF4F89"/>
    <w:rsid w:val="00EF5232"/>
    <w:rsid w:val="00F00D6F"/>
    <w:rsid w:val="00F10D13"/>
    <w:rsid w:val="00F147BB"/>
    <w:rsid w:val="00F35F4A"/>
    <w:rsid w:val="00F44B24"/>
    <w:rsid w:val="00F52212"/>
    <w:rsid w:val="00F562D7"/>
    <w:rsid w:val="00F72D39"/>
    <w:rsid w:val="00F876A9"/>
    <w:rsid w:val="00F9311C"/>
    <w:rsid w:val="00FA2405"/>
    <w:rsid w:val="00FB5EC7"/>
    <w:rsid w:val="00FB7C7B"/>
    <w:rsid w:val="00FE047F"/>
    <w:rsid w:val="00FE22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9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25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39E"/>
    <w:pPr>
      <w:spacing w:after="0" w:line="240" w:lineRule="auto"/>
    </w:pPr>
    <w:rPr>
      <w:kern w:val="2"/>
      <w:sz w:val="24"/>
      <w:szCs w:val="24"/>
      <w14:ligatures w14:val="standardContextual"/>
    </w:rPr>
  </w:style>
  <w:style w:type="paragraph" w:styleId="BalloonText">
    <w:name w:val="Balloon Text"/>
    <w:basedOn w:val="Normal"/>
    <w:link w:val="BalloonTextChar"/>
    <w:uiPriority w:val="99"/>
    <w:semiHidden/>
    <w:unhideWhenUsed/>
    <w:rsid w:val="00956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A5"/>
    <w:rPr>
      <w:rFonts w:ascii="Tahoma" w:hAnsi="Tahoma" w:cs="Tahoma"/>
      <w:sz w:val="16"/>
      <w:szCs w:val="16"/>
    </w:rPr>
  </w:style>
  <w:style w:type="table" w:customStyle="1" w:styleId="TableGrid1">
    <w:name w:val="Table Grid1"/>
    <w:basedOn w:val="TableNormal"/>
    <w:next w:val="TableGrid"/>
    <w:uiPriority w:val="39"/>
    <w:rsid w:val="00337ED4"/>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37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B27A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27A2"/>
    <w:rPr>
      <w:b/>
      <w:bCs/>
    </w:rPr>
  </w:style>
  <w:style w:type="paragraph" w:styleId="ListParagraph">
    <w:name w:val="List Paragraph"/>
    <w:basedOn w:val="Normal"/>
    <w:uiPriority w:val="34"/>
    <w:qFormat/>
    <w:rsid w:val="000E4660"/>
    <w:pPr>
      <w:spacing w:after="160" w:line="278" w:lineRule="auto"/>
      <w:ind w:left="720"/>
      <w:contextualSpacing/>
    </w:pPr>
    <w:rPr>
      <w:kern w:val="2"/>
      <w:sz w:val="24"/>
      <w:szCs w:val="24"/>
      <w14:ligatures w14:val="standardContextual"/>
    </w:rPr>
  </w:style>
  <w:style w:type="paragraph" w:styleId="NormalWeb">
    <w:name w:val="Normal (Web)"/>
    <w:basedOn w:val="Normal"/>
    <w:uiPriority w:val="99"/>
    <w:unhideWhenUsed/>
    <w:rsid w:val="000E466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0E4660"/>
    <w:rPr>
      <w:color w:val="0000FF" w:themeColor="hyperlink"/>
      <w:u w:val="single"/>
    </w:rPr>
  </w:style>
  <w:style w:type="character" w:styleId="Emphasis">
    <w:name w:val="Emphasis"/>
    <w:basedOn w:val="DefaultParagraphFont"/>
    <w:uiPriority w:val="20"/>
    <w:qFormat/>
    <w:rsid w:val="000E4660"/>
    <w:rPr>
      <w:i/>
      <w:iCs/>
    </w:rPr>
  </w:style>
  <w:style w:type="character" w:styleId="FollowedHyperlink">
    <w:name w:val="FollowedHyperlink"/>
    <w:basedOn w:val="DefaultParagraphFont"/>
    <w:uiPriority w:val="99"/>
    <w:semiHidden/>
    <w:unhideWhenUsed/>
    <w:rsid w:val="00B601C1"/>
    <w:rPr>
      <w:color w:val="800080" w:themeColor="followedHyperlink"/>
      <w:u w:val="single"/>
    </w:rPr>
  </w:style>
  <w:style w:type="character" w:customStyle="1" w:styleId="sr-only">
    <w:name w:val="sr-only"/>
    <w:basedOn w:val="DefaultParagraphFont"/>
    <w:rsid w:val="00135D36"/>
  </w:style>
  <w:style w:type="paragraph" w:customStyle="1" w:styleId="MDPI14history">
    <w:name w:val="MDPI_1.4_history"/>
    <w:basedOn w:val="Normal"/>
    <w:next w:val="Normal"/>
    <w:qFormat/>
    <w:rsid w:val="00FB7C7B"/>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MDPI16affiliation">
    <w:name w:val="MDPI_1.6_affiliation"/>
    <w:basedOn w:val="Normal"/>
    <w:qFormat/>
    <w:rsid w:val="00FB7C7B"/>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styleId="Header">
    <w:name w:val="header"/>
    <w:basedOn w:val="Normal"/>
    <w:link w:val="HeaderChar"/>
    <w:uiPriority w:val="99"/>
    <w:unhideWhenUsed/>
    <w:rsid w:val="00600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1B"/>
  </w:style>
  <w:style w:type="paragraph" w:styleId="Footer">
    <w:name w:val="footer"/>
    <w:basedOn w:val="Normal"/>
    <w:link w:val="FooterChar"/>
    <w:uiPriority w:val="99"/>
    <w:unhideWhenUsed/>
    <w:rsid w:val="00600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1B"/>
  </w:style>
  <w:style w:type="character" w:customStyle="1" w:styleId="Heading3Char">
    <w:name w:val="Heading 3 Char"/>
    <w:basedOn w:val="DefaultParagraphFont"/>
    <w:link w:val="Heading3"/>
    <w:uiPriority w:val="9"/>
    <w:rsid w:val="0082596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2596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9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25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39E"/>
    <w:pPr>
      <w:spacing w:after="0" w:line="240" w:lineRule="auto"/>
    </w:pPr>
    <w:rPr>
      <w:kern w:val="2"/>
      <w:sz w:val="24"/>
      <w:szCs w:val="24"/>
      <w14:ligatures w14:val="standardContextual"/>
    </w:rPr>
  </w:style>
  <w:style w:type="paragraph" w:styleId="BalloonText">
    <w:name w:val="Balloon Text"/>
    <w:basedOn w:val="Normal"/>
    <w:link w:val="BalloonTextChar"/>
    <w:uiPriority w:val="99"/>
    <w:semiHidden/>
    <w:unhideWhenUsed/>
    <w:rsid w:val="00956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A5"/>
    <w:rPr>
      <w:rFonts w:ascii="Tahoma" w:hAnsi="Tahoma" w:cs="Tahoma"/>
      <w:sz w:val="16"/>
      <w:szCs w:val="16"/>
    </w:rPr>
  </w:style>
  <w:style w:type="table" w:customStyle="1" w:styleId="TableGrid1">
    <w:name w:val="Table Grid1"/>
    <w:basedOn w:val="TableNormal"/>
    <w:next w:val="TableGrid"/>
    <w:uiPriority w:val="39"/>
    <w:rsid w:val="00337ED4"/>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37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B27A2"/>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27A2"/>
    <w:rPr>
      <w:b/>
      <w:bCs/>
    </w:rPr>
  </w:style>
  <w:style w:type="paragraph" w:styleId="ListParagraph">
    <w:name w:val="List Paragraph"/>
    <w:basedOn w:val="Normal"/>
    <w:uiPriority w:val="34"/>
    <w:qFormat/>
    <w:rsid w:val="000E4660"/>
    <w:pPr>
      <w:spacing w:after="160" w:line="278" w:lineRule="auto"/>
      <w:ind w:left="720"/>
      <w:contextualSpacing/>
    </w:pPr>
    <w:rPr>
      <w:kern w:val="2"/>
      <w:sz w:val="24"/>
      <w:szCs w:val="24"/>
      <w14:ligatures w14:val="standardContextual"/>
    </w:rPr>
  </w:style>
  <w:style w:type="paragraph" w:styleId="NormalWeb">
    <w:name w:val="Normal (Web)"/>
    <w:basedOn w:val="Normal"/>
    <w:uiPriority w:val="99"/>
    <w:unhideWhenUsed/>
    <w:rsid w:val="000E466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0E4660"/>
    <w:rPr>
      <w:color w:val="0000FF" w:themeColor="hyperlink"/>
      <w:u w:val="single"/>
    </w:rPr>
  </w:style>
  <w:style w:type="character" w:styleId="Emphasis">
    <w:name w:val="Emphasis"/>
    <w:basedOn w:val="DefaultParagraphFont"/>
    <w:uiPriority w:val="20"/>
    <w:qFormat/>
    <w:rsid w:val="000E4660"/>
    <w:rPr>
      <w:i/>
      <w:iCs/>
    </w:rPr>
  </w:style>
  <w:style w:type="character" w:styleId="FollowedHyperlink">
    <w:name w:val="FollowedHyperlink"/>
    <w:basedOn w:val="DefaultParagraphFont"/>
    <w:uiPriority w:val="99"/>
    <w:semiHidden/>
    <w:unhideWhenUsed/>
    <w:rsid w:val="00B601C1"/>
    <w:rPr>
      <w:color w:val="800080" w:themeColor="followedHyperlink"/>
      <w:u w:val="single"/>
    </w:rPr>
  </w:style>
  <w:style w:type="character" w:customStyle="1" w:styleId="sr-only">
    <w:name w:val="sr-only"/>
    <w:basedOn w:val="DefaultParagraphFont"/>
    <w:rsid w:val="00135D36"/>
  </w:style>
  <w:style w:type="paragraph" w:customStyle="1" w:styleId="MDPI14history">
    <w:name w:val="MDPI_1.4_history"/>
    <w:basedOn w:val="Normal"/>
    <w:next w:val="Normal"/>
    <w:qFormat/>
    <w:rsid w:val="00FB7C7B"/>
    <w:pPr>
      <w:adjustRightInd w:val="0"/>
      <w:snapToGrid w:val="0"/>
      <w:spacing w:before="120" w:after="0" w:line="200" w:lineRule="atLeast"/>
      <w:ind w:left="113"/>
    </w:pPr>
    <w:rPr>
      <w:rFonts w:ascii="Palatino Linotype" w:eastAsia="Times New Roman" w:hAnsi="Palatino Linotype" w:cs="Times New Roman"/>
      <w:color w:val="000000"/>
      <w:sz w:val="18"/>
      <w:szCs w:val="20"/>
      <w:lang w:eastAsia="de-DE" w:bidi="en-US"/>
    </w:rPr>
  </w:style>
  <w:style w:type="paragraph" w:customStyle="1" w:styleId="MDPI16affiliation">
    <w:name w:val="MDPI_1.6_affiliation"/>
    <w:basedOn w:val="Normal"/>
    <w:qFormat/>
    <w:rsid w:val="00FB7C7B"/>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styleId="Header">
    <w:name w:val="header"/>
    <w:basedOn w:val="Normal"/>
    <w:link w:val="HeaderChar"/>
    <w:uiPriority w:val="99"/>
    <w:unhideWhenUsed/>
    <w:rsid w:val="00600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1B"/>
  </w:style>
  <w:style w:type="paragraph" w:styleId="Footer">
    <w:name w:val="footer"/>
    <w:basedOn w:val="Normal"/>
    <w:link w:val="FooterChar"/>
    <w:uiPriority w:val="99"/>
    <w:unhideWhenUsed/>
    <w:rsid w:val="00600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1B"/>
  </w:style>
  <w:style w:type="character" w:customStyle="1" w:styleId="Heading3Char">
    <w:name w:val="Heading 3 Char"/>
    <w:basedOn w:val="DefaultParagraphFont"/>
    <w:link w:val="Heading3"/>
    <w:uiPriority w:val="9"/>
    <w:rsid w:val="0082596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2596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4613">
      <w:bodyDiv w:val="1"/>
      <w:marLeft w:val="0"/>
      <w:marRight w:val="0"/>
      <w:marTop w:val="0"/>
      <w:marBottom w:val="0"/>
      <w:divBdr>
        <w:top w:val="none" w:sz="0" w:space="0" w:color="auto"/>
        <w:left w:val="none" w:sz="0" w:space="0" w:color="auto"/>
        <w:bottom w:val="none" w:sz="0" w:space="0" w:color="auto"/>
        <w:right w:val="none" w:sz="0" w:space="0" w:color="auto"/>
      </w:divBdr>
    </w:div>
    <w:div w:id="111442845">
      <w:bodyDiv w:val="1"/>
      <w:marLeft w:val="0"/>
      <w:marRight w:val="0"/>
      <w:marTop w:val="0"/>
      <w:marBottom w:val="0"/>
      <w:divBdr>
        <w:top w:val="none" w:sz="0" w:space="0" w:color="auto"/>
        <w:left w:val="none" w:sz="0" w:space="0" w:color="auto"/>
        <w:bottom w:val="none" w:sz="0" w:space="0" w:color="auto"/>
        <w:right w:val="none" w:sz="0" w:space="0" w:color="auto"/>
      </w:divBdr>
    </w:div>
    <w:div w:id="120198318">
      <w:bodyDiv w:val="1"/>
      <w:marLeft w:val="0"/>
      <w:marRight w:val="0"/>
      <w:marTop w:val="0"/>
      <w:marBottom w:val="0"/>
      <w:divBdr>
        <w:top w:val="none" w:sz="0" w:space="0" w:color="auto"/>
        <w:left w:val="none" w:sz="0" w:space="0" w:color="auto"/>
        <w:bottom w:val="none" w:sz="0" w:space="0" w:color="auto"/>
        <w:right w:val="none" w:sz="0" w:space="0" w:color="auto"/>
      </w:divBdr>
    </w:div>
    <w:div w:id="132141220">
      <w:bodyDiv w:val="1"/>
      <w:marLeft w:val="0"/>
      <w:marRight w:val="0"/>
      <w:marTop w:val="0"/>
      <w:marBottom w:val="0"/>
      <w:divBdr>
        <w:top w:val="none" w:sz="0" w:space="0" w:color="auto"/>
        <w:left w:val="none" w:sz="0" w:space="0" w:color="auto"/>
        <w:bottom w:val="none" w:sz="0" w:space="0" w:color="auto"/>
        <w:right w:val="none" w:sz="0" w:space="0" w:color="auto"/>
      </w:divBdr>
      <w:divsChild>
        <w:div w:id="332341994">
          <w:marLeft w:val="0"/>
          <w:marRight w:val="0"/>
          <w:marTop w:val="0"/>
          <w:marBottom w:val="0"/>
          <w:divBdr>
            <w:top w:val="none" w:sz="0" w:space="0" w:color="auto"/>
            <w:left w:val="none" w:sz="0" w:space="0" w:color="auto"/>
            <w:bottom w:val="none" w:sz="0" w:space="0" w:color="auto"/>
            <w:right w:val="none" w:sz="0" w:space="0" w:color="auto"/>
          </w:divBdr>
          <w:divsChild>
            <w:div w:id="408503011">
              <w:marLeft w:val="0"/>
              <w:marRight w:val="0"/>
              <w:marTop w:val="0"/>
              <w:marBottom w:val="0"/>
              <w:divBdr>
                <w:top w:val="none" w:sz="0" w:space="0" w:color="auto"/>
                <w:left w:val="none" w:sz="0" w:space="0" w:color="auto"/>
                <w:bottom w:val="none" w:sz="0" w:space="0" w:color="auto"/>
                <w:right w:val="none" w:sz="0" w:space="0" w:color="auto"/>
              </w:divBdr>
              <w:divsChild>
                <w:div w:id="806314789">
                  <w:marLeft w:val="0"/>
                  <w:marRight w:val="0"/>
                  <w:marTop w:val="0"/>
                  <w:marBottom w:val="0"/>
                  <w:divBdr>
                    <w:top w:val="none" w:sz="0" w:space="0" w:color="auto"/>
                    <w:left w:val="none" w:sz="0" w:space="0" w:color="auto"/>
                    <w:bottom w:val="none" w:sz="0" w:space="0" w:color="auto"/>
                    <w:right w:val="none" w:sz="0" w:space="0" w:color="auto"/>
                  </w:divBdr>
                  <w:divsChild>
                    <w:div w:id="1143085930">
                      <w:marLeft w:val="0"/>
                      <w:marRight w:val="0"/>
                      <w:marTop w:val="0"/>
                      <w:marBottom w:val="0"/>
                      <w:divBdr>
                        <w:top w:val="none" w:sz="0" w:space="0" w:color="auto"/>
                        <w:left w:val="none" w:sz="0" w:space="0" w:color="auto"/>
                        <w:bottom w:val="none" w:sz="0" w:space="0" w:color="auto"/>
                        <w:right w:val="none" w:sz="0" w:space="0" w:color="auto"/>
                      </w:divBdr>
                      <w:divsChild>
                        <w:div w:id="66734600">
                          <w:marLeft w:val="0"/>
                          <w:marRight w:val="0"/>
                          <w:marTop w:val="0"/>
                          <w:marBottom w:val="0"/>
                          <w:divBdr>
                            <w:top w:val="none" w:sz="0" w:space="0" w:color="auto"/>
                            <w:left w:val="none" w:sz="0" w:space="0" w:color="auto"/>
                            <w:bottom w:val="none" w:sz="0" w:space="0" w:color="auto"/>
                            <w:right w:val="none" w:sz="0" w:space="0" w:color="auto"/>
                          </w:divBdr>
                          <w:divsChild>
                            <w:div w:id="1319649268">
                              <w:marLeft w:val="0"/>
                              <w:marRight w:val="0"/>
                              <w:marTop w:val="0"/>
                              <w:marBottom w:val="0"/>
                              <w:divBdr>
                                <w:top w:val="none" w:sz="0" w:space="0" w:color="auto"/>
                                <w:left w:val="none" w:sz="0" w:space="0" w:color="auto"/>
                                <w:bottom w:val="none" w:sz="0" w:space="0" w:color="auto"/>
                                <w:right w:val="none" w:sz="0" w:space="0" w:color="auto"/>
                              </w:divBdr>
                              <w:divsChild>
                                <w:div w:id="9589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57051">
      <w:bodyDiv w:val="1"/>
      <w:marLeft w:val="0"/>
      <w:marRight w:val="0"/>
      <w:marTop w:val="0"/>
      <w:marBottom w:val="0"/>
      <w:divBdr>
        <w:top w:val="none" w:sz="0" w:space="0" w:color="auto"/>
        <w:left w:val="none" w:sz="0" w:space="0" w:color="auto"/>
        <w:bottom w:val="none" w:sz="0" w:space="0" w:color="auto"/>
        <w:right w:val="none" w:sz="0" w:space="0" w:color="auto"/>
      </w:divBdr>
      <w:divsChild>
        <w:div w:id="1358240640">
          <w:marLeft w:val="0"/>
          <w:marRight w:val="0"/>
          <w:marTop w:val="0"/>
          <w:marBottom w:val="0"/>
          <w:divBdr>
            <w:top w:val="none" w:sz="0" w:space="0" w:color="auto"/>
            <w:left w:val="none" w:sz="0" w:space="0" w:color="auto"/>
            <w:bottom w:val="none" w:sz="0" w:space="0" w:color="auto"/>
            <w:right w:val="none" w:sz="0" w:space="0" w:color="auto"/>
          </w:divBdr>
          <w:divsChild>
            <w:div w:id="811754328">
              <w:marLeft w:val="0"/>
              <w:marRight w:val="0"/>
              <w:marTop w:val="0"/>
              <w:marBottom w:val="0"/>
              <w:divBdr>
                <w:top w:val="none" w:sz="0" w:space="0" w:color="auto"/>
                <w:left w:val="none" w:sz="0" w:space="0" w:color="auto"/>
                <w:bottom w:val="none" w:sz="0" w:space="0" w:color="auto"/>
                <w:right w:val="none" w:sz="0" w:space="0" w:color="auto"/>
              </w:divBdr>
              <w:divsChild>
                <w:div w:id="218174230">
                  <w:marLeft w:val="0"/>
                  <w:marRight w:val="0"/>
                  <w:marTop w:val="0"/>
                  <w:marBottom w:val="0"/>
                  <w:divBdr>
                    <w:top w:val="none" w:sz="0" w:space="0" w:color="auto"/>
                    <w:left w:val="none" w:sz="0" w:space="0" w:color="auto"/>
                    <w:bottom w:val="none" w:sz="0" w:space="0" w:color="auto"/>
                    <w:right w:val="none" w:sz="0" w:space="0" w:color="auto"/>
                  </w:divBdr>
                  <w:divsChild>
                    <w:div w:id="1174220950">
                      <w:marLeft w:val="0"/>
                      <w:marRight w:val="0"/>
                      <w:marTop w:val="0"/>
                      <w:marBottom w:val="0"/>
                      <w:divBdr>
                        <w:top w:val="none" w:sz="0" w:space="0" w:color="auto"/>
                        <w:left w:val="none" w:sz="0" w:space="0" w:color="auto"/>
                        <w:bottom w:val="none" w:sz="0" w:space="0" w:color="auto"/>
                        <w:right w:val="none" w:sz="0" w:space="0" w:color="auto"/>
                      </w:divBdr>
                      <w:divsChild>
                        <w:div w:id="432752800">
                          <w:marLeft w:val="0"/>
                          <w:marRight w:val="0"/>
                          <w:marTop w:val="0"/>
                          <w:marBottom w:val="0"/>
                          <w:divBdr>
                            <w:top w:val="none" w:sz="0" w:space="0" w:color="auto"/>
                            <w:left w:val="none" w:sz="0" w:space="0" w:color="auto"/>
                            <w:bottom w:val="none" w:sz="0" w:space="0" w:color="auto"/>
                            <w:right w:val="none" w:sz="0" w:space="0" w:color="auto"/>
                          </w:divBdr>
                          <w:divsChild>
                            <w:div w:id="995307000">
                              <w:marLeft w:val="0"/>
                              <w:marRight w:val="0"/>
                              <w:marTop w:val="0"/>
                              <w:marBottom w:val="0"/>
                              <w:divBdr>
                                <w:top w:val="none" w:sz="0" w:space="0" w:color="auto"/>
                                <w:left w:val="none" w:sz="0" w:space="0" w:color="auto"/>
                                <w:bottom w:val="none" w:sz="0" w:space="0" w:color="auto"/>
                                <w:right w:val="none" w:sz="0" w:space="0" w:color="auto"/>
                              </w:divBdr>
                              <w:divsChild>
                                <w:div w:id="7102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598315">
      <w:bodyDiv w:val="1"/>
      <w:marLeft w:val="0"/>
      <w:marRight w:val="0"/>
      <w:marTop w:val="0"/>
      <w:marBottom w:val="0"/>
      <w:divBdr>
        <w:top w:val="none" w:sz="0" w:space="0" w:color="auto"/>
        <w:left w:val="none" w:sz="0" w:space="0" w:color="auto"/>
        <w:bottom w:val="none" w:sz="0" w:space="0" w:color="auto"/>
        <w:right w:val="none" w:sz="0" w:space="0" w:color="auto"/>
      </w:divBdr>
    </w:div>
    <w:div w:id="369764935">
      <w:bodyDiv w:val="1"/>
      <w:marLeft w:val="0"/>
      <w:marRight w:val="0"/>
      <w:marTop w:val="0"/>
      <w:marBottom w:val="0"/>
      <w:divBdr>
        <w:top w:val="none" w:sz="0" w:space="0" w:color="auto"/>
        <w:left w:val="none" w:sz="0" w:space="0" w:color="auto"/>
        <w:bottom w:val="none" w:sz="0" w:space="0" w:color="auto"/>
        <w:right w:val="none" w:sz="0" w:space="0" w:color="auto"/>
      </w:divBdr>
      <w:divsChild>
        <w:div w:id="1732192913">
          <w:marLeft w:val="0"/>
          <w:marRight w:val="0"/>
          <w:marTop w:val="0"/>
          <w:marBottom w:val="0"/>
          <w:divBdr>
            <w:top w:val="none" w:sz="0" w:space="0" w:color="auto"/>
            <w:left w:val="none" w:sz="0" w:space="0" w:color="auto"/>
            <w:bottom w:val="none" w:sz="0" w:space="0" w:color="auto"/>
            <w:right w:val="none" w:sz="0" w:space="0" w:color="auto"/>
          </w:divBdr>
          <w:divsChild>
            <w:div w:id="850724977">
              <w:marLeft w:val="0"/>
              <w:marRight w:val="0"/>
              <w:marTop w:val="0"/>
              <w:marBottom w:val="0"/>
              <w:divBdr>
                <w:top w:val="none" w:sz="0" w:space="0" w:color="auto"/>
                <w:left w:val="none" w:sz="0" w:space="0" w:color="auto"/>
                <w:bottom w:val="none" w:sz="0" w:space="0" w:color="auto"/>
                <w:right w:val="none" w:sz="0" w:space="0" w:color="auto"/>
              </w:divBdr>
              <w:divsChild>
                <w:div w:id="587229179">
                  <w:marLeft w:val="0"/>
                  <w:marRight w:val="0"/>
                  <w:marTop w:val="0"/>
                  <w:marBottom w:val="0"/>
                  <w:divBdr>
                    <w:top w:val="none" w:sz="0" w:space="0" w:color="auto"/>
                    <w:left w:val="none" w:sz="0" w:space="0" w:color="auto"/>
                    <w:bottom w:val="none" w:sz="0" w:space="0" w:color="auto"/>
                    <w:right w:val="none" w:sz="0" w:space="0" w:color="auto"/>
                  </w:divBdr>
                  <w:divsChild>
                    <w:div w:id="1250196549">
                      <w:marLeft w:val="0"/>
                      <w:marRight w:val="0"/>
                      <w:marTop w:val="0"/>
                      <w:marBottom w:val="0"/>
                      <w:divBdr>
                        <w:top w:val="none" w:sz="0" w:space="0" w:color="auto"/>
                        <w:left w:val="none" w:sz="0" w:space="0" w:color="auto"/>
                        <w:bottom w:val="none" w:sz="0" w:space="0" w:color="auto"/>
                        <w:right w:val="none" w:sz="0" w:space="0" w:color="auto"/>
                      </w:divBdr>
                      <w:divsChild>
                        <w:div w:id="73472767">
                          <w:marLeft w:val="0"/>
                          <w:marRight w:val="0"/>
                          <w:marTop w:val="0"/>
                          <w:marBottom w:val="0"/>
                          <w:divBdr>
                            <w:top w:val="none" w:sz="0" w:space="0" w:color="auto"/>
                            <w:left w:val="none" w:sz="0" w:space="0" w:color="auto"/>
                            <w:bottom w:val="none" w:sz="0" w:space="0" w:color="auto"/>
                            <w:right w:val="none" w:sz="0" w:space="0" w:color="auto"/>
                          </w:divBdr>
                          <w:divsChild>
                            <w:div w:id="1025252517">
                              <w:marLeft w:val="0"/>
                              <w:marRight w:val="0"/>
                              <w:marTop w:val="0"/>
                              <w:marBottom w:val="0"/>
                              <w:divBdr>
                                <w:top w:val="none" w:sz="0" w:space="0" w:color="auto"/>
                                <w:left w:val="none" w:sz="0" w:space="0" w:color="auto"/>
                                <w:bottom w:val="none" w:sz="0" w:space="0" w:color="auto"/>
                                <w:right w:val="none" w:sz="0" w:space="0" w:color="auto"/>
                              </w:divBdr>
                              <w:divsChild>
                                <w:div w:id="6349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295690">
      <w:bodyDiv w:val="1"/>
      <w:marLeft w:val="0"/>
      <w:marRight w:val="0"/>
      <w:marTop w:val="0"/>
      <w:marBottom w:val="0"/>
      <w:divBdr>
        <w:top w:val="none" w:sz="0" w:space="0" w:color="auto"/>
        <w:left w:val="none" w:sz="0" w:space="0" w:color="auto"/>
        <w:bottom w:val="none" w:sz="0" w:space="0" w:color="auto"/>
        <w:right w:val="none" w:sz="0" w:space="0" w:color="auto"/>
      </w:divBdr>
    </w:div>
    <w:div w:id="835219525">
      <w:bodyDiv w:val="1"/>
      <w:marLeft w:val="0"/>
      <w:marRight w:val="0"/>
      <w:marTop w:val="0"/>
      <w:marBottom w:val="0"/>
      <w:divBdr>
        <w:top w:val="none" w:sz="0" w:space="0" w:color="auto"/>
        <w:left w:val="none" w:sz="0" w:space="0" w:color="auto"/>
        <w:bottom w:val="none" w:sz="0" w:space="0" w:color="auto"/>
        <w:right w:val="none" w:sz="0" w:space="0" w:color="auto"/>
      </w:divBdr>
    </w:div>
    <w:div w:id="837039878">
      <w:bodyDiv w:val="1"/>
      <w:marLeft w:val="0"/>
      <w:marRight w:val="0"/>
      <w:marTop w:val="0"/>
      <w:marBottom w:val="0"/>
      <w:divBdr>
        <w:top w:val="none" w:sz="0" w:space="0" w:color="auto"/>
        <w:left w:val="none" w:sz="0" w:space="0" w:color="auto"/>
        <w:bottom w:val="none" w:sz="0" w:space="0" w:color="auto"/>
        <w:right w:val="none" w:sz="0" w:space="0" w:color="auto"/>
      </w:divBdr>
      <w:divsChild>
        <w:div w:id="1084913987">
          <w:marLeft w:val="0"/>
          <w:marRight w:val="0"/>
          <w:marTop w:val="0"/>
          <w:marBottom w:val="0"/>
          <w:divBdr>
            <w:top w:val="none" w:sz="0" w:space="0" w:color="auto"/>
            <w:left w:val="none" w:sz="0" w:space="0" w:color="auto"/>
            <w:bottom w:val="none" w:sz="0" w:space="0" w:color="auto"/>
            <w:right w:val="none" w:sz="0" w:space="0" w:color="auto"/>
          </w:divBdr>
          <w:divsChild>
            <w:div w:id="5329180">
              <w:marLeft w:val="0"/>
              <w:marRight w:val="0"/>
              <w:marTop w:val="0"/>
              <w:marBottom w:val="0"/>
              <w:divBdr>
                <w:top w:val="none" w:sz="0" w:space="0" w:color="auto"/>
                <w:left w:val="none" w:sz="0" w:space="0" w:color="auto"/>
                <w:bottom w:val="none" w:sz="0" w:space="0" w:color="auto"/>
                <w:right w:val="none" w:sz="0" w:space="0" w:color="auto"/>
              </w:divBdr>
              <w:divsChild>
                <w:div w:id="1932077459">
                  <w:marLeft w:val="0"/>
                  <w:marRight w:val="0"/>
                  <w:marTop w:val="0"/>
                  <w:marBottom w:val="0"/>
                  <w:divBdr>
                    <w:top w:val="none" w:sz="0" w:space="0" w:color="auto"/>
                    <w:left w:val="none" w:sz="0" w:space="0" w:color="auto"/>
                    <w:bottom w:val="none" w:sz="0" w:space="0" w:color="auto"/>
                    <w:right w:val="none" w:sz="0" w:space="0" w:color="auto"/>
                  </w:divBdr>
                  <w:divsChild>
                    <w:div w:id="97800594">
                      <w:marLeft w:val="0"/>
                      <w:marRight w:val="0"/>
                      <w:marTop w:val="0"/>
                      <w:marBottom w:val="0"/>
                      <w:divBdr>
                        <w:top w:val="none" w:sz="0" w:space="0" w:color="auto"/>
                        <w:left w:val="none" w:sz="0" w:space="0" w:color="auto"/>
                        <w:bottom w:val="none" w:sz="0" w:space="0" w:color="auto"/>
                        <w:right w:val="none" w:sz="0" w:space="0" w:color="auto"/>
                      </w:divBdr>
                      <w:divsChild>
                        <w:div w:id="90977030">
                          <w:marLeft w:val="0"/>
                          <w:marRight w:val="0"/>
                          <w:marTop w:val="0"/>
                          <w:marBottom w:val="0"/>
                          <w:divBdr>
                            <w:top w:val="none" w:sz="0" w:space="0" w:color="auto"/>
                            <w:left w:val="none" w:sz="0" w:space="0" w:color="auto"/>
                            <w:bottom w:val="none" w:sz="0" w:space="0" w:color="auto"/>
                            <w:right w:val="none" w:sz="0" w:space="0" w:color="auto"/>
                          </w:divBdr>
                          <w:divsChild>
                            <w:div w:id="1671327782">
                              <w:marLeft w:val="0"/>
                              <w:marRight w:val="0"/>
                              <w:marTop w:val="0"/>
                              <w:marBottom w:val="0"/>
                              <w:divBdr>
                                <w:top w:val="none" w:sz="0" w:space="0" w:color="auto"/>
                                <w:left w:val="none" w:sz="0" w:space="0" w:color="auto"/>
                                <w:bottom w:val="none" w:sz="0" w:space="0" w:color="auto"/>
                                <w:right w:val="none" w:sz="0" w:space="0" w:color="auto"/>
                              </w:divBdr>
                              <w:divsChild>
                                <w:div w:id="15443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960991">
      <w:bodyDiv w:val="1"/>
      <w:marLeft w:val="0"/>
      <w:marRight w:val="0"/>
      <w:marTop w:val="0"/>
      <w:marBottom w:val="0"/>
      <w:divBdr>
        <w:top w:val="none" w:sz="0" w:space="0" w:color="auto"/>
        <w:left w:val="none" w:sz="0" w:space="0" w:color="auto"/>
        <w:bottom w:val="none" w:sz="0" w:space="0" w:color="auto"/>
        <w:right w:val="none" w:sz="0" w:space="0" w:color="auto"/>
      </w:divBdr>
      <w:divsChild>
        <w:div w:id="1898280309">
          <w:marLeft w:val="0"/>
          <w:marRight w:val="0"/>
          <w:marTop w:val="0"/>
          <w:marBottom w:val="0"/>
          <w:divBdr>
            <w:top w:val="none" w:sz="0" w:space="0" w:color="auto"/>
            <w:left w:val="none" w:sz="0" w:space="0" w:color="auto"/>
            <w:bottom w:val="none" w:sz="0" w:space="0" w:color="auto"/>
            <w:right w:val="none" w:sz="0" w:space="0" w:color="auto"/>
          </w:divBdr>
          <w:divsChild>
            <w:div w:id="1210413847">
              <w:marLeft w:val="0"/>
              <w:marRight w:val="0"/>
              <w:marTop w:val="0"/>
              <w:marBottom w:val="0"/>
              <w:divBdr>
                <w:top w:val="none" w:sz="0" w:space="0" w:color="auto"/>
                <w:left w:val="none" w:sz="0" w:space="0" w:color="auto"/>
                <w:bottom w:val="none" w:sz="0" w:space="0" w:color="auto"/>
                <w:right w:val="none" w:sz="0" w:space="0" w:color="auto"/>
              </w:divBdr>
              <w:divsChild>
                <w:div w:id="222445190">
                  <w:marLeft w:val="0"/>
                  <w:marRight w:val="0"/>
                  <w:marTop w:val="0"/>
                  <w:marBottom w:val="0"/>
                  <w:divBdr>
                    <w:top w:val="none" w:sz="0" w:space="0" w:color="auto"/>
                    <w:left w:val="none" w:sz="0" w:space="0" w:color="auto"/>
                    <w:bottom w:val="none" w:sz="0" w:space="0" w:color="auto"/>
                    <w:right w:val="none" w:sz="0" w:space="0" w:color="auto"/>
                  </w:divBdr>
                  <w:divsChild>
                    <w:div w:id="130443779">
                      <w:marLeft w:val="0"/>
                      <w:marRight w:val="0"/>
                      <w:marTop w:val="0"/>
                      <w:marBottom w:val="0"/>
                      <w:divBdr>
                        <w:top w:val="none" w:sz="0" w:space="0" w:color="auto"/>
                        <w:left w:val="none" w:sz="0" w:space="0" w:color="auto"/>
                        <w:bottom w:val="none" w:sz="0" w:space="0" w:color="auto"/>
                        <w:right w:val="none" w:sz="0" w:space="0" w:color="auto"/>
                      </w:divBdr>
                      <w:divsChild>
                        <w:div w:id="800004528">
                          <w:marLeft w:val="0"/>
                          <w:marRight w:val="0"/>
                          <w:marTop w:val="0"/>
                          <w:marBottom w:val="0"/>
                          <w:divBdr>
                            <w:top w:val="none" w:sz="0" w:space="0" w:color="auto"/>
                            <w:left w:val="none" w:sz="0" w:space="0" w:color="auto"/>
                            <w:bottom w:val="none" w:sz="0" w:space="0" w:color="auto"/>
                            <w:right w:val="none" w:sz="0" w:space="0" w:color="auto"/>
                          </w:divBdr>
                          <w:divsChild>
                            <w:div w:id="1302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367836">
      <w:bodyDiv w:val="1"/>
      <w:marLeft w:val="0"/>
      <w:marRight w:val="0"/>
      <w:marTop w:val="0"/>
      <w:marBottom w:val="0"/>
      <w:divBdr>
        <w:top w:val="none" w:sz="0" w:space="0" w:color="auto"/>
        <w:left w:val="none" w:sz="0" w:space="0" w:color="auto"/>
        <w:bottom w:val="none" w:sz="0" w:space="0" w:color="auto"/>
        <w:right w:val="none" w:sz="0" w:space="0" w:color="auto"/>
      </w:divBdr>
      <w:divsChild>
        <w:div w:id="1795516952">
          <w:marLeft w:val="0"/>
          <w:marRight w:val="0"/>
          <w:marTop w:val="0"/>
          <w:marBottom w:val="0"/>
          <w:divBdr>
            <w:top w:val="none" w:sz="0" w:space="0" w:color="auto"/>
            <w:left w:val="none" w:sz="0" w:space="0" w:color="auto"/>
            <w:bottom w:val="none" w:sz="0" w:space="0" w:color="auto"/>
            <w:right w:val="none" w:sz="0" w:space="0" w:color="auto"/>
          </w:divBdr>
          <w:divsChild>
            <w:div w:id="878736365">
              <w:marLeft w:val="0"/>
              <w:marRight w:val="0"/>
              <w:marTop w:val="0"/>
              <w:marBottom w:val="0"/>
              <w:divBdr>
                <w:top w:val="none" w:sz="0" w:space="0" w:color="auto"/>
                <w:left w:val="none" w:sz="0" w:space="0" w:color="auto"/>
                <w:bottom w:val="none" w:sz="0" w:space="0" w:color="auto"/>
                <w:right w:val="none" w:sz="0" w:space="0" w:color="auto"/>
              </w:divBdr>
              <w:divsChild>
                <w:div w:id="1336617331">
                  <w:marLeft w:val="0"/>
                  <w:marRight w:val="0"/>
                  <w:marTop w:val="0"/>
                  <w:marBottom w:val="0"/>
                  <w:divBdr>
                    <w:top w:val="none" w:sz="0" w:space="0" w:color="auto"/>
                    <w:left w:val="none" w:sz="0" w:space="0" w:color="auto"/>
                    <w:bottom w:val="none" w:sz="0" w:space="0" w:color="auto"/>
                    <w:right w:val="none" w:sz="0" w:space="0" w:color="auto"/>
                  </w:divBdr>
                  <w:divsChild>
                    <w:div w:id="1741637943">
                      <w:marLeft w:val="0"/>
                      <w:marRight w:val="0"/>
                      <w:marTop w:val="0"/>
                      <w:marBottom w:val="0"/>
                      <w:divBdr>
                        <w:top w:val="none" w:sz="0" w:space="0" w:color="auto"/>
                        <w:left w:val="none" w:sz="0" w:space="0" w:color="auto"/>
                        <w:bottom w:val="none" w:sz="0" w:space="0" w:color="auto"/>
                        <w:right w:val="none" w:sz="0" w:space="0" w:color="auto"/>
                      </w:divBdr>
                      <w:divsChild>
                        <w:div w:id="1489520965">
                          <w:marLeft w:val="0"/>
                          <w:marRight w:val="0"/>
                          <w:marTop w:val="0"/>
                          <w:marBottom w:val="0"/>
                          <w:divBdr>
                            <w:top w:val="none" w:sz="0" w:space="0" w:color="auto"/>
                            <w:left w:val="none" w:sz="0" w:space="0" w:color="auto"/>
                            <w:bottom w:val="none" w:sz="0" w:space="0" w:color="auto"/>
                            <w:right w:val="none" w:sz="0" w:space="0" w:color="auto"/>
                          </w:divBdr>
                          <w:divsChild>
                            <w:div w:id="671181433">
                              <w:marLeft w:val="0"/>
                              <w:marRight w:val="0"/>
                              <w:marTop w:val="0"/>
                              <w:marBottom w:val="0"/>
                              <w:divBdr>
                                <w:top w:val="none" w:sz="0" w:space="0" w:color="auto"/>
                                <w:left w:val="none" w:sz="0" w:space="0" w:color="auto"/>
                                <w:bottom w:val="none" w:sz="0" w:space="0" w:color="auto"/>
                                <w:right w:val="none" w:sz="0" w:space="0" w:color="auto"/>
                              </w:divBdr>
                              <w:divsChild>
                                <w:div w:id="16654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954175">
      <w:bodyDiv w:val="1"/>
      <w:marLeft w:val="0"/>
      <w:marRight w:val="0"/>
      <w:marTop w:val="0"/>
      <w:marBottom w:val="0"/>
      <w:divBdr>
        <w:top w:val="none" w:sz="0" w:space="0" w:color="auto"/>
        <w:left w:val="none" w:sz="0" w:space="0" w:color="auto"/>
        <w:bottom w:val="none" w:sz="0" w:space="0" w:color="auto"/>
        <w:right w:val="none" w:sz="0" w:space="0" w:color="auto"/>
      </w:divBdr>
    </w:div>
    <w:div w:id="1033076362">
      <w:bodyDiv w:val="1"/>
      <w:marLeft w:val="0"/>
      <w:marRight w:val="0"/>
      <w:marTop w:val="0"/>
      <w:marBottom w:val="0"/>
      <w:divBdr>
        <w:top w:val="none" w:sz="0" w:space="0" w:color="auto"/>
        <w:left w:val="none" w:sz="0" w:space="0" w:color="auto"/>
        <w:bottom w:val="none" w:sz="0" w:space="0" w:color="auto"/>
        <w:right w:val="none" w:sz="0" w:space="0" w:color="auto"/>
      </w:divBdr>
    </w:div>
    <w:div w:id="1125931721">
      <w:bodyDiv w:val="1"/>
      <w:marLeft w:val="0"/>
      <w:marRight w:val="0"/>
      <w:marTop w:val="0"/>
      <w:marBottom w:val="0"/>
      <w:divBdr>
        <w:top w:val="none" w:sz="0" w:space="0" w:color="auto"/>
        <w:left w:val="none" w:sz="0" w:space="0" w:color="auto"/>
        <w:bottom w:val="none" w:sz="0" w:space="0" w:color="auto"/>
        <w:right w:val="none" w:sz="0" w:space="0" w:color="auto"/>
      </w:divBdr>
    </w:div>
    <w:div w:id="1172405331">
      <w:bodyDiv w:val="1"/>
      <w:marLeft w:val="0"/>
      <w:marRight w:val="0"/>
      <w:marTop w:val="0"/>
      <w:marBottom w:val="0"/>
      <w:divBdr>
        <w:top w:val="none" w:sz="0" w:space="0" w:color="auto"/>
        <w:left w:val="none" w:sz="0" w:space="0" w:color="auto"/>
        <w:bottom w:val="none" w:sz="0" w:space="0" w:color="auto"/>
        <w:right w:val="none" w:sz="0" w:space="0" w:color="auto"/>
      </w:divBdr>
      <w:divsChild>
        <w:div w:id="1860701563">
          <w:marLeft w:val="0"/>
          <w:marRight w:val="0"/>
          <w:marTop w:val="0"/>
          <w:marBottom w:val="0"/>
          <w:divBdr>
            <w:top w:val="none" w:sz="0" w:space="0" w:color="auto"/>
            <w:left w:val="none" w:sz="0" w:space="0" w:color="auto"/>
            <w:bottom w:val="none" w:sz="0" w:space="0" w:color="auto"/>
            <w:right w:val="none" w:sz="0" w:space="0" w:color="auto"/>
          </w:divBdr>
          <w:divsChild>
            <w:div w:id="1332760334">
              <w:marLeft w:val="0"/>
              <w:marRight w:val="0"/>
              <w:marTop w:val="0"/>
              <w:marBottom w:val="0"/>
              <w:divBdr>
                <w:top w:val="none" w:sz="0" w:space="0" w:color="auto"/>
                <w:left w:val="none" w:sz="0" w:space="0" w:color="auto"/>
                <w:bottom w:val="none" w:sz="0" w:space="0" w:color="auto"/>
                <w:right w:val="none" w:sz="0" w:space="0" w:color="auto"/>
              </w:divBdr>
              <w:divsChild>
                <w:div w:id="1802771460">
                  <w:marLeft w:val="0"/>
                  <w:marRight w:val="0"/>
                  <w:marTop w:val="0"/>
                  <w:marBottom w:val="0"/>
                  <w:divBdr>
                    <w:top w:val="none" w:sz="0" w:space="0" w:color="auto"/>
                    <w:left w:val="none" w:sz="0" w:space="0" w:color="auto"/>
                    <w:bottom w:val="none" w:sz="0" w:space="0" w:color="auto"/>
                    <w:right w:val="none" w:sz="0" w:space="0" w:color="auto"/>
                  </w:divBdr>
                  <w:divsChild>
                    <w:div w:id="2012635132">
                      <w:marLeft w:val="0"/>
                      <w:marRight w:val="0"/>
                      <w:marTop w:val="0"/>
                      <w:marBottom w:val="0"/>
                      <w:divBdr>
                        <w:top w:val="none" w:sz="0" w:space="0" w:color="auto"/>
                        <w:left w:val="none" w:sz="0" w:space="0" w:color="auto"/>
                        <w:bottom w:val="none" w:sz="0" w:space="0" w:color="auto"/>
                        <w:right w:val="none" w:sz="0" w:space="0" w:color="auto"/>
                      </w:divBdr>
                      <w:divsChild>
                        <w:div w:id="2131895068">
                          <w:marLeft w:val="0"/>
                          <w:marRight w:val="0"/>
                          <w:marTop w:val="0"/>
                          <w:marBottom w:val="0"/>
                          <w:divBdr>
                            <w:top w:val="none" w:sz="0" w:space="0" w:color="auto"/>
                            <w:left w:val="none" w:sz="0" w:space="0" w:color="auto"/>
                            <w:bottom w:val="none" w:sz="0" w:space="0" w:color="auto"/>
                            <w:right w:val="none" w:sz="0" w:space="0" w:color="auto"/>
                          </w:divBdr>
                          <w:divsChild>
                            <w:div w:id="1443496186">
                              <w:marLeft w:val="0"/>
                              <w:marRight w:val="0"/>
                              <w:marTop w:val="0"/>
                              <w:marBottom w:val="0"/>
                              <w:divBdr>
                                <w:top w:val="none" w:sz="0" w:space="0" w:color="auto"/>
                                <w:left w:val="none" w:sz="0" w:space="0" w:color="auto"/>
                                <w:bottom w:val="none" w:sz="0" w:space="0" w:color="auto"/>
                                <w:right w:val="none" w:sz="0" w:space="0" w:color="auto"/>
                              </w:divBdr>
                              <w:divsChild>
                                <w:div w:id="14734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243600">
      <w:bodyDiv w:val="1"/>
      <w:marLeft w:val="0"/>
      <w:marRight w:val="0"/>
      <w:marTop w:val="0"/>
      <w:marBottom w:val="0"/>
      <w:divBdr>
        <w:top w:val="none" w:sz="0" w:space="0" w:color="auto"/>
        <w:left w:val="none" w:sz="0" w:space="0" w:color="auto"/>
        <w:bottom w:val="none" w:sz="0" w:space="0" w:color="auto"/>
        <w:right w:val="none" w:sz="0" w:space="0" w:color="auto"/>
      </w:divBdr>
    </w:div>
    <w:div w:id="1506283644">
      <w:bodyDiv w:val="1"/>
      <w:marLeft w:val="0"/>
      <w:marRight w:val="0"/>
      <w:marTop w:val="0"/>
      <w:marBottom w:val="0"/>
      <w:divBdr>
        <w:top w:val="none" w:sz="0" w:space="0" w:color="auto"/>
        <w:left w:val="none" w:sz="0" w:space="0" w:color="auto"/>
        <w:bottom w:val="none" w:sz="0" w:space="0" w:color="auto"/>
        <w:right w:val="none" w:sz="0" w:space="0" w:color="auto"/>
      </w:divBdr>
    </w:div>
    <w:div w:id="1559779685">
      <w:bodyDiv w:val="1"/>
      <w:marLeft w:val="0"/>
      <w:marRight w:val="0"/>
      <w:marTop w:val="0"/>
      <w:marBottom w:val="0"/>
      <w:divBdr>
        <w:top w:val="none" w:sz="0" w:space="0" w:color="auto"/>
        <w:left w:val="none" w:sz="0" w:space="0" w:color="auto"/>
        <w:bottom w:val="none" w:sz="0" w:space="0" w:color="auto"/>
        <w:right w:val="none" w:sz="0" w:space="0" w:color="auto"/>
      </w:divBdr>
      <w:divsChild>
        <w:div w:id="1682317270">
          <w:marLeft w:val="0"/>
          <w:marRight w:val="0"/>
          <w:marTop w:val="0"/>
          <w:marBottom w:val="0"/>
          <w:divBdr>
            <w:top w:val="none" w:sz="0" w:space="0" w:color="auto"/>
            <w:left w:val="none" w:sz="0" w:space="0" w:color="auto"/>
            <w:bottom w:val="none" w:sz="0" w:space="0" w:color="auto"/>
            <w:right w:val="none" w:sz="0" w:space="0" w:color="auto"/>
          </w:divBdr>
          <w:divsChild>
            <w:div w:id="143163247">
              <w:marLeft w:val="0"/>
              <w:marRight w:val="0"/>
              <w:marTop w:val="0"/>
              <w:marBottom w:val="0"/>
              <w:divBdr>
                <w:top w:val="none" w:sz="0" w:space="0" w:color="auto"/>
                <w:left w:val="none" w:sz="0" w:space="0" w:color="auto"/>
                <w:bottom w:val="none" w:sz="0" w:space="0" w:color="auto"/>
                <w:right w:val="none" w:sz="0" w:space="0" w:color="auto"/>
              </w:divBdr>
              <w:divsChild>
                <w:div w:id="665282370">
                  <w:marLeft w:val="0"/>
                  <w:marRight w:val="0"/>
                  <w:marTop w:val="0"/>
                  <w:marBottom w:val="0"/>
                  <w:divBdr>
                    <w:top w:val="none" w:sz="0" w:space="0" w:color="auto"/>
                    <w:left w:val="none" w:sz="0" w:space="0" w:color="auto"/>
                    <w:bottom w:val="none" w:sz="0" w:space="0" w:color="auto"/>
                    <w:right w:val="none" w:sz="0" w:space="0" w:color="auto"/>
                  </w:divBdr>
                  <w:divsChild>
                    <w:div w:id="1879002375">
                      <w:marLeft w:val="0"/>
                      <w:marRight w:val="0"/>
                      <w:marTop w:val="0"/>
                      <w:marBottom w:val="0"/>
                      <w:divBdr>
                        <w:top w:val="none" w:sz="0" w:space="0" w:color="auto"/>
                        <w:left w:val="none" w:sz="0" w:space="0" w:color="auto"/>
                        <w:bottom w:val="none" w:sz="0" w:space="0" w:color="auto"/>
                        <w:right w:val="none" w:sz="0" w:space="0" w:color="auto"/>
                      </w:divBdr>
                      <w:divsChild>
                        <w:div w:id="1338578121">
                          <w:marLeft w:val="0"/>
                          <w:marRight w:val="0"/>
                          <w:marTop w:val="0"/>
                          <w:marBottom w:val="0"/>
                          <w:divBdr>
                            <w:top w:val="none" w:sz="0" w:space="0" w:color="auto"/>
                            <w:left w:val="none" w:sz="0" w:space="0" w:color="auto"/>
                            <w:bottom w:val="none" w:sz="0" w:space="0" w:color="auto"/>
                            <w:right w:val="none" w:sz="0" w:space="0" w:color="auto"/>
                          </w:divBdr>
                          <w:divsChild>
                            <w:div w:id="474687666">
                              <w:marLeft w:val="0"/>
                              <w:marRight w:val="0"/>
                              <w:marTop w:val="0"/>
                              <w:marBottom w:val="0"/>
                              <w:divBdr>
                                <w:top w:val="none" w:sz="0" w:space="0" w:color="auto"/>
                                <w:left w:val="none" w:sz="0" w:space="0" w:color="auto"/>
                                <w:bottom w:val="none" w:sz="0" w:space="0" w:color="auto"/>
                                <w:right w:val="none" w:sz="0" w:space="0" w:color="auto"/>
                              </w:divBdr>
                              <w:divsChild>
                                <w:div w:id="8275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763280">
      <w:bodyDiv w:val="1"/>
      <w:marLeft w:val="0"/>
      <w:marRight w:val="0"/>
      <w:marTop w:val="0"/>
      <w:marBottom w:val="0"/>
      <w:divBdr>
        <w:top w:val="none" w:sz="0" w:space="0" w:color="auto"/>
        <w:left w:val="none" w:sz="0" w:space="0" w:color="auto"/>
        <w:bottom w:val="none" w:sz="0" w:space="0" w:color="auto"/>
        <w:right w:val="none" w:sz="0" w:space="0" w:color="auto"/>
      </w:divBdr>
      <w:divsChild>
        <w:div w:id="1829206184">
          <w:marLeft w:val="0"/>
          <w:marRight w:val="0"/>
          <w:marTop w:val="0"/>
          <w:marBottom w:val="0"/>
          <w:divBdr>
            <w:top w:val="none" w:sz="0" w:space="0" w:color="auto"/>
            <w:left w:val="none" w:sz="0" w:space="0" w:color="auto"/>
            <w:bottom w:val="none" w:sz="0" w:space="0" w:color="auto"/>
            <w:right w:val="none" w:sz="0" w:space="0" w:color="auto"/>
          </w:divBdr>
          <w:divsChild>
            <w:div w:id="47077388">
              <w:marLeft w:val="0"/>
              <w:marRight w:val="0"/>
              <w:marTop w:val="0"/>
              <w:marBottom w:val="0"/>
              <w:divBdr>
                <w:top w:val="none" w:sz="0" w:space="0" w:color="auto"/>
                <w:left w:val="none" w:sz="0" w:space="0" w:color="auto"/>
                <w:bottom w:val="none" w:sz="0" w:space="0" w:color="auto"/>
                <w:right w:val="none" w:sz="0" w:space="0" w:color="auto"/>
              </w:divBdr>
              <w:divsChild>
                <w:div w:id="804009104">
                  <w:marLeft w:val="0"/>
                  <w:marRight w:val="0"/>
                  <w:marTop w:val="0"/>
                  <w:marBottom w:val="0"/>
                  <w:divBdr>
                    <w:top w:val="none" w:sz="0" w:space="0" w:color="auto"/>
                    <w:left w:val="none" w:sz="0" w:space="0" w:color="auto"/>
                    <w:bottom w:val="none" w:sz="0" w:space="0" w:color="auto"/>
                    <w:right w:val="none" w:sz="0" w:space="0" w:color="auto"/>
                  </w:divBdr>
                  <w:divsChild>
                    <w:div w:id="946080533">
                      <w:marLeft w:val="0"/>
                      <w:marRight w:val="0"/>
                      <w:marTop w:val="0"/>
                      <w:marBottom w:val="0"/>
                      <w:divBdr>
                        <w:top w:val="none" w:sz="0" w:space="0" w:color="auto"/>
                        <w:left w:val="none" w:sz="0" w:space="0" w:color="auto"/>
                        <w:bottom w:val="none" w:sz="0" w:space="0" w:color="auto"/>
                        <w:right w:val="none" w:sz="0" w:space="0" w:color="auto"/>
                      </w:divBdr>
                      <w:divsChild>
                        <w:div w:id="479227543">
                          <w:marLeft w:val="0"/>
                          <w:marRight w:val="0"/>
                          <w:marTop w:val="0"/>
                          <w:marBottom w:val="0"/>
                          <w:divBdr>
                            <w:top w:val="none" w:sz="0" w:space="0" w:color="auto"/>
                            <w:left w:val="none" w:sz="0" w:space="0" w:color="auto"/>
                            <w:bottom w:val="none" w:sz="0" w:space="0" w:color="auto"/>
                            <w:right w:val="none" w:sz="0" w:space="0" w:color="auto"/>
                          </w:divBdr>
                          <w:divsChild>
                            <w:div w:id="1318268048">
                              <w:marLeft w:val="0"/>
                              <w:marRight w:val="0"/>
                              <w:marTop w:val="0"/>
                              <w:marBottom w:val="0"/>
                              <w:divBdr>
                                <w:top w:val="none" w:sz="0" w:space="0" w:color="auto"/>
                                <w:left w:val="none" w:sz="0" w:space="0" w:color="auto"/>
                                <w:bottom w:val="none" w:sz="0" w:space="0" w:color="auto"/>
                                <w:right w:val="none" w:sz="0" w:space="0" w:color="auto"/>
                              </w:divBdr>
                              <w:divsChild>
                                <w:div w:id="400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528970">
      <w:bodyDiv w:val="1"/>
      <w:marLeft w:val="0"/>
      <w:marRight w:val="0"/>
      <w:marTop w:val="0"/>
      <w:marBottom w:val="0"/>
      <w:divBdr>
        <w:top w:val="none" w:sz="0" w:space="0" w:color="auto"/>
        <w:left w:val="none" w:sz="0" w:space="0" w:color="auto"/>
        <w:bottom w:val="none" w:sz="0" w:space="0" w:color="auto"/>
        <w:right w:val="none" w:sz="0" w:space="0" w:color="auto"/>
      </w:divBdr>
    </w:div>
    <w:div w:id="1630473100">
      <w:bodyDiv w:val="1"/>
      <w:marLeft w:val="0"/>
      <w:marRight w:val="0"/>
      <w:marTop w:val="0"/>
      <w:marBottom w:val="0"/>
      <w:divBdr>
        <w:top w:val="none" w:sz="0" w:space="0" w:color="auto"/>
        <w:left w:val="none" w:sz="0" w:space="0" w:color="auto"/>
        <w:bottom w:val="none" w:sz="0" w:space="0" w:color="auto"/>
        <w:right w:val="none" w:sz="0" w:space="0" w:color="auto"/>
      </w:divBdr>
      <w:divsChild>
        <w:div w:id="1334719768">
          <w:marLeft w:val="0"/>
          <w:marRight w:val="0"/>
          <w:marTop w:val="0"/>
          <w:marBottom w:val="0"/>
          <w:divBdr>
            <w:top w:val="none" w:sz="0" w:space="0" w:color="auto"/>
            <w:left w:val="none" w:sz="0" w:space="0" w:color="auto"/>
            <w:bottom w:val="none" w:sz="0" w:space="0" w:color="auto"/>
            <w:right w:val="none" w:sz="0" w:space="0" w:color="auto"/>
          </w:divBdr>
          <w:divsChild>
            <w:div w:id="943075377">
              <w:marLeft w:val="0"/>
              <w:marRight w:val="0"/>
              <w:marTop w:val="0"/>
              <w:marBottom w:val="0"/>
              <w:divBdr>
                <w:top w:val="none" w:sz="0" w:space="0" w:color="auto"/>
                <w:left w:val="none" w:sz="0" w:space="0" w:color="auto"/>
                <w:bottom w:val="none" w:sz="0" w:space="0" w:color="auto"/>
                <w:right w:val="none" w:sz="0" w:space="0" w:color="auto"/>
              </w:divBdr>
              <w:divsChild>
                <w:div w:id="544370837">
                  <w:marLeft w:val="0"/>
                  <w:marRight w:val="0"/>
                  <w:marTop w:val="0"/>
                  <w:marBottom w:val="0"/>
                  <w:divBdr>
                    <w:top w:val="none" w:sz="0" w:space="0" w:color="auto"/>
                    <w:left w:val="none" w:sz="0" w:space="0" w:color="auto"/>
                    <w:bottom w:val="none" w:sz="0" w:space="0" w:color="auto"/>
                    <w:right w:val="none" w:sz="0" w:space="0" w:color="auto"/>
                  </w:divBdr>
                  <w:divsChild>
                    <w:div w:id="1843816506">
                      <w:marLeft w:val="0"/>
                      <w:marRight w:val="0"/>
                      <w:marTop w:val="0"/>
                      <w:marBottom w:val="0"/>
                      <w:divBdr>
                        <w:top w:val="none" w:sz="0" w:space="0" w:color="auto"/>
                        <w:left w:val="none" w:sz="0" w:space="0" w:color="auto"/>
                        <w:bottom w:val="none" w:sz="0" w:space="0" w:color="auto"/>
                        <w:right w:val="none" w:sz="0" w:space="0" w:color="auto"/>
                      </w:divBdr>
                      <w:divsChild>
                        <w:div w:id="507789683">
                          <w:marLeft w:val="0"/>
                          <w:marRight w:val="0"/>
                          <w:marTop w:val="0"/>
                          <w:marBottom w:val="0"/>
                          <w:divBdr>
                            <w:top w:val="none" w:sz="0" w:space="0" w:color="auto"/>
                            <w:left w:val="none" w:sz="0" w:space="0" w:color="auto"/>
                            <w:bottom w:val="none" w:sz="0" w:space="0" w:color="auto"/>
                            <w:right w:val="none" w:sz="0" w:space="0" w:color="auto"/>
                          </w:divBdr>
                          <w:divsChild>
                            <w:div w:id="500584004">
                              <w:marLeft w:val="0"/>
                              <w:marRight w:val="0"/>
                              <w:marTop w:val="0"/>
                              <w:marBottom w:val="0"/>
                              <w:divBdr>
                                <w:top w:val="none" w:sz="0" w:space="0" w:color="auto"/>
                                <w:left w:val="none" w:sz="0" w:space="0" w:color="auto"/>
                                <w:bottom w:val="none" w:sz="0" w:space="0" w:color="auto"/>
                                <w:right w:val="none" w:sz="0" w:space="0" w:color="auto"/>
                              </w:divBdr>
                              <w:divsChild>
                                <w:div w:id="13494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106918">
      <w:bodyDiv w:val="1"/>
      <w:marLeft w:val="0"/>
      <w:marRight w:val="0"/>
      <w:marTop w:val="0"/>
      <w:marBottom w:val="0"/>
      <w:divBdr>
        <w:top w:val="none" w:sz="0" w:space="0" w:color="auto"/>
        <w:left w:val="none" w:sz="0" w:space="0" w:color="auto"/>
        <w:bottom w:val="none" w:sz="0" w:space="0" w:color="auto"/>
        <w:right w:val="none" w:sz="0" w:space="0" w:color="auto"/>
      </w:divBdr>
    </w:div>
    <w:div w:id="1761295899">
      <w:bodyDiv w:val="1"/>
      <w:marLeft w:val="0"/>
      <w:marRight w:val="0"/>
      <w:marTop w:val="0"/>
      <w:marBottom w:val="0"/>
      <w:divBdr>
        <w:top w:val="none" w:sz="0" w:space="0" w:color="auto"/>
        <w:left w:val="none" w:sz="0" w:space="0" w:color="auto"/>
        <w:bottom w:val="none" w:sz="0" w:space="0" w:color="auto"/>
        <w:right w:val="none" w:sz="0" w:space="0" w:color="auto"/>
      </w:divBdr>
      <w:divsChild>
        <w:div w:id="1272740979">
          <w:marLeft w:val="0"/>
          <w:marRight w:val="0"/>
          <w:marTop w:val="0"/>
          <w:marBottom w:val="0"/>
          <w:divBdr>
            <w:top w:val="none" w:sz="0" w:space="0" w:color="auto"/>
            <w:left w:val="none" w:sz="0" w:space="0" w:color="auto"/>
            <w:bottom w:val="none" w:sz="0" w:space="0" w:color="auto"/>
            <w:right w:val="none" w:sz="0" w:space="0" w:color="auto"/>
          </w:divBdr>
          <w:divsChild>
            <w:div w:id="1159611048">
              <w:marLeft w:val="0"/>
              <w:marRight w:val="0"/>
              <w:marTop w:val="0"/>
              <w:marBottom w:val="0"/>
              <w:divBdr>
                <w:top w:val="none" w:sz="0" w:space="0" w:color="auto"/>
                <w:left w:val="none" w:sz="0" w:space="0" w:color="auto"/>
                <w:bottom w:val="none" w:sz="0" w:space="0" w:color="auto"/>
                <w:right w:val="none" w:sz="0" w:space="0" w:color="auto"/>
              </w:divBdr>
              <w:divsChild>
                <w:div w:id="266620515">
                  <w:marLeft w:val="0"/>
                  <w:marRight w:val="0"/>
                  <w:marTop w:val="0"/>
                  <w:marBottom w:val="0"/>
                  <w:divBdr>
                    <w:top w:val="none" w:sz="0" w:space="0" w:color="auto"/>
                    <w:left w:val="none" w:sz="0" w:space="0" w:color="auto"/>
                    <w:bottom w:val="none" w:sz="0" w:space="0" w:color="auto"/>
                    <w:right w:val="none" w:sz="0" w:space="0" w:color="auto"/>
                  </w:divBdr>
                  <w:divsChild>
                    <w:div w:id="1531870407">
                      <w:marLeft w:val="0"/>
                      <w:marRight w:val="0"/>
                      <w:marTop w:val="0"/>
                      <w:marBottom w:val="0"/>
                      <w:divBdr>
                        <w:top w:val="none" w:sz="0" w:space="0" w:color="auto"/>
                        <w:left w:val="none" w:sz="0" w:space="0" w:color="auto"/>
                        <w:bottom w:val="none" w:sz="0" w:space="0" w:color="auto"/>
                        <w:right w:val="none" w:sz="0" w:space="0" w:color="auto"/>
                      </w:divBdr>
                      <w:divsChild>
                        <w:div w:id="1886208847">
                          <w:marLeft w:val="0"/>
                          <w:marRight w:val="0"/>
                          <w:marTop w:val="0"/>
                          <w:marBottom w:val="0"/>
                          <w:divBdr>
                            <w:top w:val="none" w:sz="0" w:space="0" w:color="auto"/>
                            <w:left w:val="none" w:sz="0" w:space="0" w:color="auto"/>
                            <w:bottom w:val="none" w:sz="0" w:space="0" w:color="auto"/>
                            <w:right w:val="none" w:sz="0" w:space="0" w:color="auto"/>
                          </w:divBdr>
                          <w:divsChild>
                            <w:div w:id="1642535817">
                              <w:marLeft w:val="0"/>
                              <w:marRight w:val="0"/>
                              <w:marTop w:val="0"/>
                              <w:marBottom w:val="0"/>
                              <w:divBdr>
                                <w:top w:val="none" w:sz="0" w:space="0" w:color="auto"/>
                                <w:left w:val="none" w:sz="0" w:space="0" w:color="auto"/>
                                <w:bottom w:val="none" w:sz="0" w:space="0" w:color="auto"/>
                                <w:right w:val="none" w:sz="0" w:space="0" w:color="auto"/>
                              </w:divBdr>
                              <w:divsChild>
                                <w:div w:id="19552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042786">
      <w:bodyDiv w:val="1"/>
      <w:marLeft w:val="0"/>
      <w:marRight w:val="0"/>
      <w:marTop w:val="0"/>
      <w:marBottom w:val="0"/>
      <w:divBdr>
        <w:top w:val="none" w:sz="0" w:space="0" w:color="auto"/>
        <w:left w:val="none" w:sz="0" w:space="0" w:color="auto"/>
        <w:bottom w:val="none" w:sz="0" w:space="0" w:color="auto"/>
        <w:right w:val="none" w:sz="0" w:space="0" w:color="auto"/>
      </w:divBdr>
      <w:divsChild>
        <w:div w:id="1980836413">
          <w:marLeft w:val="0"/>
          <w:marRight w:val="0"/>
          <w:marTop w:val="0"/>
          <w:marBottom w:val="0"/>
          <w:divBdr>
            <w:top w:val="none" w:sz="0" w:space="0" w:color="auto"/>
            <w:left w:val="none" w:sz="0" w:space="0" w:color="auto"/>
            <w:bottom w:val="none" w:sz="0" w:space="0" w:color="auto"/>
            <w:right w:val="none" w:sz="0" w:space="0" w:color="auto"/>
          </w:divBdr>
          <w:divsChild>
            <w:div w:id="980304326">
              <w:marLeft w:val="0"/>
              <w:marRight w:val="0"/>
              <w:marTop w:val="0"/>
              <w:marBottom w:val="0"/>
              <w:divBdr>
                <w:top w:val="none" w:sz="0" w:space="0" w:color="auto"/>
                <w:left w:val="none" w:sz="0" w:space="0" w:color="auto"/>
                <w:bottom w:val="none" w:sz="0" w:space="0" w:color="auto"/>
                <w:right w:val="none" w:sz="0" w:space="0" w:color="auto"/>
              </w:divBdr>
              <w:divsChild>
                <w:div w:id="1053113296">
                  <w:marLeft w:val="0"/>
                  <w:marRight w:val="0"/>
                  <w:marTop w:val="0"/>
                  <w:marBottom w:val="0"/>
                  <w:divBdr>
                    <w:top w:val="none" w:sz="0" w:space="0" w:color="auto"/>
                    <w:left w:val="none" w:sz="0" w:space="0" w:color="auto"/>
                    <w:bottom w:val="none" w:sz="0" w:space="0" w:color="auto"/>
                    <w:right w:val="none" w:sz="0" w:space="0" w:color="auto"/>
                  </w:divBdr>
                  <w:divsChild>
                    <w:div w:id="443890183">
                      <w:marLeft w:val="0"/>
                      <w:marRight w:val="0"/>
                      <w:marTop w:val="0"/>
                      <w:marBottom w:val="0"/>
                      <w:divBdr>
                        <w:top w:val="none" w:sz="0" w:space="0" w:color="auto"/>
                        <w:left w:val="none" w:sz="0" w:space="0" w:color="auto"/>
                        <w:bottom w:val="none" w:sz="0" w:space="0" w:color="auto"/>
                        <w:right w:val="none" w:sz="0" w:space="0" w:color="auto"/>
                      </w:divBdr>
                      <w:divsChild>
                        <w:div w:id="1420322290">
                          <w:marLeft w:val="0"/>
                          <w:marRight w:val="0"/>
                          <w:marTop w:val="0"/>
                          <w:marBottom w:val="0"/>
                          <w:divBdr>
                            <w:top w:val="none" w:sz="0" w:space="0" w:color="auto"/>
                            <w:left w:val="none" w:sz="0" w:space="0" w:color="auto"/>
                            <w:bottom w:val="none" w:sz="0" w:space="0" w:color="auto"/>
                            <w:right w:val="none" w:sz="0" w:space="0" w:color="auto"/>
                          </w:divBdr>
                          <w:divsChild>
                            <w:div w:id="556667180">
                              <w:marLeft w:val="0"/>
                              <w:marRight w:val="0"/>
                              <w:marTop w:val="0"/>
                              <w:marBottom w:val="0"/>
                              <w:divBdr>
                                <w:top w:val="none" w:sz="0" w:space="0" w:color="auto"/>
                                <w:left w:val="none" w:sz="0" w:space="0" w:color="auto"/>
                                <w:bottom w:val="none" w:sz="0" w:space="0" w:color="auto"/>
                                <w:right w:val="none" w:sz="0" w:space="0" w:color="auto"/>
                              </w:divBdr>
                              <w:divsChild>
                                <w:div w:id="1945916042">
                                  <w:marLeft w:val="0"/>
                                  <w:marRight w:val="0"/>
                                  <w:marTop w:val="0"/>
                                  <w:marBottom w:val="0"/>
                                  <w:divBdr>
                                    <w:top w:val="none" w:sz="0" w:space="0" w:color="auto"/>
                                    <w:left w:val="none" w:sz="0" w:space="0" w:color="auto"/>
                                    <w:bottom w:val="none" w:sz="0" w:space="0" w:color="auto"/>
                                    <w:right w:val="none" w:sz="0" w:space="0" w:color="auto"/>
                                  </w:divBdr>
                                  <w:divsChild>
                                    <w:div w:id="17196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4741">
                      <w:marLeft w:val="0"/>
                      <w:marRight w:val="0"/>
                      <w:marTop w:val="0"/>
                      <w:marBottom w:val="0"/>
                      <w:divBdr>
                        <w:top w:val="none" w:sz="0" w:space="0" w:color="auto"/>
                        <w:left w:val="none" w:sz="0" w:space="0" w:color="auto"/>
                        <w:bottom w:val="none" w:sz="0" w:space="0" w:color="auto"/>
                        <w:right w:val="none" w:sz="0" w:space="0" w:color="auto"/>
                      </w:divBdr>
                      <w:divsChild>
                        <w:div w:id="772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221384">
      <w:bodyDiv w:val="1"/>
      <w:marLeft w:val="0"/>
      <w:marRight w:val="0"/>
      <w:marTop w:val="0"/>
      <w:marBottom w:val="0"/>
      <w:divBdr>
        <w:top w:val="none" w:sz="0" w:space="0" w:color="auto"/>
        <w:left w:val="none" w:sz="0" w:space="0" w:color="auto"/>
        <w:bottom w:val="none" w:sz="0" w:space="0" w:color="auto"/>
        <w:right w:val="none" w:sz="0" w:space="0" w:color="auto"/>
      </w:divBdr>
      <w:divsChild>
        <w:div w:id="915625506">
          <w:marLeft w:val="0"/>
          <w:marRight w:val="0"/>
          <w:marTop w:val="0"/>
          <w:marBottom w:val="0"/>
          <w:divBdr>
            <w:top w:val="none" w:sz="0" w:space="0" w:color="auto"/>
            <w:left w:val="none" w:sz="0" w:space="0" w:color="auto"/>
            <w:bottom w:val="none" w:sz="0" w:space="0" w:color="auto"/>
            <w:right w:val="none" w:sz="0" w:space="0" w:color="auto"/>
          </w:divBdr>
          <w:divsChild>
            <w:div w:id="321548771">
              <w:marLeft w:val="0"/>
              <w:marRight w:val="0"/>
              <w:marTop w:val="0"/>
              <w:marBottom w:val="0"/>
              <w:divBdr>
                <w:top w:val="none" w:sz="0" w:space="0" w:color="auto"/>
                <w:left w:val="none" w:sz="0" w:space="0" w:color="auto"/>
                <w:bottom w:val="none" w:sz="0" w:space="0" w:color="auto"/>
                <w:right w:val="none" w:sz="0" w:space="0" w:color="auto"/>
              </w:divBdr>
              <w:divsChild>
                <w:div w:id="2032880369">
                  <w:marLeft w:val="0"/>
                  <w:marRight w:val="0"/>
                  <w:marTop w:val="0"/>
                  <w:marBottom w:val="0"/>
                  <w:divBdr>
                    <w:top w:val="none" w:sz="0" w:space="0" w:color="auto"/>
                    <w:left w:val="none" w:sz="0" w:space="0" w:color="auto"/>
                    <w:bottom w:val="none" w:sz="0" w:space="0" w:color="auto"/>
                    <w:right w:val="none" w:sz="0" w:space="0" w:color="auto"/>
                  </w:divBdr>
                  <w:divsChild>
                    <w:div w:id="384724178">
                      <w:marLeft w:val="0"/>
                      <w:marRight w:val="0"/>
                      <w:marTop w:val="0"/>
                      <w:marBottom w:val="0"/>
                      <w:divBdr>
                        <w:top w:val="none" w:sz="0" w:space="0" w:color="auto"/>
                        <w:left w:val="none" w:sz="0" w:space="0" w:color="auto"/>
                        <w:bottom w:val="none" w:sz="0" w:space="0" w:color="auto"/>
                        <w:right w:val="none" w:sz="0" w:space="0" w:color="auto"/>
                      </w:divBdr>
                      <w:divsChild>
                        <w:div w:id="286812646">
                          <w:marLeft w:val="0"/>
                          <w:marRight w:val="0"/>
                          <w:marTop w:val="0"/>
                          <w:marBottom w:val="0"/>
                          <w:divBdr>
                            <w:top w:val="none" w:sz="0" w:space="0" w:color="auto"/>
                            <w:left w:val="none" w:sz="0" w:space="0" w:color="auto"/>
                            <w:bottom w:val="none" w:sz="0" w:space="0" w:color="auto"/>
                            <w:right w:val="none" w:sz="0" w:space="0" w:color="auto"/>
                          </w:divBdr>
                          <w:divsChild>
                            <w:div w:id="1488132472">
                              <w:marLeft w:val="0"/>
                              <w:marRight w:val="0"/>
                              <w:marTop w:val="0"/>
                              <w:marBottom w:val="0"/>
                              <w:divBdr>
                                <w:top w:val="none" w:sz="0" w:space="0" w:color="auto"/>
                                <w:left w:val="none" w:sz="0" w:space="0" w:color="auto"/>
                                <w:bottom w:val="none" w:sz="0" w:space="0" w:color="auto"/>
                                <w:right w:val="none" w:sz="0" w:space="0" w:color="auto"/>
                              </w:divBdr>
                              <w:divsChild>
                                <w:div w:id="108743651">
                                  <w:marLeft w:val="0"/>
                                  <w:marRight w:val="0"/>
                                  <w:marTop w:val="0"/>
                                  <w:marBottom w:val="0"/>
                                  <w:divBdr>
                                    <w:top w:val="none" w:sz="0" w:space="0" w:color="auto"/>
                                    <w:left w:val="none" w:sz="0" w:space="0" w:color="auto"/>
                                    <w:bottom w:val="none" w:sz="0" w:space="0" w:color="auto"/>
                                    <w:right w:val="none" w:sz="0" w:space="0" w:color="auto"/>
                                  </w:divBdr>
                                  <w:divsChild>
                                    <w:div w:id="1207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343">
                          <w:marLeft w:val="0"/>
                          <w:marRight w:val="0"/>
                          <w:marTop w:val="0"/>
                          <w:marBottom w:val="0"/>
                          <w:divBdr>
                            <w:top w:val="none" w:sz="0" w:space="0" w:color="auto"/>
                            <w:left w:val="none" w:sz="0" w:space="0" w:color="auto"/>
                            <w:bottom w:val="none" w:sz="0" w:space="0" w:color="auto"/>
                            <w:right w:val="none" w:sz="0" w:space="0" w:color="auto"/>
                          </w:divBdr>
                          <w:divsChild>
                            <w:div w:id="833642620">
                              <w:marLeft w:val="0"/>
                              <w:marRight w:val="0"/>
                              <w:marTop w:val="0"/>
                              <w:marBottom w:val="0"/>
                              <w:divBdr>
                                <w:top w:val="none" w:sz="0" w:space="0" w:color="auto"/>
                                <w:left w:val="none" w:sz="0" w:space="0" w:color="auto"/>
                                <w:bottom w:val="none" w:sz="0" w:space="0" w:color="auto"/>
                                <w:right w:val="none" w:sz="0" w:space="0" w:color="auto"/>
                              </w:divBdr>
                              <w:divsChild>
                                <w:div w:id="12818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8846">
                      <w:marLeft w:val="0"/>
                      <w:marRight w:val="0"/>
                      <w:marTop w:val="0"/>
                      <w:marBottom w:val="0"/>
                      <w:divBdr>
                        <w:top w:val="none" w:sz="0" w:space="0" w:color="auto"/>
                        <w:left w:val="none" w:sz="0" w:space="0" w:color="auto"/>
                        <w:bottom w:val="none" w:sz="0" w:space="0" w:color="auto"/>
                        <w:right w:val="none" w:sz="0" w:space="0" w:color="auto"/>
                      </w:divBdr>
                      <w:divsChild>
                        <w:div w:id="15245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59856">
      <w:bodyDiv w:val="1"/>
      <w:marLeft w:val="0"/>
      <w:marRight w:val="0"/>
      <w:marTop w:val="0"/>
      <w:marBottom w:val="0"/>
      <w:divBdr>
        <w:top w:val="none" w:sz="0" w:space="0" w:color="auto"/>
        <w:left w:val="none" w:sz="0" w:space="0" w:color="auto"/>
        <w:bottom w:val="none" w:sz="0" w:space="0" w:color="auto"/>
        <w:right w:val="none" w:sz="0" w:space="0" w:color="auto"/>
      </w:divBdr>
      <w:divsChild>
        <w:div w:id="264188738">
          <w:marLeft w:val="0"/>
          <w:marRight w:val="0"/>
          <w:marTop w:val="0"/>
          <w:marBottom w:val="0"/>
          <w:divBdr>
            <w:top w:val="none" w:sz="0" w:space="0" w:color="auto"/>
            <w:left w:val="none" w:sz="0" w:space="0" w:color="auto"/>
            <w:bottom w:val="none" w:sz="0" w:space="0" w:color="auto"/>
            <w:right w:val="none" w:sz="0" w:space="0" w:color="auto"/>
          </w:divBdr>
          <w:divsChild>
            <w:div w:id="1775201815">
              <w:marLeft w:val="0"/>
              <w:marRight w:val="0"/>
              <w:marTop w:val="0"/>
              <w:marBottom w:val="0"/>
              <w:divBdr>
                <w:top w:val="none" w:sz="0" w:space="0" w:color="auto"/>
                <w:left w:val="none" w:sz="0" w:space="0" w:color="auto"/>
                <w:bottom w:val="none" w:sz="0" w:space="0" w:color="auto"/>
                <w:right w:val="none" w:sz="0" w:space="0" w:color="auto"/>
              </w:divBdr>
              <w:divsChild>
                <w:div w:id="1939943153">
                  <w:marLeft w:val="0"/>
                  <w:marRight w:val="0"/>
                  <w:marTop w:val="0"/>
                  <w:marBottom w:val="0"/>
                  <w:divBdr>
                    <w:top w:val="none" w:sz="0" w:space="0" w:color="auto"/>
                    <w:left w:val="none" w:sz="0" w:space="0" w:color="auto"/>
                    <w:bottom w:val="none" w:sz="0" w:space="0" w:color="auto"/>
                    <w:right w:val="none" w:sz="0" w:space="0" w:color="auto"/>
                  </w:divBdr>
                  <w:divsChild>
                    <w:div w:id="1958759289">
                      <w:marLeft w:val="0"/>
                      <w:marRight w:val="0"/>
                      <w:marTop w:val="0"/>
                      <w:marBottom w:val="0"/>
                      <w:divBdr>
                        <w:top w:val="none" w:sz="0" w:space="0" w:color="auto"/>
                        <w:left w:val="none" w:sz="0" w:space="0" w:color="auto"/>
                        <w:bottom w:val="none" w:sz="0" w:space="0" w:color="auto"/>
                        <w:right w:val="none" w:sz="0" w:space="0" w:color="auto"/>
                      </w:divBdr>
                      <w:divsChild>
                        <w:div w:id="412895524">
                          <w:marLeft w:val="0"/>
                          <w:marRight w:val="0"/>
                          <w:marTop w:val="0"/>
                          <w:marBottom w:val="0"/>
                          <w:divBdr>
                            <w:top w:val="none" w:sz="0" w:space="0" w:color="auto"/>
                            <w:left w:val="none" w:sz="0" w:space="0" w:color="auto"/>
                            <w:bottom w:val="none" w:sz="0" w:space="0" w:color="auto"/>
                            <w:right w:val="none" w:sz="0" w:space="0" w:color="auto"/>
                          </w:divBdr>
                          <w:divsChild>
                            <w:div w:id="1990481296">
                              <w:marLeft w:val="0"/>
                              <w:marRight w:val="0"/>
                              <w:marTop w:val="0"/>
                              <w:marBottom w:val="0"/>
                              <w:divBdr>
                                <w:top w:val="none" w:sz="0" w:space="0" w:color="auto"/>
                                <w:left w:val="none" w:sz="0" w:space="0" w:color="auto"/>
                                <w:bottom w:val="none" w:sz="0" w:space="0" w:color="auto"/>
                                <w:right w:val="none" w:sz="0" w:space="0" w:color="auto"/>
                              </w:divBdr>
                              <w:divsChild>
                                <w:div w:id="18029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193056">
      <w:bodyDiv w:val="1"/>
      <w:marLeft w:val="0"/>
      <w:marRight w:val="0"/>
      <w:marTop w:val="0"/>
      <w:marBottom w:val="0"/>
      <w:divBdr>
        <w:top w:val="none" w:sz="0" w:space="0" w:color="auto"/>
        <w:left w:val="none" w:sz="0" w:space="0" w:color="auto"/>
        <w:bottom w:val="none" w:sz="0" w:space="0" w:color="auto"/>
        <w:right w:val="none" w:sz="0" w:space="0" w:color="auto"/>
      </w:divBdr>
    </w:div>
    <w:div w:id="1978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a20@bhu.ac.in" TargetMode="External"/><Relationship Id="rId13" Type="http://schemas.openxmlformats.org/officeDocument/2006/relationships/image" Target="media/image3.png"/><Relationship Id="rId18" Type="http://schemas.openxmlformats.org/officeDocument/2006/relationships/hyperlink" Target="https://iris.who.int/handle/10665/186463" TargetMode="External"/><Relationship Id="rId26" Type="http://schemas.openxmlformats.org/officeDocument/2006/relationships/hyperlink" Target="https://doi.org/10.4103/jfmpc.jfmpc_67_19" TargetMode="External"/><Relationship Id="rId39" Type="http://schemas.openxmlformats.org/officeDocument/2006/relationships/hyperlink" Target="https://www.who.int/health-topics/gender" TargetMode="External"/><Relationship Id="rId3" Type="http://schemas.microsoft.com/office/2007/relationships/stylesWithEffects" Target="stylesWithEffects.xml"/><Relationship Id="rId21" Type="http://schemas.openxmlformats.org/officeDocument/2006/relationships/hyperlink" Target="https://doi.org/10.1007/s40847-018-0061-7" TargetMode="External"/><Relationship Id="rId34" Type="http://schemas.openxmlformats.org/officeDocument/2006/relationships/hyperlink" Target="https://doi.org/10.1155/2017/5491838" TargetMode="External"/><Relationship Id="rId42" Type="http://schemas.openxmlformats.org/officeDocument/2006/relationships/hyperlink" Target="https://doi.org/10.1161/CIRCULATIONAHA.109.192644"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16/S0140-6736(09)61460-4" TargetMode="External"/><Relationship Id="rId25" Type="http://schemas.openxmlformats.org/officeDocument/2006/relationships/hyperlink" Target="https://www.wbhealth.gov.in/NCD/" TargetMode="External"/><Relationship Id="rId33" Type="http://schemas.openxmlformats.org/officeDocument/2006/relationships/hyperlink" Target="https://doi.org/10.1016/j.cegh.2024.101680" TargetMode="External"/><Relationship Id="rId38" Type="http://schemas.openxmlformats.org/officeDocument/2006/relationships/hyperlink" Target="https://doi.org/10.1093/ije/dyab164" TargetMode="External"/><Relationship Id="rId46" Type="http://schemas.openxmlformats.org/officeDocument/2006/relationships/hyperlink" Target="https://doi.org/10.1186/s12889-022-13466-5" TargetMode="External"/><Relationship Id="rId2" Type="http://schemas.openxmlformats.org/officeDocument/2006/relationships/styles" Target="styles.xml"/><Relationship Id="rId16" Type="http://schemas.openxmlformats.org/officeDocument/2006/relationships/hyperlink" Target="https://doi.org/10.1126/science.1209290" TargetMode="External"/><Relationship Id="rId20" Type="http://schemas.openxmlformats.org/officeDocument/2006/relationships/hyperlink" Target="https://doi.org/10.1186/s12877-022-03481-x" TargetMode="External"/><Relationship Id="rId29" Type="http://schemas.openxmlformats.org/officeDocument/2006/relationships/hyperlink" Target="https://doi.org/10.1093/aje/kww125" TargetMode="External"/><Relationship Id="rId41" Type="http://schemas.openxmlformats.org/officeDocument/2006/relationships/hyperlink" Target="https://doi.org/10.1001/jama.298.14.168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16/j.trstmh.2005.07.021" TargetMode="External"/><Relationship Id="rId32" Type="http://schemas.openxmlformats.org/officeDocument/2006/relationships/hyperlink" Target="https://doi.org/10.1016/j.diabres.2007.11.018" TargetMode="External"/><Relationship Id="rId37" Type="http://schemas.openxmlformats.org/officeDocument/2006/relationships/hyperlink" Target="https://onlinelibrary.wiley.com/doi/book/10.1002/9781118548387" TargetMode="External"/><Relationship Id="rId40" Type="http://schemas.openxmlformats.org/officeDocument/2006/relationships/hyperlink" Target="https://doi.org/10.2105/AJPH.2004.060103" TargetMode="External"/><Relationship Id="rId45" Type="http://schemas.openxmlformats.org/officeDocument/2006/relationships/hyperlink" Target="https://doi.org/10.1186/s12889-022-14251-3" TargetMode="External"/><Relationship Id="rId5" Type="http://schemas.openxmlformats.org/officeDocument/2006/relationships/webSettings" Target="webSettings.xml"/><Relationship Id="rId15" Type="http://schemas.openxmlformats.org/officeDocument/2006/relationships/hyperlink" Target="https://www.un.org/esa/socdev/ageing/documents/WESS2007.pdf" TargetMode="External"/><Relationship Id="rId23" Type="http://schemas.openxmlformats.org/officeDocument/2006/relationships/hyperlink" Target="https://doi.org/10.21744/ijhs.v1i1.17" TargetMode="External"/><Relationship Id="rId28" Type="http://schemas.openxmlformats.org/officeDocument/2006/relationships/hyperlink" Target="https://www.who.int/publications/i/item/9789241564854" TargetMode="External"/><Relationship Id="rId36" Type="http://schemas.openxmlformats.org/officeDocument/2006/relationships/hyperlink" Target="https://www.stata.com/bookstore/regression-models-categorical-dependent-variables/" TargetMode="External"/><Relationship Id="rId10" Type="http://schemas.openxmlformats.org/officeDocument/2006/relationships/chart" Target="charts/chart1.xml"/><Relationship Id="rId19" Type="http://schemas.openxmlformats.org/officeDocument/2006/relationships/hyperlink" Target="https://www.who.int/news-room/fact-sheets/detail/ageing-and-health" TargetMode="External"/><Relationship Id="rId31" Type="http://schemas.openxmlformats.org/officeDocument/2006/relationships/hyperlink" Target="https://www.iipsindia.ac.in/sites/default/files/LASI_India_Report_2020_compressed.pdf" TargetMode="External"/><Relationship Id="rId44" Type="http://schemas.openxmlformats.org/officeDocument/2006/relationships/hyperlink" Target="https://iris.who.int/handle/10665/33207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doi.org/10.1007/s12126-020-09385-8" TargetMode="External"/><Relationship Id="rId27" Type="http://schemas.openxmlformats.org/officeDocument/2006/relationships/hyperlink" Target="https://doi.org/10.1016/S0140-6736(17)32804-0" TargetMode="External"/><Relationship Id="rId30" Type="http://schemas.openxmlformats.org/officeDocument/2006/relationships/hyperlink" Target="https://doi.org/10.1057/s41271-021-00321-x" TargetMode="External"/><Relationship Id="rId35" Type="http://schemas.openxmlformats.org/officeDocument/2006/relationships/hyperlink" Target="https://doi.org/10.18520/cs/v128/i6/578-589" TargetMode="External"/><Relationship Id="rId43" Type="http://schemas.openxmlformats.org/officeDocument/2006/relationships/hyperlink" Target="https://doi.org/10.1016/j.arr.2011.03.003" TargetMode="Externa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HILU\Paprer%201\state%20prevalence.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'ONCD, ONCD&amp;OCD'!$C$12</c:f>
              <c:strCache>
                <c:ptCount val="1"/>
                <c:pt idx="0">
                  <c:v>ONCD  </c:v>
                </c:pt>
              </c:strCache>
            </c:strRef>
          </c:tx>
          <c:spPr>
            <a:solidFill>
              <a:srgbClr val="92D050">
                <a:alpha val="94000"/>
              </a:srgbClr>
            </a:solidFill>
            <a:ln>
              <a:noFill/>
            </a:ln>
            <a:effectLst/>
          </c:spPr>
          <c:invertIfNegative val="0"/>
          <c:dLbls>
            <c:dLbl>
              <c:idx val="1"/>
              <c:tx>
                <c:rich>
                  <a:bodyPr/>
                  <a:lstStyle/>
                  <a:p>
                    <a:r>
                      <a:rPr lang="en-US"/>
                      <a:t>1</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9FA-447B-A65A-9FC82B33F671}"/>
                </c:ext>
                <c:ext xmlns:c15="http://schemas.microsoft.com/office/drawing/2012/chart" uri="{CE6537A1-D6FC-4f65-9D91-7224C49458BB}">
                  <c15:dlblFieldTable/>
                  <c15:showDataLabelsRange val="0"/>
                </c:ext>
              </c:extLst>
            </c:dLbl>
            <c:dLbl>
              <c:idx val="2"/>
              <c:tx>
                <c:rich>
                  <a:bodyPr/>
                  <a:lstStyle/>
                  <a:p>
                    <a:r>
                      <a:rPr lang="en-US"/>
                      <a:t>5.15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9FA-447B-A65A-9FC82B33F671}"/>
                </c:ext>
                <c:ext xmlns:c15="http://schemas.microsoft.com/office/drawing/2012/chart" uri="{CE6537A1-D6FC-4f65-9D91-7224C49458BB}"/>
              </c:extLst>
            </c:dLbl>
            <c:dLbl>
              <c:idx val="3"/>
              <c:tx>
                <c:rich>
                  <a:bodyPr/>
                  <a:lstStyle/>
                  <a:p>
                    <a:r>
                      <a:rPr lang="en-US"/>
                      <a:t>7.36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9FA-447B-A65A-9FC82B33F671}"/>
                </c:ext>
                <c:ext xmlns:c15="http://schemas.microsoft.com/office/drawing/2012/chart" uri="{CE6537A1-D6FC-4f65-9D91-7224C49458BB}"/>
              </c:extLst>
            </c:dLbl>
            <c:dLbl>
              <c:idx val="4"/>
              <c:tx>
                <c:rich>
                  <a:bodyPr/>
                  <a:lstStyle/>
                  <a:p>
                    <a:r>
                      <a:rPr lang="en-US"/>
                      <a:t> 9.27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9FA-447B-A65A-9FC82B33F671}"/>
                </c:ext>
                <c:ext xmlns:c15="http://schemas.microsoft.com/office/drawing/2012/chart" uri="{CE6537A1-D6FC-4f65-9D91-7224C49458BB}"/>
              </c:extLst>
            </c:dLbl>
            <c:dLbl>
              <c:idx val="5"/>
              <c:tx>
                <c:rich>
                  <a:bodyPr/>
                  <a:lstStyle/>
                  <a:p>
                    <a:r>
                      <a:rPr lang="en-US"/>
                      <a:t>12.09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9FA-447B-A65A-9FC82B33F671}"/>
                </c:ext>
                <c:ext xmlns:c15="http://schemas.microsoft.com/office/drawing/2012/chart" uri="{CE6537A1-D6FC-4f65-9D91-7224C49458BB}"/>
              </c:extLst>
            </c:dLbl>
            <c:dLbl>
              <c:idx val="6"/>
              <c:tx>
                <c:rich>
                  <a:bodyPr/>
                  <a:lstStyle/>
                  <a:p>
                    <a:r>
                      <a:rPr lang="en-US"/>
                      <a:t>30.45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9FA-447B-A65A-9FC82B33F671}"/>
                </c:ext>
                <c:ext xmlns:c15="http://schemas.microsoft.com/office/drawing/2012/chart" uri="{CE6537A1-D6FC-4f65-9D91-7224C49458BB}"/>
              </c:extLst>
            </c:dLbl>
            <c:dLbl>
              <c:idx val="7"/>
              <c:tx>
                <c:rich>
                  <a:bodyPr/>
                  <a:lstStyle/>
                  <a:p>
                    <a:r>
                      <a:rPr lang="en-US"/>
                      <a:t>30.89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9FA-447B-A65A-9FC82B33F671}"/>
                </c:ext>
                <c:ext xmlns:c15="http://schemas.microsoft.com/office/drawing/2012/chart" uri="{CE6537A1-D6FC-4f65-9D91-7224C49458BB}"/>
              </c:extLst>
            </c:dLbl>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'ONCD, ONCD&amp;OCD'!$B$13:$B$21</c:f>
              <c:strCache>
                <c:ptCount val="9"/>
                <c:pt idx="0">
                  <c:v>Cancer</c:v>
                </c:pt>
                <c:pt idx="1">
                  <c:v>Neuro or psychiatric </c:v>
                </c:pt>
                <c:pt idx="2">
                  <c:v>Stroke </c:v>
                </c:pt>
                <c:pt idx="3">
                  <c:v>High cholesterol</c:v>
                </c:pt>
                <c:pt idx="4">
                  <c:v>Chronic heart</c:v>
                </c:pt>
                <c:pt idx="5">
                  <c:v>Chronic lung</c:v>
                </c:pt>
                <c:pt idx="6">
                  <c:v>Diabetes</c:v>
                </c:pt>
                <c:pt idx="7">
                  <c:v>Chronic bone/joint </c:v>
                </c:pt>
                <c:pt idx="8">
                  <c:v>Hypertension</c:v>
                </c:pt>
              </c:strCache>
            </c:strRef>
          </c:cat>
          <c:val>
            <c:numRef>
              <c:f>'ONCD, ONCD&amp;OCD'!$C$13:$C$21</c:f>
              <c:numCache>
                <c:formatCode>General</c:formatCode>
                <c:ptCount val="9"/>
                <c:pt idx="0">
                  <c:v>1.4</c:v>
                </c:pt>
                <c:pt idx="1">
                  <c:v>4.5999999999999996</c:v>
                </c:pt>
                <c:pt idx="2">
                  <c:v>5.2</c:v>
                </c:pt>
                <c:pt idx="3">
                  <c:v>7.4</c:v>
                </c:pt>
                <c:pt idx="4">
                  <c:v>9.3000000000000007</c:v>
                </c:pt>
                <c:pt idx="5">
                  <c:v>12.1</c:v>
                </c:pt>
                <c:pt idx="6">
                  <c:v>30.5</c:v>
                </c:pt>
                <c:pt idx="7">
                  <c:v>30.9</c:v>
                </c:pt>
                <c:pt idx="8">
                  <c:v>65</c:v>
                </c:pt>
              </c:numCache>
            </c:numRef>
          </c:val>
          <c:extLst xmlns:c16r2="http://schemas.microsoft.com/office/drawing/2015/06/chart">
            <c:ext xmlns:c16="http://schemas.microsoft.com/office/drawing/2014/chart" uri="{C3380CC4-5D6E-409C-BE32-E72D297353CC}">
              <c16:uniqueId val="{00000007-E9FA-447B-A65A-9FC82B33F671}"/>
            </c:ext>
          </c:extLst>
        </c:ser>
        <c:ser>
          <c:idx val="1"/>
          <c:order val="1"/>
          <c:tx>
            <c:strRef>
              <c:f>'ONCD, ONCD&amp;OCD'!$D$12</c:f>
              <c:strCache>
                <c:ptCount val="1"/>
                <c:pt idx="0">
                  <c:v>ONCD&amp;OCD</c:v>
                </c:pt>
              </c:strCache>
            </c:strRef>
          </c:tx>
          <c:spPr>
            <a:solidFill>
              <a:srgbClr val="FFC000"/>
            </a:solidFill>
            <a:ln>
              <a:noFill/>
            </a:ln>
            <a:effectLst/>
          </c:spPr>
          <c:invertIfNegative val="0"/>
          <c:dLbls>
            <c:dLbl>
              <c:idx val="0"/>
              <c:tx>
                <c:rich>
                  <a:bodyPr/>
                  <a:lstStyle/>
                  <a:p>
                    <a:r>
                      <a:rPr lang="en-US"/>
                      <a:t>1.38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9FA-447B-A65A-9FC82B33F671}"/>
                </c:ext>
                <c:ext xmlns:c15="http://schemas.microsoft.com/office/drawing/2012/chart" uri="{CE6537A1-D6FC-4f65-9D91-7224C49458BB}"/>
              </c:extLst>
            </c:dLbl>
            <c:dLbl>
              <c:idx val="1"/>
              <c:tx>
                <c:rich>
                  <a:bodyPr/>
                  <a:lstStyle/>
                  <a:p>
                    <a:r>
                      <a:rPr lang="en-US"/>
                      <a:t>5.83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9FA-447B-A65A-9FC82B33F671}"/>
                </c:ext>
                <c:ext xmlns:c15="http://schemas.microsoft.com/office/drawing/2012/chart" uri="{CE6537A1-D6FC-4f65-9D91-7224C49458BB}"/>
              </c:extLst>
            </c:dLbl>
            <c:dLbl>
              <c:idx val="2"/>
              <c:tx>
                <c:rich>
                  <a:bodyPr/>
                  <a:lstStyle/>
                  <a:p>
                    <a:r>
                      <a:rPr lang="en-US"/>
                      <a:t>4.39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9FA-447B-A65A-9FC82B33F671}"/>
                </c:ext>
                <c:ext xmlns:c15="http://schemas.microsoft.com/office/drawing/2012/chart" uri="{CE6537A1-D6FC-4f65-9D91-7224C49458BB}"/>
              </c:extLst>
            </c:dLbl>
            <c:dLbl>
              <c:idx val="3"/>
              <c:tx>
                <c:rich>
                  <a:bodyPr/>
                  <a:lstStyle/>
                  <a:p>
                    <a:r>
                      <a:rPr lang="en-US"/>
                      <a:t>5.81</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9FA-447B-A65A-9FC82B33F671}"/>
                </c:ext>
                <c:ext xmlns:c15="http://schemas.microsoft.com/office/drawing/2012/chart" uri="{CE6537A1-D6FC-4f65-9D91-7224C49458BB}"/>
              </c:extLst>
            </c:dLbl>
            <c:dLbl>
              <c:idx val="4"/>
              <c:tx>
                <c:rich>
                  <a:bodyPr/>
                  <a:lstStyle/>
                  <a:p>
                    <a:r>
                      <a:rPr lang="en-US"/>
                      <a:t>9.07</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9FA-447B-A65A-9FC82B33F671}"/>
                </c:ext>
                <c:ext xmlns:c15="http://schemas.microsoft.com/office/drawing/2012/chart" uri="{CE6537A1-D6FC-4f65-9D91-7224C49458BB}"/>
              </c:extLst>
            </c:dLbl>
            <c:dLbl>
              <c:idx val="5"/>
              <c:tx>
                <c:rich>
                  <a:bodyPr/>
                  <a:lstStyle/>
                  <a:p>
                    <a:r>
                      <a:rPr lang="en-US"/>
                      <a:t>18.65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9FA-447B-A65A-9FC82B33F671}"/>
                </c:ext>
                <c:ext xmlns:c15="http://schemas.microsoft.com/office/drawing/2012/chart" uri="{CE6537A1-D6FC-4f65-9D91-7224C49458BB}"/>
              </c:extLst>
            </c:dLbl>
            <c:dLbl>
              <c:idx val="6"/>
              <c:tx>
                <c:rich>
                  <a:bodyPr/>
                  <a:lstStyle/>
                  <a:p>
                    <a:r>
                      <a:rPr lang="en-US"/>
                      <a:t>23.44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9FA-447B-A65A-9FC82B33F671}"/>
                </c:ext>
                <c:ext xmlns:c15="http://schemas.microsoft.com/office/drawing/2012/chart" uri="{CE6537A1-D6FC-4f65-9D91-7224C49458BB}"/>
              </c:extLst>
            </c:dLbl>
            <c:dLbl>
              <c:idx val="8"/>
              <c:tx>
                <c:rich>
                  <a:bodyPr/>
                  <a:lstStyle/>
                  <a:p>
                    <a:r>
                      <a:rPr lang="en-US"/>
                      <a:t>63.21</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9FA-447B-A65A-9FC82B33F671}"/>
                </c:ext>
                <c:ext xmlns:c15="http://schemas.microsoft.com/office/drawing/2012/chart" uri="{CE6537A1-D6FC-4f65-9D91-7224C49458BB}"/>
              </c:extLst>
            </c:dLbl>
            <c:spPr>
              <a:solidFill>
                <a:schemeClr val="accent5">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'ONCD, ONCD&amp;OCD'!$B$13:$B$21</c:f>
              <c:strCache>
                <c:ptCount val="9"/>
                <c:pt idx="0">
                  <c:v>Cancer</c:v>
                </c:pt>
                <c:pt idx="1">
                  <c:v>Neuro or psychiatric </c:v>
                </c:pt>
                <c:pt idx="2">
                  <c:v>Stroke </c:v>
                </c:pt>
                <c:pt idx="3">
                  <c:v>High cholesterol</c:v>
                </c:pt>
                <c:pt idx="4">
                  <c:v>Chronic heart</c:v>
                </c:pt>
                <c:pt idx="5">
                  <c:v>Chronic lung</c:v>
                </c:pt>
                <c:pt idx="6">
                  <c:v>Diabetes</c:v>
                </c:pt>
                <c:pt idx="7">
                  <c:v>Chronic bone/joint </c:v>
                </c:pt>
                <c:pt idx="8">
                  <c:v>Hypertension</c:v>
                </c:pt>
              </c:strCache>
            </c:strRef>
          </c:cat>
          <c:val>
            <c:numRef>
              <c:f>'ONCD, ONCD&amp;OCD'!$D$13:$D$21</c:f>
              <c:numCache>
                <c:formatCode>0.0</c:formatCode>
                <c:ptCount val="9"/>
                <c:pt idx="0">
                  <c:v>1.4</c:v>
                </c:pt>
                <c:pt idx="1">
                  <c:v>5.8275058275058278</c:v>
                </c:pt>
                <c:pt idx="2">
                  <c:v>4.4000000000000004</c:v>
                </c:pt>
                <c:pt idx="3">
                  <c:v>5.806314897223988</c:v>
                </c:pt>
                <c:pt idx="4">
                  <c:v>9.1</c:v>
                </c:pt>
                <c:pt idx="5">
                  <c:v>18.600000000000001</c:v>
                </c:pt>
                <c:pt idx="6">
                  <c:v>23.4</c:v>
                </c:pt>
                <c:pt idx="7">
                  <c:v>37.700000000000003</c:v>
                </c:pt>
                <c:pt idx="8">
                  <c:v>63.212545030726851</c:v>
                </c:pt>
              </c:numCache>
            </c:numRef>
          </c:val>
          <c:extLst xmlns:c16r2="http://schemas.microsoft.com/office/drawing/2015/06/chart">
            <c:ext xmlns:c16="http://schemas.microsoft.com/office/drawing/2014/chart" uri="{C3380CC4-5D6E-409C-BE32-E72D297353CC}">
              <c16:uniqueId val="{00000010-E9FA-447B-A65A-9FC82B33F671}"/>
            </c:ext>
          </c:extLst>
        </c:ser>
        <c:dLbls>
          <c:dLblPos val="ctr"/>
          <c:showLegendKey val="0"/>
          <c:showVal val="1"/>
          <c:showCatName val="0"/>
          <c:showSerName val="0"/>
          <c:showPercent val="0"/>
          <c:showBubbleSize val="0"/>
        </c:dLbls>
        <c:gapWidth val="20"/>
        <c:overlap val="100"/>
        <c:axId val="308555776"/>
        <c:axId val="308557312"/>
      </c:barChart>
      <c:catAx>
        <c:axId val="3085557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8557312"/>
        <c:crosses val="autoZero"/>
        <c:auto val="1"/>
        <c:lblAlgn val="ctr"/>
        <c:lblOffset val="100"/>
        <c:noMultiLvlLbl val="0"/>
      </c:catAx>
      <c:valAx>
        <c:axId val="308557312"/>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855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endParaRPr lang="en-US" sz="1000"/>
          </a:p>
        </c:rich>
      </c:tx>
      <c:overlay val="0"/>
      <c:spPr>
        <a:noFill/>
        <a:ln>
          <a:noFill/>
        </a:ln>
        <a:effectLst/>
      </c:spPr>
    </c:title>
    <c:autoTitleDeleted val="0"/>
    <c:plotArea>
      <c:layout/>
      <c:barChart>
        <c:barDir val="bar"/>
        <c:grouping val="percentStacked"/>
        <c:varyColors val="0"/>
        <c:ser>
          <c:idx val="0"/>
          <c:order val="0"/>
          <c:tx>
            <c:strRef>
              <c:f>'OCD, ONCD&amp;OCD'!$H$3</c:f>
              <c:strCache>
                <c:ptCount val="1"/>
                <c:pt idx="0">
                  <c:v>OCD</c:v>
                </c:pt>
              </c:strCache>
            </c:strRef>
          </c:tx>
          <c:spPr>
            <a:solidFill>
              <a:srgbClr val="92D050"/>
            </a:solidFill>
            <a:ln>
              <a:noFill/>
            </a:ln>
            <a:effectLst/>
          </c:spPr>
          <c:invertIfNegative val="0"/>
          <c:dLbls>
            <c:dLbl>
              <c:idx val="0"/>
              <c:tx>
                <c:rich>
                  <a:bodyPr/>
                  <a:lstStyle/>
                  <a:p>
                    <a:r>
                      <a:rPr lang="en-US"/>
                      <a:t>2.13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230-4994-A302-908577AF1768}"/>
                </c:ext>
                <c:ext xmlns:c15="http://schemas.microsoft.com/office/drawing/2012/chart" uri="{CE6537A1-D6FC-4f65-9D91-7224C49458BB}"/>
              </c:extLst>
            </c:dLbl>
            <c:dLbl>
              <c:idx val="2"/>
              <c:tx>
                <c:rich>
                  <a:bodyPr/>
                  <a:lstStyle/>
                  <a:p>
                    <a:r>
                      <a:rPr lang="en-US"/>
                      <a:t>5.86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230-4994-A302-908577AF1768}"/>
                </c:ext>
                <c:ext xmlns:c15="http://schemas.microsoft.com/office/drawing/2012/chart" uri="{CE6537A1-D6FC-4f65-9D91-7224C49458BB}"/>
              </c:extLst>
            </c:dLbl>
            <c:dLbl>
              <c:idx val="3"/>
              <c:tx>
                <c:rich>
                  <a:bodyPr/>
                  <a:lstStyle/>
                  <a:p>
                    <a:r>
                      <a:rPr lang="en-US"/>
                      <a:t>10.01</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230-4994-A302-908577AF1768}"/>
                </c:ext>
                <c:ext xmlns:c15="http://schemas.microsoft.com/office/drawing/2012/chart" uri="{CE6537A1-D6FC-4f65-9D91-7224C49458BB}"/>
              </c:extLst>
            </c:dLbl>
            <c:dLbl>
              <c:idx val="4"/>
              <c:tx>
                <c:rich>
                  <a:bodyPr/>
                  <a:lstStyle/>
                  <a:p>
                    <a:r>
                      <a:rPr lang="en-US"/>
                      <a:t>6.23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230-4994-A302-908577AF1768}"/>
                </c:ext>
                <c:ext xmlns:c15="http://schemas.microsoft.com/office/drawing/2012/chart" uri="{CE6537A1-D6FC-4f65-9D91-7224C49458BB}"/>
              </c:extLst>
            </c:dLbl>
            <c:dLbl>
              <c:idx val="5"/>
              <c:tx>
                <c:rich>
                  <a:bodyPr/>
                  <a:lstStyle/>
                  <a:p>
                    <a:r>
                      <a:rPr lang="en-US"/>
                      <a:t>11.79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230-4994-A302-908577AF1768}"/>
                </c:ext>
                <c:ext xmlns:c15="http://schemas.microsoft.com/office/drawing/2012/chart" uri="{CE6537A1-D6FC-4f65-9D91-7224C49458BB}"/>
              </c:extLst>
            </c:dLbl>
            <c:dLbl>
              <c:idx val="6"/>
              <c:tx>
                <c:rich>
                  <a:bodyPr/>
                  <a:lstStyle/>
                  <a:p>
                    <a:r>
                      <a:rPr lang="en-US"/>
                      <a:t>17.91</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230-4994-A302-908577AF1768}"/>
                </c:ext>
                <c:ext xmlns:c15="http://schemas.microsoft.com/office/drawing/2012/chart" uri="{CE6537A1-D6FC-4f65-9D91-7224C49458BB}"/>
              </c:extLst>
            </c:dLbl>
            <c:dLbl>
              <c:idx val="7"/>
              <c:layout>
                <c:manualLayout>
                  <c:x val="-1.4097222222222271E-2"/>
                  <c:y val="1.8303151432352821E-7"/>
                </c:manualLayout>
              </c:layout>
              <c:tx>
                <c:rich>
                  <a:bodyPr/>
                  <a:lstStyle/>
                  <a:p>
                    <a:r>
                      <a:rPr lang="en-US"/>
                      <a:t>31.74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230-4994-A302-908577AF1768}"/>
                </c:ext>
                <c:ext xmlns:c15="http://schemas.microsoft.com/office/drawing/2012/chart" uri="{CE6537A1-D6FC-4f65-9D91-7224C49458BB}">
                  <c15:layout>
                    <c:manualLayout>
                      <c:w val="0.08"/>
                      <c:h val="6.5016454533141504E-2"/>
                    </c:manualLayout>
                  </c15:layout>
                </c:ext>
              </c:extLst>
            </c:dLbl>
            <c:dLbl>
              <c:idx val="8"/>
              <c:tx>
                <c:rich>
                  <a:bodyPr/>
                  <a:lstStyle/>
                  <a:p>
                    <a:r>
                      <a:rPr lang="en-US"/>
                      <a:t>52.96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230-4994-A302-908577AF1768}"/>
                </c:ext>
                <c:ext xmlns:c15="http://schemas.microsoft.com/office/drawing/2012/chart" uri="{CE6537A1-D6FC-4f65-9D91-7224C49458BB}"/>
              </c:extLst>
            </c:dLbl>
            <c:spPr>
              <a:solidFill>
                <a:schemeClr val="accent1">
                  <a:lumMod val="60000"/>
                  <a:lumOff val="4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'OCD, ONCD&amp;OCD'!$G$4:$G$12</c:f>
              <c:strCache>
                <c:ptCount val="9"/>
                <c:pt idx="0">
                  <c:v>Dengue</c:v>
                </c:pt>
                <c:pt idx="1">
                  <c:v>Tuberculosis (TB)</c:v>
                </c:pt>
                <c:pt idx="2">
                  <c:v>Chikungunya</c:v>
                </c:pt>
                <c:pt idx="3">
                  <c:v>Jaundice/Hepatitis</c:v>
                </c:pt>
                <c:pt idx="4">
                  <c:v>Urinary Tract Infection</c:v>
                </c:pt>
                <c:pt idx="5">
                  <c:v>Anemia</c:v>
                </c:pt>
                <c:pt idx="6">
                  <c:v>Typhoid</c:v>
                </c:pt>
                <c:pt idx="7">
                  <c:v>Malaria</c:v>
                </c:pt>
                <c:pt idx="8">
                  <c:v>Diarrhea/Gastroenteritis</c:v>
                </c:pt>
              </c:strCache>
            </c:strRef>
          </c:cat>
          <c:val>
            <c:numRef>
              <c:f>'OCD, ONCD&amp;OCD'!$H$4:$H$12</c:f>
              <c:numCache>
                <c:formatCode>General</c:formatCode>
                <c:ptCount val="9"/>
                <c:pt idx="0">
                  <c:v>2.1</c:v>
                </c:pt>
                <c:pt idx="1">
                  <c:v>3.1</c:v>
                </c:pt>
                <c:pt idx="2">
                  <c:v>5.9</c:v>
                </c:pt>
                <c:pt idx="3">
                  <c:v>10</c:v>
                </c:pt>
                <c:pt idx="4">
                  <c:v>6.2</c:v>
                </c:pt>
                <c:pt idx="5">
                  <c:v>11.8</c:v>
                </c:pt>
                <c:pt idx="6">
                  <c:v>17.100000000000001</c:v>
                </c:pt>
                <c:pt idx="7">
                  <c:v>31.7</c:v>
                </c:pt>
                <c:pt idx="8">
                  <c:v>53</c:v>
                </c:pt>
              </c:numCache>
            </c:numRef>
          </c:val>
          <c:extLst xmlns:c16r2="http://schemas.microsoft.com/office/drawing/2015/06/chart">
            <c:ext xmlns:c16="http://schemas.microsoft.com/office/drawing/2014/chart" uri="{C3380CC4-5D6E-409C-BE32-E72D297353CC}">
              <c16:uniqueId val="{00000008-2230-4994-A302-908577AF1768}"/>
            </c:ext>
          </c:extLst>
        </c:ser>
        <c:ser>
          <c:idx val="1"/>
          <c:order val="1"/>
          <c:tx>
            <c:strRef>
              <c:f>'OCD, ONCD&amp;OCD'!$I$3</c:f>
              <c:strCache>
                <c:ptCount val="1"/>
                <c:pt idx="0">
                  <c:v>ONCD&amp;OCD</c:v>
                </c:pt>
              </c:strCache>
            </c:strRef>
          </c:tx>
          <c:spPr>
            <a:solidFill>
              <a:srgbClr val="FFC000"/>
            </a:solidFill>
            <a:ln>
              <a:noFill/>
            </a:ln>
            <a:effectLst/>
          </c:spPr>
          <c:invertIfNegative val="0"/>
          <c:dLbls>
            <c:dLbl>
              <c:idx val="1"/>
              <c:tx>
                <c:rich>
                  <a:bodyPr/>
                  <a:lstStyle/>
                  <a:p>
                    <a:r>
                      <a:rPr lang="en-US"/>
                      <a:t>4.24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230-4994-A302-908577AF1768}"/>
                </c:ext>
                <c:ext xmlns:c15="http://schemas.microsoft.com/office/drawing/2012/chart" uri="{CE6537A1-D6FC-4f65-9D91-7224C49458BB}"/>
              </c:extLst>
            </c:dLbl>
            <c:dLbl>
              <c:idx val="2"/>
              <c:tx>
                <c:rich>
                  <a:bodyPr/>
                  <a:lstStyle/>
                  <a:p>
                    <a:r>
                      <a:rPr lang="en-US"/>
                      <a:t>7.29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230-4994-A302-908577AF1768}"/>
                </c:ext>
                <c:ext xmlns:c15="http://schemas.microsoft.com/office/drawing/2012/chart" uri="{CE6537A1-D6FC-4f65-9D91-7224C49458BB}"/>
              </c:extLst>
            </c:dLbl>
            <c:dLbl>
              <c:idx val="3"/>
              <c:tx>
                <c:rich>
                  <a:bodyPr/>
                  <a:lstStyle/>
                  <a:p>
                    <a:r>
                      <a:rPr lang="en-US"/>
                      <a:t>9.96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230-4994-A302-908577AF1768}"/>
                </c:ext>
                <c:ext xmlns:c15="http://schemas.microsoft.com/office/drawing/2012/chart" uri="{CE6537A1-D6FC-4f65-9D91-7224C49458BB}"/>
              </c:extLst>
            </c:dLbl>
            <c:dLbl>
              <c:idx val="4"/>
              <c:tx>
                <c:rich>
                  <a:bodyPr/>
                  <a:lstStyle/>
                  <a:p>
                    <a:r>
                      <a:rPr lang="en-US"/>
                      <a:t>11.82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230-4994-A302-908577AF1768}"/>
                </c:ext>
                <c:ext xmlns:c15="http://schemas.microsoft.com/office/drawing/2012/chart" uri="{CE6537A1-D6FC-4f65-9D91-7224C49458BB}"/>
              </c:extLst>
            </c:dLbl>
            <c:dLbl>
              <c:idx val="5"/>
              <c:tx>
                <c:rich>
                  <a:bodyPr/>
                  <a:lstStyle/>
                  <a:p>
                    <a:r>
                      <a:rPr lang="en-US"/>
                      <a:t>17.19</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230-4994-A302-908577AF1768}"/>
                </c:ext>
                <c:ext xmlns:c15="http://schemas.microsoft.com/office/drawing/2012/chart" uri="{CE6537A1-D6FC-4f65-9D91-7224C49458BB}"/>
              </c:extLst>
            </c:dLbl>
            <c:dLbl>
              <c:idx val="6"/>
              <c:tx>
                <c:rich>
                  <a:bodyPr/>
                  <a:lstStyle/>
                  <a:p>
                    <a:r>
                      <a:rPr lang="en-US"/>
                      <a:t>19.05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230-4994-A302-908577AF1768}"/>
                </c:ext>
                <c:ext xmlns:c15="http://schemas.microsoft.com/office/drawing/2012/chart" uri="{CE6537A1-D6FC-4f65-9D91-7224C49458BB}"/>
              </c:extLst>
            </c:dLbl>
            <c:dLbl>
              <c:idx val="8"/>
              <c:tx>
                <c:rich>
                  <a:bodyPr/>
                  <a:lstStyle/>
                  <a:p>
                    <a:r>
                      <a:rPr lang="en-US"/>
                      <a:t>47.45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2230-4994-A302-908577AF1768}"/>
                </c:ext>
                <c:ext xmlns:c15="http://schemas.microsoft.com/office/drawing/2012/chart" uri="{CE6537A1-D6FC-4f65-9D91-7224C49458BB}"/>
              </c:extLst>
            </c:dLbl>
            <c:spPr>
              <a:solidFill>
                <a:schemeClr val="accent1">
                  <a:lumMod val="60000"/>
                  <a:lumOff val="4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'OCD, ONCD&amp;OCD'!$G$4:$G$12</c:f>
              <c:strCache>
                <c:ptCount val="9"/>
                <c:pt idx="0">
                  <c:v>Dengue</c:v>
                </c:pt>
                <c:pt idx="1">
                  <c:v>Tuberculosis (TB)</c:v>
                </c:pt>
                <c:pt idx="2">
                  <c:v>Chikungunya</c:v>
                </c:pt>
                <c:pt idx="3">
                  <c:v>Jaundice/Hepatitis</c:v>
                </c:pt>
                <c:pt idx="4">
                  <c:v>Urinary Tract Infection</c:v>
                </c:pt>
                <c:pt idx="5">
                  <c:v>Anemia</c:v>
                </c:pt>
                <c:pt idx="6">
                  <c:v>Typhoid</c:v>
                </c:pt>
                <c:pt idx="7">
                  <c:v>Malaria</c:v>
                </c:pt>
                <c:pt idx="8">
                  <c:v>Diarrhea/Gastroenteritis</c:v>
                </c:pt>
              </c:strCache>
            </c:strRef>
          </c:cat>
          <c:val>
            <c:numRef>
              <c:f>'OCD, ONCD&amp;OCD'!$I$4:$I$12</c:f>
              <c:numCache>
                <c:formatCode>General</c:formatCode>
                <c:ptCount val="9"/>
                <c:pt idx="0">
                  <c:v>3.9</c:v>
                </c:pt>
                <c:pt idx="1">
                  <c:v>4.2</c:v>
                </c:pt>
                <c:pt idx="2">
                  <c:v>7.3</c:v>
                </c:pt>
                <c:pt idx="3">
                  <c:v>10</c:v>
                </c:pt>
                <c:pt idx="4">
                  <c:v>11.8</c:v>
                </c:pt>
                <c:pt idx="5">
                  <c:v>17.2</c:v>
                </c:pt>
                <c:pt idx="6">
                  <c:v>19.100000000000001</c:v>
                </c:pt>
                <c:pt idx="7">
                  <c:v>25.6</c:v>
                </c:pt>
                <c:pt idx="8">
                  <c:v>47.4</c:v>
                </c:pt>
              </c:numCache>
            </c:numRef>
          </c:val>
          <c:extLst xmlns:c16r2="http://schemas.microsoft.com/office/drawing/2015/06/chart">
            <c:ext xmlns:c16="http://schemas.microsoft.com/office/drawing/2014/chart" uri="{C3380CC4-5D6E-409C-BE32-E72D297353CC}">
              <c16:uniqueId val="{00000010-2230-4994-A302-908577AF1768}"/>
            </c:ext>
          </c:extLst>
        </c:ser>
        <c:dLbls>
          <c:showLegendKey val="0"/>
          <c:showVal val="0"/>
          <c:showCatName val="0"/>
          <c:showSerName val="0"/>
          <c:showPercent val="0"/>
          <c:showBubbleSize val="0"/>
        </c:dLbls>
        <c:gapWidth val="20"/>
        <c:overlap val="100"/>
        <c:axId val="308624000"/>
        <c:axId val="308633984"/>
      </c:barChart>
      <c:catAx>
        <c:axId val="3086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633984"/>
        <c:crosses val="autoZero"/>
        <c:auto val="1"/>
        <c:lblAlgn val="ctr"/>
        <c:lblOffset val="100"/>
        <c:noMultiLvlLbl val="0"/>
      </c:catAx>
      <c:valAx>
        <c:axId val="3086339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62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12458</TotalTime>
  <Pages>22</Pages>
  <Words>6433</Words>
  <Characters>36670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25</cp:revision>
  <cp:lastPrinted>2026-04-06T15:56:00Z</cp:lastPrinted>
  <dcterms:created xsi:type="dcterms:W3CDTF">2025-09-08T08:06:00Z</dcterms:created>
  <dcterms:modified xsi:type="dcterms:W3CDTF">2026-04-06T16:19:00Z</dcterms:modified>
</cp:coreProperties>
</file>